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8"/>
          <w:szCs w:val="18"/>
          <w:color w:val="auto"/>
        </w:rPr>
        <w:t>UNITED STATES</w:t>
      </w:r>
    </w:p>
    <w:p>
      <w:pPr>
        <w:spacing w:after="0" w:line="15"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3255645</wp:posOffset>
            </wp:positionH>
            <wp:positionV relativeFrom="paragraph">
              <wp:posOffset>131445</wp:posOffset>
            </wp:positionV>
            <wp:extent cx="75882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58825" cy="342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0000FF"/>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3255645</wp:posOffset>
            </wp:positionH>
            <wp:positionV relativeFrom="paragraph">
              <wp:posOffset>135890</wp:posOffset>
            </wp:positionV>
            <wp:extent cx="758825"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58825" cy="34290"/>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spacing w:after="0"/>
        <w:rPr>
          <w:sz w:val="20"/>
          <w:szCs w:val="20"/>
          <w:color w:val="auto"/>
        </w:rPr>
      </w:pPr>
      <w:r>
        <w:rPr>
          <w:rFonts w:ascii="Arial" w:cs="Arial" w:eastAsia="Arial" w:hAnsi="Arial"/>
          <w:sz w:val="14"/>
          <w:szCs w:val="14"/>
          <w:i w:val="1"/>
          <w:iCs w:val="1"/>
          <w:color w:val="auto"/>
        </w:rPr>
        <w:t>(Mark One)</w:t>
      </w:r>
    </w:p>
    <w:p>
      <w:pPr>
        <w:spacing w:after="0" w:line="4" w:lineRule="exact"/>
        <w:rPr>
          <w:sz w:val="24"/>
          <w:szCs w:val="24"/>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[X]</w:t>
      </w:r>
      <w:r>
        <w:rPr>
          <w:sz w:val="20"/>
          <w:szCs w:val="20"/>
          <w:color w:val="auto"/>
        </w:rPr>
        <w:tab/>
      </w:r>
      <w:r>
        <w:rPr>
          <w:rFonts w:ascii="Arial" w:cs="Arial" w:eastAsia="Arial" w:hAnsi="Arial"/>
          <w:sz w:val="16"/>
          <w:szCs w:val="16"/>
          <w:b w:val="1"/>
          <w:bCs w:val="1"/>
          <w:color w:val="auto"/>
        </w:rPr>
        <w:t>QUARTERLY REPORT PURSUANT TO SECTION 13 OR 15(d) OF THE SECURITIES EXCHANGE ACT OF 1934</w:t>
      </w:r>
    </w:p>
    <w:p>
      <w:pPr>
        <w:spacing w:after="0" w:line="211" w:lineRule="exact"/>
        <w:rPr>
          <w:sz w:val="24"/>
          <w:szCs w:val="24"/>
          <w:color w:val="auto"/>
        </w:rPr>
      </w:pPr>
    </w:p>
    <w:p>
      <w:pPr>
        <w:ind w:left="2160"/>
        <w:spacing w:after="0"/>
        <w:rPr>
          <w:sz w:val="20"/>
          <w:szCs w:val="20"/>
          <w:color w:val="auto"/>
        </w:rPr>
      </w:pPr>
      <w:r>
        <w:rPr>
          <w:rFonts w:ascii="Arial" w:cs="Arial" w:eastAsia="Arial" w:hAnsi="Arial"/>
          <w:sz w:val="18"/>
          <w:szCs w:val="18"/>
          <w:color w:val="auto"/>
        </w:rPr>
        <w:t xml:space="preserve">For the quarterly period ended </w:t>
      </w:r>
      <w:r>
        <w:rPr>
          <w:rFonts w:ascii="Arial" w:cs="Arial" w:eastAsia="Arial" w:hAnsi="Arial"/>
          <w:sz w:val="18"/>
          <w:szCs w:val="18"/>
          <w:u w:val="single" w:color="auto"/>
          <w:color w:val="FF0000"/>
        </w:rPr>
        <w:t>March 31, 2014</w:t>
      </w:r>
      <w:r>
        <w:rPr>
          <w:rFonts w:ascii="Arial" w:cs="Arial" w:eastAsia="Arial" w:hAnsi="Arial"/>
          <w:sz w:val="18"/>
          <w:szCs w:val="18"/>
          <w:color w:val="auto"/>
        </w:rPr>
        <w:t xml:space="preserve"> or</w:t>
      </w:r>
    </w:p>
    <w:p>
      <w:pPr>
        <w:spacing w:after="0" w:line="219" w:lineRule="exact"/>
        <w:rPr>
          <w:sz w:val="24"/>
          <w:szCs w:val="24"/>
          <w:color w:val="auto"/>
        </w:rPr>
      </w:pPr>
    </w:p>
    <w:p>
      <w:pPr>
        <w:ind w:left="2160" w:right="1920" w:hanging="2152"/>
        <w:spacing w:after="0" w:line="478" w:lineRule="auto"/>
        <w:tabs>
          <w:tab w:leader="none" w:pos="189"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TRANSITION REPORT PURSUANT TO SECTION 13 OR 15(d) OF THE SECURITIES EXCHANGE ACT OF 1934 </w:t>
      </w:r>
      <w:r>
        <w:rPr>
          <w:rFonts w:ascii="Arial" w:cs="Arial" w:eastAsia="Arial" w:hAnsi="Arial"/>
          <w:sz w:val="18"/>
          <w:szCs w:val="18"/>
          <w:color w:val="auto"/>
        </w:rPr>
        <w:t>For the transition period from __________________ to ___________________</w:t>
      </w:r>
    </w:p>
    <w:p>
      <w:pPr>
        <w:spacing w:after="0" w:line="5"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1-36117</w:t>
      </w:r>
    </w:p>
    <w:p>
      <w:pPr>
        <w:spacing w:after="0" w:line="139"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u w:val="single" w:color="auto"/>
          <w:color w:val="0000FF"/>
        </w:rPr>
        <w:t>inTEST Corporation</w:t>
      </w:r>
    </w:p>
    <w:p>
      <w:pPr>
        <w:spacing w:after="0" w:line="18" w:lineRule="exact"/>
        <w:rPr>
          <w:sz w:val="24"/>
          <w:szCs w:val="24"/>
          <w:color w:val="auto"/>
        </w:rPr>
      </w:pPr>
    </w:p>
    <w:p>
      <w:pPr>
        <w:jc w:val="center"/>
        <w:ind w:right="-139"/>
        <w:spacing w:after="0"/>
        <w:rPr>
          <w:sz w:val="20"/>
          <w:szCs w:val="20"/>
          <w:color w:val="auto"/>
        </w:rPr>
      </w:pPr>
      <w:r>
        <w:rPr>
          <w:rFonts w:ascii="Arial" w:cs="Arial" w:eastAsia="Arial" w:hAnsi="Arial"/>
          <w:sz w:val="14"/>
          <w:szCs w:val="14"/>
          <w:color w:val="auto"/>
        </w:rPr>
        <w:t>(Exact Name of Registrant as Specified in its Charter)</w:t>
      </w:r>
    </w:p>
    <w:p>
      <w:pPr>
        <w:spacing w:after="0" w:line="185" w:lineRule="exact"/>
        <w:rPr>
          <w:sz w:val="24"/>
          <w:szCs w:val="24"/>
          <w:color w:val="auto"/>
        </w:rPr>
      </w:pPr>
    </w:p>
    <w:tbl>
      <w:tblPr>
        <w:tblLayout w:type="fixed"/>
        <w:tblInd w:w="1900" w:type="dxa"/>
        <w:tblCellMar>
          <w:top w:w="0" w:type="dxa"/>
          <w:left w:w="0" w:type="dxa"/>
          <w:bottom w:w="0" w:type="dxa"/>
          <w:right w:w="0" w:type="dxa"/>
        </w:tblCellMar>
      </w:tblPr>
      <w:tr>
        <w:trPr>
          <w:trHeight w:val="207"/>
        </w:trPr>
        <w:tc>
          <w:tcPr>
            <w:tcW w:w="1260" w:type="dxa"/>
            <w:vAlign w:val="bottom"/>
          </w:tcPr>
          <w:p>
            <w:pPr>
              <w:spacing w:after="0"/>
              <w:rPr>
                <w:sz w:val="17"/>
                <w:szCs w:val="17"/>
                <w:color w:val="auto"/>
              </w:rPr>
            </w:pPr>
          </w:p>
        </w:tc>
        <w:tc>
          <w:tcPr>
            <w:tcW w:w="2900" w:type="dxa"/>
            <w:vAlign w:val="bottom"/>
            <w:gridSpan w:val="2"/>
          </w:tcPr>
          <w:p>
            <w:pPr>
              <w:jc w:val="center"/>
              <w:ind w:right="2200"/>
              <w:spacing w:after="0"/>
              <w:rPr>
                <w:sz w:val="20"/>
                <w:szCs w:val="20"/>
                <w:color w:val="auto"/>
              </w:rPr>
            </w:pPr>
            <w:r>
              <w:rPr>
                <w:rFonts w:ascii="Arial" w:cs="Arial" w:eastAsia="Arial" w:hAnsi="Arial"/>
                <w:sz w:val="18"/>
                <w:szCs w:val="18"/>
                <w:b w:val="1"/>
                <w:bCs w:val="1"/>
                <w:color w:val="auto"/>
                <w:w w:val="88"/>
              </w:rPr>
              <w:t>Delaware</w:t>
            </w:r>
          </w:p>
        </w:tc>
        <w:tc>
          <w:tcPr>
            <w:tcW w:w="3140" w:type="dxa"/>
            <w:vAlign w:val="bottom"/>
            <w:gridSpan w:val="3"/>
          </w:tcPr>
          <w:p>
            <w:pPr>
              <w:jc w:val="right"/>
              <w:ind w:right="680"/>
              <w:spacing w:after="0"/>
              <w:rPr>
                <w:sz w:val="20"/>
                <w:szCs w:val="20"/>
                <w:color w:val="auto"/>
              </w:rPr>
            </w:pPr>
            <w:r>
              <w:rPr>
                <w:rFonts w:ascii="Arial" w:cs="Arial" w:eastAsia="Arial" w:hAnsi="Arial"/>
                <w:sz w:val="18"/>
                <w:szCs w:val="18"/>
                <w:b w:val="1"/>
                <w:bCs w:val="1"/>
                <w:color w:val="auto"/>
              </w:rPr>
              <w:t>22-2370659</w:t>
            </w:r>
          </w:p>
        </w:tc>
      </w:tr>
      <w:tr>
        <w:trPr>
          <w:trHeight w:val="20"/>
        </w:trPr>
        <w:tc>
          <w:tcPr>
            <w:tcW w:w="12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82"/>
        </w:trPr>
        <w:tc>
          <w:tcPr>
            <w:tcW w:w="4160" w:type="dxa"/>
            <w:vAlign w:val="bottom"/>
            <w:gridSpan w:val="3"/>
          </w:tcPr>
          <w:p>
            <w:pPr>
              <w:jc w:val="center"/>
              <w:ind w:right="940"/>
              <w:spacing w:after="0"/>
              <w:rPr>
                <w:sz w:val="20"/>
                <w:szCs w:val="20"/>
                <w:color w:val="auto"/>
              </w:rPr>
            </w:pPr>
            <w:r>
              <w:rPr>
                <w:rFonts w:ascii="Arial" w:cs="Arial" w:eastAsia="Arial" w:hAnsi="Arial"/>
                <w:sz w:val="14"/>
                <w:szCs w:val="14"/>
                <w:color w:val="auto"/>
                <w:w w:val="89"/>
              </w:rPr>
              <w:t>(State or other jurisdiction of incorporation or organization)</w:t>
            </w:r>
          </w:p>
        </w:tc>
        <w:tc>
          <w:tcPr>
            <w:tcW w:w="3140" w:type="dxa"/>
            <w:vAlign w:val="bottom"/>
            <w:gridSpan w:val="3"/>
          </w:tcPr>
          <w:p>
            <w:pPr>
              <w:jc w:val="center"/>
              <w:ind w:left="862"/>
              <w:spacing w:after="0"/>
              <w:rPr>
                <w:sz w:val="20"/>
                <w:szCs w:val="20"/>
                <w:color w:val="auto"/>
              </w:rPr>
            </w:pPr>
            <w:r>
              <w:rPr>
                <w:rFonts w:ascii="Arial" w:cs="Arial" w:eastAsia="Arial" w:hAnsi="Arial"/>
                <w:sz w:val="14"/>
                <w:szCs w:val="14"/>
                <w:color w:val="auto"/>
                <w:w w:val="90"/>
              </w:rPr>
              <w:t>(I.R.S. Employer Identification Number)</w:t>
            </w:r>
          </w:p>
        </w:tc>
      </w:tr>
    </w:tbl>
    <w:p>
      <w:pPr>
        <w:spacing w:after="0" w:line="202" w:lineRule="exact"/>
        <w:rPr>
          <w:sz w:val="24"/>
          <w:szCs w:val="24"/>
          <w:color w:val="auto"/>
        </w:rPr>
      </w:pPr>
    </w:p>
    <w:p>
      <w:pPr>
        <w:ind w:left="4580"/>
        <w:spacing w:after="0"/>
        <w:rPr>
          <w:sz w:val="20"/>
          <w:szCs w:val="20"/>
          <w:color w:val="auto"/>
        </w:rPr>
      </w:pPr>
      <w:r>
        <w:rPr>
          <w:rFonts w:ascii="Arial" w:cs="Arial" w:eastAsia="Arial" w:hAnsi="Arial"/>
          <w:sz w:val="18"/>
          <w:szCs w:val="18"/>
          <w:b w:val="1"/>
          <w:bCs w:val="1"/>
          <w:color w:val="auto"/>
        </w:rPr>
        <w:t>804 East Gate Drive, Suite 200</w:t>
      </w:r>
    </w:p>
    <w:p>
      <w:pPr>
        <w:spacing w:after="0" w:line="21" w:lineRule="exact"/>
        <w:rPr>
          <w:sz w:val="24"/>
          <w:szCs w:val="24"/>
          <w:color w:val="auto"/>
        </w:rPr>
      </w:pPr>
    </w:p>
    <w:p>
      <w:pPr>
        <w:ind w:left="4600"/>
        <w:spacing w:after="0"/>
        <w:rPr>
          <w:sz w:val="20"/>
          <w:szCs w:val="20"/>
          <w:color w:val="auto"/>
        </w:rPr>
      </w:pPr>
      <w:r>
        <w:rPr>
          <w:rFonts w:ascii="Arial" w:cs="Arial" w:eastAsia="Arial" w:hAnsi="Arial"/>
          <w:sz w:val="18"/>
          <w:szCs w:val="18"/>
          <w:b w:val="1"/>
          <w:bCs w:val="1"/>
          <w:u w:val="single" w:color="auto"/>
          <w:color w:val="auto"/>
        </w:rPr>
        <w:t>Mt. Laurel, New Jersey 08054</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4"/>
          <w:szCs w:val="14"/>
          <w:color w:val="auto"/>
        </w:rPr>
        <w:t>(Address of principal executive offices, including zip code)</w:t>
      </w:r>
    </w:p>
    <w:p>
      <w:pPr>
        <w:spacing w:after="0" w:line="124"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u w:val="single" w:color="auto"/>
          <w:color w:val="auto"/>
        </w:rPr>
        <w:t>(856) 505-8800</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4"/>
          <w:szCs w:val="14"/>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1805940</wp:posOffset>
            </wp:positionH>
            <wp:positionV relativeFrom="paragraph">
              <wp:posOffset>118110</wp:posOffset>
            </wp:positionV>
            <wp:extent cx="365760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57600" cy="3429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jc w:val="both"/>
        <w:ind w:right="60"/>
        <w:spacing w:after="0" w:line="25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tabs>
          <w:tab w:leader="none" w:pos="800" w:val="left"/>
        </w:tabs>
        <w:rPr>
          <w:sz w:val="20"/>
          <w:szCs w:val="20"/>
          <w:color w:val="auto"/>
        </w:rPr>
      </w:pPr>
      <w:r>
        <w:rPr>
          <w:rFonts w:ascii="Arial" w:cs="Arial" w:eastAsia="Arial" w:hAnsi="Arial"/>
          <w:sz w:val="18"/>
          <w:szCs w:val="18"/>
          <w:color w:val="auto"/>
        </w:rPr>
        <w:t xml:space="preserve">YES </w:t>
      </w:r>
      <w:r>
        <w:rPr>
          <w:rFonts w:ascii="Arial" w:cs="Arial" w:eastAsia="Arial" w:hAnsi="Arial"/>
          <w:sz w:val="18"/>
          <w:szCs w:val="18"/>
          <w:u w:val="single" w:color="auto"/>
          <w:color w:val="auto"/>
        </w:rPr>
        <w:t>X</w:t>
      </w:r>
      <w:r>
        <w:rPr>
          <w:sz w:val="20"/>
          <w:szCs w:val="20"/>
          <w:color w:val="auto"/>
        </w:rPr>
        <w:tab/>
      </w:r>
      <w:r>
        <w:rPr>
          <w:rFonts w:ascii="Arial" w:cs="Arial" w:eastAsia="Arial" w:hAnsi="Arial"/>
          <w:sz w:val="15"/>
          <w:szCs w:val="15"/>
          <w:color w:val="auto"/>
        </w:rPr>
        <w:t>NO ____</w:t>
      </w:r>
    </w:p>
    <w:p>
      <w:pPr>
        <w:spacing w:after="0" w:line="219" w:lineRule="exact"/>
        <w:rPr>
          <w:sz w:val="24"/>
          <w:szCs w:val="24"/>
          <w:color w:val="auto"/>
        </w:rPr>
      </w:pPr>
    </w:p>
    <w:p>
      <w:pPr>
        <w:spacing w:after="0" w:line="253"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(SS 232.405 of this chapter) during the preceding 12 months (or for such shorter period that the registrant was required to submit and post such files).</w:t>
      </w:r>
    </w:p>
    <w:p>
      <w:pPr>
        <w:spacing w:after="0"/>
        <w:tabs>
          <w:tab w:leader="none" w:pos="800" w:val="left"/>
        </w:tabs>
        <w:rPr>
          <w:sz w:val="20"/>
          <w:szCs w:val="20"/>
          <w:color w:val="auto"/>
        </w:rPr>
      </w:pPr>
      <w:r>
        <w:rPr>
          <w:rFonts w:ascii="Arial" w:cs="Arial" w:eastAsia="Arial" w:hAnsi="Arial"/>
          <w:sz w:val="18"/>
          <w:szCs w:val="18"/>
          <w:color w:val="auto"/>
        </w:rPr>
        <w:t xml:space="preserve">YES </w:t>
      </w:r>
      <w:r>
        <w:rPr>
          <w:rFonts w:ascii="Arial" w:cs="Arial" w:eastAsia="Arial" w:hAnsi="Arial"/>
          <w:sz w:val="18"/>
          <w:szCs w:val="18"/>
          <w:u w:val="single" w:color="auto"/>
          <w:color w:val="auto"/>
        </w:rPr>
        <w:t>X</w:t>
      </w:r>
      <w:r>
        <w:rPr>
          <w:sz w:val="20"/>
          <w:szCs w:val="20"/>
          <w:color w:val="auto"/>
        </w:rPr>
        <w:tab/>
      </w:r>
      <w:r>
        <w:rPr>
          <w:rFonts w:ascii="Arial" w:cs="Arial" w:eastAsia="Arial" w:hAnsi="Arial"/>
          <w:sz w:val="15"/>
          <w:szCs w:val="15"/>
          <w:color w:val="auto"/>
        </w:rPr>
        <w:t>NO ____</w:t>
      </w:r>
    </w:p>
    <w:p>
      <w:pPr>
        <w:spacing w:after="0" w:line="219" w:lineRule="exact"/>
        <w:rPr>
          <w:sz w:val="24"/>
          <w:szCs w:val="24"/>
          <w:color w:val="auto"/>
        </w:rPr>
      </w:pPr>
    </w:p>
    <w:p>
      <w:pPr>
        <w:ind w:right="28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39"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140" w:type="dxa"/>
            <w:vAlign w:val="bottom"/>
            <w:gridSpan w:val="4"/>
          </w:tcPr>
          <w:p>
            <w:pPr>
              <w:ind w:left="540"/>
              <w:spacing w:after="0"/>
              <w:rPr>
                <w:sz w:val="20"/>
                <w:szCs w:val="20"/>
                <w:color w:val="auto"/>
              </w:rPr>
            </w:pPr>
            <w:r>
              <w:rPr>
                <w:rFonts w:ascii="Arial" w:cs="Arial" w:eastAsia="Arial" w:hAnsi="Arial"/>
                <w:sz w:val="18"/>
                <w:szCs w:val="18"/>
                <w:color w:val="auto"/>
                <w:w w:val="88"/>
              </w:rPr>
              <w:t>Large accelerated filer</w:t>
            </w:r>
          </w:p>
        </w:tc>
        <w:tc>
          <w:tcPr>
            <w:tcW w:w="700" w:type="dxa"/>
            <w:vAlign w:val="bottom"/>
          </w:tcPr>
          <w:p>
            <w:pPr>
              <w:jc w:val="right"/>
              <w:ind w:right="272"/>
              <w:spacing w:after="0"/>
              <w:rPr>
                <w:sz w:val="20"/>
                <w:szCs w:val="20"/>
                <w:color w:val="auto"/>
              </w:rPr>
            </w:pPr>
            <w:r>
              <w:rPr>
                <w:rFonts w:ascii="Arial" w:cs="Arial" w:eastAsia="Arial" w:hAnsi="Arial"/>
                <w:sz w:val="18"/>
                <w:szCs w:val="18"/>
                <w:color w:val="auto"/>
              </w:rPr>
              <w:t>___</w:t>
            </w:r>
          </w:p>
        </w:tc>
        <w:tc>
          <w:tcPr>
            <w:tcW w:w="2320" w:type="dxa"/>
            <w:vAlign w:val="bottom"/>
          </w:tcPr>
          <w:p>
            <w:pPr>
              <w:spacing w:after="0"/>
              <w:rPr>
                <w:sz w:val="18"/>
                <w:szCs w:val="18"/>
                <w:color w:val="auto"/>
              </w:rPr>
            </w:pPr>
          </w:p>
        </w:tc>
        <w:tc>
          <w:tcPr>
            <w:tcW w:w="2840" w:type="dxa"/>
            <w:vAlign w:val="bottom"/>
          </w:tcPr>
          <w:p>
            <w:pPr>
              <w:ind w:left="820"/>
              <w:spacing w:after="0"/>
              <w:rPr>
                <w:sz w:val="20"/>
                <w:szCs w:val="20"/>
                <w:color w:val="auto"/>
              </w:rPr>
            </w:pPr>
            <w:r>
              <w:rPr>
                <w:rFonts w:ascii="Arial" w:cs="Arial" w:eastAsia="Arial" w:hAnsi="Arial"/>
                <w:sz w:val="18"/>
                <w:szCs w:val="18"/>
                <w:color w:val="auto"/>
              </w:rPr>
              <w:t>Accelerated filer ___</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184"/>
        </w:trPr>
        <w:tc>
          <w:tcPr>
            <w:tcW w:w="2140" w:type="dxa"/>
            <w:vAlign w:val="bottom"/>
            <w:gridSpan w:val="4"/>
          </w:tcPr>
          <w:p>
            <w:pPr>
              <w:ind w:left="540"/>
              <w:spacing w:after="0" w:line="184" w:lineRule="exact"/>
              <w:rPr>
                <w:sz w:val="20"/>
                <w:szCs w:val="20"/>
                <w:color w:val="auto"/>
              </w:rPr>
            </w:pPr>
            <w:r>
              <w:rPr>
                <w:rFonts w:ascii="Arial" w:cs="Arial" w:eastAsia="Arial" w:hAnsi="Arial"/>
                <w:sz w:val="18"/>
                <w:szCs w:val="18"/>
                <w:color w:val="auto"/>
                <w:w w:val="95"/>
              </w:rPr>
              <w:t>Non-accelerated filer</w:t>
            </w:r>
          </w:p>
        </w:tc>
        <w:tc>
          <w:tcPr>
            <w:tcW w:w="3020" w:type="dxa"/>
            <w:vAlign w:val="bottom"/>
            <w:gridSpan w:val="2"/>
          </w:tcPr>
          <w:p>
            <w:pPr>
              <w:ind w:left="20"/>
              <w:spacing w:after="0" w:line="184" w:lineRule="exact"/>
              <w:rPr>
                <w:sz w:val="20"/>
                <w:szCs w:val="20"/>
                <w:color w:val="auto"/>
              </w:rPr>
            </w:pPr>
            <w:r>
              <w:rPr>
                <w:rFonts w:ascii="Arial" w:cs="Arial" w:eastAsia="Arial" w:hAnsi="Arial"/>
                <w:sz w:val="18"/>
                <w:szCs w:val="18"/>
                <w:color w:val="auto"/>
              </w:rPr>
              <w:t xml:space="preserve">___ </w:t>
            </w:r>
            <w:r>
              <w:rPr>
                <w:rFonts w:ascii="Arial" w:cs="Arial" w:eastAsia="Arial" w:hAnsi="Arial"/>
                <w:sz w:val="13"/>
                <w:szCs w:val="13"/>
                <w:color w:val="auto"/>
              </w:rPr>
              <w:t>(Do not check if a smaller reporting company)</w:t>
            </w:r>
          </w:p>
        </w:tc>
        <w:tc>
          <w:tcPr>
            <w:tcW w:w="2840" w:type="dxa"/>
            <w:vAlign w:val="bottom"/>
          </w:tcPr>
          <w:p>
            <w:pPr>
              <w:ind w:left="880"/>
              <w:spacing w:after="0" w:line="184" w:lineRule="exact"/>
              <w:rPr>
                <w:sz w:val="20"/>
                <w:szCs w:val="20"/>
                <w:color w:val="auto"/>
              </w:rPr>
            </w:pPr>
            <w:r>
              <w:rPr>
                <w:rFonts w:ascii="Arial" w:cs="Arial" w:eastAsia="Arial" w:hAnsi="Arial"/>
                <w:sz w:val="18"/>
                <w:szCs w:val="18"/>
                <w:color w:val="auto"/>
                <w:w w:val="90"/>
              </w:rPr>
              <w:t>Smaller reporting company</w:t>
            </w:r>
          </w:p>
        </w:tc>
        <w:tc>
          <w:tcPr>
            <w:tcW w:w="1220" w:type="dxa"/>
            <w:vAlign w:val="bottom"/>
            <w:gridSpan w:val="4"/>
          </w:tcPr>
          <w:p>
            <w:pPr>
              <w:ind w:left="40"/>
              <w:spacing w:after="0" w:line="184" w:lineRule="exact"/>
              <w:rPr>
                <w:sz w:val="20"/>
                <w:szCs w:val="20"/>
                <w:color w:val="auto"/>
              </w:rPr>
            </w:pPr>
            <w:r>
              <w:rPr>
                <w:rFonts w:ascii="Arial" w:cs="Arial" w:eastAsia="Arial" w:hAnsi="Arial"/>
                <w:sz w:val="18"/>
                <w:szCs w:val="18"/>
                <w:color w:val="auto"/>
              </w:rPr>
              <w:t>X</w:t>
            </w:r>
          </w:p>
        </w:tc>
      </w:tr>
      <w:tr>
        <w:trPr>
          <w:trHeight w:val="444"/>
        </w:trPr>
        <w:tc>
          <w:tcPr>
            <w:tcW w:w="8000" w:type="dxa"/>
            <w:vAlign w:val="bottom"/>
            <w:gridSpan w:val="7"/>
          </w:tcPr>
          <w:p>
            <w:pPr>
              <w:spacing w:after="0"/>
              <w:rPr>
                <w:sz w:val="20"/>
                <w:szCs w:val="20"/>
                <w:color w:val="auto"/>
              </w:rPr>
            </w:pPr>
            <w:r>
              <w:rPr>
                <w:rFonts w:ascii="Arial" w:cs="Arial" w:eastAsia="Arial" w:hAnsi="Arial"/>
                <w:sz w:val="18"/>
                <w:szCs w:val="18"/>
                <w:color w:val="auto"/>
                <w:w w:val="88"/>
              </w:rPr>
              <w:t>Indicate by check mark whether the registrant is a shell company (as defined in Rule 12b-2 of the Exchange Act).</w:t>
            </w:r>
          </w:p>
        </w:tc>
        <w:tc>
          <w:tcPr>
            <w:tcW w:w="26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84"/>
        </w:trPr>
        <w:tc>
          <w:tcPr>
            <w:tcW w:w="720" w:type="dxa"/>
            <w:vAlign w:val="bottom"/>
          </w:tcPr>
          <w:p>
            <w:pPr>
              <w:spacing w:after="0" w:line="184" w:lineRule="exact"/>
              <w:rPr>
                <w:sz w:val="20"/>
                <w:szCs w:val="20"/>
                <w:color w:val="auto"/>
              </w:rPr>
            </w:pPr>
            <w:r>
              <w:rPr>
                <w:rFonts w:ascii="Arial" w:cs="Arial" w:eastAsia="Arial" w:hAnsi="Arial"/>
                <w:sz w:val="18"/>
                <w:szCs w:val="18"/>
                <w:color w:val="auto"/>
                <w:w w:val="98"/>
              </w:rPr>
              <w:t>YES ___</w:t>
            </w:r>
          </w:p>
        </w:tc>
        <w:tc>
          <w:tcPr>
            <w:tcW w:w="1420" w:type="dxa"/>
            <w:vAlign w:val="bottom"/>
            <w:gridSpan w:val="3"/>
          </w:tcPr>
          <w:p>
            <w:pPr>
              <w:ind w:left="100"/>
              <w:spacing w:after="0" w:line="184" w:lineRule="exact"/>
              <w:rPr>
                <w:sz w:val="20"/>
                <w:szCs w:val="20"/>
                <w:color w:val="auto"/>
              </w:rPr>
            </w:pPr>
            <w:r>
              <w:rPr>
                <w:rFonts w:ascii="Arial" w:cs="Arial" w:eastAsia="Arial" w:hAnsi="Arial"/>
                <w:sz w:val="18"/>
                <w:szCs w:val="18"/>
                <w:color w:val="auto"/>
              </w:rPr>
              <w:t>NO X</w:t>
            </w:r>
          </w:p>
        </w:tc>
        <w:tc>
          <w:tcPr>
            <w:tcW w:w="70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20"/>
        </w:trPr>
        <w:tc>
          <w:tcPr>
            <w:tcW w:w="1120" w:type="dxa"/>
            <w:vAlign w:val="bottom"/>
            <w:gridSpan w:val="2"/>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2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51"/>
        </w:trPr>
        <w:tc>
          <w:tcPr>
            <w:tcW w:w="8000" w:type="dxa"/>
            <w:vAlign w:val="bottom"/>
            <w:gridSpan w:val="7"/>
          </w:tcPr>
          <w:p>
            <w:pPr>
              <w:spacing w:after="0"/>
              <w:rPr>
                <w:sz w:val="20"/>
                <w:szCs w:val="20"/>
                <w:color w:val="auto"/>
              </w:rPr>
            </w:pPr>
            <w:r>
              <w:rPr>
                <w:rFonts w:ascii="Arial" w:cs="Arial" w:eastAsia="Arial" w:hAnsi="Arial"/>
                <w:sz w:val="18"/>
                <w:szCs w:val="18"/>
                <w:color w:val="auto"/>
                <w:w w:val="90"/>
              </w:rPr>
              <w:t>Number of shares of Common Stock, $.01 par value, outstanding as of the close of business on April 30, 2014:</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92"/>
        </w:trPr>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840" w:type="dxa"/>
            <w:vAlign w:val="bottom"/>
          </w:tcPr>
          <w:p>
            <w:pPr>
              <w:jc w:val="center"/>
              <w:ind w:right="1652"/>
              <w:spacing w:after="0"/>
              <w:rPr>
                <w:sz w:val="20"/>
                <w:szCs w:val="20"/>
                <w:color w:val="auto"/>
              </w:rPr>
            </w:pPr>
            <w:r>
              <w:rPr>
                <w:rFonts w:ascii="Arial" w:cs="Arial" w:eastAsia="Arial" w:hAnsi="Arial"/>
                <w:sz w:val="18"/>
                <w:szCs w:val="18"/>
                <w:color w:val="auto"/>
                <w:w w:val="86"/>
              </w:rPr>
              <w:t>10,562,678</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18"/>
        </w:trPr>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160" w:type="dxa"/>
            <w:vAlign w:val="bottom"/>
            <w:tcBorders>
              <w:bottom w:val="single" w:sz="8" w:color="9A9A9A"/>
            </w:tcBorders>
            <w:gridSpan w:val="2"/>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815"/>
        </w:trPr>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160" w:type="dxa"/>
            <w:vAlign w:val="bottom"/>
            <w:gridSpan w:val="2"/>
          </w:tcPr>
          <w:p>
            <w:pPr>
              <w:jc w:val="center"/>
              <w:ind w:left="512"/>
              <w:spacing w:after="0"/>
              <w:rPr>
                <w:sz w:val="20"/>
                <w:szCs w:val="20"/>
                <w:color w:val="auto"/>
              </w:rPr>
            </w:pPr>
            <w:r>
              <w:rPr>
                <w:rFonts w:ascii="Arial" w:cs="Arial" w:eastAsia="Arial" w:hAnsi="Arial"/>
                <w:sz w:val="18"/>
                <w:szCs w:val="18"/>
                <w:b w:val="1"/>
                <w:bCs w:val="1"/>
                <w:color w:val="auto"/>
                <w:w w:val="96"/>
              </w:rPr>
              <w:t>inTEST CORPORATION</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32"/>
        </w:trPr>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840" w:type="dxa"/>
            <w:vAlign w:val="bottom"/>
          </w:tcPr>
          <w:p>
            <w:pPr>
              <w:jc w:val="center"/>
              <w:ind w:right="1632"/>
              <w:spacing w:after="0"/>
              <w:rPr>
                <w:sz w:val="20"/>
                <w:szCs w:val="20"/>
                <w:color w:val="auto"/>
              </w:rPr>
            </w:pPr>
            <w:r>
              <w:rPr>
                <w:rFonts w:ascii="Arial" w:cs="Arial" w:eastAsia="Arial" w:hAnsi="Arial"/>
                <w:sz w:val="18"/>
                <w:szCs w:val="18"/>
                <w:b w:val="1"/>
                <w:bCs w:val="1"/>
                <w:color w:val="auto"/>
              </w:rPr>
              <w:t>INDEX</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905"/>
        </w:trPr>
        <w:tc>
          <w:tcPr>
            <w:tcW w:w="5160" w:type="dxa"/>
            <w:vAlign w:val="bottom"/>
            <w:gridSpan w:val="6"/>
          </w:tcPr>
          <w:p>
            <w:pPr>
              <w:ind w:left="20"/>
              <w:spacing w:after="0"/>
              <w:rPr>
                <w:sz w:val="20"/>
                <w:szCs w:val="20"/>
                <w:color w:val="auto"/>
              </w:rPr>
            </w:pPr>
            <w:r>
              <w:rPr>
                <w:rFonts w:ascii="Arial" w:cs="Arial" w:eastAsia="Arial" w:hAnsi="Arial"/>
                <w:sz w:val="18"/>
                <w:szCs w:val="18"/>
                <w:b w:val="1"/>
                <w:bCs w:val="1"/>
                <w:color w:val="auto"/>
              </w:rPr>
              <w:t>PART I.  FINANCIAL INFORMATION</w:t>
            </w:r>
          </w:p>
        </w:tc>
        <w:tc>
          <w:tcPr>
            <w:tcW w:w="2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05"/>
        </w:trPr>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gridSpan w:val="2"/>
          </w:tcPr>
          <w:p>
            <w:pPr>
              <w:jc w:val="center"/>
              <w:ind w:left="192"/>
              <w:spacing w:after="0" w:line="205" w:lineRule="exact"/>
              <w:rPr>
                <w:sz w:val="20"/>
                <w:szCs w:val="20"/>
                <w:color w:val="auto"/>
              </w:rPr>
            </w:pPr>
            <w:r>
              <w:rPr>
                <w:rFonts w:ascii="Arial" w:cs="Arial" w:eastAsia="Arial" w:hAnsi="Arial"/>
                <w:sz w:val="18"/>
                <w:szCs w:val="18"/>
                <w:b w:val="1"/>
                <w:bCs w:val="1"/>
                <w:color w:val="auto"/>
                <w:w w:val="83"/>
              </w:rPr>
              <w:t>Page</w:t>
            </w:r>
          </w:p>
        </w:tc>
      </w:tr>
      <w:tr>
        <w:trPr>
          <w:trHeight w:val="262"/>
        </w:trPr>
        <w:tc>
          <w:tcPr>
            <w:tcW w:w="7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Item 1.</w:t>
            </w:r>
          </w:p>
        </w:tc>
        <w:tc>
          <w:tcPr>
            <w:tcW w:w="4440" w:type="dxa"/>
            <w:vAlign w:val="bottom"/>
            <w:gridSpan w:val="5"/>
          </w:tcPr>
          <w:p>
            <w:pPr>
              <w:ind w:left="60"/>
              <w:spacing w:after="0"/>
              <w:rPr>
                <w:sz w:val="20"/>
                <w:szCs w:val="20"/>
                <w:color w:val="auto"/>
              </w:rPr>
            </w:pPr>
            <w:r>
              <w:rPr>
                <w:rFonts w:ascii="Arial" w:cs="Arial" w:eastAsia="Arial" w:hAnsi="Arial"/>
                <w:sz w:val="18"/>
                <w:szCs w:val="18"/>
                <w:b w:val="1"/>
                <w:bCs w:val="1"/>
                <w:i w:val="1"/>
                <w:iCs w:val="1"/>
                <w:color w:val="auto"/>
              </w:rPr>
              <w:t>Financial Statements</w:t>
            </w:r>
          </w:p>
        </w:tc>
        <w:tc>
          <w:tcPr>
            <w:tcW w:w="28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r>
      <w:tr>
        <w:trPr>
          <w:trHeight w:val="486"/>
        </w:trPr>
        <w:tc>
          <w:tcPr>
            <w:tcW w:w="720" w:type="dxa"/>
            <w:vAlign w:val="bottom"/>
          </w:tcPr>
          <w:p>
            <w:pPr>
              <w:spacing w:after="0"/>
              <w:rPr>
                <w:sz w:val="24"/>
                <w:szCs w:val="24"/>
                <w:color w:val="auto"/>
              </w:rPr>
            </w:pPr>
          </w:p>
        </w:tc>
        <w:tc>
          <w:tcPr>
            <w:tcW w:w="7280" w:type="dxa"/>
            <w:vAlign w:val="bottom"/>
            <w:gridSpan w:val="6"/>
          </w:tcPr>
          <w:p>
            <w:pPr>
              <w:ind w:left="60"/>
              <w:spacing w:after="0"/>
              <w:rPr>
                <w:sz w:val="20"/>
                <w:szCs w:val="20"/>
                <w:color w:val="auto"/>
              </w:rPr>
            </w:pPr>
            <w:r>
              <w:rPr>
                <w:rFonts w:ascii="Arial" w:cs="Arial" w:eastAsia="Arial" w:hAnsi="Arial"/>
                <w:sz w:val="18"/>
                <w:szCs w:val="18"/>
                <w:color w:val="auto"/>
              </w:rPr>
              <w:t>Consolidated Balance Sheets as of March 31, 2014 (Unaudited) and December 31, 2013</w:t>
            </w:r>
          </w:p>
        </w:tc>
        <w:tc>
          <w:tcPr>
            <w:tcW w:w="1220" w:type="dxa"/>
            <w:vAlign w:val="bottom"/>
            <w:gridSpan w:val="4"/>
          </w:tcPr>
          <w:p>
            <w:pPr>
              <w:jc w:val="center"/>
              <w:ind w:left="772"/>
              <w:spacing w:after="0"/>
              <w:rPr>
                <w:sz w:val="20"/>
                <w:szCs w:val="20"/>
                <w:color w:val="auto"/>
              </w:rPr>
            </w:pPr>
            <w:r>
              <w:rPr>
                <w:rFonts w:ascii="Arial" w:cs="Arial" w:eastAsia="Arial" w:hAnsi="Arial"/>
                <w:sz w:val="18"/>
                <w:szCs w:val="18"/>
                <w:color w:val="auto"/>
                <w:w w:val="79"/>
              </w:rPr>
              <w:t>1</w:t>
            </w:r>
          </w:p>
        </w:tc>
      </w:tr>
      <w:tr>
        <w:trPr>
          <w:trHeight w:val="237"/>
        </w:trPr>
        <w:tc>
          <w:tcPr>
            <w:tcW w:w="720" w:type="dxa"/>
            <w:vAlign w:val="bottom"/>
          </w:tcPr>
          <w:p>
            <w:pPr>
              <w:spacing w:after="0"/>
              <w:rPr>
                <w:sz w:val="20"/>
                <w:szCs w:val="20"/>
                <w:color w:val="auto"/>
              </w:rPr>
            </w:pPr>
          </w:p>
        </w:tc>
        <w:tc>
          <w:tcPr>
            <w:tcW w:w="7280" w:type="dxa"/>
            <w:vAlign w:val="bottom"/>
            <w:gridSpan w:val="6"/>
          </w:tcPr>
          <w:p>
            <w:pPr>
              <w:ind w:left="60"/>
              <w:spacing w:after="0"/>
              <w:rPr>
                <w:sz w:val="20"/>
                <w:szCs w:val="20"/>
                <w:color w:val="auto"/>
              </w:rPr>
            </w:pPr>
            <w:r>
              <w:rPr>
                <w:rFonts w:ascii="Arial" w:cs="Arial" w:eastAsia="Arial" w:hAnsi="Arial"/>
                <w:sz w:val="18"/>
                <w:szCs w:val="18"/>
                <w:color w:val="auto"/>
              </w:rPr>
              <w:t>Unaudited Consolidated Statements of Operations for the three months ended March 31,</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222"/>
        </w:trPr>
        <w:tc>
          <w:tcPr>
            <w:tcW w:w="720" w:type="dxa"/>
            <w:vAlign w:val="bottom"/>
          </w:tcPr>
          <w:p>
            <w:pPr>
              <w:spacing w:after="0"/>
              <w:rPr>
                <w:sz w:val="19"/>
                <w:szCs w:val="19"/>
                <w:color w:val="auto"/>
              </w:rPr>
            </w:pPr>
          </w:p>
        </w:tc>
        <w:tc>
          <w:tcPr>
            <w:tcW w:w="1420" w:type="dxa"/>
            <w:vAlign w:val="bottom"/>
            <w:gridSpan w:val="3"/>
          </w:tcPr>
          <w:p>
            <w:pPr>
              <w:ind w:left="180"/>
              <w:spacing w:after="0"/>
              <w:rPr>
                <w:sz w:val="20"/>
                <w:szCs w:val="20"/>
                <w:color w:val="auto"/>
              </w:rPr>
            </w:pPr>
            <w:r>
              <w:rPr>
                <w:rFonts w:ascii="Arial" w:cs="Arial" w:eastAsia="Arial" w:hAnsi="Arial"/>
                <w:sz w:val="18"/>
                <w:szCs w:val="18"/>
                <w:color w:val="auto"/>
              </w:rPr>
              <w:t>2014 and 2013</w:t>
            </w:r>
          </w:p>
        </w:tc>
        <w:tc>
          <w:tcPr>
            <w:tcW w:w="70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1220" w:type="dxa"/>
            <w:vAlign w:val="bottom"/>
            <w:gridSpan w:val="4"/>
          </w:tcPr>
          <w:p>
            <w:pPr>
              <w:jc w:val="center"/>
              <w:ind w:left="772"/>
              <w:spacing w:after="0"/>
              <w:rPr>
                <w:sz w:val="20"/>
                <w:szCs w:val="20"/>
                <w:color w:val="auto"/>
              </w:rPr>
            </w:pPr>
            <w:r>
              <w:rPr>
                <w:rFonts w:ascii="Arial" w:cs="Arial" w:eastAsia="Arial" w:hAnsi="Arial"/>
                <w:sz w:val="18"/>
                <w:szCs w:val="18"/>
                <w:color w:val="auto"/>
                <w:w w:val="79"/>
              </w:rPr>
              <w:t>2</w:t>
            </w:r>
          </w:p>
        </w:tc>
      </w:tr>
      <w:tr>
        <w:trPr>
          <w:trHeight w:val="237"/>
        </w:trPr>
        <w:tc>
          <w:tcPr>
            <w:tcW w:w="720" w:type="dxa"/>
            <w:vAlign w:val="bottom"/>
          </w:tcPr>
          <w:p>
            <w:pPr>
              <w:spacing w:after="0"/>
              <w:rPr>
                <w:sz w:val="20"/>
                <w:szCs w:val="20"/>
                <w:color w:val="auto"/>
              </w:rPr>
            </w:pPr>
          </w:p>
        </w:tc>
        <w:tc>
          <w:tcPr>
            <w:tcW w:w="7280" w:type="dxa"/>
            <w:vAlign w:val="bottom"/>
            <w:gridSpan w:val="6"/>
          </w:tcPr>
          <w:p>
            <w:pPr>
              <w:ind w:left="60"/>
              <w:spacing w:after="0"/>
              <w:rPr>
                <w:sz w:val="20"/>
                <w:szCs w:val="20"/>
                <w:color w:val="auto"/>
              </w:rPr>
            </w:pPr>
            <w:r>
              <w:rPr>
                <w:rFonts w:ascii="Arial" w:cs="Arial" w:eastAsia="Arial" w:hAnsi="Arial"/>
                <w:sz w:val="18"/>
                <w:szCs w:val="18"/>
                <w:color w:val="auto"/>
              </w:rPr>
              <w:t>Unaudited Consolidated Statements of Comprehensive Earnings for the three months</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222"/>
        </w:trPr>
        <w:tc>
          <w:tcPr>
            <w:tcW w:w="720" w:type="dxa"/>
            <w:vAlign w:val="bottom"/>
          </w:tcPr>
          <w:p>
            <w:pPr>
              <w:spacing w:after="0"/>
              <w:rPr>
                <w:sz w:val="19"/>
                <w:szCs w:val="19"/>
                <w:color w:val="auto"/>
              </w:rPr>
            </w:pPr>
          </w:p>
        </w:tc>
        <w:tc>
          <w:tcPr>
            <w:tcW w:w="4440" w:type="dxa"/>
            <w:vAlign w:val="bottom"/>
            <w:gridSpan w:val="5"/>
          </w:tcPr>
          <w:p>
            <w:pPr>
              <w:ind w:left="180"/>
              <w:spacing w:after="0"/>
              <w:rPr>
                <w:sz w:val="20"/>
                <w:szCs w:val="20"/>
                <w:color w:val="auto"/>
              </w:rPr>
            </w:pPr>
            <w:r>
              <w:rPr>
                <w:rFonts w:ascii="Arial" w:cs="Arial" w:eastAsia="Arial" w:hAnsi="Arial"/>
                <w:sz w:val="18"/>
                <w:szCs w:val="18"/>
                <w:color w:val="auto"/>
              </w:rPr>
              <w:t>ended March 31, 2014 and 2013</w:t>
            </w:r>
          </w:p>
        </w:tc>
        <w:tc>
          <w:tcPr>
            <w:tcW w:w="2840" w:type="dxa"/>
            <w:vAlign w:val="bottom"/>
          </w:tcPr>
          <w:p>
            <w:pPr>
              <w:spacing w:after="0"/>
              <w:rPr>
                <w:sz w:val="19"/>
                <w:szCs w:val="19"/>
                <w:color w:val="auto"/>
              </w:rPr>
            </w:pPr>
          </w:p>
        </w:tc>
        <w:tc>
          <w:tcPr>
            <w:tcW w:w="1220" w:type="dxa"/>
            <w:vAlign w:val="bottom"/>
            <w:gridSpan w:val="4"/>
          </w:tcPr>
          <w:p>
            <w:pPr>
              <w:jc w:val="center"/>
              <w:ind w:left="772"/>
              <w:spacing w:after="0"/>
              <w:rPr>
                <w:sz w:val="20"/>
                <w:szCs w:val="20"/>
                <w:color w:val="auto"/>
              </w:rPr>
            </w:pPr>
            <w:r>
              <w:rPr>
                <w:rFonts w:ascii="Arial" w:cs="Arial" w:eastAsia="Arial" w:hAnsi="Arial"/>
                <w:sz w:val="18"/>
                <w:szCs w:val="18"/>
                <w:color w:val="auto"/>
                <w:w w:val="79"/>
              </w:rPr>
              <w:t>3</w:t>
            </w:r>
          </w:p>
        </w:tc>
      </w:tr>
      <w:tr>
        <w:trPr>
          <w:trHeight w:val="237"/>
        </w:trPr>
        <w:tc>
          <w:tcPr>
            <w:tcW w:w="720" w:type="dxa"/>
            <w:vAlign w:val="bottom"/>
          </w:tcPr>
          <w:p>
            <w:pPr>
              <w:spacing w:after="0"/>
              <w:rPr>
                <w:sz w:val="20"/>
                <w:szCs w:val="20"/>
                <w:color w:val="auto"/>
              </w:rPr>
            </w:pPr>
          </w:p>
        </w:tc>
        <w:tc>
          <w:tcPr>
            <w:tcW w:w="7280" w:type="dxa"/>
            <w:vAlign w:val="bottom"/>
            <w:gridSpan w:val="6"/>
          </w:tcPr>
          <w:p>
            <w:pPr>
              <w:ind w:left="60"/>
              <w:spacing w:after="0"/>
              <w:rPr>
                <w:sz w:val="20"/>
                <w:szCs w:val="20"/>
                <w:color w:val="auto"/>
              </w:rPr>
            </w:pPr>
            <w:r>
              <w:rPr>
                <w:rFonts w:ascii="Arial" w:cs="Arial" w:eastAsia="Arial" w:hAnsi="Arial"/>
                <w:sz w:val="18"/>
                <w:szCs w:val="18"/>
                <w:color w:val="auto"/>
              </w:rPr>
              <w:t>Unaudited Consolidated Statement of Stockholders' Equity for the three months ended</w:t>
            </w:r>
          </w:p>
        </w:tc>
        <w:tc>
          <w:tcPr>
            <w:tcW w:w="1220" w:type="dxa"/>
            <w:vAlign w:val="bottom"/>
            <w:gridSpan w:val="4"/>
          </w:tcPr>
          <w:p>
            <w:pPr>
              <w:jc w:val="center"/>
              <w:ind w:left="772"/>
              <w:spacing w:after="0"/>
              <w:rPr>
                <w:sz w:val="20"/>
                <w:szCs w:val="20"/>
                <w:color w:val="auto"/>
              </w:rPr>
            </w:pPr>
            <w:r>
              <w:rPr>
                <w:rFonts w:ascii="Arial" w:cs="Arial" w:eastAsia="Arial" w:hAnsi="Arial"/>
                <w:sz w:val="18"/>
                <w:szCs w:val="18"/>
                <w:color w:val="auto"/>
                <w:w w:val="79"/>
              </w:rPr>
              <w:t>3</w:t>
            </w:r>
          </w:p>
        </w:tc>
      </w:tr>
      <w:tr>
        <w:trPr>
          <w:trHeight w:val="222"/>
        </w:trPr>
        <w:tc>
          <w:tcPr>
            <w:tcW w:w="720" w:type="dxa"/>
            <w:vAlign w:val="bottom"/>
          </w:tcPr>
          <w:p>
            <w:pPr>
              <w:spacing w:after="0"/>
              <w:rPr>
                <w:sz w:val="19"/>
                <w:szCs w:val="19"/>
                <w:color w:val="auto"/>
              </w:rPr>
            </w:pPr>
          </w:p>
        </w:tc>
        <w:tc>
          <w:tcPr>
            <w:tcW w:w="1420" w:type="dxa"/>
            <w:vAlign w:val="bottom"/>
            <w:gridSpan w:val="3"/>
          </w:tcPr>
          <w:p>
            <w:pPr>
              <w:ind w:left="180"/>
              <w:spacing w:after="0"/>
              <w:rPr>
                <w:sz w:val="20"/>
                <w:szCs w:val="20"/>
                <w:color w:val="auto"/>
              </w:rPr>
            </w:pPr>
            <w:r>
              <w:rPr>
                <w:rFonts w:ascii="Arial" w:cs="Arial" w:eastAsia="Arial" w:hAnsi="Arial"/>
                <w:sz w:val="18"/>
                <w:szCs w:val="18"/>
                <w:color w:val="auto"/>
                <w:w w:val="97"/>
              </w:rPr>
              <w:t>March 31, 2014</w:t>
            </w:r>
          </w:p>
        </w:tc>
        <w:tc>
          <w:tcPr>
            <w:tcW w:w="70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5429250</wp:posOffset>
            </wp:positionH>
            <wp:positionV relativeFrom="paragraph">
              <wp:posOffset>-2883535</wp:posOffset>
            </wp:positionV>
            <wp:extent cx="3429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ectPr>
          <w:pgSz w:w="11900" w:h="16838" w:orient="portrait"/>
          <w:cols w:equalWidth="0" w:num="1">
            <w:col w:w="11280"/>
          </w:cols>
          <w:pgMar w:left="240" w:top="239" w:right="379" w:bottom="0" w:gutter="0" w:footer="0" w:header="0"/>
        </w:sectPr>
      </w:pPr>
    </w:p>
    <w:p>
      <w:pPr>
        <w:spacing w:after="0" w:line="21" w:lineRule="exact"/>
        <w:rPr>
          <w:sz w:val="24"/>
          <w:szCs w:val="24"/>
          <w:color w:val="auto"/>
        </w:rPr>
      </w:pPr>
    </w:p>
    <w:p>
      <w:pPr>
        <w:ind w:left="9000"/>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280"/>
          </w:cols>
          <w:pgMar w:left="240" w:top="239" w:right="379" w:bottom="0" w:gutter="0" w:footer="0" w:header="0"/>
          <w:type w:val="continuous"/>
        </w:sectPr>
      </w:pPr>
    </w:p>
    <w:bookmarkStart w:id="1" w:name="page2"/>
    <w:bookmarkEnd w:id="1"/>
    <w:p>
      <w:pPr>
        <w:spacing w:after="0" w:line="70"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720" w:type="dxa"/>
            <w:vAlign w:val="bottom"/>
          </w:tcPr>
          <w:p>
            <w:pPr>
              <w:spacing w:after="0"/>
              <w:rPr>
                <w:sz w:val="18"/>
                <w:szCs w:val="18"/>
                <w:color w:val="auto"/>
              </w:rPr>
            </w:pPr>
          </w:p>
        </w:tc>
        <w:tc>
          <w:tcPr>
            <w:tcW w:w="7300" w:type="dxa"/>
            <w:vAlign w:val="bottom"/>
          </w:tcPr>
          <w:p>
            <w:pPr>
              <w:ind w:left="40"/>
              <w:spacing w:after="0"/>
              <w:rPr>
                <w:sz w:val="20"/>
                <w:szCs w:val="20"/>
                <w:color w:val="auto"/>
              </w:rPr>
            </w:pPr>
            <w:r>
              <w:rPr>
                <w:rFonts w:ascii="Arial" w:cs="Arial" w:eastAsia="Arial" w:hAnsi="Arial"/>
                <w:sz w:val="18"/>
                <w:szCs w:val="18"/>
                <w:color w:val="auto"/>
              </w:rPr>
              <w:t>Unaudited Consolidated Statements of Cash Flows for the three months ended</w:t>
            </w:r>
          </w:p>
        </w:tc>
        <w:tc>
          <w:tcPr>
            <w:tcW w:w="1240" w:type="dxa"/>
            <w:vAlign w:val="bottom"/>
          </w:tcPr>
          <w:p>
            <w:pPr>
              <w:spacing w:after="0"/>
              <w:rPr>
                <w:sz w:val="18"/>
                <w:szCs w:val="18"/>
                <w:color w:val="auto"/>
              </w:rPr>
            </w:pPr>
          </w:p>
        </w:tc>
      </w:tr>
      <w:tr>
        <w:trPr>
          <w:trHeight w:val="222"/>
        </w:trPr>
        <w:tc>
          <w:tcPr>
            <w:tcW w:w="720" w:type="dxa"/>
            <w:vAlign w:val="bottom"/>
          </w:tcPr>
          <w:p>
            <w:pPr>
              <w:spacing w:after="0"/>
              <w:rPr>
                <w:sz w:val="19"/>
                <w:szCs w:val="19"/>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March 31, 2014 and 2013</w:t>
            </w:r>
          </w:p>
        </w:tc>
        <w:tc>
          <w:tcPr>
            <w:tcW w:w="1240" w:type="dxa"/>
            <w:vAlign w:val="bottom"/>
          </w:tcPr>
          <w:p>
            <w:pPr>
              <w:spacing w:after="0"/>
              <w:rPr>
                <w:sz w:val="19"/>
                <w:szCs w:val="19"/>
                <w:color w:val="auto"/>
              </w:rPr>
            </w:pPr>
          </w:p>
        </w:tc>
      </w:tr>
      <w:tr>
        <w:trPr>
          <w:trHeight w:val="243"/>
        </w:trPr>
        <w:tc>
          <w:tcPr>
            <w:tcW w:w="720" w:type="dxa"/>
            <w:vAlign w:val="bottom"/>
          </w:tcPr>
          <w:p>
            <w:pPr>
              <w:spacing w:after="0"/>
              <w:rPr>
                <w:sz w:val="21"/>
                <w:szCs w:val="21"/>
                <w:color w:val="auto"/>
              </w:rPr>
            </w:pPr>
          </w:p>
        </w:tc>
        <w:tc>
          <w:tcPr>
            <w:tcW w:w="7300" w:type="dxa"/>
            <w:vAlign w:val="bottom"/>
          </w:tcPr>
          <w:p>
            <w:pPr>
              <w:ind w:left="40"/>
              <w:spacing w:after="0"/>
              <w:rPr>
                <w:sz w:val="20"/>
                <w:szCs w:val="20"/>
                <w:color w:val="auto"/>
              </w:rPr>
            </w:pPr>
            <w:r>
              <w:rPr>
                <w:rFonts w:ascii="Arial" w:cs="Arial" w:eastAsia="Arial" w:hAnsi="Arial"/>
                <w:sz w:val="18"/>
                <w:szCs w:val="18"/>
                <w:color w:val="auto"/>
              </w:rPr>
              <w:t>Notes to Consolidated Financial Statements</w:t>
            </w:r>
          </w:p>
        </w:tc>
        <w:tc>
          <w:tcPr>
            <w:tcW w:w="1240" w:type="dxa"/>
            <w:vAlign w:val="bottom"/>
          </w:tcPr>
          <w:p>
            <w:pPr>
              <w:jc w:val="center"/>
              <w:ind w:left="672"/>
              <w:spacing w:after="0"/>
              <w:rPr>
                <w:sz w:val="20"/>
                <w:szCs w:val="20"/>
                <w:color w:val="auto"/>
              </w:rPr>
            </w:pPr>
            <w:r>
              <w:rPr>
                <w:rFonts w:ascii="Arial" w:cs="Arial" w:eastAsia="Arial" w:hAnsi="Arial"/>
                <w:sz w:val="18"/>
                <w:szCs w:val="18"/>
                <w:color w:val="auto"/>
                <w:w w:val="86"/>
              </w:rPr>
              <w:t>5 - 13</w:t>
            </w:r>
          </w:p>
        </w:tc>
      </w:tr>
      <w:tr>
        <w:trPr>
          <w:trHeight w:val="513"/>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2.</w:t>
            </w:r>
          </w:p>
        </w:tc>
        <w:tc>
          <w:tcPr>
            <w:tcW w:w="7300" w:type="dxa"/>
            <w:vAlign w:val="bottom"/>
          </w:tcPr>
          <w:p>
            <w:pPr>
              <w:ind w:left="40"/>
              <w:spacing w:after="0"/>
              <w:rPr>
                <w:sz w:val="20"/>
                <w:szCs w:val="20"/>
                <w:color w:val="auto"/>
              </w:rPr>
            </w:pPr>
            <w:r>
              <w:rPr>
                <w:rFonts w:ascii="Arial" w:cs="Arial" w:eastAsia="Arial" w:hAnsi="Arial"/>
                <w:sz w:val="18"/>
                <w:szCs w:val="18"/>
                <w:b w:val="1"/>
                <w:bCs w:val="1"/>
                <w:i w:val="1"/>
                <w:iCs w:val="1"/>
                <w:color w:val="auto"/>
                <w:w w:val="94"/>
              </w:rPr>
              <w:t>Management's Discussion and Analysis of Financial Condition and Results of Operations</w:t>
            </w:r>
          </w:p>
        </w:tc>
        <w:tc>
          <w:tcPr>
            <w:tcW w:w="1240" w:type="dxa"/>
            <w:vAlign w:val="bottom"/>
          </w:tcPr>
          <w:p>
            <w:pPr>
              <w:jc w:val="center"/>
              <w:ind w:left="652"/>
              <w:spacing w:after="0"/>
              <w:rPr>
                <w:sz w:val="20"/>
                <w:szCs w:val="20"/>
                <w:color w:val="auto"/>
              </w:rPr>
            </w:pPr>
            <w:r>
              <w:rPr>
                <w:rFonts w:ascii="Arial" w:cs="Arial" w:eastAsia="Arial" w:hAnsi="Arial"/>
                <w:sz w:val="18"/>
                <w:szCs w:val="18"/>
                <w:color w:val="auto"/>
                <w:w w:val="89"/>
              </w:rPr>
              <w:t>14 - 19</w:t>
            </w:r>
          </w:p>
        </w:tc>
      </w:tr>
      <w:tr>
        <w:trPr>
          <w:trHeight w:val="513"/>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3.</w:t>
            </w:r>
          </w:p>
        </w:tc>
        <w:tc>
          <w:tcPr>
            <w:tcW w:w="73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Quantitative and Qualitative Disclosures About Market Risk</w:t>
            </w:r>
          </w:p>
        </w:tc>
        <w:tc>
          <w:tcPr>
            <w:tcW w:w="1240" w:type="dxa"/>
            <w:vAlign w:val="bottom"/>
          </w:tcPr>
          <w:p>
            <w:pPr>
              <w:jc w:val="center"/>
              <w:ind w:left="652"/>
              <w:spacing w:after="0"/>
              <w:rPr>
                <w:sz w:val="20"/>
                <w:szCs w:val="20"/>
                <w:color w:val="auto"/>
              </w:rPr>
            </w:pPr>
            <w:r>
              <w:rPr>
                <w:rFonts w:ascii="Arial" w:cs="Arial" w:eastAsia="Arial" w:hAnsi="Arial"/>
                <w:sz w:val="18"/>
                <w:szCs w:val="18"/>
                <w:color w:val="auto"/>
                <w:w w:val="89"/>
              </w:rPr>
              <w:t>19</w:t>
            </w:r>
          </w:p>
        </w:tc>
      </w:tr>
      <w:tr>
        <w:trPr>
          <w:trHeight w:val="513"/>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4.</w:t>
            </w:r>
          </w:p>
        </w:tc>
        <w:tc>
          <w:tcPr>
            <w:tcW w:w="73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Controls and Procedures</w:t>
            </w:r>
          </w:p>
        </w:tc>
        <w:tc>
          <w:tcPr>
            <w:tcW w:w="1240" w:type="dxa"/>
            <w:vAlign w:val="bottom"/>
          </w:tcPr>
          <w:p>
            <w:pPr>
              <w:jc w:val="center"/>
              <w:ind w:left="652"/>
              <w:spacing w:after="0"/>
              <w:rPr>
                <w:sz w:val="20"/>
                <w:szCs w:val="20"/>
                <w:color w:val="auto"/>
              </w:rPr>
            </w:pPr>
            <w:r>
              <w:rPr>
                <w:rFonts w:ascii="Arial" w:cs="Arial" w:eastAsia="Arial" w:hAnsi="Arial"/>
                <w:sz w:val="18"/>
                <w:szCs w:val="18"/>
                <w:color w:val="auto"/>
                <w:w w:val="89"/>
              </w:rPr>
              <w:t>19 - 20</w:t>
            </w:r>
          </w:p>
        </w:tc>
      </w:tr>
      <w:tr>
        <w:trPr>
          <w:trHeight w:val="513"/>
        </w:trPr>
        <w:tc>
          <w:tcPr>
            <w:tcW w:w="72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7300" w:type="dxa"/>
            <w:vAlign w:val="bottom"/>
          </w:tcPr>
          <w:p>
            <w:pPr>
              <w:ind w:left="40"/>
              <w:spacing w:after="0"/>
              <w:rPr>
                <w:sz w:val="20"/>
                <w:szCs w:val="20"/>
                <w:color w:val="auto"/>
              </w:rPr>
            </w:pPr>
            <w:r>
              <w:rPr>
                <w:rFonts w:ascii="Arial" w:cs="Arial" w:eastAsia="Arial" w:hAnsi="Arial"/>
                <w:sz w:val="18"/>
                <w:szCs w:val="18"/>
                <w:b w:val="1"/>
                <w:bCs w:val="1"/>
                <w:color w:val="auto"/>
              </w:rPr>
              <w:t>OTHER INFORMATION</w:t>
            </w:r>
          </w:p>
        </w:tc>
        <w:tc>
          <w:tcPr>
            <w:tcW w:w="1240" w:type="dxa"/>
            <w:vAlign w:val="bottom"/>
          </w:tcPr>
          <w:p>
            <w:pPr>
              <w:spacing w:after="0"/>
              <w:rPr>
                <w:sz w:val="24"/>
                <w:szCs w:val="24"/>
                <w:color w:val="auto"/>
              </w:rPr>
            </w:pPr>
          </w:p>
        </w:tc>
      </w:tr>
      <w:tr>
        <w:trPr>
          <w:trHeight w:val="540"/>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1.</w:t>
            </w:r>
          </w:p>
        </w:tc>
        <w:tc>
          <w:tcPr>
            <w:tcW w:w="73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Legal Proceedings</w:t>
            </w:r>
          </w:p>
        </w:tc>
        <w:tc>
          <w:tcPr>
            <w:tcW w:w="1240" w:type="dxa"/>
            <w:vAlign w:val="bottom"/>
          </w:tcPr>
          <w:p>
            <w:pPr>
              <w:jc w:val="center"/>
              <w:ind w:left="652"/>
              <w:spacing w:after="0"/>
              <w:rPr>
                <w:sz w:val="20"/>
                <w:szCs w:val="20"/>
                <w:color w:val="auto"/>
              </w:rPr>
            </w:pPr>
            <w:r>
              <w:rPr>
                <w:rFonts w:ascii="Arial" w:cs="Arial" w:eastAsia="Arial" w:hAnsi="Arial"/>
                <w:sz w:val="18"/>
                <w:szCs w:val="18"/>
                <w:color w:val="auto"/>
                <w:w w:val="89"/>
              </w:rPr>
              <w:t>20</w:t>
            </w:r>
          </w:p>
        </w:tc>
      </w:tr>
      <w:tr>
        <w:trPr>
          <w:trHeight w:val="513"/>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w w:val="99"/>
              </w:rPr>
              <w:t>Item 1A.</w:t>
            </w:r>
          </w:p>
        </w:tc>
        <w:tc>
          <w:tcPr>
            <w:tcW w:w="73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Risk Factors</w:t>
            </w:r>
          </w:p>
        </w:tc>
        <w:tc>
          <w:tcPr>
            <w:tcW w:w="1240" w:type="dxa"/>
            <w:vAlign w:val="bottom"/>
          </w:tcPr>
          <w:p>
            <w:pPr>
              <w:jc w:val="center"/>
              <w:ind w:left="652"/>
              <w:spacing w:after="0"/>
              <w:rPr>
                <w:sz w:val="20"/>
                <w:szCs w:val="20"/>
                <w:color w:val="auto"/>
              </w:rPr>
            </w:pPr>
            <w:r>
              <w:rPr>
                <w:rFonts w:ascii="Arial" w:cs="Arial" w:eastAsia="Arial" w:hAnsi="Arial"/>
                <w:sz w:val="18"/>
                <w:szCs w:val="18"/>
                <w:color w:val="auto"/>
                <w:w w:val="89"/>
              </w:rPr>
              <w:t>20</w:t>
            </w:r>
          </w:p>
        </w:tc>
      </w:tr>
      <w:tr>
        <w:trPr>
          <w:trHeight w:val="513"/>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2.</w:t>
            </w:r>
          </w:p>
        </w:tc>
        <w:tc>
          <w:tcPr>
            <w:tcW w:w="73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Unregistered Sales of Equity Securities and Use of Proceeds</w:t>
            </w:r>
          </w:p>
        </w:tc>
        <w:tc>
          <w:tcPr>
            <w:tcW w:w="1240" w:type="dxa"/>
            <w:vAlign w:val="bottom"/>
          </w:tcPr>
          <w:p>
            <w:pPr>
              <w:jc w:val="center"/>
              <w:ind w:left="652"/>
              <w:spacing w:after="0"/>
              <w:rPr>
                <w:sz w:val="20"/>
                <w:szCs w:val="20"/>
                <w:color w:val="auto"/>
              </w:rPr>
            </w:pPr>
            <w:r>
              <w:rPr>
                <w:rFonts w:ascii="Arial" w:cs="Arial" w:eastAsia="Arial" w:hAnsi="Arial"/>
                <w:sz w:val="18"/>
                <w:szCs w:val="18"/>
                <w:color w:val="auto"/>
                <w:w w:val="89"/>
              </w:rPr>
              <w:t>20</w:t>
            </w:r>
          </w:p>
        </w:tc>
      </w:tr>
      <w:tr>
        <w:trPr>
          <w:trHeight w:val="513"/>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3.</w:t>
            </w:r>
          </w:p>
        </w:tc>
        <w:tc>
          <w:tcPr>
            <w:tcW w:w="73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Defaults Upon Senior Securities</w:t>
            </w:r>
          </w:p>
        </w:tc>
        <w:tc>
          <w:tcPr>
            <w:tcW w:w="1240" w:type="dxa"/>
            <w:vAlign w:val="bottom"/>
          </w:tcPr>
          <w:p>
            <w:pPr>
              <w:jc w:val="center"/>
              <w:ind w:left="652"/>
              <w:spacing w:after="0"/>
              <w:rPr>
                <w:sz w:val="20"/>
                <w:szCs w:val="20"/>
                <w:color w:val="auto"/>
              </w:rPr>
            </w:pPr>
            <w:r>
              <w:rPr>
                <w:rFonts w:ascii="Arial" w:cs="Arial" w:eastAsia="Arial" w:hAnsi="Arial"/>
                <w:sz w:val="18"/>
                <w:szCs w:val="18"/>
                <w:color w:val="auto"/>
                <w:w w:val="89"/>
              </w:rPr>
              <w:t>20</w:t>
            </w:r>
          </w:p>
        </w:tc>
      </w:tr>
      <w:tr>
        <w:trPr>
          <w:trHeight w:val="513"/>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4.</w:t>
            </w:r>
          </w:p>
        </w:tc>
        <w:tc>
          <w:tcPr>
            <w:tcW w:w="73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Mine Safety Disclosures</w:t>
            </w:r>
          </w:p>
        </w:tc>
        <w:tc>
          <w:tcPr>
            <w:tcW w:w="1240" w:type="dxa"/>
            <w:vAlign w:val="bottom"/>
          </w:tcPr>
          <w:p>
            <w:pPr>
              <w:jc w:val="center"/>
              <w:ind w:left="652"/>
              <w:spacing w:after="0"/>
              <w:rPr>
                <w:sz w:val="20"/>
                <w:szCs w:val="20"/>
                <w:color w:val="auto"/>
              </w:rPr>
            </w:pPr>
            <w:r>
              <w:rPr>
                <w:rFonts w:ascii="Arial" w:cs="Arial" w:eastAsia="Arial" w:hAnsi="Arial"/>
                <w:sz w:val="18"/>
                <w:szCs w:val="18"/>
                <w:color w:val="auto"/>
                <w:w w:val="89"/>
              </w:rPr>
              <w:t>20</w:t>
            </w:r>
          </w:p>
        </w:tc>
      </w:tr>
      <w:tr>
        <w:trPr>
          <w:trHeight w:val="513"/>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5.</w:t>
            </w:r>
          </w:p>
        </w:tc>
        <w:tc>
          <w:tcPr>
            <w:tcW w:w="73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Other Information</w:t>
            </w:r>
          </w:p>
        </w:tc>
        <w:tc>
          <w:tcPr>
            <w:tcW w:w="1240" w:type="dxa"/>
            <w:vAlign w:val="bottom"/>
          </w:tcPr>
          <w:p>
            <w:pPr>
              <w:jc w:val="center"/>
              <w:ind w:left="652"/>
              <w:spacing w:after="0"/>
              <w:rPr>
                <w:sz w:val="20"/>
                <w:szCs w:val="20"/>
                <w:color w:val="auto"/>
              </w:rPr>
            </w:pPr>
            <w:r>
              <w:rPr>
                <w:rFonts w:ascii="Arial" w:cs="Arial" w:eastAsia="Arial" w:hAnsi="Arial"/>
                <w:sz w:val="18"/>
                <w:szCs w:val="18"/>
                <w:color w:val="auto"/>
                <w:w w:val="89"/>
              </w:rPr>
              <w:t>20</w:t>
            </w:r>
          </w:p>
        </w:tc>
      </w:tr>
      <w:tr>
        <w:trPr>
          <w:trHeight w:val="513"/>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6.</w:t>
            </w:r>
          </w:p>
        </w:tc>
        <w:tc>
          <w:tcPr>
            <w:tcW w:w="73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Exhibits</w:t>
            </w:r>
          </w:p>
        </w:tc>
        <w:tc>
          <w:tcPr>
            <w:tcW w:w="1240" w:type="dxa"/>
            <w:vAlign w:val="bottom"/>
          </w:tcPr>
          <w:p>
            <w:pPr>
              <w:jc w:val="center"/>
              <w:ind w:left="652"/>
              <w:spacing w:after="0"/>
              <w:rPr>
                <w:sz w:val="20"/>
                <w:szCs w:val="20"/>
                <w:color w:val="auto"/>
              </w:rPr>
            </w:pPr>
            <w:r>
              <w:rPr>
                <w:rFonts w:ascii="Arial" w:cs="Arial" w:eastAsia="Arial" w:hAnsi="Arial"/>
                <w:sz w:val="18"/>
                <w:szCs w:val="18"/>
                <w:color w:val="auto"/>
                <w:w w:val="89"/>
              </w:rPr>
              <w:t>20</w:t>
            </w:r>
          </w:p>
        </w:tc>
      </w:tr>
      <w:tr>
        <w:trPr>
          <w:trHeight w:val="513"/>
        </w:trPr>
        <w:tc>
          <w:tcPr>
            <w:tcW w:w="80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Signatures</w:t>
            </w:r>
          </w:p>
        </w:tc>
        <w:tc>
          <w:tcPr>
            <w:tcW w:w="1240" w:type="dxa"/>
            <w:vAlign w:val="bottom"/>
          </w:tcPr>
          <w:p>
            <w:pPr>
              <w:jc w:val="center"/>
              <w:ind w:left="652"/>
              <w:spacing w:after="0"/>
              <w:rPr>
                <w:sz w:val="20"/>
                <w:szCs w:val="20"/>
                <w:color w:val="auto"/>
              </w:rPr>
            </w:pPr>
            <w:r>
              <w:rPr>
                <w:rFonts w:ascii="Arial" w:cs="Arial" w:eastAsia="Arial" w:hAnsi="Arial"/>
                <w:sz w:val="18"/>
                <w:szCs w:val="18"/>
                <w:color w:val="auto"/>
                <w:w w:val="89"/>
              </w:rPr>
              <w:t>21</w:t>
            </w:r>
          </w:p>
        </w:tc>
      </w:tr>
      <w:tr>
        <w:trPr>
          <w:trHeight w:val="243"/>
        </w:trPr>
        <w:tc>
          <w:tcPr>
            <w:tcW w:w="80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Index to Exhibits</w:t>
            </w:r>
          </w:p>
        </w:tc>
        <w:tc>
          <w:tcPr>
            <w:tcW w:w="1240" w:type="dxa"/>
            <w:vAlign w:val="bottom"/>
          </w:tcPr>
          <w:p>
            <w:pPr>
              <w:jc w:val="center"/>
              <w:ind w:left="652"/>
              <w:spacing w:after="0"/>
              <w:rPr>
                <w:sz w:val="20"/>
                <w:szCs w:val="20"/>
                <w:color w:val="auto"/>
              </w:rPr>
            </w:pPr>
            <w:r>
              <w:rPr>
                <w:rFonts w:ascii="Arial" w:cs="Arial" w:eastAsia="Arial" w:hAnsi="Arial"/>
                <w:sz w:val="18"/>
                <w:szCs w:val="18"/>
                <w:color w:val="auto"/>
                <w:w w:val="89"/>
              </w:rPr>
              <w:t>21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PART I. FINANCIAL INFORMATION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72"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(In thousands, except share and per share data)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600" w:type="dxa"/>
            <w:vAlign w:val="bottom"/>
          </w:tcPr>
          <w:p>
            <w:pPr>
              <w:spacing w:after="0"/>
              <w:rPr>
                <w:sz w:val="17"/>
                <w:szCs w:val="17"/>
                <w:color w:val="auto"/>
              </w:rPr>
            </w:pPr>
          </w:p>
        </w:tc>
        <w:tc>
          <w:tcPr>
            <w:tcW w:w="1740" w:type="dxa"/>
            <w:vAlign w:val="bottom"/>
            <w:gridSpan w:val="3"/>
          </w:tcPr>
          <w:p>
            <w:pPr>
              <w:jc w:val="right"/>
              <w:ind w:right="220"/>
              <w:spacing w:after="0"/>
              <w:rPr>
                <w:sz w:val="20"/>
                <w:szCs w:val="20"/>
                <w:color w:val="auto"/>
              </w:rPr>
            </w:pPr>
            <w:r>
              <w:rPr>
                <w:rFonts w:ascii="Courier New" w:cs="Courier New" w:eastAsia="Courier New" w:hAnsi="Courier New"/>
                <w:sz w:val="18"/>
                <w:szCs w:val="18"/>
                <w:color w:val="auto"/>
              </w:rPr>
              <w:t>Mar. 31,</w:t>
            </w:r>
          </w:p>
        </w:tc>
        <w:tc>
          <w:tcPr>
            <w:tcW w:w="94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Dec. 31,</w:t>
            </w:r>
          </w:p>
        </w:tc>
      </w:tr>
      <w:tr>
        <w:trPr>
          <w:trHeight w:val="203"/>
        </w:trPr>
        <w:tc>
          <w:tcPr>
            <w:tcW w:w="6600" w:type="dxa"/>
            <w:vAlign w:val="bottom"/>
          </w:tcPr>
          <w:p>
            <w:pPr>
              <w:spacing w:after="0"/>
              <w:rPr>
                <w:sz w:val="17"/>
                <w:szCs w:val="17"/>
                <w:color w:val="auto"/>
              </w:rPr>
            </w:pPr>
          </w:p>
        </w:tc>
        <w:tc>
          <w:tcPr>
            <w:tcW w:w="14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2014</w:t>
            </w:r>
          </w:p>
        </w:tc>
        <w:tc>
          <w:tcPr>
            <w:tcW w:w="320" w:type="dxa"/>
            <w:vAlign w:val="bottom"/>
          </w:tcPr>
          <w:p>
            <w:pPr>
              <w:spacing w:after="0"/>
              <w:rPr>
                <w:sz w:val="17"/>
                <w:szCs w:val="17"/>
                <w:color w:val="auto"/>
              </w:rPr>
            </w:pPr>
          </w:p>
        </w:tc>
        <w:tc>
          <w:tcPr>
            <w:tcW w:w="8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2013</w:t>
            </w:r>
          </w:p>
        </w:tc>
        <w:tc>
          <w:tcPr>
            <w:tcW w:w="100" w:type="dxa"/>
            <w:vAlign w:val="bottom"/>
          </w:tcPr>
          <w:p>
            <w:pPr>
              <w:spacing w:after="0"/>
              <w:rPr>
                <w:sz w:val="17"/>
                <w:szCs w:val="17"/>
                <w:color w:val="auto"/>
              </w:rPr>
            </w:pPr>
          </w:p>
        </w:tc>
      </w:tr>
      <w:tr>
        <w:trPr>
          <w:trHeight w:val="203"/>
        </w:trPr>
        <w:tc>
          <w:tcPr>
            <w:tcW w:w="6600" w:type="dxa"/>
            <w:vAlign w:val="bottom"/>
          </w:tcPr>
          <w:p>
            <w:pPr>
              <w:spacing w:after="0"/>
              <w:rPr>
                <w:sz w:val="17"/>
                <w:szCs w:val="17"/>
                <w:color w:val="auto"/>
              </w:rPr>
            </w:pPr>
          </w:p>
        </w:tc>
        <w:tc>
          <w:tcPr>
            <w:tcW w:w="1740" w:type="dxa"/>
            <w:vAlign w:val="bottom"/>
            <w:gridSpan w:val="3"/>
          </w:tcPr>
          <w:p>
            <w:pPr>
              <w:jc w:val="right"/>
              <w:ind w:right="220"/>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60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ASSETS:</w:t>
            </w:r>
          </w:p>
        </w:tc>
        <w:tc>
          <w:tcPr>
            <w:tcW w:w="1740" w:type="dxa"/>
            <w:vAlign w:val="bottom"/>
            <w:gridSpan w:val="3"/>
          </w:tcPr>
          <w:p>
            <w:pPr>
              <w:jc w:val="right"/>
              <w:ind w:right="120"/>
              <w:spacing w:after="0" w:line="203" w:lineRule="exact"/>
              <w:rPr>
                <w:sz w:val="20"/>
                <w:szCs w:val="20"/>
                <w:color w:val="auto"/>
              </w:rPr>
            </w:pPr>
            <w:r>
              <w:rPr>
                <w:rFonts w:ascii="Courier New" w:cs="Courier New" w:eastAsia="Courier New" w:hAnsi="Courier New"/>
                <w:sz w:val="18"/>
                <w:szCs w:val="18"/>
                <w:color w:val="auto"/>
              </w:rPr>
              <w:t>(Unaudited)</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60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assets:</w:t>
            </w: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$18,853</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$19,018</w:t>
            </w:r>
          </w:p>
        </w:tc>
        <w:tc>
          <w:tcPr>
            <w:tcW w:w="100" w:type="dxa"/>
            <w:vAlign w:val="bottom"/>
          </w:tcPr>
          <w:p>
            <w:pPr>
              <w:spacing w:after="0"/>
              <w:rPr>
                <w:sz w:val="17"/>
                <w:szCs w:val="17"/>
                <w:color w:val="auto"/>
              </w:rPr>
            </w:pPr>
          </w:p>
        </w:tc>
      </w:tr>
      <w:tr>
        <w:trPr>
          <w:trHeight w:val="203"/>
        </w:trPr>
        <w:tc>
          <w:tcPr>
            <w:tcW w:w="6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Trade accounts receivable, net of allowance for doubtful</w:t>
            </w: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6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accounts of $147 and $147, respectively</w:t>
            </w: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5,889</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5,748</w:t>
            </w:r>
          </w:p>
        </w:tc>
        <w:tc>
          <w:tcPr>
            <w:tcW w:w="100" w:type="dxa"/>
            <w:vAlign w:val="bottom"/>
          </w:tcPr>
          <w:p>
            <w:pPr>
              <w:spacing w:after="0"/>
              <w:rPr>
                <w:sz w:val="17"/>
                <w:szCs w:val="17"/>
                <w:color w:val="auto"/>
              </w:rPr>
            </w:pPr>
          </w:p>
        </w:tc>
      </w:tr>
      <w:tr>
        <w:trPr>
          <w:trHeight w:val="203"/>
        </w:trPr>
        <w:tc>
          <w:tcPr>
            <w:tcW w:w="6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Inventories</w:t>
            </w: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3,803</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3,243</w:t>
            </w:r>
          </w:p>
        </w:tc>
        <w:tc>
          <w:tcPr>
            <w:tcW w:w="100" w:type="dxa"/>
            <w:vAlign w:val="bottom"/>
          </w:tcPr>
          <w:p>
            <w:pPr>
              <w:spacing w:after="0"/>
              <w:rPr>
                <w:sz w:val="17"/>
                <w:szCs w:val="17"/>
                <w:color w:val="auto"/>
              </w:rPr>
            </w:pPr>
          </w:p>
        </w:tc>
      </w:tr>
      <w:tr>
        <w:trPr>
          <w:trHeight w:val="203"/>
        </w:trPr>
        <w:tc>
          <w:tcPr>
            <w:tcW w:w="6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Deferred tax assets</w:t>
            </w: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643</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701</w:t>
            </w:r>
          </w:p>
        </w:tc>
        <w:tc>
          <w:tcPr>
            <w:tcW w:w="100" w:type="dxa"/>
            <w:vAlign w:val="bottom"/>
          </w:tcPr>
          <w:p>
            <w:pPr>
              <w:spacing w:after="0"/>
              <w:rPr>
                <w:sz w:val="17"/>
                <w:szCs w:val="17"/>
                <w:color w:val="auto"/>
              </w:rPr>
            </w:pPr>
          </w:p>
        </w:tc>
      </w:tr>
      <w:tr>
        <w:trPr>
          <w:trHeight w:val="164"/>
        </w:trPr>
        <w:tc>
          <w:tcPr>
            <w:tcW w:w="6600" w:type="dxa"/>
            <w:vAlign w:val="bottom"/>
          </w:tcPr>
          <w:p>
            <w:pPr>
              <w:ind w:left="220"/>
              <w:spacing w:after="0" w:line="164" w:lineRule="exact"/>
              <w:rPr>
                <w:sz w:val="20"/>
                <w:szCs w:val="20"/>
                <w:color w:val="auto"/>
              </w:rPr>
            </w:pPr>
            <w:r>
              <w:rPr>
                <w:rFonts w:ascii="Courier New" w:cs="Courier New" w:eastAsia="Courier New" w:hAnsi="Courier New"/>
                <w:sz w:val="18"/>
                <w:szCs w:val="18"/>
                <w:color w:val="auto"/>
              </w:rPr>
              <w:t>Prepaid expenses and other current assets</w:t>
            </w:r>
          </w:p>
        </w:tc>
        <w:tc>
          <w:tcPr>
            <w:tcW w:w="68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325</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371</w:t>
            </w:r>
          </w:p>
        </w:tc>
        <w:tc>
          <w:tcPr>
            <w:tcW w:w="100" w:type="dxa"/>
            <w:vAlign w:val="bottom"/>
          </w:tcPr>
          <w:p>
            <w:pPr>
              <w:spacing w:after="0"/>
              <w:rPr>
                <w:sz w:val="14"/>
                <w:szCs w:val="14"/>
                <w:color w:val="auto"/>
              </w:rPr>
            </w:pPr>
          </w:p>
        </w:tc>
      </w:tr>
      <w:tr>
        <w:trPr>
          <w:trHeight w:val="183"/>
        </w:trPr>
        <w:tc>
          <w:tcPr>
            <w:tcW w:w="6600" w:type="dxa"/>
            <w:vAlign w:val="bottom"/>
          </w:tcPr>
          <w:p>
            <w:pPr>
              <w:ind w:left="540"/>
              <w:spacing w:after="0" w:line="182" w:lineRule="exact"/>
              <w:rPr>
                <w:sz w:val="20"/>
                <w:szCs w:val="20"/>
                <w:color w:val="auto"/>
              </w:rPr>
            </w:pPr>
            <w:r>
              <w:rPr>
                <w:rFonts w:ascii="Courier New" w:cs="Courier New" w:eastAsia="Courier New" w:hAnsi="Courier New"/>
                <w:sz w:val="18"/>
                <w:szCs w:val="18"/>
                <w:color w:val="auto"/>
              </w:rPr>
              <w:t>Total current assets</w:t>
            </w:r>
          </w:p>
        </w:tc>
        <w:tc>
          <w:tcPr>
            <w:tcW w:w="1420" w:type="dxa"/>
            <w:vAlign w:val="bottom"/>
            <w:gridSpan w:val="2"/>
          </w:tcPr>
          <w:p>
            <w:pPr>
              <w:jc w:val="right"/>
              <w:spacing w:after="0" w:line="182" w:lineRule="exact"/>
              <w:rPr>
                <w:sz w:val="20"/>
                <w:szCs w:val="20"/>
                <w:color w:val="auto"/>
              </w:rPr>
            </w:pPr>
            <w:r>
              <w:rPr>
                <w:rFonts w:ascii="Courier New" w:cs="Courier New" w:eastAsia="Courier New" w:hAnsi="Courier New"/>
                <w:sz w:val="18"/>
                <w:szCs w:val="18"/>
                <w:color w:val="auto"/>
              </w:rPr>
              <w:t>29,513</w:t>
            </w:r>
          </w:p>
        </w:tc>
        <w:tc>
          <w:tcPr>
            <w:tcW w:w="320" w:type="dxa"/>
            <w:vAlign w:val="bottom"/>
          </w:tcPr>
          <w:p>
            <w:pPr>
              <w:spacing w:after="0"/>
              <w:rPr>
                <w:sz w:val="15"/>
                <w:szCs w:val="15"/>
                <w:color w:val="auto"/>
              </w:rPr>
            </w:pPr>
          </w:p>
        </w:tc>
        <w:tc>
          <w:tcPr>
            <w:tcW w:w="940" w:type="dxa"/>
            <w:vAlign w:val="bottom"/>
            <w:gridSpan w:val="3"/>
          </w:tcPr>
          <w:p>
            <w:pPr>
              <w:jc w:val="right"/>
              <w:ind w:right="100"/>
              <w:spacing w:after="0" w:line="182" w:lineRule="exact"/>
              <w:rPr>
                <w:sz w:val="20"/>
                <w:szCs w:val="20"/>
                <w:color w:val="auto"/>
              </w:rPr>
            </w:pPr>
            <w:r>
              <w:rPr>
                <w:rFonts w:ascii="Courier New" w:cs="Courier New" w:eastAsia="Courier New" w:hAnsi="Courier New"/>
                <w:sz w:val="18"/>
                <w:szCs w:val="18"/>
                <w:color w:val="auto"/>
              </w:rPr>
              <w:t>29,081</w:t>
            </w:r>
          </w:p>
        </w:tc>
      </w:tr>
      <w:tr>
        <w:trPr>
          <w:trHeight w:val="221"/>
        </w:trPr>
        <w:tc>
          <w:tcPr>
            <w:tcW w:w="6600" w:type="dxa"/>
            <w:vAlign w:val="bottom"/>
          </w:tcPr>
          <w:p>
            <w:pPr>
              <w:spacing w:after="0"/>
              <w:rPr>
                <w:sz w:val="20"/>
                <w:szCs w:val="20"/>
                <w:color w:val="auto"/>
              </w:rPr>
            </w:pPr>
            <w:r>
              <w:rPr>
                <w:rFonts w:ascii="Courier New" w:cs="Courier New" w:eastAsia="Courier New" w:hAnsi="Courier New"/>
                <w:sz w:val="18"/>
                <w:szCs w:val="18"/>
                <w:color w:val="auto"/>
              </w:rPr>
              <w:t>Property and equipment:</w:t>
            </w:r>
          </w:p>
        </w:tc>
        <w:tc>
          <w:tcPr>
            <w:tcW w:w="68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3"/>
        </w:trPr>
        <w:tc>
          <w:tcPr>
            <w:tcW w:w="6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Machinery and equipment</w:t>
            </w: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4,294</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4,190</w:t>
            </w:r>
          </w:p>
        </w:tc>
        <w:tc>
          <w:tcPr>
            <w:tcW w:w="100" w:type="dxa"/>
            <w:vAlign w:val="bottom"/>
          </w:tcPr>
          <w:p>
            <w:pPr>
              <w:spacing w:after="0"/>
              <w:rPr>
                <w:sz w:val="17"/>
                <w:szCs w:val="17"/>
                <w:color w:val="auto"/>
              </w:rPr>
            </w:pPr>
          </w:p>
        </w:tc>
      </w:tr>
      <w:tr>
        <w:trPr>
          <w:trHeight w:val="164"/>
        </w:trPr>
        <w:tc>
          <w:tcPr>
            <w:tcW w:w="6600" w:type="dxa"/>
            <w:vAlign w:val="bottom"/>
          </w:tcPr>
          <w:p>
            <w:pPr>
              <w:ind w:left="220"/>
              <w:spacing w:after="0" w:line="164" w:lineRule="exact"/>
              <w:rPr>
                <w:sz w:val="20"/>
                <w:szCs w:val="20"/>
                <w:color w:val="auto"/>
              </w:rPr>
            </w:pPr>
            <w:r>
              <w:rPr>
                <w:rFonts w:ascii="Courier New" w:cs="Courier New" w:eastAsia="Courier New" w:hAnsi="Courier New"/>
                <w:sz w:val="18"/>
                <w:szCs w:val="18"/>
                <w:color w:val="auto"/>
              </w:rPr>
              <w:t>Leasehold improvements</w:t>
            </w:r>
          </w:p>
        </w:tc>
        <w:tc>
          <w:tcPr>
            <w:tcW w:w="68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594</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594</w:t>
            </w:r>
          </w:p>
        </w:tc>
        <w:tc>
          <w:tcPr>
            <w:tcW w:w="100" w:type="dxa"/>
            <w:vAlign w:val="bottom"/>
          </w:tcPr>
          <w:p>
            <w:pPr>
              <w:spacing w:after="0"/>
              <w:rPr>
                <w:sz w:val="14"/>
                <w:szCs w:val="14"/>
                <w:color w:val="auto"/>
              </w:rPr>
            </w:pPr>
          </w:p>
        </w:tc>
      </w:tr>
      <w:tr>
        <w:trPr>
          <w:trHeight w:val="221"/>
        </w:trPr>
        <w:tc>
          <w:tcPr>
            <w:tcW w:w="6600" w:type="dxa"/>
            <w:vAlign w:val="bottom"/>
          </w:tcPr>
          <w:p>
            <w:pPr>
              <w:ind w:left="540"/>
              <w:spacing w:after="0"/>
              <w:rPr>
                <w:sz w:val="20"/>
                <w:szCs w:val="20"/>
                <w:color w:val="auto"/>
              </w:rPr>
            </w:pPr>
            <w:r>
              <w:rPr>
                <w:rFonts w:ascii="Courier New" w:cs="Courier New" w:eastAsia="Courier New" w:hAnsi="Courier New"/>
                <w:sz w:val="18"/>
                <w:szCs w:val="18"/>
                <w:color w:val="auto"/>
              </w:rPr>
              <w:t>Gross property and equipment</w:t>
            </w:r>
          </w:p>
        </w:tc>
        <w:tc>
          <w:tcPr>
            <w:tcW w:w="14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4,888</w:t>
            </w:r>
          </w:p>
        </w:tc>
        <w:tc>
          <w:tcPr>
            <w:tcW w:w="3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4,784</w:t>
            </w:r>
          </w:p>
        </w:tc>
        <w:tc>
          <w:tcPr>
            <w:tcW w:w="100" w:type="dxa"/>
            <w:vAlign w:val="bottom"/>
          </w:tcPr>
          <w:p>
            <w:pPr>
              <w:spacing w:after="0"/>
              <w:rPr>
                <w:sz w:val="19"/>
                <w:szCs w:val="19"/>
                <w:color w:val="auto"/>
              </w:rPr>
            </w:pPr>
          </w:p>
        </w:tc>
      </w:tr>
      <w:tr>
        <w:trPr>
          <w:trHeight w:val="164"/>
        </w:trPr>
        <w:tc>
          <w:tcPr>
            <w:tcW w:w="6600" w:type="dxa"/>
            <w:vAlign w:val="bottom"/>
          </w:tcPr>
          <w:p>
            <w:pPr>
              <w:ind w:left="220"/>
              <w:spacing w:after="0" w:line="164" w:lineRule="exact"/>
              <w:rPr>
                <w:sz w:val="20"/>
                <w:szCs w:val="20"/>
                <w:color w:val="auto"/>
              </w:rPr>
            </w:pPr>
            <w:r>
              <w:rPr>
                <w:rFonts w:ascii="Courier New" w:cs="Courier New" w:eastAsia="Courier New" w:hAnsi="Courier New"/>
                <w:sz w:val="18"/>
                <w:szCs w:val="18"/>
                <w:color w:val="auto"/>
              </w:rPr>
              <w:t>Less: accumulated depreciation</w:t>
            </w:r>
          </w:p>
        </w:tc>
        <w:tc>
          <w:tcPr>
            <w:tcW w:w="680" w:type="dxa"/>
            <w:vAlign w:val="bottom"/>
          </w:tcPr>
          <w:p>
            <w:pPr>
              <w:spacing w:after="0"/>
              <w:rPr>
                <w:sz w:val="14"/>
                <w:szCs w:val="14"/>
                <w:color w:val="auto"/>
              </w:rPr>
            </w:pPr>
          </w:p>
        </w:tc>
        <w:tc>
          <w:tcPr>
            <w:tcW w:w="1060" w:type="dxa"/>
            <w:vAlign w:val="bottom"/>
            <w:gridSpan w:val="2"/>
          </w:tcPr>
          <w:p>
            <w:pPr>
              <w:jc w:val="right"/>
              <w:ind w:right="220"/>
              <w:spacing w:after="0" w:line="164" w:lineRule="exact"/>
              <w:rPr>
                <w:sz w:val="20"/>
                <w:szCs w:val="20"/>
                <w:color w:val="auto"/>
              </w:rPr>
            </w:pPr>
            <w:r>
              <w:rPr>
                <w:rFonts w:ascii="Courier New" w:cs="Courier New" w:eastAsia="Courier New" w:hAnsi="Courier New"/>
                <w:sz w:val="18"/>
                <w:szCs w:val="18"/>
                <w:color w:val="auto"/>
              </w:rPr>
              <w:t>(3,565)</w:t>
            </w:r>
          </w:p>
        </w:tc>
        <w:tc>
          <w:tcPr>
            <w:tcW w:w="940" w:type="dxa"/>
            <w:vAlign w:val="bottom"/>
            <w:gridSpan w:val="3"/>
          </w:tcPr>
          <w:p>
            <w:pPr>
              <w:jc w:val="right"/>
              <w:spacing w:after="0" w:line="164" w:lineRule="exact"/>
              <w:rPr>
                <w:sz w:val="20"/>
                <w:szCs w:val="20"/>
                <w:color w:val="auto"/>
              </w:rPr>
            </w:pPr>
            <w:r>
              <w:rPr>
                <w:rFonts w:ascii="Courier New" w:cs="Courier New" w:eastAsia="Courier New" w:hAnsi="Courier New"/>
                <w:sz w:val="18"/>
                <w:szCs w:val="18"/>
                <w:color w:val="auto"/>
              </w:rPr>
              <w:t>(3,530)</w:t>
            </w:r>
          </w:p>
        </w:tc>
      </w:tr>
      <w:tr>
        <w:trPr>
          <w:trHeight w:val="183"/>
        </w:trPr>
        <w:tc>
          <w:tcPr>
            <w:tcW w:w="6600" w:type="dxa"/>
            <w:vAlign w:val="bottom"/>
          </w:tcPr>
          <w:p>
            <w:pPr>
              <w:ind w:left="540"/>
              <w:spacing w:after="0" w:line="182" w:lineRule="exact"/>
              <w:rPr>
                <w:sz w:val="20"/>
                <w:szCs w:val="20"/>
                <w:color w:val="auto"/>
              </w:rPr>
            </w:pPr>
            <w:r>
              <w:rPr>
                <w:rFonts w:ascii="Courier New" w:cs="Courier New" w:eastAsia="Courier New" w:hAnsi="Courier New"/>
                <w:sz w:val="18"/>
                <w:szCs w:val="18"/>
                <w:color w:val="auto"/>
              </w:rPr>
              <w:t>Net property and equipment</w:t>
            </w:r>
          </w:p>
        </w:tc>
        <w:tc>
          <w:tcPr>
            <w:tcW w:w="680" w:type="dxa"/>
            <w:vAlign w:val="bottom"/>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82" w:lineRule="exact"/>
              <w:rPr>
                <w:sz w:val="20"/>
                <w:szCs w:val="20"/>
                <w:color w:val="auto"/>
              </w:rPr>
            </w:pPr>
            <w:r>
              <w:rPr>
                <w:rFonts w:ascii="Courier New" w:cs="Courier New" w:eastAsia="Courier New" w:hAnsi="Courier New"/>
                <w:sz w:val="18"/>
                <w:szCs w:val="18"/>
                <w:color w:val="auto"/>
              </w:rPr>
              <w:t>1,323</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82" w:lineRule="exact"/>
              <w:rPr>
                <w:sz w:val="20"/>
                <w:szCs w:val="20"/>
                <w:color w:val="auto"/>
              </w:rPr>
            </w:pPr>
            <w:r>
              <w:rPr>
                <w:rFonts w:ascii="Courier New" w:cs="Courier New" w:eastAsia="Courier New" w:hAnsi="Courier New"/>
                <w:sz w:val="18"/>
                <w:szCs w:val="18"/>
                <w:color w:val="auto"/>
              </w:rPr>
              <w:t>1,254</w:t>
            </w:r>
          </w:p>
        </w:tc>
        <w:tc>
          <w:tcPr>
            <w:tcW w:w="100" w:type="dxa"/>
            <w:vAlign w:val="bottom"/>
          </w:tcPr>
          <w:p>
            <w:pPr>
              <w:spacing w:after="0"/>
              <w:rPr>
                <w:sz w:val="15"/>
                <w:szCs w:val="15"/>
                <w:color w:val="auto"/>
              </w:rPr>
            </w:pPr>
          </w:p>
        </w:tc>
      </w:tr>
      <w:tr>
        <w:trPr>
          <w:trHeight w:val="221"/>
        </w:trPr>
        <w:tc>
          <w:tcPr>
            <w:tcW w:w="6600" w:type="dxa"/>
            <w:vAlign w:val="bottom"/>
          </w:tcPr>
          <w:p>
            <w:pPr>
              <w:spacing w:after="0"/>
              <w:rPr>
                <w:sz w:val="20"/>
                <w:szCs w:val="20"/>
                <w:color w:val="auto"/>
              </w:rPr>
            </w:pPr>
            <w:r>
              <w:rPr>
                <w:rFonts w:ascii="Courier New" w:cs="Courier New" w:eastAsia="Courier New" w:hAnsi="Courier New"/>
                <w:sz w:val="18"/>
                <w:szCs w:val="18"/>
                <w:color w:val="auto"/>
              </w:rPr>
              <w:t>Deferred tax assets</w:t>
            </w:r>
          </w:p>
        </w:tc>
        <w:tc>
          <w:tcPr>
            <w:tcW w:w="14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1,068</w:t>
            </w:r>
          </w:p>
        </w:tc>
        <w:tc>
          <w:tcPr>
            <w:tcW w:w="3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1,030</w:t>
            </w:r>
          </w:p>
        </w:tc>
        <w:tc>
          <w:tcPr>
            <w:tcW w:w="100" w:type="dxa"/>
            <w:vAlign w:val="bottom"/>
          </w:tcPr>
          <w:p>
            <w:pPr>
              <w:spacing w:after="0"/>
              <w:rPr>
                <w:sz w:val="19"/>
                <w:szCs w:val="19"/>
                <w:color w:val="auto"/>
              </w:rPr>
            </w:pPr>
          </w:p>
        </w:tc>
      </w:tr>
      <w:tr>
        <w:trPr>
          <w:trHeight w:val="203"/>
        </w:trPr>
        <w:tc>
          <w:tcPr>
            <w:tcW w:w="6600" w:type="dxa"/>
            <w:vAlign w:val="bottom"/>
          </w:tcPr>
          <w:p>
            <w:pPr>
              <w:spacing w:after="0" w:line="203" w:lineRule="exact"/>
              <w:rPr>
                <w:sz w:val="20"/>
                <w:szCs w:val="20"/>
                <w:color w:val="auto"/>
              </w:rPr>
            </w:pPr>
            <w:r>
              <w:rPr>
                <w:rFonts w:ascii="Courier New" w:cs="Courier New" w:eastAsia="Courier New" w:hAnsi="Courier New"/>
                <w:sz w:val="18"/>
                <w:szCs w:val="18"/>
                <w:color w:val="auto"/>
              </w:rPr>
              <w:t>Goodwill</w:t>
            </w: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1,706</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1,706</w:t>
            </w:r>
          </w:p>
        </w:tc>
        <w:tc>
          <w:tcPr>
            <w:tcW w:w="100" w:type="dxa"/>
            <w:vAlign w:val="bottom"/>
          </w:tcPr>
          <w:p>
            <w:pPr>
              <w:spacing w:after="0"/>
              <w:rPr>
                <w:sz w:val="17"/>
                <w:szCs w:val="17"/>
                <w:color w:val="auto"/>
              </w:rPr>
            </w:pPr>
          </w:p>
        </w:tc>
      </w:tr>
      <w:tr>
        <w:trPr>
          <w:trHeight w:val="203"/>
        </w:trPr>
        <w:tc>
          <w:tcPr>
            <w:tcW w:w="6600" w:type="dxa"/>
            <w:vAlign w:val="bottom"/>
          </w:tcPr>
          <w:p>
            <w:pPr>
              <w:spacing w:after="0" w:line="203" w:lineRule="exact"/>
              <w:rPr>
                <w:sz w:val="20"/>
                <w:szCs w:val="20"/>
                <w:color w:val="auto"/>
              </w:rPr>
            </w:pPr>
            <w:r>
              <w:rPr>
                <w:rFonts w:ascii="Courier New" w:cs="Courier New" w:eastAsia="Courier New" w:hAnsi="Courier New"/>
                <w:sz w:val="18"/>
                <w:szCs w:val="18"/>
                <w:color w:val="auto"/>
              </w:rPr>
              <w:t>Intangible assets, net</w:t>
            </w: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1,655</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1,748</w:t>
            </w:r>
          </w:p>
        </w:tc>
        <w:tc>
          <w:tcPr>
            <w:tcW w:w="100" w:type="dxa"/>
            <w:vAlign w:val="bottom"/>
          </w:tcPr>
          <w:p>
            <w:pPr>
              <w:spacing w:after="0"/>
              <w:rPr>
                <w:sz w:val="17"/>
                <w:szCs w:val="17"/>
                <w:color w:val="auto"/>
              </w:rPr>
            </w:pPr>
          </w:p>
        </w:tc>
      </w:tr>
      <w:tr>
        <w:trPr>
          <w:trHeight w:val="203"/>
        </w:trPr>
        <w:tc>
          <w:tcPr>
            <w:tcW w:w="6600" w:type="dxa"/>
            <w:vAlign w:val="bottom"/>
          </w:tcPr>
          <w:p>
            <w:pPr>
              <w:spacing w:after="0" w:line="203" w:lineRule="exact"/>
              <w:rPr>
                <w:sz w:val="20"/>
                <w:szCs w:val="20"/>
                <w:color w:val="auto"/>
              </w:rPr>
            </w:pPr>
            <w:r>
              <w:rPr>
                <w:rFonts w:ascii="Courier New" w:cs="Courier New" w:eastAsia="Courier New" w:hAnsi="Courier New"/>
                <w:sz w:val="18"/>
                <w:szCs w:val="18"/>
                <w:color w:val="auto"/>
              </w:rPr>
              <w:t>Restricted certificates of deposit</w:t>
            </w: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450</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450</w:t>
            </w:r>
          </w:p>
        </w:tc>
        <w:tc>
          <w:tcPr>
            <w:tcW w:w="100" w:type="dxa"/>
            <w:vAlign w:val="bottom"/>
          </w:tcPr>
          <w:p>
            <w:pPr>
              <w:spacing w:after="0"/>
              <w:rPr>
                <w:sz w:val="17"/>
                <w:szCs w:val="17"/>
                <w:color w:val="auto"/>
              </w:rPr>
            </w:pPr>
          </w:p>
        </w:tc>
      </w:tr>
      <w:tr>
        <w:trPr>
          <w:trHeight w:val="164"/>
        </w:trPr>
        <w:tc>
          <w:tcPr>
            <w:tcW w:w="6600" w:type="dxa"/>
            <w:vAlign w:val="bottom"/>
          </w:tcPr>
          <w:p>
            <w:pPr>
              <w:spacing w:after="0" w:line="164" w:lineRule="exact"/>
              <w:rPr>
                <w:sz w:val="20"/>
                <w:szCs w:val="20"/>
                <w:color w:val="auto"/>
              </w:rPr>
            </w:pPr>
            <w:r>
              <w:rPr>
                <w:rFonts w:ascii="Courier New" w:cs="Courier New" w:eastAsia="Courier New" w:hAnsi="Courier New"/>
                <w:sz w:val="18"/>
                <w:szCs w:val="18"/>
                <w:color w:val="auto"/>
              </w:rPr>
              <w:t>Other assets</w:t>
            </w:r>
          </w:p>
        </w:tc>
        <w:tc>
          <w:tcPr>
            <w:tcW w:w="68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220</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212</w:t>
            </w:r>
          </w:p>
        </w:tc>
        <w:tc>
          <w:tcPr>
            <w:tcW w:w="100" w:type="dxa"/>
            <w:vAlign w:val="bottom"/>
          </w:tcPr>
          <w:p>
            <w:pPr>
              <w:spacing w:after="0"/>
              <w:rPr>
                <w:sz w:val="14"/>
                <w:szCs w:val="14"/>
                <w:color w:val="auto"/>
              </w:rPr>
            </w:pPr>
          </w:p>
        </w:tc>
      </w:tr>
      <w:tr>
        <w:trPr>
          <w:trHeight w:val="221"/>
        </w:trPr>
        <w:tc>
          <w:tcPr>
            <w:tcW w:w="6600" w:type="dxa"/>
            <w:vAlign w:val="bottom"/>
          </w:tcPr>
          <w:p>
            <w:pPr>
              <w:ind w:left="540"/>
              <w:spacing w:after="0"/>
              <w:rPr>
                <w:sz w:val="20"/>
                <w:szCs w:val="20"/>
                <w:color w:val="auto"/>
              </w:rPr>
            </w:pPr>
            <w:r>
              <w:rPr>
                <w:rFonts w:ascii="Courier New" w:cs="Courier New" w:eastAsia="Courier New" w:hAnsi="Courier New"/>
                <w:sz w:val="18"/>
                <w:szCs w:val="18"/>
                <w:color w:val="auto"/>
              </w:rPr>
              <w:t>Total assets</w:t>
            </w:r>
          </w:p>
        </w:tc>
        <w:tc>
          <w:tcPr>
            <w:tcW w:w="14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$35,935</w:t>
            </w:r>
          </w:p>
        </w:tc>
        <w:tc>
          <w:tcPr>
            <w:tcW w:w="3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$35,481</w:t>
            </w:r>
          </w:p>
        </w:tc>
        <w:tc>
          <w:tcPr>
            <w:tcW w:w="100" w:type="dxa"/>
            <w:vAlign w:val="bottom"/>
          </w:tcPr>
          <w:p>
            <w:pPr>
              <w:spacing w:after="0"/>
              <w:rPr>
                <w:sz w:val="19"/>
                <w:szCs w:val="19"/>
                <w:color w:val="auto"/>
              </w:rPr>
            </w:pPr>
          </w:p>
        </w:tc>
      </w:tr>
      <w:tr>
        <w:trPr>
          <w:trHeight w:val="203"/>
        </w:trPr>
        <w:tc>
          <w:tcPr>
            <w:tcW w:w="6600" w:type="dxa"/>
            <w:vAlign w:val="bottom"/>
          </w:tcPr>
          <w:p>
            <w:pPr>
              <w:spacing w:after="0"/>
              <w:rPr>
                <w:sz w:val="17"/>
                <w:szCs w:val="17"/>
                <w:color w:val="auto"/>
              </w:rPr>
            </w:pP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r>
      <w:tr>
        <w:trPr>
          <w:trHeight w:val="405"/>
        </w:trPr>
        <w:tc>
          <w:tcPr>
            <w:tcW w:w="6600" w:type="dxa"/>
            <w:vAlign w:val="bottom"/>
          </w:tcPr>
          <w:p>
            <w:pPr>
              <w:spacing w:after="0"/>
              <w:rPr>
                <w:sz w:val="20"/>
                <w:szCs w:val="20"/>
                <w:color w:val="auto"/>
              </w:rPr>
            </w:pPr>
            <w:r>
              <w:rPr>
                <w:rFonts w:ascii="Courier New" w:cs="Courier New" w:eastAsia="Courier New" w:hAnsi="Courier New"/>
                <w:sz w:val="18"/>
                <w:szCs w:val="18"/>
                <w:color w:val="auto"/>
              </w:rPr>
              <w:t>LIABILITIES AND STOCKHOLDERS' EQUITY</w:t>
            </w: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660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payable</w:t>
            </w: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$ 1,561</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$ 1,064</w:t>
            </w:r>
          </w:p>
        </w:tc>
        <w:tc>
          <w:tcPr>
            <w:tcW w:w="100" w:type="dxa"/>
            <w:vAlign w:val="bottom"/>
          </w:tcPr>
          <w:p>
            <w:pPr>
              <w:spacing w:after="0"/>
              <w:rPr>
                <w:sz w:val="17"/>
                <w:szCs w:val="17"/>
                <w:color w:val="auto"/>
              </w:rPr>
            </w:pPr>
          </w:p>
        </w:tc>
      </w:tr>
      <w:tr>
        <w:trPr>
          <w:trHeight w:val="203"/>
        </w:trPr>
        <w:tc>
          <w:tcPr>
            <w:tcW w:w="6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wages and benefits</w:t>
            </w: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1,229</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1,635</w:t>
            </w:r>
          </w:p>
        </w:tc>
        <w:tc>
          <w:tcPr>
            <w:tcW w:w="100" w:type="dxa"/>
            <w:vAlign w:val="bottom"/>
          </w:tcPr>
          <w:p>
            <w:pPr>
              <w:spacing w:after="0"/>
              <w:rPr>
                <w:sz w:val="17"/>
                <w:szCs w:val="17"/>
                <w:color w:val="auto"/>
              </w:rPr>
            </w:pPr>
          </w:p>
        </w:tc>
      </w:tr>
      <w:tr>
        <w:trPr>
          <w:trHeight w:val="203"/>
        </w:trPr>
        <w:tc>
          <w:tcPr>
            <w:tcW w:w="6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rent</w:t>
            </w: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595</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577</w:t>
            </w:r>
          </w:p>
        </w:tc>
        <w:tc>
          <w:tcPr>
            <w:tcW w:w="100" w:type="dxa"/>
            <w:vAlign w:val="bottom"/>
          </w:tcPr>
          <w:p>
            <w:pPr>
              <w:spacing w:after="0"/>
              <w:rPr>
                <w:sz w:val="17"/>
                <w:szCs w:val="17"/>
                <w:color w:val="auto"/>
              </w:rPr>
            </w:pPr>
          </w:p>
        </w:tc>
      </w:tr>
    </w:tbl>
    <w:p>
      <w:pPr>
        <w:sectPr>
          <w:pgSz w:w="11900" w:h="16909" w:orient="portrait"/>
          <w:cols w:equalWidth="0" w:num="1">
            <w:col w:w="10219"/>
          </w:cols>
          <w:pgMar w:left="240" w:top="131" w:right="1440"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60" w:type="dxa"/>
            <w:vAlign w:val="bottom"/>
          </w:tcPr>
          <w:p>
            <w:pPr>
              <w:ind w:left="220"/>
              <w:spacing w:after="0"/>
              <w:rPr>
                <w:sz w:val="20"/>
                <w:szCs w:val="20"/>
                <w:color w:val="auto"/>
              </w:rPr>
            </w:pPr>
            <w:r>
              <w:rPr>
                <w:rFonts w:ascii="Courier New" w:cs="Courier New" w:eastAsia="Courier New" w:hAnsi="Courier New"/>
                <w:sz w:val="18"/>
                <w:szCs w:val="18"/>
                <w:color w:val="auto"/>
              </w:rPr>
              <w:t>Accrued professional fees</w:t>
            </w:r>
          </w:p>
        </w:tc>
        <w:tc>
          <w:tcPr>
            <w:tcW w:w="9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329</w:t>
            </w:r>
          </w:p>
        </w:tc>
        <w:tc>
          <w:tcPr>
            <w:tcW w:w="26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367</w:t>
            </w:r>
          </w:p>
        </w:tc>
        <w:tc>
          <w:tcPr>
            <w:tcW w:w="100" w:type="dxa"/>
            <w:vAlign w:val="bottom"/>
          </w:tcPr>
          <w:p>
            <w:pPr>
              <w:spacing w:after="0"/>
              <w:rPr>
                <w:sz w:val="17"/>
                <w:szCs w:val="17"/>
                <w:color w:val="auto"/>
              </w:rPr>
            </w:pP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sales commissions</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303</w:t>
            </w:r>
          </w:p>
        </w:tc>
        <w:tc>
          <w:tcPr>
            <w:tcW w:w="26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305</w:t>
            </w:r>
          </w:p>
        </w:tc>
        <w:tc>
          <w:tcPr>
            <w:tcW w:w="100" w:type="dxa"/>
            <w:vAlign w:val="bottom"/>
          </w:tcPr>
          <w:p>
            <w:pPr>
              <w:spacing w:after="0"/>
              <w:rPr>
                <w:sz w:val="17"/>
                <w:szCs w:val="17"/>
                <w:color w:val="auto"/>
              </w:rPr>
            </w:pPr>
          </w:p>
        </w:tc>
      </w:tr>
      <w:tr>
        <w:trPr>
          <w:trHeight w:val="164"/>
        </w:trPr>
        <w:tc>
          <w:tcPr>
            <w:tcW w:w="7060" w:type="dxa"/>
            <w:vAlign w:val="bottom"/>
          </w:tcPr>
          <w:p>
            <w:pPr>
              <w:ind w:left="220"/>
              <w:spacing w:after="0" w:line="164" w:lineRule="exact"/>
              <w:rPr>
                <w:sz w:val="20"/>
                <w:szCs w:val="20"/>
                <w:color w:val="auto"/>
              </w:rPr>
            </w:pPr>
            <w:r>
              <w:rPr>
                <w:rFonts w:ascii="Courier New" w:cs="Courier New" w:eastAsia="Courier New" w:hAnsi="Courier New"/>
                <w:sz w:val="18"/>
                <w:szCs w:val="18"/>
                <w:color w:val="auto"/>
              </w:rPr>
              <w:t>Other current liabilities</w:t>
            </w:r>
          </w:p>
        </w:tc>
        <w:tc>
          <w:tcPr>
            <w:tcW w:w="22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438</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384</w:t>
            </w:r>
          </w:p>
        </w:tc>
        <w:tc>
          <w:tcPr>
            <w:tcW w:w="100" w:type="dxa"/>
            <w:vAlign w:val="bottom"/>
          </w:tcPr>
          <w:p>
            <w:pPr>
              <w:spacing w:after="0"/>
              <w:rPr>
                <w:sz w:val="14"/>
                <w:szCs w:val="14"/>
                <w:color w:val="auto"/>
              </w:rPr>
            </w:pPr>
          </w:p>
        </w:tc>
      </w:tr>
      <w:tr>
        <w:trPr>
          <w:trHeight w:val="183"/>
        </w:trPr>
        <w:tc>
          <w:tcPr>
            <w:tcW w:w="7060" w:type="dxa"/>
            <w:vAlign w:val="bottom"/>
          </w:tcPr>
          <w:p>
            <w:pPr>
              <w:ind w:left="540"/>
              <w:spacing w:after="0" w:line="182" w:lineRule="exact"/>
              <w:rPr>
                <w:sz w:val="20"/>
                <w:szCs w:val="20"/>
                <w:color w:val="auto"/>
              </w:rPr>
            </w:pPr>
            <w:r>
              <w:rPr>
                <w:rFonts w:ascii="Courier New" w:cs="Courier New" w:eastAsia="Courier New" w:hAnsi="Courier New"/>
                <w:sz w:val="18"/>
                <w:szCs w:val="18"/>
                <w:color w:val="auto"/>
              </w:rPr>
              <w:t>Total current liabilities</w:t>
            </w:r>
          </w:p>
        </w:tc>
        <w:tc>
          <w:tcPr>
            <w:tcW w:w="960" w:type="dxa"/>
            <w:vAlign w:val="bottom"/>
            <w:gridSpan w:val="2"/>
          </w:tcPr>
          <w:p>
            <w:pPr>
              <w:jc w:val="right"/>
              <w:spacing w:after="0" w:line="182" w:lineRule="exact"/>
              <w:rPr>
                <w:sz w:val="20"/>
                <w:szCs w:val="20"/>
                <w:color w:val="auto"/>
              </w:rPr>
            </w:pPr>
            <w:r>
              <w:rPr>
                <w:rFonts w:ascii="Courier New" w:cs="Courier New" w:eastAsia="Courier New" w:hAnsi="Courier New"/>
                <w:sz w:val="18"/>
                <w:szCs w:val="18"/>
                <w:color w:val="auto"/>
              </w:rPr>
              <w:t>4,455</w:t>
            </w:r>
          </w:p>
        </w:tc>
        <w:tc>
          <w:tcPr>
            <w:tcW w:w="260" w:type="dxa"/>
            <w:vAlign w:val="bottom"/>
          </w:tcPr>
          <w:p>
            <w:pPr>
              <w:spacing w:after="0"/>
              <w:rPr>
                <w:sz w:val="15"/>
                <w:szCs w:val="15"/>
                <w:color w:val="auto"/>
              </w:rPr>
            </w:pPr>
          </w:p>
        </w:tc>
        <w:tc>
          <w:tcPr>
            <w:tcW w:w="1000" w:type="dxa"/>
            <w:vAlign w:val="bottom"/>
            <w:gridSpan w:val="3"/>
          </w:tcPr>
          <w:p>
            <w:pPr>
              <w:jc w:val="right"/>
              <w:ind w:right="100"/>
              <w:spacing w:after="0" w:line="182" w:lineRule="exact"/>
              <w:rPr>
                <w:sz w:val="20"/>
                <w:szCs w:val="20"/>
                <w:color w:val="auto"/>
              </w:rPr>
            </w:pPr>
            <w:r>
              <w:rPr>
                <w:rFonts w:ascii="Courier New" w:cs="Courier New" w:eastAsia="Courier New" w:hAnsi="Courier New"/>
                <w:sz w:val="18"/>
                <w:szCs w:val="18"/>
                <w:color w:val="auto"/>
              </w:rPr>
              <w:t>4,332</w:t>
            </w:r>
          </w:p>
        </w:tc>
      </w:tr>
      <w:tr>
        <w:trPr>
          <w:trHeight w:val="424"/>
        </w:trPr>
        <w:tc>
          <w:tcPr>
            <w:tcW w:w="7060" w:type="dxa"/>
            <w:vAlign w:val="bottom"/>
          </w:tcPr>
          <w:p>
            <w:pPr>
              <w:spacing w:after="0"/>
              <w:rPr>
                <w:sz w:val="20"/>
                <w:szCs w:val="20"/>
                <w:color w:val="auto"/>
              </w:rPr>
            </w:pPr>
            <w:r>
              <w:rPr>
                <w:rFonts w:ascii="Courier New" w:cs="Courier New" w:eastAsia="Courier New" w:hAnsi="Courier New"/>
                <w:sz w:val="18"/>
                <w:szCs w:val="18"/>
                <w:color w:val="auto"/>
              </w:rPr>
              <w:t>Commitments and contingencies</w:t>
            </w:r>
          </w:p>
        </w:tc>
        <w:tc>
          <w:tcPr>
            <w:tcW w:w="22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405"/>
        </w:trPr>
        <w:tc>
          <w:tcPr>
            <w:tcW w:w="7060" w:type="dxa"/>
            <w:vAlign w:val="bottom"/>
          </w:tcPr>
          <w:p>
            <w:pPr>
              <w:spacing w:after="0"/>
              <w:rPr>
                <w:sz w:val="20"/>
                <w:szCs w:val="20"/>
                <w:color w:val="auto"/>
              </w:rPr>
            </w:pPr>
            <w:r>
              <w:rPr>
                <w:rFonts w:ascii="Courier New" w:cs="Courier New" w:eastAsia="Courier New" w:hAnsi="Courier New"/>
                <w:sz w:val="18"/>
                <w:szCs w:val="18"/>
                <w:color w:val="auto"/>
              </w:rPr>
              <w:t>Stockholders' equity:</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Preferred stock, $0.01 par value; 5,000,000 shares authorized;</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no shares issued or outstanding</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Common stock, $0.01 par value; 20,000,000 shares authorized;</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10,585,755 and 10,590,755 shares issued</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106</w:t>
            </w:r>
          </w:p>
        </w:tc>
        <w:tc>
          <w:tcPr>
            <w:tcW w:w="26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106</w:t>
            </w:r>
          </w:p>
        </w:tc>
        <w:tc>
          <w:tcPr>
            <w:tcW w:w="100" w:type="dxa"/>
            <w:vAlign w:val="bottom"/>
          </w:tcPr>
          <w:p>
            <w:pPr>
              <w:spacing w:after="0"/>
              <w:rPr>
                <w:sz w:val="17"/>
                <w:szCs w:val="17"/>
                <w:color w:val="auto"/>
              </w:rPr>
            </w:pP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Additional paid-in capital</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26,228</w:t>
            </w:r>
          </w:p>
        </w:tc>
        <w:tc>
          <w:tcPr>
            <w:tcW w:w="26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26,187</w:t>
            </w:r>
          </w:p>
        </w:tc>
        <w:tc>
          <w:tcPr>
            <w:tcW w:w="100" w:type="dxa"/>
            <w:vAlign w:val="bottom"/>
          </w:tcPr>
          <w:p>
            <w:pPr>
              <w:spacing w:after="0"/>
              <w:rPr>
                <w:sz w:val="17"/>
                <w:szCs w:val="17"/>
                <w:color w:val="auto"/>
              </w:rPr>
            </w:pP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Retained earnings</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3,999</w:t>
            </w:r>
          </w:p>
        </w:tc>
        <w:tc>
          <w:tcPr>
            <w:tcW w:w="26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3,713</w:t>
            </w:r>
          </w:p>
        </w:tc>
        <w:tc>
          <w:tcPr>
            <w:tcW w:w="100" w:type="dxa"/>
            <w:vAlign w:val="bottom"/>
          </w:tcPr>
          <w:p>
            <w:pPr>
              <w:spacing w:after="0"/>
              <w:rPr>
                <w:sz w:val="17"/>
                <w:szCs w:val="17"/>
                <w:color w:val="auto"/>
              </w:rPr>
            </w:pP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Accumulated other comprehensive earnings</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1,351</w:t>
            </w:r>
          </w:p>
        </w:tc>
        <w:tc>
          <w:tcPr>
            <w:tcW w:w="26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1,347</w:t>
            </w:r>
          </w:p>
        </w:tc>
        <w:tc>
          <w:tcPr>
            <w:tcW w:w="100" w:type="dxa"/>
            <w:vAlign w:val="bottom"/>
          </w:tcPr>
          <w:p>
            <w:pPr>
              <w:spacing w:after="0"/>
              <w:rPr>
                <w:sz w:val="17"/>
                <w:szCs w:val="17"/>
                <w:color w:val="auto"/>
              </w:rPr>
            </w:pPr>
          </w:p>
        </w:tc>
      </w:tr>
      <w:tr>
        <w:trPr>
          <w:trHeight w:val="164"/>
        </w:trPr>
        <w:tc>
          <w:tcPr>
            <w:tcW w:w="7060" w:type="dxa"/>
            <w:vAlign w:val="bottom"/>
          </w:tcPr>
          <w:p>
            <w:pPr>
              <w:ind w:left="220"/>
              <w:spacing w:after="0" w:line="164" w:lineRule="exact"/>
              <w:rPr>
                <w:sz w:val="20"/>
                <w:szCs w:val="20"/>
                <w:color w:val="auto"/>
              </w:rPr>
            </w:pPr>
            <w:r>
              <w:rPr>
                <w:rFonts w:ascii="Courier New" w:cs="Courier New" w:eastAsia="Courier New" w:hAnsi="Courier New"/>
                <w:sz w:val="18"/>
                <w:szCs w:val="18"/>
                <w:color w:val="auto"/>
              </w:rPr>
              <w:t>Treasury stock, at cost; 33,077 and 33,077 shares, respectively</w:t>
            </w:r>
          </w:p>
        </w:tc>
        <w:tc>
          <w:tcPr>
            <w:tcW w:w="220" w:type="dxa"/>
            <w:vAlign w:val="bottom"/>
          </w:tcPr>
          <w:p>
            <w:pPr>
              <w:spacing w:after="0"/>
              <w:rPr>
                <w:sz w:val="14"/>
                <w:szCs w:val="14"/>
                <w:color w:val="auto"/>
              </w:rPr>
            </w:pPr>
          </w:p>
        </w:tc>
        <w:tc>
          <w:tcPr>
            <w:tcW w:w="1000" w:type="dxa"/>
            <w:vAlign w:val="bottom"/>
            <w:gridSpan w:val="2"/>
          </w:tcPr>
          <w:p>
            <w:pPr>
              <w:jc w:val="right"/>
              <w:ind w:right="160"/>
              <w:spacing w:after="0" w:line="164" w:lineRule="exact"/>
              <w:rPr>
                <w:sz w:val="20"/>
                <w:szCs w:val="20"/>
                <w:color w:val="auto"/>
              </w:rPr>
            </w:pPr>
            <w:r>
              <w:rPr>
                <w:rFonts w:ascii="Courier New" w:cs="Courier New" w:eastAsia="Courier New" w:hAnsi="Courier New"/>
                <w:sz w:val="18"/>
                <w:szCs w:val="18"/>
                <w:color w:val="auto"/>
              </w:rPr>
              <w:t>(204)</w:t>
            </w:r>
          </w:p>
        </w:tc>
        <w:tc>
          <w:tcPr>
            <w:tcW w:w="1000" w:type="dxa"/>
            <w:vAlign w:val="bottom"/>
            <w:gridSpan w:val="3"/>
          </w:tcPr>
          <w:p>
            <w:pPr>
              <w:jc w:val="right"/>
              <w:spacing w:after="0" w:line="164" w:lineRule="exact"/>
              <w:rPr>
                <w:sz w:val="20"/>
                <w:szCs w:val="20"/>
                <w:color w:val="auto"/>
              </w:rPr>
            </w:pPr>
            <w:r>
              <w:rPr>
                <w:rFonts w:ascii="Courier New" w:cs="Courier New" w:eastAsia="Courier New" w:hAnsi="Courier New"/>
                <w:sz w:val="18"/>
                <w:szCs w:val="18"/>
                <w:color w:val="auto"/>
              </w:rPr>
              <w:t>(204)</w:t>
            </w:r>
          </w:p>
        </w:tc>
      </w:tr>
      <w:tr>
        <w:trPr>
          <w:trHeight w:val="183"/>
        </w:trPr>
        <w:tc>
          <w:tcPr>
            <w:tcW w:w="7060" w:type="dxa"/>
            <w:vAlign w:val="bottom"/>
          </w:tcPr>
          <w:p>
            <w:pPr>
              <w:ind w:left="540"/>
              <w:spacing w:after="0" w:line="182" w:lineRule="exact"/>
              <w:rPr>
                <w:sz w:val="20"/>
                <w:szCs w:val="20"/>
                <w:color w:val="auto"/>
              </w:rPr>
            </w:pPr>
            <w:r>
              <w:rPr>
                <w:rFonts w:ascii="Courier New" w:cs="Courier New" w:eastAsia="Courier New" w:hAnsi="Courier New"/>
                <w:sz w:val="18"/>
                <w:szCs w:val="18"/>
                <w:color w:val="auto"/>
              </w:rPr>
              <w:t>Total stockholders' equity</w:t>
            </w:r>
          </w:p>
        </w:tc>
        <w:tc>
          <w:tcPr>
            <w:tcW w:w="220" w:type="dxa"/>
            <w:vAlign w:val="bottom"/>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82" w:lineRule="exact"/>
              <w:rPr>
                <w:sz w:val="20"/>
                <w:szCs w:val="20"/>
                <w:color w:val="auto"/>
              </w:rPr>
            </w:pPr>
            <w:r>
              <w:rPr>
                <w:rFonts w:ascii="Courier New" w:cs="Courier New" w:eastAsia="Courier New" w:hAnsi="Courier New"/>
                <w:sz w:val="18"/>
                <w:szCs w:val="18"/>
                <w:color w:val="auto"/>
              </w:rPr>
              <w:t>31,480</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82" w:lineRule="exact"/>
              <w:rPr>
                <w:sz w:val="20"/>
                <w:szCs w:val="20"/>
                <w:color w:val="auto"/>
              </w:rPr>
            </w:pPr>
            <w:r>
              <w:rPr>
                <w:rFonts w:ascii="Courier New" w:cs="Courier New" w:eastAsia="Courier New" w:hAnsi="Courier New"/>
                <w:sz w:val="18"/>
                <w:szCs w:val="18"/>
                <w:color w:val="auto"/>
              </w:rPr>
              <w:t>31,149</w:t>
            </w:r>
          </w:p>
        </w:tc>
        <w:tc>
          <w:tcPr>
            <w:tcW w:w="100" w:type="dxa"/>
            <w:vAlign w:val="bottom"/>
          </w:tcPr>
          <w:p>
            <w:pPr>
              <w:spacing w:after="0"/>
              <w:rPr>
                <w:sz w:val="15"/>
                <w:szCs w:val="15"/>
                <w:color w:val="auto"/>
              </w:rPr>
            </w:pPr>
          </w:p>
        </w:tc>
      </w:tr>
      <w:tr>
        <w:trPr>
          <w:trHeight w:val="221"/>
        </w:trPr>
        <w:tc>
          <w:tcPr>
            <w:tcW w:w="7060" w:type="dxa"/>
            <w:vAlign w:val="bottom"/>
          </w:tcPr>
          <w:p>
            <w:pPr>
              <w:ind w:left="540"/>
              <w:spacing w:after="0"/>
              <w:rPr>
                <w:sz w:val="20"/>
                <w:szCs w:val="20"/>
                <w:color w:val="auto"/>
              </w:rPr>
            </w:pPr>
            <w:r>
              <w:rPr>
                <w:rFonts w:ascii="Courier New" w:cs="Courier New" w:eastAsia="Courier New" w:hAnsi="Courier New"/>
                <w:sz w:val="18"/>
                <w:szCs w:val="18"/>
                <w:color w:val="auto"/>
              </w:rPr>
              <w:t>Total liabilities and stockholders' equity</w:t>
            </w:r>
          </w:p>
        </w:tc>
        <w:tc>
          <w:tcPr>
            <w:tcW w:w="9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$35,935</w:t>
            </w:r>
          </w:p>
        </w:tc>
        <w:tc>
          <w:tcPr>
            <w:tcW w:w="26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$35,481</w:t>
            </w:r>
          </w:p>
        </w:tc>
        <w:tc>
          <w:tcPr>
            <w:tcW w:w="100" w:type="dxa"/>
            <w:vAlign w:val="bottom"/>
          </w:tcPr>
          <w:p>
            <w:pPr>
              <w:spacing w:after="0"/>
              <w:rPr>
                <w:sz w:val="19"/>
                <w:szCs w:val="19"/>
                <w:color w:val="auto"/>
              </w:rPr>
            </w:pPr>
          </w:p>
        </w:tc>
      </w:tr>
      <w:tr>
        <w:trPr>
          <w:trHeight w:val="203"/>
        </w:trPr>
        <w:tc>
          <w:tcPr>
            <w:tcW w:w="7060" w:type="dxa"/>
            <w:vAlign w:val="bottom"/>
          </w:tcPr>
          <w:p>
            <w:pPr>
              <w:spacing w:after="0"/>
              <w:rPr>
                <w:sz w:val="17"/>
                <w:szCs w:val="17"/>
                <w:color w:val="auto"/>
              </w:rPr>
            </w:pP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r>
    </w:tbl>
    <w:p>
      <w:pPr>
        <w:spacing w:after="0" w:line="16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- 1 -</w:t>
      </w:r>
    </w:p>
    <w:p>
      <w:pPr>
        <w:spacing w:after="0" w:line="200" w:lineRule="exact"/>
        <w:rPr>
          <w:sz w:val="20"/>
          <w:szCs w:val="20"/>
          <w:color w:val="auto"/>
        </w:rPr>
      </w:pPr>
    </w:p>
    <w:p>
      <w:pPr>
        <w:spacing w:after="0" w:line="370"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(In thousands, except share and per share data)</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060" w:type="dxa"/>
            <w:vAlign w:val="bottom"/>
          </w:tcPr>
          <w:p>
            <w:pPr>
              <w:spacing w:after="0"/>
              <w:rPr>
                <w:sz w:val="17"/>
                <w:szCs w:val="17"/>
                <w:color w:val="auto"/>
              </w:rPr>
            </w:pPr>
          </w:p>
        </w:tc>
        <w:tc>
          <w:tcPr>
            <w:tcW w:w="300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Three Months Ended</w:t>
            </w:r>
          </w:p>
        </w:tc>
      </w:tr>
      <w:tr>
        <w:trPr>
          <w:trHeight w:val="203"/>
        </w:trPr>
        <w:tc>
          <w:tcPr>
            <w:tcW w:w="6060" w:type="dxa"/>
            <w:vAlign w:val="bottom"/>
          </w:tcPr>
          <w:p>
            <w:pPr>
              <w:spacing w:after="0"/>
              <w:rPr>
                <w:sz w:val="17"/>
                <w:szCs w:val="17"/>
                <w:color w:val="auto"/>
              </w:rPr>
            </w:pPr>
          </w:p>
        </w:tc>
        <w:tc>
          <w:tcPr>
            <w:tcW w:w="300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March 31,</w:t>
            </w:r>
          </w:p>
        </w:tc>
      </w:tr>
      <w:tr>
        <w:trPr>
          <w:trHeight w:val="203"/>
        </w:trPr>
        <w:tc>
          <w:tcPr>
            <w:tcW w:w="6060" w:type="dxa"/>
            <w:vAlign w:val="bottom"/>
          </w:tcPr>
          <w:p>
            <w:pPr>
              <w:spacing w:after="0"/>
              <w:rPr>
                <w:sz w:val="17"/>
                <w:szCs w:val="17"/>
                <w:color w:val="auto"/>
              </w:rPr>
            </w:pPr>
          </w:p>
        </w:tc>
        <w:tc>
          <w:tcPr>
            <w:tcW w:w="3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60" w:type="dxa"/>
            <w:vAlign w:val="bottom"/>
          </w:tcPr>
          <w:p>
            <w:pPr>
              <w:spacing w:after="0"/>
              <w:rPr>
                <w:sz w:val="17"/>
                <w:szCs w:val="17"/>
                <w:color w:val="auto"/>
              </w:rPr>
            </w:pPr>
          </w:p>
        </w:tc>
        <w:tc>
          <w:tcPr>
            <w:tcW w:w="2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2014</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2013</w:t>
            </w:r>
          </w:p>
        </w:tc>
      </w:tr>
      <w:tr>
        <w:trPr>
          <w:trHeight w:val="203"/>
        </w:trPr>
        <w:tc>
          <w:tcPr>
            <w:tcW w:w="6060" w:type="dxa"/>
            <w:vAlign w:val="bottom"/>
          </w:tcPr>
          <w:p>
            <w:pPr>
              <w:spacing w:after="0"/>
              <w:rPr>
                <w:sz w:val="17"/>
                <w:szCs w:val="17"/>
                <w:color w:val="auto"/>
              </w:rPr>
            </w:pPr>
          </w:p>
        </w:tc>
        <w:tc>
          <w:tcPr>
            <w:tcW w:w="2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060" w:type="dxa"/>
            <w:vAlign w:val="bottom"/>
          </w:tcPr>
          <w:p>
            <w:pPr>
              <w:spacing w:after="0"/>
              <w:rPr>
                <w:sz w:val="20"/>
                <w:szCs w:val="20"/>
                <w:color w:val="auto"/>
              </w:rPr>
            </w:pPr>
            <w:r>
              <w:rPr>
                <w:rFonts w:ascii="Courier New" w:cs="Courier New" w:eastAsia="Courier New" w:hAnsi="Courier New"/>
                <w:sz w:val="18"/>
                <w:szCs w:val="18"/>
                <w:color w:val="auto"/>
              </w:rPr>
              <w:t>Net revenues</w:t>
            </w:r>
          </w:p>
        </w:tc>
        <w:tc>
          <w:tcPr>
            <w:tcW w:w="20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$ 8,797</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$ 8,973</w:t>
            </w:r>
          </w:p>
        </w:tc>
      </w:tr>
      <w:tr>
        <w:trPr>
          <w:trHeight w:val="203"/>
        </w:trPr>
        <w:tc>
          <w:tcPr>
            <w:tcW w:w="606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revenues</w:t>
            </w:r>
          </w:p>
        </w:tc>
        <w:tc>
          <w:tcPr>
            <w:tcW w:w="2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4,612</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4,868</w:t>
            </w:r>
          </w:p>
        </w:tc>
      </w:tr>
      <w:tr>
        <w:trPr>
          <w:trHeight w:val="203"/>
        </w:trPr>
        <w:tc>
          <w:tcPr>
            <w:tcW w:w="6060" w:type="dxa"/>
            <w:vAlign w:val="bottom"/>
          </w:tcPr>
          <w:p>
            <w:pPr>
              <w:spacing w:after="0"/>
              <w:rPr>
                <w:sz w:val="17"/>
                <w:szCs w:val="17"/>
                <w:color w:val="auto"/>
              </w:rPr>
            </w:pPr>
          </w:p>
        </w:tc>
        <w:tc>
          <w:tcPr>
            <w:tcW w:w="2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60" w:type="dxa"/>
            <w:vAlign w:val="bottom"/>
          </w:tcPr>
          <w:p>
            <w:pPr>
              <w:spacing w:after="0" w:line="203" w:lineRule="exact"/>
              <w:rPr>
                <w:sz w:val="20"/>
                <w:szCs w:val="20"/>
                <w:color w:val="auto"/>
              </w:rPr>
            </w:pPr>
            <w:r>
              <w:rPr>
                <w:rFonts w:ascii="Courier New" w:cs="Courier New" w:eastAsia="Courier New" w:hAnsi="Courier New"/>
                <w:sz w:val="18"/>
                <w:szCs w:val="18"/>
                <w:color w:val="auto"/>
              </w:rPr>
              <w:t>Gross margin</w:t>
            </w:r>
          </w:p>
        </w:tc>
        <w:tc>
          <w:tcPr>
            <w:tcW w:w="2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4,185</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4,105</w:t>
            </w:r>
          </w:p>
        </w:tc>
      </w:tr>
      <w:tr>
        <w:trPr>
          <w:trHeight w:val="203"/>
        </w:trPr>
        <w:tc>
          <w:tcPr>
            <w:tcW w:w="6060" w:type="dxa"/>
            <w:vAlign w:val="bottom"/>
          </w:tcPr>
          <w:p>
            <w:pPr>
              <w:spacing w:after="0"/>
              <w:rPr>
                <w:sz w:val="17"/>
                <w:szCs w:val="17"/>
                <w:color w:val="auto"/>
              </w:rPr>
            </w:pPr>
          </w:p>
        </w:tc>
        <w:tc>
          <w:tcPr>
            <w:tcW w:w="2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060" w:type="dxa"/>
            <w:vAlign w:val="bottom"/>
          </w:tcPr>
          <w:p>
            <w:pPr>
              <w:spacing w:after="0"/>
              <w:rPr>
                <w:sz w:val="20"/>
                <w:szCs w:val="20"/>
                <w:color w:val="auto"/>
              </w:rPr>
            </w:pPr>
            <w:r>
              <w:rPr>
                <w:rFonts w:ascii="Courier New" w:cs="Courier New" w:eastAsia="Courier New" w:hAnsi="Courier New"/>
                <w:sz w:val="18"/>
                <w:szCs w:val="18"/>
                <w:color w:val="auto"/>
              </w:rPr>
              <w:t>Operating expenses:</w:t>
            </w:r>
          </w:p>
        </w:tc>
        <w:tc>
          <w:tcPr>
            <w:tcW w:w="20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6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Selling expense</w:t>
            </w:r>
          </w:p>
        </w:tc>
        <w:tc>
          <w:tcPr>
            <w:tcW w:w="2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1,326</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1,189</w:t>
            </w:r>
          </w:p>
        </w:tc>
      </w:tr>
      <w:tr>
        <w:trPr>
          <w:trHeight w:val="203"/>
        </w:trPr>
        <w:tc>
          <w:tcPr>
            <w:tcW w:w="6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Engineering and product development expense</w:t>
            </w:r>
          </w:p>
        </w:tc>
        <w:tc>
          <w:tcPr>
            <w:tcW w:w="2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923</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996</w:t>
            </w:r>
          </w:p>
        </w:tc>
      </w:tr>
      <w:tr>
        <w:trPr>
          <w:trHeight w:val="203"/>
        </w:trPr>
        <w:tc>
          <w:tcPr>
            <w:tcW w:w="6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General and administrative expense</w:t>
            </w:r>
          </w:p>
        </w:tc>
        <w:tc>
          <w:tcPr>
            <w:tcW w:w="2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1,532</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1,556</w:t>
            </w:r>
          </w:p>
        </w:tc>
      </w:tr>
      <w:tr>
        <w:trPr>
          <w:trHeight w:val="203"/>
        </w:trPr>
        <w:tc>
          <w:tcPr>
            <w:tcW w:w="6060" w:type="dxa"/>
            <w:vAlign w:val="bottom"/>
          </w:tcPr>
          <w:p>
            <w:pPr>
              <w:spacing w:after="0"/>
              <w:rPr>
                <w:sz w:val="17"/>
                <w:szCs w:val="17"/>
                <w:color w:val="auto"/>
              </w:rPr>
            </w:pPr>
          </w:p>
        </w:tc>
        <w:tc>
          <w:tcPr>
            <w:tcW w:w="2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6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operating expenses</w:t>
            </w:r>
          </w:p>
        </w:tc>
        <w:tc>
          <w:tcPr>
            <w:tcW w:w="2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3,781</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3,741</w:t>
            </w:r>
          </w:p>
        </w:tc>
      </w:tr>
      <w:tr>
        <w:trPr>
          <w:trHeight w:val="203"/>
        </w:trPr>
        <w:tc>
          <w:tcPr>
            <w:tcW w:w="6060" w:type="dxa"/>
            <w:vAlign w:val="bottom"/>
          </w:tcPr>
          <w:p>
            <w:pPr>
              <w:spacing w:after="0"/>
              <w:rPr>
                <w:sz w:val="17"/>
                <w:szCs w:val="17"/>
                <w:color w:val="auto"/>
              </w:rPr>
            </w:pPr>
          </w:p>
        </w:tc>
        <w:tc>
          <w:tcPr>
            <w:tcW w:w="2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060" w:type="dxa"/>
            <w:vAlign w:val="bottom"/>
          </w:tcPr>
          <w:p>
            <w:pPr>
              <w:spacing w:after="0"/>
              <w:rPr>
                <w:sz w:val="20"/>
                <w:szCs w:val="20"/>
                <w:color w:val="auto"/>
              </w:rPr>
            </w:pPr>
            <w:r>
              <w:rPr>
                <w:rFonts w:ascii="Courier New" w:cs="Courier New" w:eastAsia="Courier New" w:hAnsi="Courier New"/>
                <w:sz w:val="18"/>
                <w:szCs w:val="18"/>
                <w:color w:val="auto"/>
              </w:rPr>
              <w:t>Operating income</w:t>
            </w:r>
          </w:p>
        </w:tc>
        <w:tc>
          <w:tcPr>
            <w:tcW w:w="20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404</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364</w:t>
            </w:r>
          </w:p>
        </w:tc>
      </w:tr>
      <w:tr>
        <w:trPr>
          <w:trHeight w:val="203"/>
        </w:trPr>
        <w:tc>
          <w:tcPr>
            <w:tcW w:w="606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income</w:t>
            </w:r>
          </w:p>
        </w:tc>
        <w:tc>
          <w:tcPr>
            <w:tcW w:w="2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6060" w:type="dxa"/>
            <w:vAlign w:val="bottom"/>
          </w:tcPr>
          <w:p>
            <w:pPr>
              <w:spacing w:after="0"/>
              <w:rPr>
                <w:sz w:val="17"/>
                <w:szCs w:val="17"/>
                <w:color w:val="auto"/>
              </w:rPr>
            </w:pPr>
          </w:p>
        </w:tc>
        <w:tc>
          <w:tcPr>
            <w:tcW w:w="2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060" w:type="dxa"/>
            <w:vAlign w:val="bottom"/>
          </w:tcPr>
          <w:p>
            <w:pPr>
              <w:spacing w:after="0"/>
              <w:rPr>
                <w:sz w:val="20"/>
                <w:szCs w:val="20"/>
                <w:color w:val="auto"/>
              </w:rPr>
            </w:pPr>
            <w:r>
              <w:rPr>
                <w:rFonts w:ascii="Courier New" w:cs="Courier New" w:eastAsia="Courier New" w:hAnsi="Courier New"/>
                <w:sz w:val="18"/>
                <w:szCs w:val="18"/>
                <w:color w:val="auto"/>
              </w:rPr>
              <w:t>Earnings before income tax expense</w:t>
            </w:r>
          </w:p>
        </w:tc>
        <w:tc>
          <w:tcPr>
            <w:tcW w:w="20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411</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370</w:t>
            </w:r>
          </w:p>
        </w:tc>
      </w:tr>
      <w:tr>
        <w:trPr>
          <w:trHeight w:val="203"/>
        </w:trPr>
        <w:tc>
          <w:tcPr>
            <w:tcW w:w="606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 expense</w:t>
            </w:r>
          </w:p>
        </w:tc>
        <w:tc>
          <w:tcPr>
            <w:tcW w:w="2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125</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78</w:t>
            </w:r>
          </w:p>
        </w:tc>
      </w:tr>
      <w:tr>
        <w:trPr>
          <w:trHeight w:val="203"/>
        </w:trPr>
        <w:tc>
          <w:tcPr>
            <w:tcW w:w="6060" w:type="dxa"/>
            <w:vAlign w:val="bottom"/>
          </w:tcPr>
          <w:p>
            <w:pPr>
              <w:spacing w:after="0"/>
              <w:rPr>
                <w:sz w:val="17"/>
                <w:szCs w:val="17"/>
                <w:color w:val="auto"/>
              </w:rPr>
            </w:pPr>
          </w:p>
        </w:tc>
        <w:tc>
          <w:tcPr>
            <w:tcW w:w="2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earnings</w:t>
            </w:r>
          </w:p>
        </w:tc>
        <w:tc>
          <w:tcPr>
            <w:tcW w:w="2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286</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292</w:t>
            </w:r>
          </w:p>
        </w:tc>
      </w:tr>
      <w:tr>
        <w:trPr>
          <w:trHeight w:val="203"/>
        </w:trPr>
        <w:tc>
          <w:tcPr>
            <w:tcW w:w="6060" w:type="dxa"/>
            <w:vAlign w:val="bottom"/>
          </w:tcPr>
          <w:p>
            <w:pPr>
              <w:spacing w:after="0"/>
              <w:rPr>
                <w:sz w:val="17"/>
                <w:szCs w:val="17"/>
                <w:color w:val="auto"/>
              </w:rPr>
            </w:pPr>
          </w:p>
        </w:tc>
        <w:tc>
          <w:tcPr>
            <w:tcW w:w="2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060" w:type="dxa"/>
            <w:vAlign w:val="bottom"/>
          </w:tcPr>
          <w:p>
            <w:pPr>
              <w:spacing w:after="0"/>
              <w:rPr>
                <w:sz w:val="20"/>
                <w:szCs w:val="20"/>
                <w:color w:val="auto"/>
              </w:rPr>
            </w:pPr>
            <w:r>
              <w:rPr>
                <w:rFonts w:ascii="Courier New" w:cs="Courier New" w:eastAsia="Courier New" w:hAnsi="Courier New"/>
                <w:sz w:val="18"/>
                <w:szCs w:val="18"/>
                <w:color w:val="auto"/>
              </w:rPr>
              <w:t>Net earnings per common share - basic</w:t>
            </w:r>
          </w:p>
        </w:tc>
        <w:tc>
          <w:tcPr>
            <w:tcW w:w="20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$0.03</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$0.03</w:t>
            </w:r>
          </w:p>
        </w:tc>
      </w:tr>
      <w:tr>
        <w:trPr>
          <w:trHeight w:val="405"/>
        </w:trPr>
        <w:tc>
          <w:tcPr>
            <w:tcW w:w="6060" w:type="dxa"/>
            <w:vAlign w:val="bottom"/>
          </w:tcPr>
          <w:p>
            <w:pPr>
              <w:spacing w:after="0"/>
              <w:rPr>
                <w:sz w:val="20"/>
                <w:szCs w:val="20"/>
                <w:color w:val="auto"/>
              </w:rPr>
            </w:pPr>
            <w:r>
              <w:rPr>
                <w:rFonts w:ascii="Courier New" w:cs="Courier New" w:eastAsia="Courier New" w:hAnsi="Courier New"/>
                <w:sz w:val="18"/>
                <w:szCs w:val="18"/>
                <w:color w:val="auto"/>
              </w:rPr>
              <w:t>Weighted average common shares outstanding - basic</w:t>
            </w:r>
          </w:p>
        </w:tc>
        <w:tc>
          <w:tcPr>
            <w:tcW w:w="30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10,393,956 10,327,428</w:t>
            </w:r>
          </w:p>
        </w:tc>
      </w:tr>
      <w:tr>
        <w:trPr>
          <w:trHeight w:val="405"/>
        </w:trPr>
        <w:tc>
          <w:tcPr>
            <w:tcW w:w="6060" w:type="dxa"/>
            <w:vAlign w:val="bottom"/>
          </w:tcPr>
          <w:p>
            <w:pPr>
              <w:spacing w:after="0"/>
              <w:rPr>
                <w:sz w:val="20"/>
                <w:szCs w:val="20"/>
                <w:color w:val="auto"/>
              </w:rPr>
            </w:pPr>
            <w:r>
              <w:rPr>
                <w:rFonts w:ascii="Courier New" w:cs="Courier New" w:eastAsia="Courier New" w:hAnsi="Courier New"/>
                <w:sz w:val="18"/>
                <w:szCs w:val="18"/>
                <w:color w:val="auto"/>
              </w:rPr>
              <w:t>Net earnings per common share - diluted</w:t>
            </w:r>
          </w:p>
        </w:tc>
        <w:tc>
          <w:tcPr>
            <w:tcW w:w="20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$0.03</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$0.03</w:t>
            </w:r>
          </w:p>
        </w:tc>
      </w:tr>
      <w:tr>
        <w:trPr>
          <w:trHeight w:val="405"/>
        </w:trPr>
        <w:tc>
          <w:tcPr>
            <w:tcW w:w="6060" w:type="dxa"/>
            <w:vAlign w:val="bottom"/>
          </w:tcPr>
          <w:p>
            <w:pPr>
              <w:spacing w:after="0"/>
              <w:rPr>
                <w:sz w:val="20"/>
                <w:szCs w:val="20"/>
                <w:color w:val="auto"/>
              </w:rPr>
            </w:pPr>
            <w:r>
              <w:rPr>
                <w:rFonts w:ascii="Courier New" w:cs="Courier New" w:eastAsia="Courier New" w:hAnsi="Courier New"/>
                <w:sz w:val="18"/>
                <w:szCs w:val="18"/>
                <w:color w:val="auto"/>
              </w:rPr>
              <w:t>Weighted average common shares and common share</w:t>
            </w:r>
          </w:p>
        </w:tc>
        <w:tc>
          <w:tcPr>
            <w:tcW w:w="20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6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equivalents outstanding - diluted</w:t>
            </w:r>
          </w:p>
        </w:tc>
        <w:tc>
          <w:tcPr>
            <w:tcW w:w="3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10,448,911 10,366,312</w:t>
            </w:r>
          </w:p>
        </w:tc>
      </w:tr>
    </w:tbl>
    <w:p>
      <w:pPr>
        <w:sectPr>
          <w:pgSz w:w="11900" w:h="16838" w:orient="portrait"/>
          <w:cols w:equalWidth="0" w:num="1">
            <w:col w:w="10219"/>
          </w:cols>
          <w:pgMar w:left="240" w:top="136" w:right="1440" w:bottom="1440" w:gutter="0" w:footer="0" w:header="0"/>
        </w:sectPr>
      </w:pPr>
    </w:p>
    <w:bookmarkStart w:id="3" w:name="page4"/>
    <w:bookmarkEnd w:id="3"/>
    <w:p>
      <w:pPr>
        <w:jc w:val="center"/>
        <w:ind w:right="-120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- 2 -</w:t>
      </w:r>
    </w:p>
    <w:p>
      <w:pPr>
        <w:spacing w:after="0" w:line="200" w:lineRule="exact"/>
        <w:rPr>
          <w:sz w:val="20"/>
          <w:szCs w:val="20"/>
          <w:color w:val="auto"/>
        </w:rPr>
      </w:pPr>
    </w:p>
    <w:p>
      <w:pPr>
        <w:spacing w:after="0" w:line="370"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CONSOLIDATED STATEMENTS OF COMPREHENSIVE EARNINGS</w:t>
      </w:r>
    </w:p>
    <w:p>
      <w:pPr>
        <w:spacing w:after="0" w:line="3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(Unaudited)</w:t>
      </w:r>
    </w:p>
    <w:p>
      <w:pPr>
        <w:sectPr>
          <w:pgSz w:w="11900" w:h="16838" w:orient="portrait"/>
          <w:cols w:equalWidth="0" w:num="1">
            <w:col w:w="10219"/>
          </w:cols>
          <w:pgMar w:left="240" w:top="13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 earnings</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Three Months Ended</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March 31,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20"/>
        <w:spacing w:after="0"/>
        <w:tabs>
          <w:tab w:leader="none" w:pos="1360" w:val="left"/>
        </w:tabs>
        <w:rPr>
          <w:sz w:val="20"/>
          <w:szCs w:val="20"/>
          <w:color w:val="auto"/>
        </w:rPr>
      </w:pPr>
      <w:r>
        <w:rPr>
          <w:rFonts w:ascii="Courier New" w:cs="Courier New" w:eastAsia="Courier New" w:hAnsi="Courier New"/>
          <w:sz w:val="18"/>
          <w:szCs w:val="18"/>
          <w:color w:val="auto"/>
        </w:rPr>
        <w:t>2014</w:t>
      </w:r>
      <w:r>
        <w:rPr>
          <w:sz w:val="20"/>
          <w:szCs w:val="20"/>
          <w:color w:val="auto"/>
        </w:rPr>
        <w:tab/>
      </w:r>
      <w:r>
        <w:rPr>
          <w:rFonts w:ascii="Courier New" w:cs="Courier New" w:eastAsia="Courier New" w:hAnsi="Courier New"/>
          <w:sz w:val="18"/>
          <w:szCs w:val="18"/>
          <w:color w:val="auto"/>
        </w:rPr>
        <w:t>2013</w:t>
      </w:r>
    </w:p>
    <w:p>
      <w:pPr>
        <w:spacing w:after="0" w:line="4"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16" w:lineRule="exact"/>
        <w:rPr>
          <w:sz w:val="20"/>
          <w:szCs w:val="20"/>
          <w:color w:val="auto"/>
        </w:rPr>
      </w:pPr>
    </w:p>
    <w:p>
      <w:pPr>
        <w:ind w:left="120"/>
        <w:spacing w:after="0"/>
        <w:tabs>
          <w:tab w:leader="none" w:pos="420" w:val="left"/>
          <w:tab w:leader="none" w:pos="1260" w:val="left"/>
          <w:tab w:leader="none" w:pos="1580" w:val="left"/>
        </w:tabs>
        <w:rPr>
          <w:sz w:val="20"/>
          <w:szCs w:val="20"/>
          <w:color w:val="auto"/>
        </w:rPr>
      </w:pPr>
      <w:r>
        <w:rPr>
          <w:rFonts w:ascii="Courier New" w:cs="Courier New" w:eastAsia="Courier New" w:hAnsi="Courier New"/>
          <w:sz w:val="18"/>
          <w:szCs w:val="18"/>
          <w:color w:val="auto"/>
        </w:rPr>
        <w:t>$</w:t>
        <w:tab/>
        <w:t>286</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292</w:t>
      </w:r>
    </w:p>
    <w:p>
      <w:pPr>
        <w:spacing w:after="0" w:line="200" w:lineRule="exact"/>
        <w:rPr>
          <w:sz w:val="20"/>
          <w:szCs w:val="20"/>
          <w:color w:val="auto"/>
        </w:rPr>
      </w:pPr>
    </w:p>
    <w:p>
      <w:pPr>
        <w:sectPr>
          <w:pgSz w:w="11900" w:h="16838" w:orient="portrait"/>
          <w:cols w:equalWidth="0" w:num="2">
            <w:col w:w="6020" w:space="720"/>
            <w:col w:w="3479"/>
          </w:cols>
          <w:pgMar w:left="240" w:top="131"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Foreign currency translation adjustments</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8"/>
          <w:szCs w:val="18"/>
          <w:color w:val="auto"/>
        </w:rPr>
        <w:t>4</w:t>
      </w:r>
    </w:p>
    <w:p>
      <w:pPr>
        <w:spacing w:after="0" w:line="4"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320"/>
        <w:spacing w:after="0"/>
        <w:rPr>
          <w:sz w:val="20"/>
          <w:szCs w:val="20"/>
          <w:color w:val="auto"/>
        </w:rPr>
      </w:pPr>
      <w:r>
        <w:rPr>
          <w:rFonts w:ascii="Courier New" w:cs="Courier New" w:eastAsia="Courier New" w:hAnsi="Courier New"/>
          <w:sz w:val="16"/>
          <w:szCs w:val="16"/>
          <w:color w:val="auto"/>
        </w:rPr>
        <w:t>(62)</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ectPr>
          <w:pgSz w:w="11900" w:h="16838" w:orient="portrait"/>
          <w:cols w:equalWidth="0" w:num="3">
            <w:col w:w="6140" w:space="720"/>
            <w:col w:w="620" w:space="540"/>
            <w:col w:w="2199"/>
          </w:cols>
          <w:pgMar w:left="240" w:top="131"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Comprehensive earnings</w:t>
      </w:r>
    </w:p>
    <w:p>
      <w:pPr>
        <w:spacing w:after="0" w:line="20" w:lineRule="exact"/>
        <w:rPr>
          <w:sz w:val="20"/>
          <w:szCs w:val="20"/>
          <w:color w:val="auto"/>
        </w:rPr>
      </w:pPr>
      <w:r>
        <w:rPr>
          <w:sz w:val="20"/>
          <w:szCs w:val="20"/>
          <w:color w:val="auto"/>
        </w:rPr>
        <w:br w:type="column"/>
      </w:r>
    </w:p>
    <w:p>
      <w:pPr>
        <w:spacing w:after="0"/>
        <w:tabs>
          <w:tab w:leader="none" w:pos="3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290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tabs>
          <w:tab w:leader="none" w:pos="300" w:val="left"/>
        </w:tabs>
        <w:rPr>
          <w:sz w:val="20"/>
          <w:szCs w:val="20"/>
          <w:color w:val="auto"/>
        </w:rPr>
      </w:pPr>
      <w:r>
        <w:rPr>
          <w:rFonts w:ascii="Courier New" w:cs="Courier New" w:eastAsia="Courier New" w:hAnsi="Courier New"/>
          <w:sz w:val="16"/>
          <w:szCs w:val="16"/>
          <w:color w:val="auto"/>
        </w:rPr>
        <w:t>$</w:t>
        <w:tab/>
        <w:t>230</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6140" w:space="720"/>
            <w:col w:w="620" w:space="540"/>
            <w:col w:w="2199"/>
          </w:cols>
          <w:pgMar w:left="240" w:top="131" w:right="1440" w:bottom="0" w:gutter="0" w:footer="0" w:header="0"/>
          <w:type w:val="continuous"/>
        </w:sectPr>
      </w:pPr>
    </w:p>
    <w:p>
      <w:pPr>
        <w:spacing w:after="0" w:line="202" w:lineRule="exact"/>
        <w:rPr>
          <w:sz w:val="20"/>
          <w:szCs w:val="20"/>
          <w:color w:val="auto"/>
        </w:rPr>
      </w:pPr>
    </w:p>
    <w:p>
      <w:pPr>
        <w:ind w:left="3480"/>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740" w:type="dxa"/>
            <w:vAlign w:val="bottom"/>
            <w:gridSpan w:val="3"/>
          </w:tcPr>
          <w:p>
            <w:pPr>
              <w:jc w:val="center"/>
              <w:ind w:right="1319"/>
              <w:spacing w:after="0"/>
              <w:rPr>
                <w:sz w:val="20"/>
                <w:szCs w:val="20"/>
                <w:color w:val="auto"/>
              </w:rPr>
            </w:pPr>
            <w:r>
              <w:rPr>
                <w:rFonts w:ascii="Arial" w:cs="Arial" w:eastAsia="Arial" w:hAnsi="Arial"/>
                <w:sz w:val="18"/>
                <w:szCs w:val="18"/>
                <w:b w:val="1"/>
                <w:bCs w:val="1"/>
                <w:color w:val="auto"/>
                <w:w w:val="96"/>
              </w:rPr>
              <w:t>inTEST CORPORATION</w:t>
            </w:r>
          </w:p>
        </w:tc>
      </w:tr>
      <w:tr>
        <w:trPr>
          <w:trHeight w:val="222"/>
        </w:trPr>
        <w:tc>
          <w:tcPr>
            <w:tcW w:w="18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180" w:type="dxa"/>
            <w:vAlign w:val="bottom"/>
            <w:gridSpan w:val="5"/>
          </w:tcPr>
          <w:p>
            <w:pPr>
              <w:jc w:val="center"/>
              <w:spacing w:after="0"/>
              <w:rPr>
                <w:sz w:val="20"/>
                <w:szCs w:val="20"/>
                <w:color w:val="auto"/>
              </w:rPr>
            </w:pPr>
            <w:r>
              <w:rPr>
                <w:rFonts w:ascii="Arial" w:cs="Arial" w:eastAsia="Arial" w:hAnsi="Arial"/>
                <w:sz w:val="18"/>
                <w:szCs w:val="18"/>
                <w:b w:val="1"/>
                <w:bCs w:val="1"/>
                <w:color w:val="auto"/>
                <w:w w:val="98"/>
              </w:rPr>
              <w:t>CONSOLIDATED STATEMENT OF STOCKHOLDERS' EQUITY</w:t>
            </w:r>
          </w:p>
        </w:tc>
      </w:tr>
      <w:tr>
        <w:trPr>
          <w:trHeight w:val="216"/>
        </w:trPr>
        <w:tc>
          <w:tcPr>
            <w:tcW w:w="1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740" w:type="dxa"/>
            <w:vAlign w:val="bottom"/>
            <w:gridSpan w:val="3"/>
          </w:tcPr>
          <w:p>
            <w:pPr>
              <w:jc w:val="center"/>
              <w:ind w:right="1339"/>
              <w:spacing w:after="0"/>
              <w:rPr>
                <w:sz w:val="20"/>
                <w:szCs w:val="20"/>
                <w:color w:val="auto"/>
              </w:rPr>
            </w:pPr>
            <w:r>
              <w:rPr>
                <w:rFonts w:ascii="Arial" w:cs="Arial" w:eastAsia="Arial" w:hAnsi="Arial"/>
                <w:sz w:val="18"/>
                <w:szCs w:val="18"/>
                <w:color w:val="auto"/>
                <w:w w:val="85"/>
              </w:rPr>
              <w:t>(In thousands, except share data)</w:t>
            </w:r>
          </w:p>
        </w:tc>
      </w:tr>
      <w:tr>
        <w:trPr>
          <w:trHeight w:val="222"/>
        </w:trPr>
        <w:tc>
          <w:tcPr>
            <w:tcW w:w="18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780" w:type="dxa"/>
            <w:vAlign w:val="bottom"/>
            <w:gridSpan w:val="2"/>
          </w:tcPr>
          <w:p>
            <w:pPr>
              <w:jc w:val="center"/>
              <w:ind w:left="493"/>
              <w:spacing w:after="0"/>
              <w:rPr>
                <w:sz w:val="20"/>
                <w:szCs w:val="20"/>
                <w:color w:val="auto"/>
              </w:rPr>
            </w:pPr>
            <w:r>
              <w:rPr>
                <w:rFonts w:ascii="Arial" w:cs="Arial" w:eastAsia="Arial" w:hAnsi="Arial"/>
                <w:sz w:val="18"/>
                <w:szCs w:val="18"/>
                <w:color w:val="auto"/>
                <w:w w:val="91"/>
              </w:rPr>
              <w:t>(Unaudited)</w:t>
            </w:r>
          </w:p>
        </w:tc>
        <w:tc>
          <w:tcPr>
            <w:tcW w:w="1960" w:type="dxa"/>
            <w:vAlign w:val="bottom"/>
          </w:tcPr>
          <w:p>
            <w:pPr>
              <w:spacing w:after="0"/>
              <w:rPr>
                <w:sz w:val="19"/>
                <w:szCs w:val="19"/>
                <w:color w:val="auto"/>
              </w:rPr>
            </w:pPr>
          </w:p>
        </w:tc>
      </w:tr>
      <w:tr>
        <w:trPr>
          <w:trHeight w:val="306"/>
        </w:trPr>
        <w:tc>
          <w:tcPr>
            <w:tcW w:w="1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40" w:type="dxa"/>
            <w:vAlign w:val="bottom"/>
          </w:tcPr>
          <w:p>
            <w:pPr>
              <w:jc w:val="right"/>
              <w:ind w:right="33"/>
              <w:spacing w:after="0"/>
              <w:rPr>
                <w:sz w:val="20"/>
                <w:szCs w:val="20"/>
                <w:color w:val="auto"/>
              </w:rPr>
            </w:pPr>
            <w:r>
              <w:rPr>
                <w:rFonts w:ascii="Courier New" w:cs="Courier New" w:eastAsia="Courier New" w:hAnsi="Courier New"/>
                <w:sz w:val="12"/>
                <w:szCs w:val="12"/>
                <w:color w:val="auto"/>
              </w:rPr>
              <w:t>Accumulated</w:t>
            </w:r>
          </w:p>
        </w:tc>
        <w:tc>
          <w:tcPr>
            <w:tcW w:w="74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135"/>
        </w:trPr>
        <w:tc>
          <w:tcPr>
            <w:tcW w:w="1800" w:type="dxa"/>
            <w:vAlign w:val="bottom"/>
          </w:tcPr>
          <w:p>
            <w:pPr>
              <w:spacing w:after="0"/>
              <w:rPr>
                <w:sz w:val="11"/>
                <w:szCs w:val="11"/>
                <w:color w:val="auto"/>
              </w:rPr>
            </w:pPr>
          </w:p>
        </w:tc>
        <w:tc>
          <w:tcPr>
            <w:tcW w:w="130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Common Stock</w:t>
            </w:r>
          </w:p>
        </w:tc>
        <w:tc>
          <w:tcPr>
            <w:tcW w:w="800" w:type="dxa"/>
            <w:vAlign w:val="bottom"/>
          </w:tcPr>
          <w:p>
            <w:pPr>
              <w:jc w:val="right"/>
              <w:spacing w:after="0"/>
              <w:rPr>
                <w:sz w:val="20"/>
                <w:szCs w:val="20"/>
                <w:color w:val="auto"/>
              </w:rPr>
            </w:pPr>
            <w:r>
              <w:rPr>
                <w:rFonts w:ascii="Courier New" w:cs="Courier New" w:eastAsia="Courier New" w:hAnsi="Courier New"/>
                <w:sz w:val="12"/>
                <w:szCs w:val="12"/>
                <w:color w:val="auto"/>
              </w:rPr>
              <w:t>Additional</w:t>
            </w:r>
          </w:p>
        </w:tc>
        <w:tc>
          <w:tcPr>
            <w:tcW w:w="640" w:type="dxa"/>
            <w:vAlign w:val="bottom"/>
          </w:tcPr>
          <w:p>
            <w:pPr>
              <w:spacing w:after="0"/>
              <w:rPr>
                <w:sz w:val="11"/>
                <w:szCs w:val="11"/>
                <w:color w:val="auto"/>
              </w:rPr>
            </w:pPr>
          </w:p>
        </w:tc>
        <w:tc>
          <w:tcPr>
            <w:tcW w:w="1040" w:type="dxa"/>
            <w:vAlign w:val="bottom"/>
          </w:tcPr>
          <w:p>
            <w:pPr>
              <w:jc w:val="right"/>
              <w:ind w:right="333"/>
              <w:spacing w:after="0"/>
              <w:rPr>
                <w:sz w:val="20"/>
                <w:szCs w:val="20"/>
                <w:color w:val="auto"/>
              </w:rPr>
            </w:pPr>
            <w:r>
              <w:rPr>
                <w:rFonts w:ascii="Courier New" w:cs="Courier New" w:eastAsia="Courier New" w:hAnsi="Courier New"/>
                <w:sz w:val="12"/>
                <w:szCs w:val="12"/>
                <w:color w:val="auto"/>
              </w:rPr>
              <w:t>Other</w:t>
            </w:r>
          </w:p>
        </w:tc>
        <w:tc>
          <w:tcPr>
            <w:tcW w:w="740" w:type="dxa"/>
            <w:vAlign w:val="bottom"/>
          </w:tcPr>
          <w:p>
            <w:pPr>
              <w:spacing w:after="0"/>
              <w:rPr>
                <w:sz w:val="11"/>
                <w:szCs w:val="11"/>
                <w:color w:val="auto"/>
              </w:rPr>
            </w:pPr>
          </w:p>
        </w:tc>
        <w:tc>
          <w:tcPr>
            <w:tcW w:w="1960" w:type="dxa"/>
            <w:vAlign w:val="bottom"/>
          </w:tcPr>
          <w:p>
            <w:pPr>
              <w:ind w:left="180"/>
              <w:spacing w:after="0"/>
              <w:rPr>
                <w:sz w:val="20"/>
                <w:szCs w:val="20"/>
                <w:color w:val="auto"/>
              </w:rPr>
            </w:pPr>
            <w:r>
              <w:rPr>
                <w:rFonts w:ascii="Courier New" w:cs="Courier New" w:eastAsia="Courier New" w:hAnsi="Courier New"/>
                <w:sz w:val="12"/>
                <w:szCs w:val="12"/>
                <w:color w:val="auto"/>
              </w:rPr>
              <w:t>Total</w:t>
            </w:r>
          </w:p>
        </w:tc>
      </w:tr>
      <w:tr>
        <w:trPr>
          <w:trHeight w:val="135"/>
        </w:trPr>
        <w:tc>
          <w:tcPr>
            <w:tcW w:w="1800" w:type="dxa"/>
            <w:vAlign w:val="bottom"/>
          </w:tcPr>
          <w:p>
            <w:pPr>
              <w:spacing w:after="0"/>
              <w:rPr>
                <w:sz w:val="11"/>
                <w:szCs w:val="11"/>
                <w:color w:val="auto"/>
              </w:rPr>
            </w:pPr>
          </w:p>
        </w:tc>
        <w:tc>
          <w:tcPr>
            <w:tcW w:w="13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117"/>
              <w:spacing w:after="0"/>
              <w:rPr>
                <w:sz w:val="20"/>
                <w:szCs w:val="20"/>
                <w:color w:val="auto"/>
              </w:rPr>
            </w:pPr>
            <w:r>
              <w:rPr>
                <w:rFonts w:ascii="Courier New" w:cs="Courier New" w:eastAsia="Courier New" w:hAnsi="Courier New"/>
                <w:sz w:val="12"/>
                <w:szCs w:val="12"/>
                <w:color w:val="auto"/>
              </w:rPr>
              <w:t>Paid-In</w:t>
            </w:r>
          </w:p>
        </w:tc>
        <w:tc>
          <w:tcPr>
            <w:tcW w:w="4380" w:type="dxa"/>
            <w:vAlign w:val="bottom"/>
            <w:gridSpan w:val="4"/>
          </w:tcPr>
          <w:p>
            <w:pPr>
              <w:jc w:val="right"/>
              <w:ind w:right="999"/>
              <w:spacing w:after="0"/>
              <w:rPr>
                <w:sz w:val="20"/>
                <w:szCs w:val="20"/>
                <w:color w:val="auto"/>
              </w:rPr>
            </w:pPr>
            <w:r>
              <w:rPr>
                <w:rFonts w:ascii="Courier New" w:cs="Courier New" w:eastAsia="Courier New" w:hAnsi="Courier New"/>
                <w:sz w:val="12"/>
                <w:szCs w:val="12"/>
                <w:color w:val="auto"/>
              </w:rPr>
              <w:t>Retained Comprehensive Treasury Stockholder's</w:t>
            </w:r>
          </w:p>
        </w:tc>
      </w:tr>
      <w:tr>
        <w:trPr>
          <w:trHeight w:val="135"/>
        </w:trPr>
        <w:tc>
          <w:tcPr>
            <w:tcW w:w="1800" w:type="dxa"/>
            <w:vAlign w:val="bottom"/>
          </w:tcPr>
          <w:p>
            <w:pPr>
              <w:spacing w:after="0"/>
              <w:rPr>
                <w:sz w:val="11"/>
                <w:szCs w:val="11"/>
                <w:color w:val="auto"/>
              </w:rPr>
            </w:pPr>
          </w:p>
        </w:tc>
        <w:tc>
          <w:tcPr>
            <w:tcW w:w="8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Shares</w:t>
            </w: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w w:val="97"/>
              </w:rPr>
              <w:t>Amount</w:t>
            </w:r>
          </w:p>
        </w:tc>
        <w:tc>
          <w:tcPr>
            <w:tcW w:w="800" w:type="dxa"/>
            <w:vAlign w:val="bottom"/>
          </w:tcPr>
          <w:p>
            <w:pPr>
              <w:jc w:val="right"/>
              <w:ind w:right="117"/>
              <w:spacing w:after="0"/>
              <w:rPr>
                <w:sz w:val="20"/>
                <w:szCs w:val="20"/>
                <w:color w:val="auto"/>
              </w:rPr>
            </w:pPr>
            <w:r>
              <w:rPr>
                <w:rFonts w:ascii="Courier New" w:cs="Courier New" w:eastAsia="Courier New" w:hAnsi="Courier New"/>
                <w:sz w:val="12"/>
                <w:szCs w:val="12"/>
                <w:color w:val="auto"/>
              </w:rPr>
              <w:t>Capital</w:t>
            </w: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Earnings</w:t>
            </w:r>
          </w:p>
        </w:tc>
        <w:tc>
          <w:tcPr>
            <w:tcW w:w="1040" w:type="dxa"/>
            <w:vAlign w:val="bottom"/>
          </w:tcPr>
          <w:p>
            <w:pPr>
              <w:jc w:val="right"/>
              <w:ind w:right="173"/>
              <w:spacing w:after="0"/>
              <w:rPr>
                <w:sz w:val="20"/>
                <w:szCs w:val="20"/>
                <w:color w:val="auto"/>
              </w:rPr>
            </w:pPr>
            <w:r>
              <w:rPr>
                <w:rFonts w:ascii="Courier New" w:cs="Courier New" w:eastAsia="Courier New" w:hAnsi="Courier New"/>
                <w:sz w:val="12"/>
                <w:szCs w:val="12"/>
                <w:color w:val="auto"/>
              </w:rPr>
              <w:t>Earnings</w:t>
            </w:r>
          </w:p>
        </w:tc>
        <w:tc>
          <w:tcPr>
            <w:tcW w:w="74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Stock</w:t>
            </w:r>
          </w:p>
        </w:tc>
        <w:tc>
          <w:tcPr>
            <w:tcW w:w="1960" w:type="dxa"/>
            <w:vAlign w:val="bottom"/>
          </w:tcPr>
          <w:p>
            <w:pPr>
              <w:ind w:left="180"/>
              <w:spacing w:after="0"/>
              <w:rPr>
                <w:sz w:val="20"/>
                <w:szCs w:val="20"/>
                <w:color w:val="auto"/>
              </w:rPr>
            </w:pPr>
            <w:r>
              <w:rPr>
                <w:rFonts w:ascii="Courier New" w:cs="Courier New" w:eastAsia="Courier New" w:hAnsi="Courier New"/>
                <w:sz w:val="12"/>
                <w:szCs w:val="12"/>
                <w:color w:val="auto"/>
              </w:rPr>
              <w:t>Equity</w:t>
            </w:r>
          </w:p>
        </w:tc>
      </w:tr>
      <w:tr>
        <w:trPr>
          <w:trHeight w:val="137"/>
        </w:trPr>
        <w:tc>
          <w:tcPr>
            <w:tcW w:w="1800" w:type="dxa"/>
            <w:vAlign w:val="bottom"/>
          </w:tcPr>
          <w:p>
            <w:pPr>
              <w:spacing w:after="0"/>
              <w:rPr>
                <w:sz w:val="11"/>
                <w:szCs w:val="11"/>
                <w:color w:val="auto"/>
              </w:rPr>
            </w:pPr>
          </w:p>
        </w:tc>
        <w:tc>
          <w:tcPr>
            <w:tcW w:w="13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 ------</w:t>
            </w:r>
          </w:p>
        </w:tc>
        <w:tc>
          <w:tcPr>
            <w:tcW w:w="5180" w:type="dxa"/>
            <w:vAlign w:val="bottom"/>
            <w:gridSpan w:val="5"/>
          </w:tcPr>
          <w:p>
            <w:pPr>
              <w:jc w:val="right"/>
              <w:ind w:right="999"/>
              <w:spacing w:after="0"/>
              <w:rPr>
                <w:sz w:val="20"/>
                <w:szCs w:val="20"/>
                <w:color w:val="auto"/>
              </w:rPr>
            </w:pPr>
            <w:r>
              <w:rPr>
                <w:rFonts w:ascii="Courier New" w:cs="Courier New" w:eastAsia="Courier New" w:hAnsi="Courier New"/>
                <w:sz w:val="12"/>
                <w:szCs w:val="12"/>
                <w:color w:val="auto"/>
              </w:rPr>
              <w:t>---------- -------- ------------- -------- -------------</w:t>
            </w:r>
          </w:p>
        </w:tc>
      </w:tr>
      <w:tr>
        <w:trPr>
          <w:trHeight w:val="270"/>
        </w:trPr>
        <w:tc>
          <w:tcPr>
            <w:tcW w:w="2640" w:type="dxa"/>
            <w:vAlign w:val="bottom"/>
            <w:gridSpan w:val="2"/>
          </w:tcPr>
          <w:p>
            <w:pPr>
              <w:spacing w:after="0"/>
              <w:rPr>
                <w:sz w:val="20"/>
                <w:szCs w:val="20"/>
                <w:color w:val="auto"/>
              </w:rPr>
            </w:pPr>
            <w:r>
              <w:rPr>
                <w:rFonts w:ascii="Courier New" w:cs="Courier New" w:eastAsia="Courier New" w:hAnsi="Courier New"/>
                <w:sz w:val="12"/>
                <w:szCs w:val="12"/>
                <w:color w:val="auto"/>
              </w:rPr>
              <w:t>Balance, January 1, 2014 10,590,755</w:t>
            </w: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$ 106</w:t>
            </w:r>
          </w:p>
        </w:tc>
        <w:tc>
          <w:tcPr>
            <w:tcW w:w="800" w:type="dxa"/>
            <w:vAlign w:val="bottom"/>
          </w:tcPr>
          <w:p>
            <w:pPr>
              <w:jc w:val="right"/>
              <w:ind w:right="37"/>
              <w:spacing w:after="0"/>
              <w:rPr>
                <w:sz w:val="20"/>
                <w:szCs w:val="20"/>
                <w:color w:val="auto"/>
              </w:rPr>
            </w:pPr>
            <w:r>
              <w:rPr>
                <w:rFonts w:ascii="Courier New" w:cs="Courier New" w:eastAsia="Courier New" w:hAnsi="Courier New"/>
                <w:sz w:val="12"/>
                <w:szCs w:val="12"/>
                <w:color w:val="auto"/>
              </w:rPr>
              <w:t>$26,187</w:t>
            </w:r>
          </w:p>
        </w:tc>
        <w:tc>
          <w:tcPr>
            <w:tcW w:w="640" w:type="dxa"/>
            <w:vAlign w:val="bottom"/>
          </w:tcPr>
          <w:p>
            <w:pPr>
              <w:jc w:val="right"/>
              <w:ind w:right="19"/>
              <w:spacing w:after="0"/>
              <w:rPr>
                <w:sz w:val="20"/>
                <w:szCs w:val="20"/>
                <w:color w:val="auto"/>
              </w:rPr>
            </w:pPr>
            <w:r>
              <w:rPr>
                <w:rFonts w:ascii="Courier New" w:cs="Courier New" w:eastAsia="Courier New" w:hAnsi="Courier New"/>
                <w:sz w:val="12"/>
                <w:szCs w:val="12"/>
                <w:color w:val="auto"/>
              </w:rPr>
              <w:t>$3,713</w:t>
            </w:r>
          </w:p>
        </w:tc>
        <w:tc>
          <w:tcPr>
            <w:tcW w:w="1040" w:type="dxa"/>
            <w:vAlign w:val="bottom"/>
          </w:tcPr>
          <w:p>
            <w:pPr>
              <w:jc w:val="right"/>
              <w:ind w:right="173"/>
              <w:spacing w:after="0"/>
              <w:rPr>
                <w:sz w:val="20"/>
                <w:szCs w:val="20"/>
                <w:color w:val="auto"/>
              </w:rPr>
            </w:pPr>
            <w:r>
              <w:rPr>
                <w:rFonts w:ascii="Courier New" w:cs="Courier New" w:eastAsia="Courier New" w:hAnsi="Courier New"/>
                <w:sz w:val="12"/>
                <w:szCs w:val="12"/>
                <w:color w:val="auto"/>
              </w:rPr>
              <w:t>$1,347</w:t>
            </w:r>
          </w:p>
        </w:tc>
        <w:tc>
          <w:tcPr>
            <w:tcW w:w="740" w:type="dxa"/>
            <w:vAlign w:val="bottom"/>
          </w:tcPr>
          <w:p>
            <w:pPr>
              <w:jc w:val="right"/>
              <w:ind w:right="59"/>
              <w:spacing w:after="0"/>
              <w:rPr>
                <w:sz w:val="20"/>
                <w:szCs w:val="20"/>
                <w:color w:val="auto"/>
              </w:rPr>
            </w:pPr>
            <w:r>
              <w:rPr>
                <w:rFonts w:ascii="Courier New" w:cs="Courier New" w:eastAsia="Courier New" w:hAnsi="Courier New"/>
                <w:sz w:val="12"/>
                <w:szCs w:val="12"/>
                <w:color w:val="auto"/>
              </w:rPr>
              <w:t>$(204)</w:t>
            </w:r>
          </w:p>
        </w:tc>
        <w:tc>
          <w:tcPr>
            <w:tcW w:w="1960" w:type="dxa"/>
            <w:vAlign w:val="bottom"/>
          </w:tcPr>
          <w:p>
            <w:pPr>
              <w:jc w:val="right"/>
              <w:ind w:right="1279"/>
              <w:spacing w:after="0"/>
              <w:rPr>
                <w:sz w:val="20"/>
                <w:szCs w:val="20"/>
                <w:color w:val="auto"/>
              </w:rPr>
            </w:pPr>
            <w:r>
              <w:rPr>
                <w:rFonts w:ascii="Courier New" w:cs="Courier New" w:eastAsia="Courier New" w:hAnsi="Courier New"/>
                <w:sz w:val="12"/>
                <w:szCs w:val="12"/>
                <w:color w:val="auto"/>
              </w:rPr>
              <w:t>$31,149</w:t>
            </w:r>
          </w:p>
        </w:tc>
      </w:tr>
      <w:tr>
        <w:trPr>
          <w:trHeight w:val="270"/>
        </w:trPr>
        <w:tc>
          <w:tcPr>
            <w:tcW w:w="1800" w:type="dxa"/>
            <w:vAlign w:val="bottom"/>
          </w:tcPr>
          <w:p>
            <w:pPr>
              <w:spacing w:after="0"/>
              <w:rPr>
                <w:sz w:val="20"/>
                <w:szCs w:val="20"/>
                <w:color w:val="auto"/>
              </w:rPr>
            </w:pPr>
            <w:r>
              <w:rPr>
                <w:rFonts w:ascii="Courier New" w:cs="Courier New" w:eastAsia="Courier New" w:hAnsi="Courier New"/>
                <w:sz w:val="12"/>
                <w:szCs w:val="12"/>
                <w:color w:val="auto"/>
              </w:rPr>
              <w:t>Net earnings</w:t>
            </w:r>
          </w:p>
        </w:tc>
        <w:tc>
          <w:tcPr>
            <w:tcW w:w="84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37"/>
              <w:spacing w:after="0"/>
              <w:rPr>
                <w:sz w:val="20"/>
                <w:szCs w:val="20"/>
                <w:color w:val="auto"/>
              </w:rPr>
            </w:pPr>
            <w:r>
              <w:rPr>
                <w:rFonts w:ascii="Courier New" w:cs="Courier New" w:eastAsia="Courier New" w:hAnsi="Courier New"/>
                <w:sz w:val="12"/>
                <w:szCs w:val="12"/>
                <w:color w:val="auto"/>
              </w:rPr>
              <w:t>-</w:t>
            </w:r>
          </w:p>
        </w:tc>
        <w:tc>
          <w:tcPr>
            <w:tcW w:w="640" w:type="dxa"/>
            <w:vAlign w:val="bottom"/>
          </w:tcPr>
          <w:p>
            <w:pPr>
              <w:jc w:val="right"/>
              <w:ind w:right="19"/>
              <w:spacing w:after="0"/>
              <w:rPr>
                <w:sz w:val="20"/>
                <w:szCs w:val="20"/>
                <w:color w:val="auto"/>
              </w:rPr>
            </w:pPr>
            <w:r>
              <w:rPr>
                <w:rFonts w:ascii="Courier New" w:cs="Courier New" w:eastAsia="Courier New" w:hAnsi="Courier New"/>
                <w:sz w:val="12"/>
                <w:szCs w:val="12"/>
                <w:color w:val="auto"/>
              </w:rPr>
              <w:t>286</w:t>
            </w:r>
          </w:p>
        </w:tc>
        <w:tc>
          <w:tcPr>
            <w:tcW w:w="1040" w:type="dxa"/>
            <w:vAlign w:val="bottom"/>
          </w:tcPr>
          <w:p>
            <w:pPr>
              <w:jc w:val="right"/>
              <w:ind w:right="173"/>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1960" w:type="dxa"/>
            <w:vAlign w:val="bottom"/>
          </w:tcPr>
          <w:p>
            <w:pPr>
              <w:jc w:val="right"/>
              <w:ind w:right="1279"/>
              <w:spacing w:after="0"/>
              <w:rPr>
                <w:sz w:val="20"/>
                <w:szCs w:val="20"/>
                <w:color w:val="auto"/>
              </w:rPr>
            </w:pPr>
            <w:r>
              <w:rPr>
                <w:rFonts w:ascii="Courier New" w:cs="Courier New" w:eastAsia="Courier New" w:hAnsi="Courier New"/>
                <w:sz w:val="12"/>
                <w:szCs w:val="12"/>
                <w:color w:val="auto"/>
              </w:rPr>
              <w:t>286</w:t>
            </w:r>
          </w:p>
        </w:tc>
      </w:tr>
      <w:tr>
        <w:trPr>
          <w:trHeight w:val="268"/>
        </w:trPr>
        <w:tc>
          <w:tcPr>
            <w:tcW w:w="1800" w:type="dxa"/>
            <w:vAlign w:val="bottom"/>
          </w:tcPr>
          <w:p>
            <w:pPr>
              <w:spacing w:after="0"/>
              <w:rPr>
                <w:sz w:val="20"/>
                <w:szCs w:val="20"/>
                <w:color w:val="auto"/>
              </w:rPr>
            </w:pPr>
            <w:r>
              <w:rPr>
                <w:rFonts w:ascii="Courier New" w:cs="Courier New" w:eastAsia="Courier New" w:hAnsi="Courier New"/>
                <w:sz w:val="12"/>
                <w:szCs w:val="12"/>
                <w:color w:val="auto"/>
              </w:rPr>
              <w:t>Other comprehensive</w:t>
            </w:r>
          </w:p>
        </w:tc>
        <w:tc>
          <w:tcPr>
            <w:tcW w:w="8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960" w:type="dxa"/>
            <w:vAlign w:val="bottom"/>
          </w:tcPr>
          <w:p>
            <w:pPr>
              <w:spacing w:after="0"/>
              <w:rPr>
                <w:sz w:val="23"/>
                <w:szCs w:val="23"/>
                <w:color w:val="auto"/>
              </w:rPr>
            </w:pPr>
          </w:p>
        </w:tc>
      </w:tr>
      <w:tr>
        <w:trPr>
          <w:trHeight w:val="137"/>
        </w:trPr>
        <w:tc>
          <w:tcPr>
            <w:tcW w:w="1800" w:type="dxa"/>
            <w:vAlign w:val="bottom"/>
          </w:tcPr>
          <w:p>
            <w:pPr>
              <w:ind w:left="160"/>
              <w:spacing w:after="0"/>
              <w:rPr>
                <w:sz w:val="20"/>
                <w:szCs w:val="20"/>
                <w:color w:val="auto"/>
              </w:rPr>
            </w:pPr>
            <w:r>
              <w:rPr>
                <w:rFonts w:ascii="Courier New" w:cs="Courier New" w:eastAsia="Courier New" w:hAnsi="Courier New"/>
                <w:sz w:val="12"/>
                <w:szCs w:val="12"/>
                <w:color w:val="auto"/>
              </w:rPr>
              <w:t>Earnings</w:t>
            </w:r>
          </w:p>
        </w:tc>
        <w:tc>
          <w:tcPr>
            <w:tcW w:w="84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37"/>
              <w:spacing w:after="0"/>
              <w:rPr>
                <w:sz w:val="20"/>
                <w:szCs w:val="20"/>
                <w:color w:val="auto"/>
              </w:rPr>
            </w:pPr>
            <w:r>
              <w:rPr>
                <w:rFonts w:ascii="Courier New" w:cs="Courier New" w:eastAsia="Courier New" w:hAnsi="Courier New"/>
                <w:sz w:val="12"/>
                <w:szCs w:val="12"/>
                <w:color w:val="auto"/>
              </w:rPr>
              <w:t>-</w:t>
            </w:r>
          </w:p>
        </w:tc>
        <w:tc>
          <w:tcPr>
            <w:tcW w:w="64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1040" w:type="dxa"/>
            <w:vAlign w:val="bottom"/>
          </w:tcPr>
          <w:p>
            <w:pPr>
              <w:jc w:val="right"/>
              <w:ind w:right="173"/>
              <w:spacing w:after="0"/>
              <w:rPr>
                <w:sz w:val="20"/>
                <w:szCs w:val="20"/>
                <w:color w:val="auto"/>
              </w:rPr>
            </w:pPr>
            <w:r>
              <w:rPr>
                <w:rFonts w:ascii="Courier New" w:cs="Courier New" w:eastAsia="Courier New" w:hAnsi="Courier New"/>
                <w:sz w:val="12"/>
                <w:szCs w:val="12"/>
                <w:color w:val="auto"/>
              </w:rPr>
              <w:t>4</w:t>
            </w:r>
          </w:p>
        </w:tc>
        <w:tc>
          <w:tcPr>
            <w:tcW w:w="74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1960" w:type="dxa"/>
            <w:vAlign w:val="bottom"/>
          </w:tcPr>
          <w:p>
            <w:pPr>
              <w:jc w:val="right"/>
              <w:ind w:right="1279"/>
              <w:spacing w:after="0"/>
              <w:rPr>
                <w:sz w:val="20"/>
                <w:szCs w:val="20"/>
                <w:color w:val="auto"/>
              </w:rPr>
            </w:pPr>
            <w:r>
              <w:rPr>
                <w:rFonts w:ascii="Courier New" w:cs="Courier New" w:eastAsia="Courier New" w:hAnsi="Courier New"/>
                <w:sz w:val="12"/>
                <w:szCs w:val="12"/>
                <w:color w:val="auto"/>
              </w:rPr>
              <w:t>4</w:t>
            </w:r>
          </w:p>
        </w:tc>
      </w:tr>
      <w:tr>
        <w:trPr>
          <w:trHeight w:val="268"/>
        </w:trPr>
        <w:tc>
          <w:tcPr>
            <w:tcW w:w="1800" w:type="dxa"/>
            <w:vAlign w:val="bottom"/>
          </w:tcPr>
          <w:p>
            <w:pPr>
              <w:spacing w:after="0"/>
              <w:rPr>
                <w:sz w:val="20"/>
                <w:szCs w:val="20"/>
                <w:color w:val="auto"/>
              </w:rPr>
            </w:pPr>
            <w:r>
              <w:rPr>
                <w:rFonts w:ascii="Courier New" w:cs="Courier New" w:eastAsia="Courier New" w:hAnsi="Courier New"/>
                <w:sz w:val="12"/>
                <w:szCs w:val="12"/>
                <w:color w:val="auto"/>
              </w:rPr>
              <w:t>Amortization of deferred</w:t>
            </w:r>
          </w:p>
        </w:tc>
        <w:tc>
          <w:tcPr>
            <w:tcW w:w="8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960" w:type="dxa"/>
            <w:vAlign w:val="bottom"/>
          </w:tcPr>
          <w:p>
            <w:pPr>
              <w:spacing w:after="0"/>
              <w:rPr>
                <w:sz w:val="23"/>
                <w:szCs w:val="23"/>
                <w:color w:val="auto"/>
              </w:rPr>
            </w:pPr>
          </w:p>
        </w:tc>
      </w:tr>
      <w:tr>
        <w:trPr>
          <w:trHeight w:val="135"/>
        </w:trPr>
        <w:tc>
          <w:tcPr>
            <w:tcW w:w="1800" w:type="dxa"/>
            <w:vAlign w:val="bottom"/>
          </w:tcPr>
          <w:p>
            <w:pPr>
              <w:ind w:left="160"/>
              <w:spacing w:after="0"/>
              <w:rPr>
                <w:sz w:val="20"/>
                <w:szCs w:val="20"/>
                <w:color w:val="auto"/>
              </w:rPr>
            </w:pPr>
            <w:r>
              <w:rPr>
                <w:rFonts w:ascii="Courier New" w:cs="Courier New" w:eastAsia="Courier New" w:hAnsi="Courier New"/>
                <w:sz w:val="12"/>
                <w:szCs w:val="12"/>
                <w:color w:val="auto"/>
              </w:rPr>
              <w:t>compensation related</w:t>
            </w: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960" w:type="dxa"/>
            <w:vAlign w:val="bottom"/>
          </w:tcPr>
          <w:p>
            <w:pPr>
              <w:spacing w:after="0"/>
              <w:rPr>
                <w:sz w:val="11"/>
                <w:szCs w:val="11"/>
                <w:color w:val="auto"/>
              </w:rPr>
            </w:pPr>
          </w:p>
        </w:tc>
      </w:tr>
      <w:tr>
        <w:trPr>
          <w:trHeight w:val="137"/>
        </w:trPr>
        <w:tc>
          <w:tcPr>
            <w:tcW w:w="1800" w:type="dxa"/>
            <w:vAlign w:val="bottom"/>
          </w:tcPr>
          <w:p>
            <w:pPr>
              <w:ind w:left="160"/>
              <w:spacing w:after="0"/>
              <w:rPr>
                <w:sz w:val="20"/>
                <w:szCs w:val="20"/>
                <w:color w:val="auto"/>
              </w:rPr>
            </w:pPr>
            <w:r>
              <w:rPr>
                <w:rFonts w:ascii="Courier New" w:cs="Courier New" w:eastAsia="Courier New" w:hAnsi="Courier New"/>
                <w:sz w:val="12"/>
                <w:szCs w:val="12"/>
                <w:color w:val="auto"/>
              </w:rPr>
              <w:t>to restricted stock</w:t>
            </w:r>
          </w:p>
        </w:tc>
        <w:tc>
          <w:tcPr>
            <w:tcW w:w="84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37"/>
              <w:spacing w:after="0"/>
              <w:rPr>
                <w:sz w:val="20"/>
                <w:szCs w:val="20"/>
                <w:color w:val="auto"/>
              </w:rPr>
            </w:pPr>
            <w:r>
              <w:rPr>
                <w:rFonts w:ascii="Courier New" w:cs="Courier New" w:eastAsia="Courier New" w:hAnsi="Courier New"/>
                <w:sz w:val="12"/>
                <w:szCs w:val="12"/>
                <w:color w:val="auto"/>
              </w:rPr>
              <w:t>41</w:t>
            </w:r>
          </w:p>
        </w:tc>
        <w:tc>
          <w:tcPr>
            <w:tcW w:w="64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1040" w:type="dxa"/>
            <w:vAlign w:val="bottom"/>
          </w:tcPr>
          <w:p>
            <w:pPr>
              <w:jc w:val="right"/>
              <w:ind w:right="173"/>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1960" w:type="dxa"/>
            <w:vAlign w:val="bottom"/>
          </w:tcPr>
          <w:p>
            <w:pPr>
              <w:jc w:val="right"/>
              <w:ind w:right="1279"/>
              <w:spacing w:after="0"/>
              <w:rPr>
                <w:sz w:val="20"/>
                <w:szCs w:val="20"/>
                <w:color w:val="auto"/>
              </w:rPr>
            </w:pPr>
            <w:r>
              <w:rPr>
                <w:rFonts w:ascii="Courier New" w:cs="Courier New" w:eastAsia="Courier New" w:hAnsi="Courier New"/>
                <w:sz w:val="12"/>
                <w:szCs w:val="12"/>
                <w:color w:val="auto"/>
              </w:rPr>
              <w:t>41</w:t>
            </w:r>
          </w:p>
        </w:tc>
      </w:tr>
      <w:tr>
        <w:trPr>
          <w:trHeight w:val="268"/>
        </w:trPr>
        <w:tc>
          <w:tcPr>
            <w:tcW w:w="1800" w:type="dxa"/>
            <w:vAlign w:val="bottom"/>
          </w:tcPr>
          <w:p>
            <w:pPr>
              <w:spacing w:after="0"/>
              <w:rPr>
                <w:sz w:val="20"/>
                <w:szCs w:val="20"/>
                <w:color w:val="auto"/>
              </w:rPr>
            </w:pPr>
            <w:r>
              <w:rPr>
                <w:rFonts w:ascii="Courier New" w:cs="Courier New" w:eastAsia="Courier New" w:hAnsi="Courier New"/>
                <w:sz w:val="12"/>
                <w:szCs w:val="12"/>
                <w:color w:val="auto"/>
              </w:rPr>
              <w:t>Forfeiture of non-vested</w:t>
            </w:r>
          </w:p>
        </w:tc>
        <w:tc>
          <w:tcPr>
            <w:tcW w:w="8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960" w:type="dxa"/>
            <w:vAlign w:val="bottom"/>
          </w:tcPr>
          <w:p>
            <w:pPr>
              <w:spacing w:after="0"/>
              <w:rPr>
                <w:sz w:val="23"/>
                <w:szCs w:val="23"/>
                <w:color w:val="auto"/>
              </w:rPr>
            </w:pPr>
          </w:p>
        </w:tc>
      </w:tr>
      <w:tr>
        <w:trPr>
          <w:trHeight w:val="135"/>
        </w:trPr>
        <w:tc>
          <w:tcPr>
            <w:tcW w:w="1800" w:type="dxa"/>
            <w:vAlign w:val="bottom"/>
          </w:tcPr>
          <w:p>
            <w:pPr>
              <w:ind w:left="160"/>
              <w:spacing w:after="0"/>
              <w:rPr>
                <w:sz w:val="20"/>
                <w:szCs w:val="20"/>
                <w:color w:val="auto"/>
              </w:rPr>
            </w:pPr>
            <w:r>
              <w:rPr>
                <w:rFonts w:ascii="Courier New" w:cs="Courier New" w:eastAsia="Courier New" w:hAnsi="Courier New"/>
                <w:sz w:val="12"/>
                <w:szCs w:val="12"/>
                <w:color w:val="auto"/>
              </w:rPr>
              <w:t>shares of restricted</w:t>
            </w: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960" w:type="dxa"/>
            <w:vAlign w:val="bottom"/>
          </w:tcPr>
          <w:p>
            <w:pPr>
              <w:spacing w:after="0"/>
              <w:rPr>
                <w:sz w:val="11"/>
                <w:szCs w:val="11"/>
                <w:color w:val="auto"/>
              </w:rPr>
            </w:pPr>
          </w:p>
        </w:tc>
      </w:tr>
      <w:tr>
        <w:trPr>
          <w:trHeight w:val="135"/>
        </w:trPr>
        <w:tc>
          <w:tcPr>
            <w:tcW w:w="1800" w:type="dxa"/>
            <w:vAlign w:val="bottom"/>
          </w:tcPr>
          <w:p>
            <w:pPr>
              <w:ind w:left="160"/>
              <w:spacing w:after="0"/>
              <w:rPr>
                <w:sz w:val="20"/>
                <w:szCs w:val="20"/>
                <w:color w:val="auto"/>
              </w:rPr>
            </w:pPr>
            <w:r>
              <w:rPr>
                <w:rFonts w:ascii="Courier New" w:cs="Courier New" w:eastAsia="Courier New" w:hAnsi="Courier New"/>
                <w:sz w:val="12"/>
                <w:szCs w:val="12"/>
                <w:color w:val="auto"/>
              </w:rPr>
              <w:t>stock</w:t>
            </w:r>
          </w:p>
        </w:tc>
        <w:tc>
          <w:tcPr>
            <w:tcW w:w="840" w:type="dxa"/>
            <w:vAlign w:val="bottom"/>
          </w:tcPr>
          <w:p>
            <w:pPr>
              <w:jc w:val="right"/>
              <w:spacing w:after="0"/>
              <w:rPr>
                <w:sz w:val="20"/>
                <w:szCs w:val="20"/>
                <w:color w:val="auto"/>
              </w:rPr>
            </w:pPr>
            <w:r>
              <w:rPr>
                <w:rFonts w:ascii="Courier New" w:cs="Courier New" w:eastAsia="Courier New" w:hAnsi="Courier New"/>
                <w:sz w:val="12"/>
                <w:szCs w:val="12"/>
                <w:color w:val="auto"/>
              </w:rPr>
              <w:t>(5,000)</w:t>
            </w: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37"/>
              <w:spacing w:after="0"/>
              <w:rPr>
                <w:sz w:val="20"/>
                <w:szCs w:val="20"/>
                <w:color w:val="auto"/>
              </w:rPr>
            </w:pPr>
            <w:r>
              <w:rPr>
                <w:rFonts w:ascii="Courier New" w:cs="Courier New" w:eastAsia="Courier New" w:hAnsi="Courier New"/>
                <w:sz w:val="12"/>
                <w:szCs w:val="12"/>
                <w:color w:val="auto"/>
              </w:rPr>
              <w:t>-</w:t>
            </w:r>
          </w:p>
        </w:tc>
        <w:tc>
          <w:tcPr>
            <w:tcW w:w="64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1040" w:type="dxa"/>
            <w:vAlign w:val="bottom"/>
          </w:tcPr>
          <w:p>
            <w:pPr>
              <w:jc w:val="right"/>
              <w:ind w:right="173"/>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1960" w:type="dxa"/>
            <w:vAlign w:val="bottom"/>
          </w:tcPr>
          <w:p>
            <w:pPr>
              <w:jc w:val="right"/>
              <w:ind w:right="1279"/>
              <w:spacing w:after="0"/>
              <w:rPr>
                <w:sz w:val="20"/>
                <w:szCs w:val="20"/>
                <w:color w:val="auto"/>
              </w:rPr>
            </w:pPr>
            <w:r>
              <w:rPr>
                <w:rFonts w:ascii="Courier New" w:cs="Courier New" w:eastAsia="Courier New" w:hAnsi="Courier New"/>
                <w:sz w:val="12"/>
                <w:szCs w:val="12"/>
                <w:color w:val="auto"/>
              </w:rPr>
              <w:t>-</w:t>
            </w:r>
          </w:p>
        </w:tc>
      </w:tr>
      <w:tr>
        <w:trPr>
          <w:trHeight w:val="137"/>
        </w:trPr>
        <w:tc>
          <w:tcPr>
            <w:tcW w:w="1800" w:type="dxa"/>
            <w:vAlign w:val="bottom"/>
          </w:tcPr>
          <w:p>
            <w:pPr>
              <w:spacing w:after="0"/>
              <w:rPr>
                <w:sz w:val="11"/>
                <w:szCs w:val="11"/>
                <w:color w:val="auto"/>
              </w:rPr>
            </w:pPr>
          </w:p>
        </w:tc>
        <w:tc>
          <w:tcPr>
            <w:tcW w:w="84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37"/>
              <w:spacing w:after="0"/>
              <w:rPr>
                <w:sz w:val="20"/>
                <w:szCs w:val="20"/>
                <w:color w:val="auto"/>
              </w:rPr>
            </w:pPr>
            <w:r>
              <w:rPr>
                <w:rFonts w:ascii="Courier New" w:cs="Courier New" w:eastAsia="Courier New" w:hAnsi="Courier New"/>
                <w:sz w:val="12"/>
                <w:szCs w:val="12"/>
                <w:color w:val="auto"/>
              </w:rPr>
              <w:t>-------</w:t>
            </w:r>
          </w:p>
        </w:tc>
        <w:tc>
          <w:tcPr>
            <w:tcW w:w="64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1040" w:type="dxa"/>
            <w:vAlign w:val="bottom"/>
          </w:tcPr>
          <w:p>
            <w:pPr>
              <w:jc w:val="right"/>
              <w:ind w:right="173"/>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1960" w:type="dxa"/>
            <w:vAlign w:val="bottom"/>
          </w:tcPr>
          <w:p>
            <w:pPr>
              <w:jc w:val="right"/>
              <w:ind w:right="1279"/>
              <w:spacing w:after="0"/>
              <w:rPr>
                <w:sz w:val="20"/>
                <w:szCs w:val="20"/>
                <w:color w:val="auto"/>
              </w:rPr>
            </w:pPr>
            <w:r>
              <w:rPr>
                <w:rFonts w:ascii="Courier New" w:cs="Courier New" w:eastAsia="Courier New" w:hAnsi="Courier New"/>
                <w:sz w:val="12"/>
                <w:szCs w:val="12"/>
                <w:color w:val="auto"/>
              </w:rPr>
              <w:t>-------</w:t>
            </w:r>
          </w:p>
        </w:tc>
      </w:tr>
      <w:tr>
        <w:trPr>
          <w:trHeight w:val="268"/>
        </w:trPr>
        <w:tc>
          <w:tcPr>
            <w:tcW w:w="1800" w:type="dxa"/>
            <w:vAlign w:val="bottom"/>
          </w:tcPr>
          <w:p>
            <w:pPr>
              <w:spacing w:after="0"/>
              <w:rPr>
                <w:sz w:val="20"/>
                <w:szCs w:val="20"/>
                <w:color w:val="auto"/>
              </w:rPr>
            </w:pPr>
            <w:r>
              <w:rPr>
                <w:rFonts w:ascii="Courier New" w:cs="Courier New" w:eastAsia="Courier New" w:hAnsi="Courier New"/>
                <w:sz w:val="12"/>
                <w:szCs w:val="12"/>
                <w:color w:val="auto"/>
              </w:rPr>
              <w:t>Balance, March 31, 2014</w:t>
            </w:r>
          </w:p>
        </w:tc>
        <w:tc>
          <w:tcPr>
            <w:tcW w:w="84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10,585,755</w:t>
            </w: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$ 106</w:t>
            </w:r>
          </w:p>
        </w:tc>
        <w:tc>
          <w:tcPr>
            <w:tcW w:w="800" w:type="dxa"/>
            <w:vAlign w:val="bottom"/>
          </w:tcPr>
          <w:p>
            <w:pPr>
              <w:jc w:val="right"/>
              <w:ind w:right="37"/>
              <w:spacing w:after="0"/>
              <w:rPr>
                <w:sz w:val="20"/>
                <w:szCs w:val="20"/>
                <w:color w:val="auto"/>
              </w:rPr>
            </w:pPr>
            <w:r>
              <w:rPr>
                <w:rFonts w:ascii="Courier New" w:cs="Courier New" w:eastAsia="Courier New" w:hAnsi="Courier New"/>
                <w:sz w:val="12"/>
                <w:szCs w:val="12"/>
                <w:color w:val="auto"/>
              </w:rPr>
              <w:t>$26,228</w:t>
            </w:r>
          </w:p>
        </w:tc>
        <w:tc>
          <w:tcPr>
            <w:tcW w:w="640" w:type="dxa"/>
            <w:vAlign w:val="bottom"/>
          </w:tcPr>
          <w:p>
            <w:pPr>
              <w:jc w:val="right"/>
              <w:ind w:right="19"/>
              <w:spacing w:after="0"/>
              <w:rPr>
                <w:sz w:val="20"/>
                <w:szCs w:val="20"/>
                <w:color w:val="auto"/>
              </w:rPr>
            </w:pPr>
            <w:r>
              <w:rPr>
                <w:rFonts w:ascii="Courier New" w:cs="Courier New" w:eastAsia="Courier New" w:hAnsi="Courier New"/>
                <w:sz w:val="12"/>
                <w:szCs w:val="12"/>
                <w:color w:val="auto"/>
              </w:rPr>
              <w:t>$3,999</w:t>
            </w:r>
          </w:p>
        </w:tc>
        <w:tc>
          <w:tcPr>
            <w:tcW w:w="1040" w:type="dxa"/>
            <w:vAlign w:val="bottom"/>
          </w:tcPr>
          <w:p>
            <w:pPr>
              <w:jc w:val="right"/>
              <w:ind w:right="173"/>
              <w:spacing w:after="0"/>
              <w:rPr>
                <w:sz w:val="20"/>
                <w:szCs w:val="20"/>
                <w:color w:val="auto"/>
              </w:rPr>
            </w:pPr>
            <w:r>
              <w:rPr>
                <w:rFonts w:ascii="Courier New" w:cs="Courier New" w:eastAsia="Courier New" w:hAnsi="Courier New"/>
                <w:sz w:val="12"/>
                <w:szCs w:val="12"/>
                <w:color w:val="auto"/>
              </w:rPr>
              <w:t>$1,351</w:t>
            </w:r>
          </w:p>
        </w:tc>
        <w:tc>
          <w:tcPr>
            <w:tcW w:w="740" w:type="dxa"/>
            <w:vAlign w:val="bottom"/>
          </w:tcPr>
          <w:p>
            <w:pPr>
              <w:jc w:val="right"/>
              <w:ind w:right="59"/>
              <w:spacing w:after="0"/>
              <w:rPr>
                <w:sz w:val="20"/>
                <w:szCs w:val="20"/>
                <w:color w:val="auto"/>
              </w:rPr>
            </w:pPr>
            <w:r>
              <w:rPr>
                <w:rFonts w:ascii="Courier New" w:cs="Courier New" w:eastAsia="Courier New" w:hAnsi="Courier New"/>
                <w:sz w:val="12"/>
                <w:szCs w:val="12"/>
                <w:color w:val="auto"/>
              </w:rPr>
              <w:t>$(204)</w:t>
            </w:r>
          </w:p>
        </w:tc>
        <w:tc>
          <w:tcPr>
            <w:tcW w:w="1960" w:type="dxa"/>
            <w:vAlign w:val="bottom"/>
          </w:tcPr>
          <w:p>
            <w:pPr>
              <w:jc w:val="right"/>
              <w:ind w:right="1279"/>
              <w:spacing w:after="0"/>
              <w:rPr>
                <w:sz w:val="20"/>
                <w:szCs w:val="20"/>
                <w:color w:val="auto"/>
              </w:rPr>
            </w:pPr>
            <w:r>
              <w:rPr>
                <w:rFonts w:ascii="Courier New" w:cs="Courier New" w:eastAsia="Courier New" w:hAnsi="Courier New"/>
                <w:sz w:val="12"/>
                <w:szCs w:val="12"/>
                <w:color w:val="auto"/>
              </w:rPr>
              <w:t>$31,480</w:t>
            </w:r>
          </w:p>
        </w:tc>
      </w:tr>
      <w:tr>
        <w:trPr>
          <w:trHeight w:val="137"/>
        </w:trPr>
        <w:tc>
          <w:tcPr>
            <w:tcW w:w="1800" w:type="dxa"/>
            <w:vAlign w:val="bottom"/>
          </w:tcPr>
          <w:p>
            <w:pPr>
              <w:spacing w:after="0"/>
              <w:rPr>
                <w:sz w:val="11"/>
                <w:szCs w:val="11"/>
                <w:color w:val="auto"/>
              </w:rPr>
            </w:pPr>
          </w:p>
        </w:tc>
        <w:tc>
          <w:tcPr>
            <w:tcW w:w="84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37"/>
              <w:spacing w:after="0"/>
              <w:rPr>
                <w:sz w:val="20"/>
                <w:szCs w:val="20"/>
                <w:color w:val="auto"/>
              </w:rPr>
            </w:pPr>
            <w:r>
              <w:rPr>
                <w:rFonts w:ascii="Courier New" w:cs="Courier New" w:eastAsia="Courier New" w:hAnsi="Courier New"/>
                <w:sz w:val="12"/>
                <w:szCs w:val="12"/>
                <w:color w:val="auto"/>
              </w:rPr>
              <w:t>=======</w:t>
            </w:r>
          </w:p>
        </w:tc>
        <w:tc>
          <w:tcPr>
            <w:tcW w:w="64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1040" w:type="dxa"/>
            <w:vAlign w:val="bottom"/>
          </w:tcPr>
          <w:p>
            <w:pPr>
              <w:jc w:val="right"/>
              <w:ind w:right="173"/>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1960" w:type="dxa"/>
            <w:vAlign w:val="bottom"/>
          </w:tcPr>
          <w:p>
            <w:pPr>
              <w:jc w:val="right"/>
              <w:ind w:right="1279"/>
              <w:spacing w:after="0"/>
              <w:rPr>
                <w:sz w:val="20"/>
                <w:szCs w:val="20"/>
                <w:color w:val="auto"/>
              </w:rPr>
            </w:pPr>
            <w:r>
              <w:rPr>
                <w:rFonts w:ascii="Courier New" w:cs="Courier New" w:eastAsia="Courier New" w:hAnsi="Courier New"/>
                <w:sz w:val="12"/>
                <w:szCs w:val="12"/>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- 3 -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00" w:type="dxa"/>
            <w:vAlign w:val="bottom"/>
            <w:gridSpan w:val="2"/>
          </w:tcPr>
          <w:p>
            <w:pPr>
              <w:jc w:val="center"/>
              <w:ind w:left="4674"/>
              <w:spacing w:after="0"/>
              <w:rPr>
                <w:sz w:val="20"/>
                <w:szCs w:val="20"/>
                <w:color w:val="auto"/>
              </w:rPr>
            </w:pPr>
            <w:r>
              <w:rPr>
                <w:rFonts w:ascii="Arial" w:cs="Arial" w:eastAsia="Arial" w:hAnsi="Arial"/>
                <w:sz w:val="18"/>
                <w:szCs w:val="18"/>
                <w:b w:val="1"/>
                <w:bCs w:val="1"/>
                <w:color w:val="auto"/>
                <w:w w:val="96"/>
              </w:rPr>
              <w:t>inTEST CORPORATION</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780" w:type="dxa"/>
            <w:vAlign w:val="bottom"/>
            <w:gridSpan w:val="3"/>
          </w:tcPr>
          <w:p>
            <w:pPr>
              <w:jc w:val="center"/>
              <w:ind w:left="3594"/>
              <w:spacing w:after="0"/>
              <w:rPr>
                <w:sz w:val="20"/>
                <w:szCs w:val="20"/>
                <w:color w:val="auto"/>
              </w:rPr>
            </w:pPr>
            <w:r>
              <w:rPr>
                <w:rFonts w:ascii="Arial" w:cs="Arial" w:eastAsia="Arial" w:hAnsi="Arial"/>
                <w:sz w:val="18"/>
                <w:szCs w:val="18"/>
                <w:b w:val="1"/>
                <w:bCs w:val="1"/>
                <w:color w:val="auto"/>
                <w:w w:val="96"/>
              </w:rPr>
              <w:t>CONSOLIDATED STATEMENTS OF CASH FLOWS</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1500" w:type="dxa"/>
            <w:vAlign w:val="bottom"/>
          </w:tcPr>
          <w:p>
            <w:pPr>
              <w:jc w:val="center"/>
              <w:ind w:right="415"/>
              <w:spacing w:after="0"/>
              <w:rPr>
                <w:sz w:val="20"/>
                <w:szCs w:val="20"/>
                <w:color w:val="auto"/>
              </w:rPr>
            </w:pPr>
            <w:r>
              <w:rPr>
                <w:rFonts w:ascii="Arial" w:cs="Arial" w:eastAsia="Arial" w:hAnsi="Arial"/>
                <w:sz w:val="18"/>
                <w:szCs w:val="18"/>
                <w:color w:val="auto"/>
                <w:w w:val="88"/>
              </w:rPr>
              <w:t>(In thousands)</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00" w:type="dxa"/>
            <w:vAlign w:val="bottom"/>
          </w:tcPr>
          <w:p>
            <w:pPr>
              <w:spacing w:after="0"/>
              <w:rPr>
                <w:sz w:val="19"/>
                <w:szCs w:val="19"/>
                <w:color w:val="auto"/>
              </w:rPr>
            </w:pPr>
          </w:p>
        </w:tc>
        <w:tc>
          <w:tcPr>
            <w:tcW w:w="1500" w:type="dxa"/>
            <w:vAlign w:val="bottom"/>
          </w:tcPr>
          <w:p>
            <w:pPr>
              <w:jc w:val="right"/>
              <w:ind w:right="535"/>
              <w:spacing w:after="0"/>
              <w:rPr>
                <w:sz w:val="20"/>
                <w:szCs w:val="20"/>
                <w:color w:val="auto"/>
              </w:rPr>
            </w:pPr>
            <w:r>
              <w:rPr>
                <w:rFonts w:ascii="Arial" w:cs="Arial" w:eastAsia="Arial" w:hAnsi="Arial"/>
                <w:sz w:val="18"/>
                <w:szCs w:val="18"/>
                <w:color w:val="auto"/>
                <w:w w:val="93"/>
              </w:rPr>
              <w:t>(Unaudited)</w:t>
            </w: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9"/>
        </w:trPr>
        <w:tc>
          <w:tcPr>
            <w:tcW w:w="5200" w:type="dxa"/>
            <w:vAlign w:val="bottom"/>
          </w:tcPr>
          <w:p>
            <w:pPr>
              <w:spacing w:after="0"/>
              <w:rPr>
                <w:sz w:val="24"/>
                <w:szCs w:val="24"/>
                <w:color w:val="auto"/>
              </w:rPr>
            </w:pPr>
          </w:p>
        </w:tc>
        <w:tc>
          <w:tcPr>
            <w:tcW w:w="2580" w:type="dxa"/>
            <w:vAlign w:val="bottom"/>
            <w:gridSpan w:val="2"/>
          </w:tcPr>
          <w:p>
            <w:pPr>
              <w:jc w:val="right"/>
              <w:ind w:right="499"/>
              <w:spacing w:after="0"/>
              <w:rPr>
                <w:sz w:val="20"/>
                <w:szCs w:val="20"/>
                <w:color w:val="auto"/>
              </w:rPr>
            </w:pPr>
            <w:r>
              <w:rPr>
                <w:rFonts w:ascii="Courier New" w:cs="Courier New" w:eastAsia="Courier New" w:hAnsi="Courier New"/>
                <w:sz w:val="12"/>
                <w:szCs w:val="12"/>
                <w:color w:val="auto"/>
              </w:rPr>
              <w:t>Three Months Ended</w:t>
            </w: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2580" w:type="dxa"/>
            <w:vAlign w:val="bottom"/>
            <w:gridSpan w:val="2"/>
          </w:tcPr>
          <w:p>
            <w:pPr>
              <w:jc w:val="right"/>
              <w:ind w:right="719"/>
              <w:spacing w:after="0"/>
              <w:rPr>
                <w:sz w:val="20"/>
                <w:szCs w:val="20"/>
                <w:color w:val="auto"/>
              </w:rPr>
            </w:pPr>
            <w:r>
              <w:rPr>
                <w:rFonts w:ascii="Courier New" w:cs="Courier New" w:eastAsia="Courier New" w:hAnsi="Courier New"/>
                <w:sz w:val="12"/>
                <w:szCs w:val="12"/>
                <w:color w:val="auto"/>
              </w:rPr>
              <w:t>March 31,</w:t>
            </w: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2580" w:type="dxa"/>
            <w:vAlign w:val="bottom"/>
            <w:gridSpan w:val="2"/>
          </w:tcPr>
          <w:p>
            <w:pPr>
              <w:jc w:val="right"/>
              <w:ind w:right="49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1500" w:type="dxa"/>
            <w:vAlign w:val="bottom"/>
          </w:tcPr>
          <w:p>
            <w:pPr>
              <w:jc w:val="right"/>
              <w:ind w:right="275"/>
              <w:spacing w:after="0"/>
              <w:rPr>
                <w:sz w:val="20"/>
                <w:szCs w:val="20"/>
                <w:color w:val="auto"/>
              </w:rPr>
            </w:pPr>
            <w:r>
              <w:rPr>
                <w:rFonts w:ascii="Courier New" w:cs="Courier New" w:eastAsia="Courier New" w:hAnsi="Courier New"/>
                <w:sz w:val="12"/>
                <w:szCs w:val="12"/>
                <w:color w:val="auto"/>
              </w:rPr>
              <w:t>2014</w:t>
            </w:r>
          </w:p>
        </w:tc>
        <w:tc>
          <w:tcPr>
            <w:tcW w:w="1080" w:type="dxa"/>
            <w:vAlign w:val="bottom"/>
          </w:tcPr>
          <w:p>
            <w:pPr>
              <w:jc w:val="right"/>
              <w:ind w:right="559"/>
              <w:spacing w:after="0"/>
              <w:rPr>
                <w:sz w:val="20"/>
                <w:szCs w:val="20"/>
                <w:color w:val="auto"/>
              </w:rPr>
            </w:pPr>
            <w:r>
              <w:rPr>
                <w:rFonts w:ascii="Courier New" w:cs="Courier New" w:eastAsia="Courier New" w:hAnsi="Courier New"/>
                <w:sz w:val="12"/>
                <w:szCs w:val="12"/>
                <w:color w:val="auto"/>
              </w:rPr>
              <w:t>2013</w:t>
            </w:r>
          </w:p>
        </w:tc>
        <w:tc>
          <w:tcPr>
            <w:tcW w:w="0" w:type="dxa"/>
            <w:vAlign w:val="bottom"/>
          </w:tcPr>
          <w:p>
            <w:pPr>
              <w:spacing w:after="0"/>
              <w:rPr>
                <w:sz w:val="1"/>
                <w:szCs w:val="1"/>
                <w:color w:val="auto"/>
              </w:rPr>
            </w:pPr>
          </w:p>
        </w:tc>
      </w:tr>
      <w:tr>
        <w:trPr>
          <w:trHeight w:val="137"/>
        </w:trPr>
        <w:tc>
          <w:tcPr>
            <w:tcW w:w="5200" w:type="dxa"/>
            <w:vAlign w:val="bottom"/>
            <w:vMerge w:val="restart"/>
          </w:tcPr>
          <w:p>
            <w:pPr>
              <w:spacing w:after="0"/>
              <w:rPr>
                <w:sz w:val="20"/>
                <w:szCs w:val="20"/>
                <w:color w:val="auto"/>
              </w:rPr>
            </w:pPr>
            <w:r>
              <w:rPr>
                <w:rFonts w:ascii="Courier New" w:cs="Courier New" w:eastAsia="Courier New" w:hAnsi="Courier New"/>
                <w:sz w:val="12"/>
                <w:szCs w:val="12"/>
                <w:color w:val="auto"/>
              </w:rPr>
              <w:t>CASH FLOWS FROM OPERATING ACTIVITIES</w:t>
            </w:r>
          </w:p>
        </w:tc>
        <w:tc>
          <w:tcPr>
            <w:tcW w:w="1500" w:type="dxa"/>
            <w:vAlign w:val="bottom"/>
          </w:tcPr>
          <w:p>
            <w:pPr>
              <w:jc w:val="right"/>
              <w:ind w:right="215"/>
              <w:spacing w:after="0"/>
              <w:rPr>
                <w:sz w:val="20"/>
                <w:szCs w:val="20"/>
                <w:color w:val="auto"/>
              </w:rPr>
            </w:pPr>
            <w:r>
              <w:rPr>
                <w:rFonts w:ascii="Courier New" w:cs="Courier New" w:eastAsia="Courier New" w:hAnsi="Courier New"/>
                <w:sz w:val="12"/>
                <w:szCs w:val="12"/>
                <w:color w:val="auto"/>
              </w:rPr>
              <w:t>-------</w:t>
            </w:r>
          </w:p>
        </w:tc>
        <w:tc>
          <w:tcPr>
            <w:tcW w:w="1080" w:type="dxa"/>
            <w:vAlign w:val="bottom"/>
          </w:tcPr>
          <w:p>
            <w:pPr>
              <w:jc w:val="right"/>
              <w:ind w:right="499"/>
              <w:spacing w:after="0"/>
              <w:rPr>
                <w:sz w:val="20"/>
                <w:szCs w:val="20"/>
                <w:color w:val="auto"/>
              </w:rPr>
            </w:pPr>
            <w:r>
              <w:rPr>
                <w:rFonts w:ascii="Courier New" w:cs="Courier New" w:eastAsia="Courier New" w:hAnsi="Courier New"/>
                <w:sz w:val="12"/>
                <w:szCs w:val="12"/>
                <w:color w:val="auto"/>
                <w:w w:val="99"/>
              </w:rPr>
              <w:t>-------</w:t>
            </w:r>
          </w:p>
        </w:tc>
        <w:tc>
          <w:tcPr>
            <w:tcW w:w="0" w:type="dxa"/>
            <w:vAlign w:val="bottom"/>
          </w:tcPr>
          <w:p>
            <w:pPr>
              <w:spacing w:after="0"/>
              <w:rPr>
                <w:sz w:val="1"/>
                <w:szCs w:val="1"/>
                <w:color w:val="auto"/>
              </w:rPr>
            </w:pPr>
          </w:p>
        </w:tc>
      </w:tr>
      <w:tr>
        <w:trPr>
          <w:trHeight w:val="133"/>
        </w:trPr>
        <w:tc>
          <w:tcPr>
            <w:tcW w:w="5200" w:type="dxa"/>
            <w:vAlign w:val="bottom"/>
            <w:vMerge w:val="continue"/>
          </w:tcPr>
          <w:p>
            <w:pPr>
              <w:spacing w:after="0"/>
              <w:rPr>
                <w:sz w:val="11"/>
                <w:szCs w:val="11"/>
                <w:color w:val="auto"/>
              </w:rPr>
            </w:pPr>
          </w:p>
        </w:tc>
        <w:tc>
          <w:tcPr>
            <w:tcW w:w="15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200" w:type="dxa"/>
            <w:vAlign w:val="bottom"/>
          </w:tcPr>
          <w:p>
            <w:pPr>
              <w:spacing w:after="0"/>
              <w:rPr>
                <w:sz w:val="20"/>
                <w:szCs w:val="20"/>
                <w:color w:val="auto"/>
              </w:rPr>
            </w:pPr>
            <w:r>
              <w:rPr>
                <w:rFonts w:ascii="Courier New" w:cs="Courier New" w:eastAsia="Courier New" w:hAnsi="Courier New"/>
                <w:sz w:val="12"/>
                <w:szCs w:val="12"/>
                <w:color w:val="auto"/>
              </w:rPr>
              <w:t>Net earnings</w:t>
            </w:r>
          </w:p>
        </w:tc>
        <w:tc>
          <w:tcPr>
            <w:tcW w:w="1500" w:type="dxa"/>
            <w:vAlign w:val="bottom"/>
          </w:tcPr>
          <w:p>
            <w:pPr>
              <w:jc w:val="right"/>
              <w:ind w:right="215"/>
              <w:spacing w:after="0"/>
              <w:rPr>
                <w:sz w:val="20"/>
                <w:szCs w:val="20"/>
                <w:color w:val="auto"/>
              </w:rPr>
            </w:pPr>
            <w:r>
              <w:rPr>
                <w:rFonts w:ascii="Courier New" w:cs="Courier New" w:eastAsia="Courier New" w:hAnsi="Courier New"/>
                <w:sz w:val="12"/>
                <w:szCs w:val="12"/>
                <w:color w:val="auto"/>
              </w:rPr>
              <w:t>$   286</w:t>
            </w:r>
          </w:p>
        </w:tc>
        <w:tc>
          <w:tcPr>
            <w:tcW w:w="1080" w:type="dxa"/>
            <w:vAlign w:val="bottom"/>
          </w:tcPr>
          <w:p>
            <w:pPr>
              <w:jc w:val="right"/>
              <w:ind w:right="499"/>
              <w:spacing w:after="0"/>
              <w:rPr>
                <w:sz w:val="20"/>
                <w:szCs w:val="20"/>
                <w:color w:val="auto"/>
              </w:rPr>
            </w:pPr>
            <w:r>
              <w:rPr>
                <w:rFonts w:ascii="Courier New" w:cs="Courier New" w:eastAsia="Courier New" w:hAnsi="Courier New"/>
                <w:sz w:val="12"/>
                <w:szCs w:val="12"/>
                <w:color w:val="auto"/>
                <w:w w:val="99"/>
              </w:rPr>
              <w:t>$   292</w:t>
            </w:r>
          </w:p>
        </w:tc>
        <w:tc>
          <w:tcPr>
            <w:tcW w:w="0" w:type="dxa"/>
            <w:vAlign w:val="bottom"/>
          </w:tcPr>
          <w:p>
            <w:pPr>
              <w:spacing w:after="0"/>
              <w:rPr>
                <w:sz w:val="1"/>
                <w:szCs w:val="1"/>
                <w:color w:val="auto"/>
              </w:rPr>
            </w:pPr>
          </w:p>
        </w:tc>
      </w:tr>
      <w:tr>
        <w:trPr>
          <w:trHeight w:val="135"/>
        </w:trPr>
        <w:tc>
          <w:tcPr>
            <w:tcW w:w="5200" w:type="dxa"/>
            <w:vAlign w:val="bottom"/>
          </w:tcPr>
          <w:p>
            <w:pPr>
              <w:spacing w:after="0"/>
              <w:rPr>
                <w:sz w:val="20"/>
                <w:szCs w:val="20"/>
                <w:color w:val="auto"/>
              </w:rPr>
            </w:pPr>
            <w:r>
              <w:rPr>
                <w:rFonts w:ascii="Courier New" w:cs="Courier New" w:eastAsia="Courier New" w:hAnsi="Courier New"/>
                <w:sz w:val="12"/>
                <w:szCs w:val="12"/>
                <w:color w:val="auto"/>
              </w:rPr>
              <w:t>Adjustments to reconcile net earnings to net cash provided by (used in)</w:t>
            </w:r>
          </w:p>
        </w:tc>
        <w:tc>
          <w:tcPr>
            <w:tcW w:w="15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200" w:type="dxa"/>
            <w:vAlign w:val="bottom"/>
          </w:tcPr>
          <w:p>
            <w:pPr>
              <w:ind w:left="80"/>
              <w:spacing w:after="0"/>
              <w:rPr>
                <w:sz w:val="20"/>
                <w:szCs w:val="20"/>
                <w:color w:val="auto"/>
              </w:rPr>
            </w:pPr>
            <w:r>
              <w:rPr>
                <w:rFonts w:ascii="Courier New" w:cs="Courier New" w:eastAsia="Courier New" w:hAnsi="Courier New"/>
                <w:sz w:val="12"/>
                <w:szCs w:val="12"/>
                <w:color w:val="auto"/>
              </w:rPr>
              <w:t>operating activities:</w:t>
            </w:r>
          </w:p>
        </w:tc>
        <w:tc>
          <w:tcPr>
            <w:tcW w:w="15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200" w:type="dxa"/>
            <w:vAlign w:val="bottom"/>
          </w:tcPr>
          <w:p>
            <w:pPr>
              <w:ind w:left="160"/>
              <w:spacing w:after="0"/>
              <w:rPr>
                <w:sz w:val="20"/>
                <w:szCs w:val="20"/>
                <w:color w:val="auto"/>
              </w:rPr>
            </w:pPr>
            <w:r>
              <w:rPr>
                <w:rFonts w:ascii="Courier New" w:cs="Courier New" w:eastAsia="Courier New" w:hAnsi="Courier New"/>
                <w:sz w:val="12"/>
                <w:szCs w:val="12"/>
                <w:color w:val="auto"/>
              </w:rPr>
              <w:t>Depreciation and amortization</w:t>
            </w:r>
          </w:p>
        </w:tc>
        <w:tc>
          <w:tcPr>
            <w:tcW w:w="1500" w:type="dxa"/>
            <w:vAlign w:val="bottom"/>
          </w:tcPr>
          <w:p>
            <w:pPr>
              <w:jc w:val="right"/>
              <w:ind w:right="215"/>
              <w:spacing w:after="0"/>
              <w:rPr>
                <w:sz w:val="20"/>
                <w:szCs w:val="20"/>
                <w:color w:val="auto"/>
              </w:rPr>
            </w:pPr>
            <w:r>
              <w:rPr>
                <w:rFonts w:ascii="Courier New" w:cs="Courier New" w:eastAsia="Courier New" w:hAnsi="Courier New"/>
                <w:sz w:val="12"/>
                <w:szCs w:val="12"/>
                <w:color w:val="auto"/>
              </w:rPr>
              <w:t>217</w:t>
            </w:r>
          </w:p>
        </w:tc>
        <w:tc>
          <w:tcPr>
            <w:tcW w:w="1080" w:type="dxa"/>
            <w:vAlign w:val="bottom"/>
          </w:tcPr>
          <w:p>
            <w:pPr>
              <w:jc w:val="right"/>
              <w:ind w:right="499"/>
              <w:spacing w:after="0"/>
              <w:rPr>
                <w:sz w:val="20"/>
                <w:szCs w:val="20"/>
                <w:color w:val="auto"/>
              </w:rPr>
            </w:pPr>
            <w:r>
              <w:rPr>
                <w:rFonts w:ascii="Courier New" w:cs="Courier New" w:eastAsia="Courier New" w:hAnsi="Courier New"/>
                <w:sz w:val="12"/>
                <w:szCs w:val="12"/>
                <w:color w:val="auto"/>
              </w:rPr>
              <w:t>221</w:t>
            </w:r>
          </w:p>
        </w:tc>
        <w:tc>
          <w:tcPr>
            <w:tcW w:w="0" w:type="dxa"/>
            <w:vAlign w:val="bottom"/>
          </w:tcPr>
          <w:p>
            <w:pPr>
              <w:spacing w:after="0"/>
              <w:rPr>
                <w:sz w:val="1"/>
                <w:szCs w:val="1"/>
                <w:color w:val="auto"/>
              </w:rPr>
            </w:pPr>
          </w:p>
        </w:tc>
      </w:tr>
      <w:tr>
        <w:trPr>
          <w:trHeight w:val="135"/>
        </w:trPr>
        <w:tc>
          <w:tcPr>
            <w:tcW w:w="5200" w:type="dxa"/>
            <w:vAlign w:val="bottom"/>
          </w:tcPr>
          <w:p>
            <w:pPr>
              <w:ind w:left="160"/>
              <w:spacing w:after="0"/>
              <w:rPr>
                <w:sz w:val="20"/>
                <w:szCs w:val="20"/>
                <w:color w:val="auto"/>
              </w:rPr>
            </w:pPr>
            <w:r>
              <w:rPr>
                <w:rFonts w:ascii="Courier New" w:cs="Courier New" w:eastAsia="Courier New" w:hAnsi="Courier New"/>
                <w:sz w:val="12"/>
                <w:szCs w:val="12"/>
                <w:color w:val="auto"/>
              </w:rPr>
              <w:t>Provision for excess and obsolete inventory</w:t>
            </w:r>
          </w:p>
        </w:tc>
        <w:tc>
          <w:tcPr>
            <w:tcW w:w="1500" w:type="dxa"/>
            <w:vAlign w:val="bottom"/>
          </w:tcPr>
          <w:p>
            <w:pPr>
              <w:jc w:val="right"/>
              <w:ind w:right="215"/>
              <w:spacing w:after="0"/>
              <w:rPr>
                <w:sz w:val="20"/>
                <w:szCs w:val="20"/>
                <w:color w:val="auto"/>
              </w:rPr>
            </w:pPr>
            <w:r>
              <w:rPr>
                <w:rFonts w:ascii="Courier New" w:cs="Courier New" w:eastAsia="Courier New" w:hAnsi="Courier New"/>
                <w:sz w:val="12"/>
                <w:szCs w:val="12"/>
                <w:color w:val="auto"/>
              </w:rPr>
              <w:t>35</w:t>
            </w:r>
          </w:p>
        </w:tc>
        <w:tc>
          <w:tcPr>
            <w:tcW w:w="1080" w:type="dxa"/>
            <w:vAlign w:val="bottom"/>
          </w:tcPr>
          <w:p>
            <w:pPr>
              <w:jc w:val="right"/>
              <w:ind w:right="499"/>
              <w:spacing w:after="0"/>
              <w:rPr>
                <w:sz w:val="20"/>
                <w:szCs w:val="20"/>
                <w:color w:val="auto"/>
              </w:rPr>
            </w:pPr>
            <w:r>
              <w:rPr>
                <w:rFonts w:ascii="Courier New" w:cs="Courier New" w:eastAsia="Courier New" w:hAnsi="Courier New"/>
                <w:sz w:val="12"/>
                <w:szCs w:val="12"/>
                <w:color w:val="auto"/>
              </w:rPr>
              <w:t>110</w:t>
            </w:r>
          </w:p>
        </w:tc>
        <w:tc>
          <w:tcPr>
            <w:tcW w:w="0" w:type="dxa"/>
            <w:vAlign w:val="bottom"/>
          </w:tcPr>
          <w:p>
            <w:pPr>
              <w:spacing w:after="0"/>
              <w:rPr>
                <w:sz w:val="1"/>
                <w:szCs w:val="1"/>
                <w:color w:val="auto"/>
              </w:rPr>
            </w:pPr>
          </w:p>
        </w:tc>
      </w:tr>
      <w:tr>
        <w:trPr>
          <w:trHeight w:val="135"/>
        </w:trPr>
        <w:tc>
          <w:tcPr>
            <w:tcW w:w="5200" w:type="dxa"/>
            <w:vAlign w:val="bottom"/>
          </w:tcPr>
          <w:p>
            <w:pPr>
              <w:ind w:left="160"/>
              <w:spacing w:after="0"/>
              <w:rPr>
                <w:sz w:val="20"/>
                <w:szCs w:val="20"/>
                <w:color w:val="auto"/>
              </w:rPr>
            </w:pPr>
            <w:r>
              <w:rPr>
                <w:rFonts w:ascii="Courier New" w:cs="Courier New" w:eastAsia="Courier New" w:hAnsi="Courier New"/>
                <w:sz w:val="12"/>
                <w:szCs w:val="12"/>
                <w:color w:val="auto"/>
              </w:rPr>
              <w:t>Foreign exchange (gain) loss</w:t>
            </w:r>
          </w:p>
        </w:tc>
        <w:tc>
          <w:tcPr>
            <w:tcW w:w="1500" w:type="dxa"/>
            <w:vAlign w:val="bottom"/>
          </w:tcPr>
          <w:p>
            <w:pPr>
              <w:jc w:val="right"/>
              <w:ind w:right="135"/>
              <w:spacing w:after="0"/>
              <w:rPr>
                <w:sz w:val="20"/>
                <w:szCs w:val="20"/>
                <w:color w:val="auto"/>
              </w:rPr>
            </w:pPr>
            <w:r>
              <w:rPr>
                <w:rFonts w:ascii="Courier New" w:cs="Courier New" w:eastAsia="Courier New" w:hAnsi="Courier New"/>
                <w:sz w:val="12"/>
                <w:szCs w:val="12"/>
                <w:color w:val="auto"/>
              </w:rPr>
              <w:t>(1)</w:t>
            </w:r>
          </w:p>
        </w:tc>
        <w:tc>
          <w:tcPr>
            <w:tcW w:w="1080" w:type="dxa"/>
            <w:vAlign w:val="bottom"/>
          </w:tcPr>
          <w:p>
            <w:pPr>
              <w:jc w:val="right"/>
              <w:ind w:right="499"/>
              <w:spacing w:after="0"/>
              <w:rPr>
                <w:sz w:val="20"/>
                <w:szCs w:val="20"/>
                <w:color w:val="auto"/>
              </w:rPr>
            </w:pPr>
            <w:r>
              <w:rPr>
                <w:rFonts w:ascii="Courier New" w:cs="Courier New" w:eastAsia="Courier New" w:hAnsi="Courier New"/>
                <w:sz w:val="12"/>
                <w:szCs w:val="12"/>
                <w:color w:val="auto"/>
              </w:rPr>
              <w:t>8</w:t>
            </w:r>
          </w:p>
        </w:tc>
        <w:tc>
          <w:tcPr>
            <w:tcW w:w="0" w:type="dxa"/>
            <w:vAlign w:val="bottom"/>
          </w:tcPr>
          <w:p>
            <w:pPr>
              <w:spacing w:after="0"/>
              <w:rPr>
                <w:sz w:val="1"/>
                <w:szCs w:val="1"/>
                <w:color w:val="auto"/>
              </w:rPr>
            </w:pPr>
          </w:p>
        </w:tc>
      </w:tr>
      <w:tr>
        <w:trPr>
          <w:trHeight w:val="135"/>
        </w:trPr>
        <w:tc>
          <w:tcPr>
            <w:tcW w:w="5200" w:type="dxa"/>
            <w:vAlign w:val="bottom"/>
          </w:tcPr>
          <w:p>
            <w:pPr>
              <w:ind w:left="160"/>
              <w:spacing w:after="0"/>
              <w:rPr>
                <w:sz w:val="20"/>
                <w:szCs w:val="20"/>
                <w:color w:val="auto"/>
              </w:rPr>
            </w:pPr>
            <w:r>
              <w:rPr>
                <w:rFonts w:ascii="Courier New" w:cs="Courier New" w:eastAsia="Courier New" w:hAnsi="Courier New"/>
                <w:sz w:val="12"/>
                <w:szCs w:val="12"/>
                <w:color w:val="auto"/>
              </w:rPr>
              <w:t>Amortization of deferred compensation related to restricted stock</w:t>
            </w:r>
          </w:p>
        </w:tc>
        <w:tc>
          <w:tcPr>
            <w:tcW w:w="1500" w:type="dxa"/>
            <w:vAlign w:val="bottom"/>
          </w:tcPr>
          <w:p>
            <w:pPr>
              <w:jc w:val="right"/>
              <w:ind w:right="215"/>
              <w:spacing w:after="0"/>
              <w:rPr>
                <w:sz w:val="20"/>
                <w:szCs w:val="20"/>
                <w:color w:val="auto"/>
              </w:rPr>
            </w:pPr>
            <w:r>
              <w:rPr>
                <w:rFonts w:ascii="Courier New" w:cs="Courier New" w:eastAsia="Courier New" w:hAnsi="Courier New"/>
                <w:sz w:val="12"/>
                <w:szCs w:val="12"/>
                <w:color w:val="auto"/>
              </w:rPr>
              <w:t>41</w:t>
            </w:r>
          </w:p>
        </w:tc>
        <w:tc>
          <w:tcPr>
            <w:tcW w:w="1080" w:type="dxa"/>
            <w:vAlign w:val="bottom"/>
          </w:tcPr>
          <w:p>
            <w:pPr>
              <w:jc w:val="right"/>
              <w:ind w:right="499"/>
              <w:spacing w:after="0"/>
              <w:rPr>
                <w:sz w:val="20"/>
                <w:szCs w:val="20"/>
                <w:color w:val="auto"/>
              </w:rPr>
            </w:pPr>
            <w:r>
              <w:rPr>
                <w:rFonts w:ascii="Courier New" w:cs="Courier New" w:eastAsia="Courier New" w:hAnsi="Courier New"/>
                <w:sz w:val="12"/>
                <w:szCs w:val="12"/>
                <w:color w:val="auto"/>
              </w:rPr>
              <w:t>27</w:t>
            </w:r>
          </w:p>
        </w:tc>
        <w:tc>
          <w:tcPr>
            <w:tcW w:w="0" w:type="dxa"/>
            <w:vAlign w:val="bottom"/>
          </w:tcPr>
          <w:p>
            <w:pPr>
              <w:spacing w:after="0"/>
              <w:rPr>
                <w:sz w:val="1"/>
                <w:szCs w:val="1"/>
                <w:color w:val="auto"/>
              </w:rPr>
            </w:pPr>
          </w:p>
        </w:tc>
      </w:tr>
      <w:tr>
        <w:trPr>
          <w:trHeight w:val="137"/>
        </w:trPr>
        <w:tc>
          <w:tcPr>
            <w:tcW w:w="5200" w:type="dxa"/>
            <w:vAlign w:val="bottom"/>
          </w:tcPr>
          <w:p>
            <w:pPr>
              <w:ind w:left="160"/>
              <w:spacing w:after="0"/>
              <w:rPr>
                <w:sz w:val="20"/>
                <w:szCs w:val="20"/>
                <w:color w:val="auto"/>
              </w:rPr>
            </w:pPr>
            <w:r>
              <w:rPr>
                <w:rFonts w:ascii="Courier New" w:cs="Courier New" w:eastAsia="Courier New" w:hAnsi="Courier New"/>
                <w:sz w:val="12"/>
                <w:szCs w:val="12"/>
                <w:color w:val="auto"/>
              </w:rPr>
              <w:t>Proceeds from sale of demonstration equipment, net of gain</w:t>
            </w:r>
          </w:p>
        </w:tc>
        <w:tc>
          <w:tcPr>
            <w:tcW w:w="1500" w:type="dxa"/>
            <w:vAlign w:val="bottom"/>
          </w:tcPr>
          <w:p>
            <w:pPr>
              <w:jc w:val="right"/>
              <w:ind w:right="215"/>
              <w:spacing w:after="0"/>
              <w:rPr>
                <w:sz w:val="20"/>
                <w:szCs w:val="20"/>
                <w:color w:val="auto"/>
              </w:rPr>
            </w:pPr>
            <w:r>
              <w:rPr>
                <w:rFonts w:ascii="Courier New" w:cs="Courier New" w:eastAsia="Courier New" w:hAnsi="Courier New"/>
                <w:sz w:val="12"/>
                <w:szCs w:val="12"/>
                <w:color w:val="auto"/>
              </w:rPr>
              <w:t>8</w:t>
            </w:r>
          </w:p>
        </w:tc>
        <w:tc>
          <w:tcPr>
            <w:tcW w:w="1080" w:type="dxa"/>
            <w:vAlign w:val="bottom"/>
          </w:tcPr>
          <w:p>
            <w:pPr>
              <w:jc w:val="right"/>
              <w:ind w:right="49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bl>
    <w:p>
      <w:pPr>
        <w:sectPr>
          <w:pgSz w:w="11900" w:h="16838" w:orient="portrait"/>
          <w:cols w:equalWidth="0" w:num="1">
            <w:col w:w="10219"/>
          </w:cols>
          <w:pgMar w:left="240" w:top="131" w:right="1440" w:bottom="0" w:gutter="0" w:footer="0" w:header="0"/>
          <w:type w:val="continuous"/>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5560" w:type="dxa"/>
            <w:vAlign w:val="bottom"/>
          </w:tcPr>
          <w:p>
            <w:pPr>
              <w:ind w:left="160"/>
              <w:spacing w:after="0"/>
              <w:rPr>
                <w:sz w:val="20"/>
                <w:szCs w:val="20"/>
                <w:color w:val="auto"/>
              </w:rPr>
            </w:pPr>
            <w:r>
              <w:rPr>
                <w:rFonts w:ascii="Courier New" w:cs="Courier New" w:eastAsia="Courier New" w:hAnsi="Courier New"/>
                <w:sz w:val="12"/>
                <w:szCs w:val="12"/>
                <w:color w:val="auto"/>
              </w:rPr>
              <w:t>Deferred income tax expense</w:t>
            </w:r>
          </w:p>
        </w:tc>
        <w:tc>
          <w:tcPr>
            <w:tcW w:w="42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20</w:t>
            </w:r>
          </w:p>
        </w:tc>
        <w:tc>
          <w:tcPr>
            <w:tcW w:w="200" w:type="dxa"/>
            <w:vAlign w:val="bottom"/>
          </w:tcPr>
          <w:p>
            <w:pPr>
              <w:spacing w:after="0"/>
              <w:rPr>
                <w:sz w:val="11"/>
                <w:szCs w:val="11"/>
                <w:color w:val="auto"/>
              </w:rPr>
            </w:pPr>
          </w:p>
        </w:tc>
        <w:tc>
          <w:tcPr>
            <w:tcW w:w="5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5</w:t>
            </w:r>
          </w:p>
        </w:tc>
      </w:tr>
      <w:tr>
        <w:trPr>
          <w:trHeight w:val="135"/>
        </w:trPr>
        <w:tc>
          <w:tcPr>
            <w:tcW w:w="5560" w:type="dxa"/>
            <w:vAlign w:val="bottom"/>
          </w:tcPr>
          <w:p>
            <w:pPr>
              <w:ind w:left="160"/>
              <w:spacing w:after="0"/>
              <w:rPr>
                <w:sz w:val="20"/>
                <w:szCs w:val="20"/>
                <w:color w:val="auto"/>
              </w:rPr>
            </w:pPr>
            <w:r>
              <w:rPr>
                <w:rFonts w:ascii="Courier New" w:cs="Courier New" w:eastAsia="Courier New" w:hAnsi="Courier New"/>
                <w:sz w:val="12"/>
                <w:szCs w:val="12"/>
                <w:color w:val="auto"/>
              </w:rPr>
              <w:t>Changes in assets and liabilities:</w:t>
            </w: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r>
      <w:tr>
        <w:trPr>
          <w:trHeight w:val="135"/>
        </w:trPr>
        <w:tc>
          <w:tcPr>
            <w:tcW w:w="5560" w:type="dxa"/>
            <w:vAlign w:val="bottom"/>
          </w:tcPr>
          <w:p>
            <w:pPr>
              <w:ind w:left="300"/>
              <w:spacing w:after="0"/>
              <w:rPr>
                <w:sz w:val="20"/>
                <w:szCs w:val="20"/>
                <w:color w:val="auto"/>
              </w:rPr>
            </w:pPr>
            <w:r>
              <w:rPr>
                <w:rFonts w:ascii="Courier New" w:cs="Courier New" w:eastAsia="Courier New" w:hAnsi="Courier New"/>
                <w:sz w:val="12"/>
                <w:szCs w:val="12"/>
                <w:color w:val="auto"/>
              </w:rPr>
              <w:t>Trade accounts receivable</w:t>
            </w:r>
          </w:p>
        </w:tc>
        <w:tc>
          <w:tcPr>
            <w:tcW w:w="420" w:type="dxa"/>
            <w:vAlign w:val="bottom"/>
          </w:tcPr>
          <w:p>
            <w:pPr>
              <w:spacing w:after="0"/>
              <w:rPr>
                <w:sz w:val="11"/>
                <w:szCs w:val="11"/>
                <w:color w:val="auto"/>
              </w:rPr>
            </w:pPr>
          </w:p>
        </w:tc>
        <w:tc>
          <w:tcPr>
            <w:tcW w:w="620" w:type="dxa"/>
            <w:vAlign w:val="bottom"/>
          </w:tcPr>
          <w:p>
            <w:pPr>
              <w:jc w:val="right"/>
              <w:ind w:right="39"/>
              <w:spacing w:after="0"/>
              <w:rPr>
                <w:sz w:val="20"/>
                <w:szCs w:val="20"/>
                <w:color w:val="auto"/>
              </w:rPr>
            </w:pPr>
            <w:r>
              <w:rPr>
                <w:rFonts w:ascii="Courier New" w:cs="Courier New" w:eastAsia="Courier New" w:hAnsi="Courier New"/>
                <w:sz w:val="12"/>
                <w:szCs w:val="12"/>
                <w:color w:val="auto"/>
              </w:rPr>
              <w:t>(142)</w:t>
            </w: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(300)</w:t>
            </w:r>
          </w:p>
        </w:tc>
      </w:tr>
      <w:tr>
        <w:trPr>
          <w:trHeight w:val="135"/>
        </w:trPr>
        <w:tc>
          <w:tcPr>
            <w:tcW w:w="5560" w:type="dxa"/>
            <w:vAlign w:val="bottom"/>
          </w:tcPr>
          <w:p>
            <w:pPr>
              <w:ind w:left="300"/>
              <w:spacing w:after="0"/>
              <w:rPr>
                <w:sz w:val="20"/>
                <w:szCs w:val="20"/>
                <w:color w:val="auto"/>
              </w:rPr>
            </w:pPr>
            <w:r>
              <w:rPr>
                <w:rFonts w:ascii="Courier New" w:cs="Courier New" w:eastAsia="Courier New" w:hAnsi="Courier New"/>
                <w:sz w:val="12"/>
                <w:szCs w:val="12"/>
                <w:color w:val="auto"/>
              </w:rPr>
              <w:t>Inventories</w:t>
            </w:r>
          </w:p>
        </w:tc>
        <w:tc>
          <w:tcPr>
            <w:tcW w:w="420" w:type="dxa"/>
            <w:vAlign w:val="bottom"/>
          </w:tcPr>
          <w:p>
            <w:pPr>
              <w:spacing w:after="0"/>
              <w:rPr>
                <w:sz w:val="11"/>
                <w:szCs w:val="11"/>
                <w:color w:val="auto"/>
              </w:rPr>
            </w:pPr>
          </w:p>
        </w:tc>
        <w:tc>
          <w:tcPr>
            <w:tcW w:w="620" w:type="dxa"/>
            <w:vAlign w:val="bottom"/>
          </w:tcPr>
          <w:p>
            <w:pPr>
              <w:jc w:val="right"/>
              <w:ind w:right="39"/>
              <w:spacing w:after="0"/>
              <w:rPr>
                <w:sz w:val="20"/>
                <w:szCs w:val="20"/>
                <w:color w:val="auto"/>
              </w:rPr>
            </w:pPr>
            <w:r>
              <w:rPr>
                <w:rFonts w:ascii="Courier New" w:cs="Courier New" w:eastAsia="Courier New" w:hAnsi="Courier New"/>
                <w:sz w:val="12"/>
                <w:szCs w:val="12"/>
                <w:color w:val="auto"/>
              </w:rPr>
              <w:t>(595)</w:t>
            </w: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(395)</w:t>
            </w:r>
          </w:p>
        </w:tc>
      </w:tr>
      <w:tr>
        <w:trPr>
          <w:trHeight w:val="135"/>
        </w:trPr>
        <w:tc>
          <w:tcPr>
            <w:tcW w:w="5560" w:type="dxa"/>
            <w:vAlign w:val="bottom"/>
          </w:tcPr>
          <w:p>
            <w:pPr>
              <w:ind w:left="300"/>
              <w:spacing w:after="0"/>
              <w:rPr>
                <w:sz w:val="20"/>
                <w:szCs w:val="20"/>
                <w:color w:val="auto"/>
              </w:rPr>
            </w:pPr>
            <w:r>
              <w:rPr>
                <w:rFonts w:ascii="Courier New" w:cs="Courier New" w:eastAsia="Courier New" w:hAnsi="Courier New"/>
                <w:sz w:val="12"/>
                <w:szCs w:val="12"/>
                <w:color w:val="auto"/>
              </w:rPr>
              <w:t>Prepaid expenses and other current assets</w:t>
            </w:r>
          </w:p>
        </w:tc>
        <w:tc>
          <w:tcPr>
            <w:tcW w:w="42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46</w:t>
            </w: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(24)</w:t>
            </w:r>
          </w:p>
        </w:tc>
      </w:tr>
      <w:tr>
        <w:trPr>
          <w:trHeight w:val="135"/>
        </w:trPr>
        <w:tc>
          <w:tcPr>
            <w:tcW w:w="5560" w:type="dxa"/>
            <w:vAlign w:val="bottom"/>
          </w:tcPr>
          <w:p>
            <w:pPr>
              <w:ind w:left="300"/>
              <w:spacing w:after="0"/>
              <w:rPr>
                <w:sz w:val="20"/>
                <w:szCs w:val="20"/>
                <w:color w:val="auto"/>
              </w:rPr>
            </w:pPr>
            <w:r>
              <w:rPr>
                <w:rFonts w:ascii="Courier New" w:cs="Courier New" w:eastAsia="Courier New" w:hAnsi="Courier New"/>
                <w:sz w:val="12"/>
                <w:szCs w:val="12"/>
                <w:color w:val="auto"/>
              </w:rPr>
              <w:t>Other assets</w:t>
            </w:r>
          </w:p>
        </w:tc>
        <w:tc>
          <w:tcPr>
            <w:tcW w:w="420" w:type="dxa"/>
            <w:vAlign w:val="bottom"/>
          </w:tcPr>
          <w:p>
            <w:pPr>
              <w:spacing w:after="0"/>
              <w:rPr>
                <w:sz w:val="11"/>
                <w:szCs w:val="11"/>
                <w:color w:val="auto"/>
              </w:rPr>
            </w:pPr>
          </w:p>
        </w:tc>
        <w:tc>
          <w:tcPr>
            <w:tcW w:w="620" w:type="dxa"/>
            <w:vAlign w:val="bottom"/>
          </w:tcPr>
          <w:p>
            <w:pPr>
              <w:jc w:val="right"/>
              <w:ind w:right="39"/>
              <w:spacing w:after="0"/>
              <w:rPr>
                <w:sz w:val="20"/>
                <w:szCs w:val="20"/>
                <w:color w:val="auto"/>
              </w:rPr>
            </w:pPr>
            <w:r>
              <w:rPr>
                <w:rFonts w:ascii="Courier New" w:cs="Courier New" w:eastAsia="Courier New" w:hAnsi="Courier New"/>
                <w:sz w:val="12"/>
                <w:szCs w:val="12"/>
                <w:color w:val="auto"/>
              </w:rPr>
              <w:t>(8)</w:t>
            </w: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(2)</w:t>
            </w:r>
          </w:p>
        </w:tc>
      </w:tr>
      <w:tr>
        <w:trPr>
          <w:trHeight w:val="135"/>
        </w:trPr>
        <w:tc>
          <w:tcPr>
            <w:tcW w:w="5560" w:type="dxa"/>
            <w:vAlign w:val="bottom"/>
          </w:tcPr>
          <w:p>
            <w:pPr>
              <w:ind w:left="300"/>
              <w:spacing w:after="0"/>
              <w:rPr>
                <w:sz w:val="20"/>
                <w:szCs w:val="20"/>
                <w:color w:val="auto"/>
              </w:rPr>
            </w:pPr>
            <w:r>
              <w:rPr>
                <w:rFonts w:ascii="Courier New" w:cs="Courier New" w:eastAsia="Courier New" w:hAnsi="Courier New"/>
                <w:sz w:val="12"/>
                <w:szCs w:val="12"/>
                <w:color w:val="auto"/>
              </w:rPr>
              <w:t>Accounts payable</w:t>
            </w:r>
          </w:p>
        </w:tc>
        <w:tc>
          <w:tcPr>
            <w:tcW w:w="42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497</w:t>
            </w:r>
          </w:p>
        </w:tc>
        <w:tc>
          <w:tcPr>
            <w:tcW w:w="200" w:type="dxa"/>
            <w:vAlign w:val="bottom"/>
          </w:tcPr>
          <w:p>
            <w:pPr>
              <w:spacing w:after="0"/>
              <w:rPr>
                <w:sz w:val="11"/>
                <w:szCs w:val="11"/>
                <w:color w:val="auto"/>
              </w:rPr>
            </w:pPr>
          </w:p>
        </w:tc>
        <w:tc>
          <w:tcPr>
            <w:tcW w:w="5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358</w:t>
            </w:r>
          </w:p>
        </w:tc>
      </w:tr>
      <w:tr>
        <w:trPr>
          <w:trHeight w:val="135"/>
        </w:trPr>
        <w:tc>
          <w:tcPr>
            <w:tcW w:w="5560" w:type="dxa"/>
            <w:vAlign w:val="bottom"/>
          </w:tcPr>
          <w:p>
            <w:pPr>
              <w:ind w:left="300"/>
              <w:spacing w:after="0"/>
              <w:rPr>
                <w:sz w:val="20"/>
                <w:szCs w:val="20"/>
                <w:color w:val="auto"/>
              </w:rPr>
            </w:pPr>
            <w:r>
              <w:rPr>
                <w:rFonts w:ascii="Courier New" w:cs="Courier New" w:eastAsia="Courier New" w:hAnsi="Courier New"/>
                <w:sz w:val="12"/>
                <w:szCs w:val="12"/>
                <w:color w:val="auto"/>
              </w:rPr>
              <w:t>Accrued wages and benefits</w:t>
            </w:r>
          </w:p>
        </w:tc>
        <w:tc>
          <w:tcPr>
            <w:tcW w:w="420" w:type="dxa"/>
            <w:vAlign w:val="bottom"/>
          </w:tcPr>
          <w:p>
            <w:pPr>
              <w:spacing w:after="0"/>
              <w:rPr>
                <w:sz w:val="11"/>
                <w:szCs w:val="11"/>
                <w:color w:val="auto"/>
              </w:rPr>
            </w:pPr>
          </w:p>
        </w:tc>
        <w:tc>
          <w:tcPr>
            <w:tcW w:w="620" w:type="dxa"/>
            <w:vAlign w:val="bottom"/>
          </w:tcPr>
          <w:p>
            <w:pPr>
              <w:jc w:val="right"/>
              <w:ind w:right="39"/>
              <w:spacing w:after="0"/>
              <w:rPr>
                <w:sz w:val="20"/>
                <w:szCs w:val="20"/>
                <w:color w:val="auto"/>
              </w:rPr>
            </w:pPr>
            <w:r>
              <w:rPr>
                <w:rFonts w:ascii="Courier New" w:cs="Courier New" w:eastAsia="Courier New" w:hAnsi="Courier New"/>
                <w:sz w:val="12"/>
                <w:szCs w:val="12"/>
                <w:color w:val="auto"/>
              </w:rPr>
              <w:t>(407)</w:t>
            </w: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(385)</w:t>
            </w:r>
          </w:p>
        </w:tc>
      </w:tr>
      <w:tr>
        <w:trPr>
          <w:trHeight w:val="135"/>
        </w:trPr>
        <w:tc>
          <w:tcPr>
            <w:tcW w:w="5560" w:type="dxa"/>
            <w:vAlign w:val="bottom"/>
          </w:tcPr>
          <w:p>
            <w:pPr>
              <w:ind w:left="300"/>
              <w:spacing w:after="0"/>
              <w:rPr>
                <w:sz w:val="20"/>
                <w:szCs w:val="20"/>
                <w:color w:val="auto"/>
              </w:rPr>
            </w:pPr>
            <w:r>
              <w:rPr>
                <w:rFonts w:ascii="Courier New" w:cs="Courier New" w:eastAsia="Courier New" w:hAnsi="Courier New"/>
                <w:sz w:val="12"/>
                <w:szCs w:val="12"/>
                <w:color w:val="auto"/>
              </w:rPr>
              <w:t>Accrued rent</w:t>
            </w:r>
          </w:p>
        </w:tc>
        <w:tc>
          <w:tcPr>
            <w:tcW w:w="42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18</w:t>
            </w:r>
          </w:p>
        </w:tc>
        <w:tc>
          <w:tcPr>
            <w:tcW w:w="200" w:type="dxa"/>
            <w:vAlign w:val="bottom"/>
          </w:tcPr>
          <w:p>
            <w:pPr>
              <w:spacing w:after="0"/>
              <w:rPr>
                <w:sz w:val="11"/>
                <w:szCs w:val="11"/>
                <w:color w:val="auto"/>
              </w:rPr>
            </w:pPr>
          </w:p>
        </w:tc>
        <w:tc>
          <w:tcPr>
            <w:tcW w:w="5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15</w:t>
            </w:r>
          </w:p>
        </w:tc>
      </w:tr>
      <w:tr>
        <w:trPr>
          <w:trHeight w:val="135"/>
        </w:trPr>
        <w:tc>
          <w:tcPr>
            <w:tcW w:w="5560" w:type="dxa"/>
            <w:vAlign w:val="bottom"/>
          </w:tcPr>
          <w:p>
            <w:pPr>
              <w:ind w:left="300"/>
              <w:spacing w:after="0"/>
              <w:rPr>
                <w:sz w:val="20"/>
                <w:szCs w:val="20"/>
                <w:color w:val="auto"/>
              </w:rPr>
            </w:pPr>
            <w:r>
              <w:rPr>
                <w:rFonts w:ascii="Courier New" w:cs="Courier New" w:eastAsia="Courier New" w:hAnsi="Courier New"/>
                <w:sz w:val="12"/>
                <w:szCs w:val="12"/>
                <w:color w:val="auto"/>
              </w:rPr>
              <w:t>Accrued professional fees</w:t>
            </w:r>
          </w:p>
        </w:tc>
        <w:tc>
          <w:tcPr>
            <w:tcW w:w="420" w:type="dxa"/>
            <w:vAlign w:val="bottom"/>
          </w:tcPr>
          <w:p>
            <w:pPr>
              <w:spacing w:after="0"/>
              <w:rPr>
                <w:sz w:val="11"/>
                <w:szCs w:val="11"/>
                <w:color w:val="auto"/>
              </w:rPr>
            </w:pPr>
          </w:p>
        </w:tc>
        <w:tc>
          <w:tcPr>
            <w:tcW w:w="620" w:type="dxa"/>
            <w:vAlign w:val="bottom"/>
          </w:tcPr>
          <w:p>
            <w:pPr>
              <w:jc w:val="right"/>
              <w:ind w:right="39"/>
              <w:spacing w:after="0"/>
              <w:rPr>
                <w:sz w:val="20"/>
                <w:szCs w:val="20"/>
                <w:color w:val="auto"/>
              </w:rPr>
            </w:pPr>
            <w:r>
              <w:rPr>
                <w:rFonts w:ascii="Courier New" w:cs="Courier New" w:eastAsia="Courier New" w:hAnsi="Courier New"/>
                <w:sz w:val="12"/>
                <w:szCs w:val="12"/>
                <w:color w:val="auto"/>
              </w:rPr>
              <w:t>(38)</w:t>
            </w:r>
          </w:p>
        </w:tc>
        <w:tc>
          <w:tcPr>
            <w:tcW w:w="200" w:type="dxa"/>
            <w:vAlign w:val="bottom"/>
          </w:tcPr>
          <w:p>
            <w:pPr>
              <w:spacing w:after="0"/>
              <w:rPr>
                <w:sz w:val="11"/>
                <w:szCs w:val="11"/>
                <w:color w:val="auto"/>
              </w:rPr>
            </w:pPr>
          </w:p>
        </w:tc>
        <w:tc>
          <w:tcPr>
            <w:tcW w:w="5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21</w:t>
            </w:r>
          </w:p>
        </w:tc>
      </w:tr>
      <w:tr>
        <w:trPr>
          <w:trHeight w:val="135"/>
        </w:trPr>
        <w:tc>
          <w:tcPr>
            <w:tcW w:w="5560" w:type="dxa"/>
            <w:vAlign w:val="bottom"/>
          </w:tcPr>
          <w:p>
            <w:pPr>
              <w:ind w:left="300"/>
              <w:spacing w:after="0"/>
              <w:rPr>
                <w:sz w:val="20"/>
                <w:szCs w:val="20"/>
                <w:color w:val="auto"/>
              </w:rPr>
            </w:pPr>
            <w:r>
              <w:rPr>
                <w:rFonts w:ascii="Courier New" w:cs="Courier New" w:eastAsia="Courier New" w:hAnsi="Courier New"/>
                <w:sz w:val="12"/>
                <w:szCs w:val="12"/>
                <w:color w:val="auto"/>
              </w:rPr>
              <w:t>Accrued sales commissions</w:t>
            </w:r>
          </w:p>
        </w:tc>
        <w:tc>
          <w:tcPr>
            <w:tcW w:w="420" w:type="dxa"/>
            <w:vAlign w:val="bottom"/>
          </w:tcPr>
          <w:p>
            <w:pPr>
              <w:spacing w:after="0"/>
              <w:rPr>
                <w:sz w:val="11"/>
                <w:szCs w:val="11"/>
                <w:color w:val="auto"/>
              </w:rPr>
            </w:pPr>
          </w:p>
        </w:tc>
        <w:tc>
          <w:tcPr>
            <w:tcW w:w="620" w:type="dxa"/>
            <w:vAlign w:val="bottom"/>
          </w:tcPr>
          <w:p>
            <w:pPr>
              <w:jc w:val="right"/>
              <w:ind w:right="39"/>
              <w:spacing w:after="0"/>
              <w:rPr>
                <w:sz w:val="20"/>
                <w:szCs w:val="20"/>
                <w:color w:val="auto"/>
              </w:rPr>
            </w:pPr>
            <w:r>
              <w:rPr>
                <w:rFonts w:ascii="Courier New" w:cs="Courier New" w:eastAsia="Courier New" w:hAnsi="Courier New"/>
                <w:sz w:val="12"/>
                <w:szCs w:val="12"/>
                <w:color w:val="auto"/>
              </w:rPr>
              <w:t>(2)</w:t>
            </w:r>
          </w:p>
        </w:tc>
        <w:tc>
          <w:tcPr>
            <w:tcW w:w="200" w:type="dxa"/>
            <w:vAlign w:val="bottom"/>
          </w:tcPr>
          <w:p>
            <w:pPr>
              <w:spacing w:after="0"/>
              <w:rPr>
                <w:sz w:val="11"/>
                <w:szCs w:val="11"/>
                <w:color w:val="auto"/>
              </w:rPr>
            </w:pPr>
          </w:p>
        </w:tc>
        <w:tc>
          <w:tcPr>
            <w:tcW w:w="5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14</w:t>
            </w:r>
          </w:p>
        </w:tc>
      </w:tr>
      <w:tr>
        <w:trPr>
          <w:trHeight w:val="135"/>
        </w:trPr>
        <w:tc>
          <w:tcPr>
            <w:tcW w:w="5560" w:type="dxa"/>
            <w:vAlign w:val="bottom"/>
          </w:tcPr>
          <w:p>
            <w:pPr>
              <w:ind w:left="300"/>
              <w:spacing w:after="0"/>
              <w:rPr>
                <w:sz w:val="20"/>
                <w:szCs w:val="20"/>
                <w:color w:val="auto"/>
              </w:rPr>
            </w:pPr>
            <w:r>
              <w:rPr>
                <w:rFonts w:ascii="Courier New" w:cs="Courier New" w:eastAsia="Courier New" w:hAnsi="Courier New"/>
                <w:sz w:val="12"/>
                <w:szCs w:val="12"/>
                <w:color w:val="auto"/>
              </w:rPr>
              <w:t>Other current liabilities</w:t>
            </w:r>
          </w:p>
        </w:tc>
        <w:tc>
          <w:tcPr>
            <w:tcW w:w="42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54</w:t>
            </w: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(99)</w:t>
            </w:r>
          </w:p>
        </w:tc>
      </w:tr>
      <w:tr>
        <w:trPr>
          <w:trHeight w:val="135"/>
        </w:trPr>
        <w:tc>
          <w:tcPr>
            <w:tcW w:w="5560" w:type="dxa"/>
            <w:vAlign w:val="bottom"/>
          </w:tcPr>
          <w:p>
            <w:pPr>
              <w:spacing w:after="0"/>
              <w:rPr>
                <w:sz w:val="11"/>
                <w:szCs w:val="11"/>
                <w:color w:val="auto"/>
              </w:rPr>
            </w:pPr>
          </w:p>
        </w:tc>
        <w:tc>
          <w:tcPr>
            <w:tcW w:w="104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135"/>
        </w:trPr>
        <w:tc>
          <w:tcPr>
            <w:tcW w:w="5560" w:type="dxa"/>
            <w:vAlign w:val="bottom"/>
          </w:tcPr>
          <w:p>
            <w:pPr>
              <w:spacing w:after="0"/>
              <w:rPr>
                <w:sz w:val="20"/>
                <w:szCs w:val="20"/>
                <w:color w:val="auto"/>
              </w:rPr>
            </w:pPr>
            <w:r>
              <w:rPr>
                <w:rFonts w:ascii="Courier New" w:cs="Courier New" w:eastAsia="Courier New" w:hAnsi="Courier New"/>
                <w:sz w:val="12"/>
                <w:szCs w:val="12"/>
                <w:color w:val="auto"/>
              </w:rPr>
              <w:t>Net cash provided by (used in) operating activities</w:t>
            </w:r>
          </w:p>
        </w:tc>
        <w:tc>
          <w:tcPr>
            <w:tcW w:w="42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29</w:t>
            </w: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(134)</w:t>
            </w:r>
          </w:p>
        </w:tc>
      </w:tr>
      <w:tr>
        <w:trPr>
          <w:trHeight w:val="137"/>
        </w:trPr>
        <w:tc>
          <w:tcPr>
            <w:tcW w:w="5560" w:type="dxa"/>
            <w:vAlign w:val="bottom"/>
          </w:tcPr>
          <w:p>
            <w:pPr>
              <w:spacing w:after="0"/>
              <w:rPr>
                <w:sz w:val="11"/>
                <w:szCs w:val="11"/>
                <w:color w:val="auto"/>
              </w:rPr>
            </w:pPr>
          </w:p>
        </w:tc>
        <w:tc>
          <w:tcPr>
            <w:tcW w:w="104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268"/>
        </w:trPr>
        <w:tc>
          <w:tcPr>
            <w:tcW w:w="5560" w:type="dxa"/>
            <w:vAlign w:val="bottom"/>
          </w:tcPr>
          <w:p>
            <w:pPr>
              <w:spacing w:after="0"/>
              <w:rPr>
                <w:sz w:val="20"/>
                <w:szCs w:val="20"/>
                <w:color w:val="auto"/>
              </w:rPr>
            </w:pPr>
            <w:r>
              <w:rPr>
                <w:rFonts w:ascii="Courier New" w:cs="Courier New" w:eastAsia="Courier New" w:hAnsi="Courier New"/>
                <w:sz w:val="12"/>
                <w:szCs w:val="12"/>
                <w:color w:val="auto"/>
              </w:rPr>
              <w:t>CASH FLOWS FROM INVESTING ACTIVITIES</w:t>
            </w:r>
          </w:p>
        </w:tc>
        <w:tc>
          <w:tcPr>
            <w:tcW w:w="4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00" w:type="dxa"/>
            <w:vAlign w:val="bottom"/>
          </w:tcPr>
          <w:p>
            <w:pPr>
              <w:spacing w:after="0"/>
              <w:rPr>
                <w:sz w:val="23"/>
                <w:szCs w:val="23"/>
                <w:color w:val="auto"/>
              </w:rPr>
            </w:pPr>
          </w:p>
        </w:tc>
      </w:tr>
      <w:tr>
        <w:trPr>
          <w:trHeight w:val="135"/>
        </w:trPr>
        <w:tc>
          <w:tcPr>
            <w:tcW w:w="5560" w:type="dxa"/>
            <w:vAlign w:val="bottom"/>
          </w:tcPr>
          <w:p>
            <w:pPr>
              <w:spacing w:after="0"/>
              <w:rPr>
                <w:sz w:val="20"/>
                <w:szCs w:val="20"/>
                <w:color w:val="auto"/>
              </w:rPr>
            </w:pPr>
            <w:r>
              <w:rPr>
                <w:rFonts w:ascii="Courier New" w:cs="Courier New" w:eastAsia="Courier New" w:hAnsi="Courier New"/>
                <w:sz w:val="12"/>
                <w:szCs w:val="12"/>
                <w:color w:val="auto"/>
              </w:rPr>
              <w:t>Purchase of property and equipment</w:t>
            </w:r>
          </w:p>
        </w:tc>
        <w:tc>
          <w:tcPr>
            <w:tcW w:w="420" w:type="dxa"/>
            <w:vAlign w:val="bottom"/>
          </w:tcPr>
          <w:p>
            <w:pPr>
              <w:spacing w:after="0"/>
              <w:rPr>
                <w:sz w:val="11"/>
                <w:szCs w:val="11"/>
                <w:color w:val="auto"/>
              </w:rPr>
            </w:pPr>
          </w:p>
        </w:tc>
        <w:tc>
          <w:tcPr>
            <w:tcW w:w="620" w:type="dxa"/>
            <w:vAlign w:val="bottom"/>
          </w:tcPr>
          <w:p>
            <w:pPr>
              <w:jc w:val="right"/>
              <w:ind w:right="39"/>
              <w:spacing w:after="0"/>
              <w:rPr>
                <w:sz w:val="20"/>
                <w:szCs w:val="20"/>
                <w:color w:val="auto"/>
              </w:rPr>
            </w:pPr>
            <w:r>
              <w:rPr>
                <w:rFonts w:ascii="Courier New" w:cs="Courier New" w:eastAsia="Courier New" w:hAnsi="Courier New"/>
                <w:sz w:val="12"/>
                <w:szCs w:val="12"/>
                <w:color w:val="auto"/>
              </w:rPr>
              <w:t>(200)</w:t>
            </w: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(44)</w:t>
            </w:r>
          </w:p>
        </w:tc>
      </w:tr>
      <w:tr>
        <w:trPr>
          <w:trHeight w:val="135"/>
        </w:trPr>
        <w:tc>
          <w:tcPr>
            <w:tcW w:w="5560" w:type="dxa"/>
            <w:vAlign w:val="bottom"/>
          </w:tcPr>
          <w:p>
            <w:pPr>
              <w:spacing w:after="0"/>
              <w:rPr>
                <w:sz w:val="11"/>
                <w:szCs w:val="11"/>
                <w:color w:val="auto"/>
              </w:rPr>
            </w:pPr>
          </w:p>
        </w:tc>
        <w:tc>
          <w:tcPr>
            <w:tcW w:w="104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135"/>
        </w:trPr>
        <w:tc>
          <w:tcPr>
            <w:tcW w:w="5560" w:type="dxa"/>
            <w:vAlign w:val="bottom"/>
          </w:tcPr>
          <w:p>
            <w:pPr>
              <w:spacing w:after="0"/>
              <w:rPr>
                <w:sz w:val="20"/>
                <w:szCs w:val="20"/>
                <w:color w:val="auto"/>
              </w:rPr>
            </w:pPr>
            <w:r>
              <w:rPr>
                <w:rFonts w:ascii="Courier New" w:cs="Courier New" w:eastAsia="Courier New" w:hAnsi="Courier New"/>
                <w:sz w:val="12"/>
                <w:szCs w:val="12"/>
                <w:color w:val="auto"/>
              </w:rPr>
              <w:t>Net cash used in investing activities</w:t>
            </w:r>
          </w:p>
        </w:tc>
        <w:tc>
          <w:tcPr>
            <w:tcW w:w="420" w:type="dxa"/>
            <w:vAlign w:val="bottom"/>
          </w:tcPr>
          <w:p>
            <w:pPr>
              <w:spacing w:after="0"/>
              <w:rPr>
                <w:sz w:val="11"/>
                <w:szCs w:val="11"/>
                <w:color w:val="auto"/>
              </w:rPr>
            </w:pPr>
          </w:p>
        </w:tc>
        <w:tc>
          <w:tcPr>
            <w:tcW w:w="620" w:type="dxa"/>
            <w:vAlign w:val="bottom"/>
          </w:tcPr>
          <w:p>
            <w:pPr>
              <w:jc w:val="right"/>
              <w:ind w:right="39"/>
              <w:spacing w:after="0"/>
              <w:rPr>
                <w:sz w:val="20"/>
                <w:szCs w:val="20"/>
                <w:color w:val="auto"/>
              </w:rPr>
            </w:pPr>
            <w:r>
              <w:rPr>
                <w:rFonts w:ascii="Courier New" w:cs="Courier New" w:eastAsia="Courier New" w:hAnsi="Courier New"/>
                <w:sz w:val="12"/>
                <w:szCs w:val="12"/>
                <w:color w:val="auto"/>
              </w:rPr>
              <w:t>(200)</w:t>
            </w: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(44)</w:t>
            </w:r>
          </w:p>
        </w:tc>
      </w:tr>
      <w:tr>
        <w:trPr>
          <w:trHeight w:val="137"/>
        </w:trPr>
        <w:tc>
          <w:tcPr>
            <w:tcW w:w="5560" w:type="dxa"/>
            <w:vAlign w:val="bottom"/>
          </w:tcPr>
          <w:p>
            <w:pPr>
              <w:spacing w:after="0"/>
              <w:rPr>
                <w:sz w:val="11"/>
                <w:szCs w:val="11"/>
                <w:color w:val="auto"/>
              </w:rPr>
            </w:pPr>
          </w:p>
        </w:tc>
        <w:tc>
          <w:tcPr>
            <w:tcW w:w="104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268"/>
        </w:trPr>
        <w:tc>
          <w:tcPr>
            <w:tcW w:w="5560" w:type="dxa"/>
            <w:vAlign w:val="bottom"/>
          </w:tcPr>
          <w:p>
            <w:pPr>
              <w:spacing w:after="0"/>
              <w:rPr>
                <w:sz w:val="20"/>
                <w:szCs w:val="20"/>
                <w:color w:val="auto"/>
              </w:rPr>
            </w:pPr>
            <w:r>
              <w:rPr>
                <w:rFonts w:ascii="Courier New" w:cs="Courier New" w:eastAsia="Courier New" w:hAnsi="Courier New"/>
                <w:sz w:val="12"/>
                <w:szCs w:val="12"/>
                <w:color w:val="auto"/>
              </w:rPr>
              <w:t>CASH FLOWS FROM FINANCING ACTIVITIES</w:t>
            </w:r>
          </w:p>
        </w:tc>
        <w:tc>
          <w:tcPr>
            <w:tcW w:w="4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00" w:type="dxa"/>
            <w:vAlign w:val="bottom"/>
          </w:tcPr>
          <w:p>
            <w:pPr>
              <w:spacing w:after="0"/>
              <w:rPr>
                <w:sz w:val="23"/>
                <w:szCs w:val="23"/>
                <w:color w:val="auto"/>
              </w:rPr>
            </w:pPr>
          </w:p>
        </w:tc>
      </w:tr>
      <w:tr>
        <w:trPr>
          <w:trHeight w:val="135"/>
        </w:trPr>
        <w:tc>
          <w:tcPr>
            <w:tcW w:w="5560" w:type="dxa"/>
            <w:vAlign w:val="bottom"/>
          </w:tcPr>
          <w:p>
            <w:pPr>
              <w:spacing w:after="0"/>
              <w:rPr>
                <w:sz w:val="20"/>
                <w:szCs w:val="20"/>
                <w:color w:val="auto"/>
              </w:rPr>
            </w:pPr>
            <w:r>
              <w:rPr>
                <w:rFonts w:ascii="Courier New" w:cs="Courier New" w:eastAsia="Courier New" w:hAnsi="Courier New"/>
                <w:sz w:val="12"/>
                <w:szCs w:val="12"/>
                <w:color w:val="auto"/>
              </w:rPr>
              <w:t>Proceeds from stock options exercised</w:t>
            </w:r>
          </w:p>
        </w:tc>
        <w:tc>
          <w:tcPr>
            <w:tcW w:w="42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200" w:type="dxa"/>
            <w:vAlign w:val="bottom"/>
          </w:tcPr>
          <w:p>
            <w:pPr>
              <w:spacing w:after="0"/>
              <w:rPr>
                <w:sz w:val="11"/>
                <w:szCs w:val="11"/>
                <w:color w:val="auto"/>
              </w:rPr>
            </w:pPr>
          </w:p>
        </w:tc>
        <w:tc>
          <w:tcPr>
            <w:tcW w:w="5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30</w:t>
            </w:r>
          </w:p>
        </w:tc>
      </w:tr>
      <w:tr>
        <w:trPr>
          <w:trHeight w:val="135"/>
        </w:trPr>
        <w:tc>
          <w:tcPr>
            <w:tcW w:w="5560" w:type="dxa"/>
            <w:vAlign w:val="bottom"/>
          </w:tcPr>
          <w:p>
            <w:pPr>
              <w:spacing w:after="0"/>
              <w:rPr>
                <w:sz w:val="11"/>
                <w:szCs w:val="11"/>
                <w:color w:val="auto"/>
              </w:rPr>
            </w:pPr>
          </w:p>
        </w:tc>
        <w:tc>
          <w:tcPr>
            <w:tcW w:w="104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135"/>
        </w:trPr>
        <w:tc>
          <w:tcPr>
            <w:tcW w:w="5560" w:type="dxa"/>
            <w:vAlign w:val="bottom"/>
          </w:tcPr>
          <w:p>
            <w:pPr>
              <w:spacing w:after="0"/>
              <w:rPr>
                <w:sz w:val="20"/>
                <w:szCs w:val="20"/>
                <w:color w:val="auto"/>
              </w:rPr>
            </w:pPr>
            <w:r>
              <w:rPr>
                <w:rFonts w:ascii="Courier New" w:cs="Courier New" w:eastAsia="Courier New" w:hAnsi="Courier New"/>
                <w:sz w:val="12"/>
                <w:szCs w:val="12"/>
                <w:color w:val="auto"/>
              </w:rPr>
              <w:t>Net cash provided by financing activities</w:t>
            </w:r>
          </w:p>
        </w:tc>
        <w:tc>
          <w:tcPr>
            <w:tcW w:w="42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200" w:type="dxa"/>
            <w:vAlign w:val="bottom"/>
          </w:tcPr>
          <w:p>
            <w:pPr>
              <w:spacing w:after="0"/>
              <w:rPr>
                <w:sz w:val="11"/>
                <w:szCs w:val="11"/>
                <w:color w:val="auto"/>
              </w:rPr>
            </w:pPr>
          </w:p>
        </w:tc>
        <w:tc>
          <w:tcPr>
            <w:tcW w:w="5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30</w:t>
            </w:r>
          </w:p>
        </w:tc>
      </w:tr>
      <w:tr>
        <w:trPr>
          <w:trHeight w:val="135"/>
        </w:trPr>
        <w:tc>
          <w:tcPr>
            <w:tcW w:w="5560" w:type="dxa"/>
            <w:vAlign w:val="bottom"/>
          </w:tcPr>
          <w:p>
            <w:pPr>
              <w:spacing w:after="0"/>
              <w:rPr>
                <w:sz w:val="11"/>
                <w:szCs w:val="11"/>
                <w:color w:val="auto"/>
              </w:rPr>
            </w:pPr>
          </w:p>
        </w:tc>
        <w:tc>
          <w:tcPr>
            <w:tcW w:w="104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135"/>
        </w:trPr>
        <w:tc>
          <w:tcPr>
            <w:tcW w:w="5560" w:type="dxa"/>
            <w:vAlign w:val="bottom"/>
          </w:tcPr>
          <w:p>
            <w:pPr>
              <w:spacing w:after="0"/>
              <w:rPr>
                <w:sz w:val="20"/>
                <w:szCs w:val="20"/>
                <w:color w:val="auto"/>
              </w:rPr>
            </w:pPr>
            <w:r>
              <w:rPr>
                <w:rFonts w:ascii="Courier New" w:cs="Courier New" w:eastAsia="Courier New" w:hAnsi="Courier New"/>
                <w:sz w:val="12"/>
                <w:szCs w:val="12"/>
                <w:color w:val="auto"/>
              </w:rPr>
              <w:t>Effects of exchange rates on cash</w:t>
            </w:r>
          </w:p>
        </w:tc>
        <w:tc>
          <w:tcPr>
            <w:tcW w:w="42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6</w:t>
            </w: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(44)</w:t>
            </w:r>
          </w:p>
        </w:tc>
      </w:tr>
      <w:tr>
        <w:trPr>
          <w:trHeight w:val="135"/>
        </w:trPr>
        <w:tc>
          <w:tcPr>
            <w:tcW w:w="5560" w:type="dxa"/>
            <w:vAlign w:val="bottom"/>
          </w:tcPr>
          <w:p>
            <w:pPr>
              <w:spacing w:after="0"/>
              <w:rPr>
                <w:sz w:val="11"/>
                <w:szCs w:val="11"/>
                <w:color w:val="auto"/>
              </w:rPr>
            </w:pPr>
          </w:p>
        </w:tc>
        <w:tc>
          <w:tcPr>
            <w:tcW w:w="104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135"/>
        </w:trPr>
        <w:tc>
          <w:tcPr>
            <w:tcW w:w="5560" w:type="dxa"/>
            <w:vAlign w:val="bottom"/>
          </w:tcPr>
          <w:p>
            <w:pPr>
              <w:spacing w:after="0"/>
              <w:rPr>
                <w:sz w:val="20"/>
                <w:szCs w:val="20"/>
                <w:color w:val="auto"/>
              </w:rPr>
            </w:pPr>
            <w:r>
              <w:rPr>
                <w:rFonts w:ascii="Courier New" w:cs="Courier New" w:eastAsia="Courier New" w:hAnsi="Courier New"/>
                <w:sz w:val="12"/>
                <w:szCs w:val="12"/>
                <w:color w:val="auto"/>
              </w:rPr>
              <w:t>Net cash used in all activities</w:t>
            </w:r>
          </w:p>
        </w:tc>
        <w:tc>
          <w:tcPr>
            <w:tcW w:w="420" w:type="dxa"/>
            <w:vAlign w:val="bottom"/>
          </w:tcPr>
          <w:p>
            <w:pPr>
              <w:spacing w:after="0"/>
              <w:rPr>
                <w:sz w:val="11"/>
                <w:szCs w:val="11"/>
                <w:color w:val="auto"/>
              </w:rPr>
            </w:pPr>
          </w:p>
        </w:tc>
        <w:tc>
          <w:tcPr>
            <w:tcW w:w="620" w:type="dxa"/>
            <w:vAlign w:val="bottom"/>
          </w:tcPr>
          <w:p>
            <w:pPr>
              <w:jc w:val="right"/>
              <w:ind w:right="39"/>
              <w:spacing w:after="0"/>
              <w:rPr>
                <w:sz w:val="20"/>
                <w:szCs w:val="20"/>
                <w:color w:val="auto"/>
              </w:rPr>
            </w:pPr>
            <w:r>
              <w:rPr>
                <w:rFonts w:ascii="Courier New" w:cs="Courier New" w:eastAsia="Courier New" w:hAnsi="Courier New"/>
                <w:sz w:val="12"/>
                <w:szCs w:val="12"/>
                <w:color w:val="auto"/>
              </w:rPr>
              <w:t>(165)</w:t>
            </w: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(192)</w:t>
            </w:r>
          </w:p>
        </w:tc>
      </w:tr>
      <w:tr>
        <w:trPr>
          <w:trHeight w:val="135"/>
        </w:trPr>
        <w:tc>
          <w:tcPr>
            <w:tcW w:w="5560" w:type="dxa"/>
            <w:vAlign w:val="bottom"/>
          </w:tcPr>
          <w:p>
            <w:pPr>
              <w:spacing w:after="0"/>
              <w:rPr>
                <w:sz w:val="20"/>
                <w:szCs w:val="20"/>
                <w:color w:val="auto"/>
              </w:rPr>
            </w:pPr>
            <w:r>
              <w:rPr>
                <w:rFonts w:ascii="Courier New" w:cs="Courier New" w:eastAsia="Courier New" w:hAnsi="Courier New"/>
                <w:sz w:val="12"/>
                <w:szCs w:val="12"/>
                <w:color w:val="auto"/>
              </w:rPr>
              <w:t>Cash and cash equivalents at beginning of period</w:t>
            </w:r>
          </w:p>
        </w:tc>
        <w:tc>
          <w:tcPr>
            <w:tcW w:w="42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w w:val="97"/>
              </w:rPr>
              <w:t>19,018</w:t>
            </w:r>
          </w:p>
        </w:tc>
        <w:tc>
          <w:tcPr>
            <w:tcW w:w="200" w:type="dxa"/>
            <w:vAlign w:val="bottom"/>
          </w:tcPr>
          <w:p>
            <w:pPr>
              <w:spacing w:after="0"/>
              <w:rPr>
                <w:sz w:val="11"/>
                <w:szCs w:val="11"/>
                <w:color w:val="auto"/>
              </w:rPr>
            </w:pPr>
          </w:p>
        </w:tc>
        <w:tc>
          <w:tcPr>
            <w:tcW w:w="500" w:type="dxa"/>
            <w:vAlign w:val="bottom"/>
          </w:tcPr>
          <w:p>
            <w:pPr>
              <w:jc w:val="right"/>
              <w:ind w:right="19"/>
              <w:spacing w:after="0"/>
              <w:rPr>
                <w:sz w:val="20"/>
                <w:szCs w:val="20"/>
                <w:color w:val="auto"/>
              </w:rPr>
            </w:pPr>
            <w:r>
              <w:rPr>
                <w:rFonts w:ascii="Courier New" w:cs="Courier New" w:eastAsia="Courier New" w:hAnsi="Courier New"/>
                <w:sz w:val="12"/>
                <w:szCs w:val="12"/>
                <w:color w:val="auto"/>
                <w:w w:val="92"/>
              </w:rPr>
              <w:t>15,576</w:t>
            </w:r>
          </w:p>
        </w:tc>
      </w:tr>
      <w:tr>
        <w:trPr>
          <w:trHeight w:val="135"/>
        </w:trPr>
        <w:tc>
          <w:tcPr>
            <w:tcW w:w="5560" w:type="dxa"/>
            <w:vAlign w:val="bottom"/>
          </w:tcPr>
          <w:p>
            <w:pPr>
              <w:spacing w:after="0"/>
              <w:rPr>
                <w:sz w:val="11"/>
                <w:szCs w:val="11"/>
                <w:color w:val="auto"/>
              </w:rPr>
            </w:pPr>
          </w:p>
        </w:tc>
        <w:tc>
          <w:tcPr>
            <w:tcW w:w="104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135"/>
        </w:trPr>
        <w:tc>
          <w:tcPr>
            <w:tcW w:w="5560" w:type="dxa"/>
            <w:vAlign w:val="bottom"/>
          </w:tcPr>
          <w:p>
            <w:pPr>
              <w:spacing w:after="0"/>
              <w:rPr>
                <w:sz w:val="20"/>
                <w:szCs w:val="20"/>
                <w:color w:val="auto"/>
              </w:rPr>
            </w:pPr>
            <w:r>
              <w:rPr>
                <w:rFonts w:ascii="Courier New" w:cs="Courier New" w:eastAsia="Courier New" w:hAnsi="Courier New"/>
                <w:sz w:val="12"/>
                <w:szCs w:val="12"/>
                <w:color w:val="auto"/>
              </w:rPr>
              <w:t>Cash and cash equivalents at end of period</w:t>
            </w:r>
          </w:p>
        </w:tc>
        <w:tc>
          <w:tcPr>
            <w:tcW w:w="104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$18,853</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$15,384</w:t>
            </w:r>
          </w:p>
        </w:tc>
      </w:tr>
      <w:tr>
        <w:trPr>
          <w:trHeight w:val="137"/>
        </w:trPr>
        <w:tc>
          <w:tcPr>
            <w:tcW w:w="5560" w:type="dxa"/>
            <w:vAlign w:val="bottom"/>
          </w:tcPr>
          <w:p>
            <w:pPr>
              <w:spacing w:after="0"/>
              <w:rPr>
                <w:sz w:val="11"/>
                <w:szCs w:val="11"/>
                <w:color w:val="auto"/>
              </w:rPr>
            </w:pPr>
          </w:p>
        </w:tc>
        <w:tc>
          <w:tcPr>
            <w:tcW w:w="104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268"/>
        </w:trPr>
        <w:tc>
          <w:tcPr>
            <w:tcW w:w="5560" w:type="dxa"/>
            <w:vAlign w:val="bottom"/>
          </w:tcPr>
          <w:p>
            <w:pPr>
              <w:spacing w:after="0"/>
              <w:rPr>
                <w:sz w:val="20"/>
                <w:szCs w:val="20"/>
                <w:color w:val="auto"/>
              </w:rPr>
            </w:pPr>
            <w:r>
              <w:rPr>
                <w:rFonts w:ascii="Courier New" w:cs="Courier New" w:eastAsia="Courier New" w:hAnsi="Courier New"/>
                <w:sz w:val="12"/>
                <w:szCs w:val="12"/>
                <w:color w:val="auto"/>
              </w:rPr>
              <w:t>Cash payments for:</w:t>
            </w:r>
          </w:p>
        </w:tc>
        <w:tc>
          <w:tcPr>
            <w:tcW w:w="4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00" w:type="dxa"/>
            <w:vAlign w:val="bottom"/>
          </w:tcPr>
          <w:p>
            <w:pPr>
              <w:spacing w:after="0"/>
              <w:rPr>
                <w:sz w:val="23"/>
                <w:szCs w:val="23"/>
                <w:color w:val="auto"/>
              </w:rPr>
            </w:pPr>
          </w:p>
        </w:tc>
      </w:tr>
      <w:tr>
        <w:trPr>
          <w:trHeight w:val="135"/>
        </w:trPr>
        <w:tc>
          <w:tcPr>
            <w:tcW w:w="5560" w:type="dxa"/>
            <w:vAlign w:val="bottom"/>
          </w:tcPr>
          <w:p>
            <w:pPr>
              <w:ind w:left="160"/>
              <w:spacing w:after="0"/>
              <w:rPr>
                <w:sz w:val="20"/>
                <w:szCs w:val="20"/>
                <w:color w:val="auto"/>
              </w:rPr>
            </w:pPr>
            <w:r>
              <w:rPr>
                <w:rFonts w:ascii="Courier New" w:cs="Courier New" w:eastAsia="Courier New" w:hAnsi="Courier New"/>
                <w:sz w:val="12"/>
                <w:szCs w:val="12"/>
                <w:color w:val="auto"/>
              </w:rPr>
              <w:t>Domestic and foreign income taxes</w:t>
            </w:r>
          </w:p>
        </w:tc>
        <w:tc>
          <w:tcPr>
            <w:tcW w:w="4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134</w:t>
            </w:r>
          </w:p>
        </w:tc>
        <w:tc>
          <w:tcPr>
            <w:tcW w:w="2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5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113</w:t>
            </w:r>
          </w:p>
        </w:tc>
      </w:tr>
      <w:tr>
        <w:trPr>
          <w:trHeight w:val="137"/>
        </w:trPr>
        <w:tc>
          <w:tcPr>
            <w:tcW w:w="5560" w:type="dxa"/>
            <w:vAlign w:val="bottom"/>
          </w:tcPr>
          <w:p>
            <w:pPr>
              <w:ind w:left="160"/>
              <w:spacing w:after="0"/>
              <w:rPr>
                <w:sz w:val="20"/>
                <w:szCs w:val="20"/>
                <w:color w:val="auto"/>
              </w:rPr>
            </w:pPr>
            <w:r>
              <w:rPr>
                <w:rFonts w:ascii="Courier New" w:cs="Courier New" w:eastAsia="Courier New" w:hAnsi="Courier New"/>
                <w:sz w:val="12"/>
                <w:szCs w:val="12"/>
                <w:color w:val="auto"/>
              </w:rPr>
              <w:t>Interest</w:t>
            </w:r>
          </w:p>
        </w:tc>
        <w:tc>
          <w:tcPr>
            <w:tcW w:w="4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2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5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268"/>
        </w:trPr>
        <w:tc>
          <w:tcPr>
            <w:tcW w:w="5560" w:type="dxa"/>
            <w:vAlign w:val="bottom"/>
          </w:tcPr>
          <w:p>
            <w:pPr>
              <w:spacing w:after="0"/>
              <w:rPr>
                <w:sz w:val="20"/>
                <w:szCs w:val="20"/>
                <w:color w:val="auto"/>
              </w:rPr>
            </w:pPr>
            <w:r>
              <w:rPr>
                <w:rFonts w:ascii="Courier New" w:cs="Courier New" w:eastAsia="Courier New" w:hAnsi="Courier New"/>
                <w:sz w:val="12"/>
                <w:szCs w:val="12"/>
                <w:color w:val="auto"/>
              </w:rPr>
              <w:t>SUPPLEMENTAL DISCLOSURE OF NON-CASH INVESTING AND FINANCING ACTIVITIES:</w:t>
            </w:r>
          </w:p>
        </w:tc>
        <w:tc>
          <w:tcPr>
            <w:tcW w:w="4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00" w:type="dxa"/>
            <w:vAlign w:val="bottom"/>
          </w:tcPr>
          <w:p>
            <w:pPr>
              <w:spacing w:after="0"/>
              <w:rPr>
                <w:sz w:val="23"/>
                <w:szCs w:val="23"/>
                <w:color w:val="auto"/>
              </w:rPr>
            </w:pPr>
          </w:p>
        </w:tc>
      </w:tr>
      <w:tr>
        <w:trPr>
          <w:trHeight w:val="135"/>
        </w:trPr>
        <w:tc>
          <w:tcPr>
            <w:tcW w:w="5560" w:type="dxa"/>
            <w:vAlign w:val="bottom"/>
          </w:tcPr>
          <w:p>
            <w:pPr>
              <w:spacing w:after="0"/>
              <w:rPr>
                <w:sz w:val="20"/>
                <w:szCs w:val="20"/>
                <w:color w:val="auto"/>
              </w:rPr>
            </w:pPr>
            <w:r>
              <w:rPr>
                <w:rFonts w:ascii="Courier New" w:cs="Courier New" w:eastAsia="Courier New" w:hAnsi="Courier New"/>
                <w:sz w:val="12"/>
                <w:szCs w:val="12"/>
                <w:color w:val="auto"/>
              </w:rPr>
              <w:t>Issuance of non-vested shares of restricted stock</w:t>
            </w:r>
          </w:p>
        </w:tc>
        <w:tc>
          <w:tcPr>
            <w:tcW w:w="4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2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5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59</w:t>
            </w:r>
          </w:p>
        </w:tc>
      </w:tr>
      <w:tr>
        <w:trPr>
          <w:trHeight w:val="137"/>
        </w:trPr>
        <w:tc>
          <w:tcPr>
            <w:tcW w:w="5560" w:type="dxa"/>
            <w:vAlign w:val="bottom"/>
          </w:tcPr>
          <w:p>
            <w:pPr>
              <w:spacing w:after="0"/>
              <w:rPr>
                <w:sz w:val="20"/>
                <w:szCs w:val="20"/>
                <w:color w:val="auto"/>
              </w:rPr>
            </w:pPr>
            <w:r>
              <w:rPr>
                <w:rFonts w:ascii="Courier New" w:cs="Courier New" w:eastAsia="Courier New" w:hAnsi="Courier New"/>
                <w:sz w:val="12"/>
                <w:szCs w:val="12"/>
                <w:color w:val="auto"/>
              </w:rPr>
              <w:t>Forfeiture of non-vested shares of restricted stock</w:t>
            </w:r>
          </w:p>
        </w:tc>
        <w:tc>
          <w:tcPr>
            <w:tcW w:w="4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20</w:t>
            </w:r>
          </w:p>
        </w:tc>
        <w:tc>
          <w:tcPr>
            <w:tcW w:w="2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5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r>
    </w:tbl>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and per share data)</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OPERATIONS</w:t>
      </w:r>
    </w:p>
    <w:p>
      <w:pPr>
        <w:spacing w:after="0" w:line="191" w:lineRule="exact"/>
        <w:rPr>
          <w:sz w:val="20"/>
          <w:szCs w:val="20"/>
          <w:color w:val="auto"/>
        </w:rPr>
      </w:pPr>
    </w:p>
    <w:p>
      <w:pPr>
        <w:ind w:left="540" w:right="440"/>
        <w:spacing w:after="0" w:line="256" w:lineRule="auto"/>
        <w:rPr>
          <w:sz w:val="20"/>
          <w:szCs w:val="20"/>
          <w:color w:val="auto"/>
        </w:rPr>
      </w:pPr>
      <w:r>
        <w:rPr>
          <w:rFonts w:ascii="Arial" w:cs="Arial" w:eastAsia="Arial" w:hAnsi="Arial"/>
          <w:sz w:val="18"/>
          <w:szCs w:val="18"/>
          <w:color w:val="auto"/>
        </w:rPr>
        <w:t>We are an independent designer, manufacturer and marketer of thermal, mechanical and electrical products that are primarily used by semiconductor manufacturers in conjunction with automatic test equipment ("ATE") in the testing of integrated circuits ("ICs" or "semiconductors"). In addition, in recent years we have begun marketing our thermal products in markets outside the ATE market, such as the automotive, consumer electronics, defense/aerospace, energy, industrial and telecommunications markets.</w:t>
      </w:r>
    </w:p>
    <w:p>
      <w:pPr>
        <w:spacing w:after="0" w:line="197" w:lineRule="exact"/>
        <w:rPr>
          <w:sz w:val="20"/>
          <w:szCs w:val="20"/>
          <w:color w:val="auto"/>
        </w:rPr>
      </w:pPr>
    </w:p>
    <w:p>
      <w:pPr>
        <w:ind w:left="540" w:right="60"/>
        <w:spacing w:after="0" w:line="259" w:lineRule="auto"/>
        <w:rPr>
          <w:sz w:val="20"/>
          <w:szCs w:val="20"/>
          <w:color w:val="auto"/>
        </w:rPr>
      </w:pPr>
      <w:r>
        <w:rPr>
          <w:rFonts w:ascii="Arial" w:cs="Arial" w:eastAsia="Arial" w:hAnsi="Arial"/>
          <w:sz w:val="18"/>
          <w:szCs w:val="18"/>
          <w:color w:val="auto"/>
        </w:rPr>
        <w:t>The consolidated entity is comprised of inTEST Corporation (parent) and our wholly-owned subsidiaries. We have three reportable segments which are also our reporting units: Thermal Products, Mechanical Products and Electrical Products. We manufacture our products in the U.S. Marketing and support activities are conducted worldwide from our facilities in the U.S., Germany and Singapore.</w:t>
      </w:r>
    </w:p>
    <w:p>
      <w:pPr>
        <w:spacing w:after="0" w:line="194" w:lineRule="exact"/>
        <w:rPr>
          <w:sz w:val="20"/>
          <w:szCs w:val="20"/>
          <w:color w:val="auto"/>
        </w:rPr>
      </w:pPr>
    </w:p>
    <w:p>
      <w:pPr>
        <w:ind w:left="540"/>
        <w:spacing w:after="0" w:line="290" w:lineRule="auto"/>
        <w:rPr>
          <w:sz w:val="20"/>
          <w:szCs w:val="20"/>
          <w:color w:val="auto"/>
        </w:rPr>
      </w:pPr>
      <w:r>
        <w:rPr>
          <w:rFonts w:ascii="Arial" w:cs="Arial" w:eastAsia="Arial" w:hAnsi="Arial"/>
          <w:sz w:val="16"/>
          <w:szCs w:val="16"/>
          <w:color w:val="auto"/>
        </w:rPr>
        <w:t>The semiconductor market in which we operate is characterized by rapid technological change, competitive pricing pressures and cyclical market patterns. This market is subject to significant economic downturns at various times. Our financial results are affected by a wide variety of factors, including, but not limited to, general economic conditions worldwide and in the markets in which we operate, economic conditions specific to the semiconductor market and the other markets we serve, our ability to safeguard patented technology and intellectual property in a rapidly evolving market, downward pricing pressures from customers, and our reliance on a relatively few number of customers for a significant portion of our sales. In addition, we are exposed to the risk of obsolescence of our inventory depending on the mix of future business and technological changes within the markets that we serve. As a result of these or other factors, we may experience significant period-to-period fluctuations in future operating results.</w:t>
      </w:r>
    </w:p>
    <w:p>
      <w:pPr>
        <w:spacing w:after="0" w:line="342" w:lineRule="exact"/>
        <w:rPr>
          <w:sz w:val="20"/>
          <w:szCs w:val="20"/>
          <w:color w:val="auto"/>
        </w:rPr>
      </w:pPr>
    </w:p>
    <w:p>
      <w:pPr>
        <w:ind w:left="540" w:right="6540" w:hanging="532"/>
        <w:spacing w:after="0" w:line="541" w:lineRule="auto"/>
        <w:tabs>
          <w:tab w:leader="none" w:pos="292"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SUMMARY OF SIGNIFICANT ACCOUNTING POLICIES </w:t>
      </w:r>
      <w:r>
        <w:rPr>
          <w:rFonts w:ascii="Arial" w:cs="Arial" w:eastAsia="Arial" w:hAnsi="Arial"/>
          <w:sz w:val="16"/>
          <w:szCs w:val="16"/>
          <w:b w:val="1"/>
          <w:bCs w:val="1"/>
          <w:i w:val="1"/>
          <w:iCs w:val="1"/>
          <w:u w:val="single" w:color="auto"/>
          <w:color w:val="auto"/>
        </w:rPr>
        <w:t>Basis of Presentation and Use of Estimates</w:t>
      </w:r>
    </w:p>
    <w:p>
      <w:pPr>
        <w:ind w:left="540" w:right="60"/>
        <w:spacing w:after="0" w:line="291" w:lineRule="auto"/>
        <w:rPr>
          <w:sz w:val="20"/>
          <w:szCs w:val="20"/>
          <w:color w:val="auto"/>
        </w:rPr>
      </w:pPr>
      <w:r>
        <w:rPr>
          <w:rFonts w:ascii="Arial" w:cs="Arial" w:eastAsia="Arial" w:hAnsi="Arial"/>
          <w:sz w:val="16"/>
          <w:szCs w:val="16"/>
          <w:color w:val="auto"/>
        </w:rPr>
        <w:t>The accompanying consolidated financial statements include our accounts and those of our wholly-owned subsidiaries. All significant intercompany accounts and transactions have been eliminated upon consolidation. The preparation of financial statements in conformity with accounting principles generally accepted in the United States of America requires us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Certain of our accounts, including inventories, long-lived assets, goodwill, identifiable intangibles, deferred income tax valuation allowances and product warranty reserves, are particularly impacted by estimates.</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6"/>
          <w:szCs w:val="16"/>
          <w:color w:val="auto"/>
        </w:rPr>
        <w:t>In the opinion of management, the accompanying unaudited consolidated financial statements include all adjustments (consisting only of normal recurring</w:t>
      </w:r>
    </w:p>
    <w:p>
      <w:pPr>
        <w:sectPr>
          <w:pgSz w:w="11900" w:h="16838" w:orient="portrait"/>
          <w:cols w:equalWidth="0" w:num="1">
            <w:col w:w="11420"/>
          </w:cols>
          <w:pgMar w:left="240" w:top="132" w:right="239" w:bottom="0" w:gutter="0" w:footer="0" w:header="0"/>
        </w:sectPr>
      </w:pPr>
    </w:p>
    <w:bookmarkStart w:id="5" w:name="page6"/>
    <w:bookmarkEnd w:id="5"/>
    <w:p>
      <w:pPr>
        <w:ind w:left="540" w:right="180"/>
        <w:spacing w:after="0" w:line="298" w:lineRule="auto"/>
        <w:rPr>
          <w:sz w:val="20"/>
          <w:szCs w:val="20"/>
          <w:color w:val="auto"/>
        </w:rPr>
      </w:pPr>
      <w:r>
        <w:rPr>
          <w:rFonts w:ascii="Arial" w:cs="Arial" w:eastAsia="Arial" w:hAnsi="Arial"/>
          <w:sz w:val="16"/>
          <w:szCs w:val="16"/>
          <w:color w:val="auto"/>
        </w:rPr>
        <w:t>adjustments) necessary to present fairly the financial position, results of operations, and changes in cash flows for the interim periods presented. Certain footnote information has been condensed or omitted from these consolidated financial statements. Therefore, these consolidated financial statements should be read in conjunction with the consolidated financial statements and accompanying footnotes included in our Annual Report on Form 10-K for the year ended December 31, 2013 filed with the Securities and Exchange Commission on March 27, 2014 (the "2013 Form 10-K").</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Reclassification</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Certain prior period amounts have been reclassified to be comparable with the current period's presentation.</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and per share data)</w:t>
      </w:r>
    </w:p>
    <w:p>
      <w:pPr>
        <w:spacing w:after="0" w:line="388" w:lineRule="exact"/>
        <w:rPr>
          <w:sz w:val="20"/>
          <w:szCs w:val="20"/>
          <w:color w:val="auto"/>
        </w:rPr>
      </w:pPr>
    </w:p>
    <w:p>
      <w:pPr>
        <w:ind w:left="300" w:hanging="292"/>
        <w:spacing w:after="0"/>
        <w:tabs>
          <w:tab w:leader="none" w:pos="3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(Continued)</w:t>
      </w:r>
    </w:p>
    <w:p>
      <w:pPr>
        <w:spacing w:after="0" w:line="190" w:lineRule="exact"/>
        <w:rPr>
          <w:rFonts w:ascii="Arial" w:cs="Arial" w:eastAsia="Arial" w:hAnsi="Arial"/>
          <w:sz w:val="18"/>
          <w:szCs w:val="18"/>
          <w:b w:val="1"/>
          <w:bCs w:val="1"/>
          <w:color w:val="auto"/>
        </w:rPr>
      </w:pPr>
    </w:p>
    <w:p>
      <w:pPr>
        <w:ind w:left="540"/>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Inventories</w:t>
      </w:r>
    </w:p>
    <w:p>
      <w:pPr>
        <w:spacing w:after="0" w:line="225" w:lineRule="exact"/>
        <w:rPr>
          <w:sz w:val="20"/>
          <w:szCs w:val="20"/>
          <w:color w:val="auto"/>
        </w:rPr>
      </w:pPr>
    </w:p>
    <w:p>
      <w:pPr>
        <w:ind w:left="540" w:right="60"/>
        <w:spacing w:after="0" w:line="290" w:lineRule="auto"/>
        <w:rPr>
          <w:sz w:val="20"/>
          <w:szCs w:val="20"/>
          <w:color w:val="auto"/>
        </w:rPr>
      </w:pPr>
      <w:r>
        <w:rPr>
          <w:rFonts w:ascii="Arial" w:cs="Arial" w:eastAsia="Arial" w:hAnsi="Arial"/>
          <w:sz w:val="16"/>
          <w:szCs w:val="16"/>
          <w:color w:val="auto"/>
        </w:rPr>
        <w:t>Inventories are valued at cost on a first-in, first-out basis, not in excess of market value. Cash flows from the sale of inventories are recorded in operating cash flows. On a quarterly basis, we review our inventories and record excess and obsolete inventory charges based upon our established objective excess and obsolete inventory criteria. These criteria identify material that has not been used in a work order during the prior twelve months and the quantity of material on hand that is greater than the average annual usage of that material over the prior three years. In certain cases, additional excess and obsolete inventory charges are recorded based upon current market conditions, anticipated product life cycles, new product introductions and expected future use of the inventory. The excess and obsolete inventory charges we record establish a new cost basis for the related inventories. We incurred excess and obsolete inventory charges of $35 and $110 for the three months ended March 31, 2014 and 2013, respectively.</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Goodwill, Intangible and Long-Lived Assets</w:t>
      </w:r>
    </w:p>
    <w:p>
      <w:pPr>
        <w:spacing w:after="0" w:line="225" w:lineRule="exact"/>
        <w:rPr>
          <w:sz w:val="20"/>
          <w:szCs w:val="20"/>
          <w:color w:val="auto"/>
        </w:rPr>
      </w:pPr>
    </w:p>
    <w:p>
      <w:pPr>
        <w:ind w:left="540"/>
        <w:spacing w:after="0" w:line="289" w:lineRule="auto"/>
        <w:rPr>
          <w:sz w:val="20"/>
          <w:szCs w:val="20"/>
          <w:color w:val="auto"/>
        </w:rPr>
      </w:pPr>
      <w:r>
        <w:rPr>
          <w:rFonts w:ascii="Arial" w:cs="Arial" w:eastAsia="Arial" w:hAnsi="Arial"/>
          <w:sz w:val="16"/>
          <w:szCs w:val="16"/>
          <w:color w:val="auto"/>
        </w:rPr>
        <w:t>We account for goodwill and intangible assets in accordance with Accounting Standards Codification ("ASC") 350 (Intangibles- Goodwill and Other). Finite-lived intangible assets are amortized over their estimated useful economic life and are carried at cost less accumulated amortization. Goodwill is assessed for impairment at least annually in the fourth quarter, on a reporting unit basis, or more frequently when events and circumstances occur indicating that the recorded goodwill may be impaired. As a part of the goodwill impairment assessment, we have the option to perform a qualitative assessment to determine whether it is more-likely-than-not that the fair value of a reporting unit is less than its carrying amount. If we determine this is the case, we are required to perform a two-step goodwill impairment test to identify potential goodwill impairment and measure the amount of goodwill impairment loss to be recognized. The two-step test is discussed below. If we determine that it is more-likely-than-not that the fair value of the reporting unit is greater than its carrying amounts, the two-step goodwill impairment test is not required.</w:t>
      </w:r>
    </w:p>
    <w:p>
      <w:pPr>
        <w:spacing w:after="0" w:line="172" w:lineRule="exact"/>
        <w:rPr>
          <w:sz w:val="20"/>
          <w:szCs w:val="20"/>
          <w:color w:val="auto"/>
        </w:rPr>
      </w:pPr>
    </w:p>
    <w:p>
      <w:pPr>
        <w:ind w:left="540"/>
        <w:spacing w:after="0" w:line="286" w:lineRule="auto"/>
        <w:rPr>
          <w:sz w:val="20"/>
          <w:szCs w:val="20"/>
          <w:color w:val="auto"/>
        </w:rPr>
      </w:pPr>
      <w:r>
        <w:rPr>
          <w:rFonts w:ascii="Arial" w:cs="Arial" w:eastAsia="Arial" w:hAnsi="Arial"/>
          <w:sz w:val="16"/>
          <w:szCs w:val="16"/>
          <w:color w:val="auto"/>
        </w:rPr>
        <w:t>If we determine it is more-likely-than-not that the fair value of a reporting unit is less than its carrying amount as a result of our qualitative assessment, we will perform a quantitative two-step goodwill impairment test. In the Step I test, the fair value of a reporting unit is computed and compared with its book value. If the book value of a reporting unit exceeds its fair value, a Step II test is performed in which the implied fair value of goodwill is compared with the carrying amount of goodwill. If the carrying amount of goodwill exceeds the implied fair value, an impairment loss is recorded in an amount equal to that excess. The two-step goodwill impairment assessment is based upon a combination of the income approach, which estimates the fair value of our reporting units based upon a discounted cash flow approach, and the market approach which estimates the fair value of our reporting units based upon comparable market multiples. This fair value is then reconciled to our market capitalization at year end with an appropriate control premium. The determination of the fair value of our reporting units requires management to make significant estimates and assumptions including the selection of appropriate peer group companies, control premiums, discount rate, terminal growth rates, forecasts of revenue and expense growth rates, changes in working capital, depreciation, amortization and capital expenditures. Changes in assumptions concerning future financial results or other underlying assumptions would have a significant impact on either the fair value of the reporting unit or the amount of the goodwill impairment charge.</w:t>
      </w:r>
    </w:p>
    <w:p>
      <w:pPr>
        <w:spacing w:after="0" w:line="181" w:lineRule="exact"/>
        <w:rPr>
          <w:sz w:val="20"/>
          <w:szCs w:val="20"/>
          <w:color w:val="auto"/>
        </w:rPr>
      </w:pPr>
    </w:p>
    <w:p>
      <w:pPr>
        <w:ind w:left="540"/>
        <w:spacing w:after="0" w:line="253" w:lineRule="auto"/>
        <w:rPr>
          <w:sz w:val="20"/>
          <w:szCs w:val="20"/>
          <w:color w:val="auto"/>
        </w:rPr>
      </w:pPr>
      <w:r>
        <w:rPr>
          <w:rFonts w:ascii="Arial" w:cs="Arial" w:eastAsia="Arial" w:hAnsi="Arial"/>
          <w:sz w:val="18"/>
          <w:szCs w:val="18"/>
          <w:color w:val="auto"/>
        </w:rPr>
        <w:t>Indefinite-lived intangible assets are assessed for impairment at least annually in the fourth quarter, or more frequently if events or changes in circumstances indicate that the asset might be impaired. As a part of the impairment assessment, we have the option to perform a qualitative assessment to determine whether it is more likely than not that an indefinite-lived intangible asset is impaired. If, as a result of our qualitative assessment, we determine that it is more-likely-than-not that the fair value of the indefinite-lived intangible asset is less than its carrying amount, the quantitative impairment test is required. Otherwise, no further testing is required. The quantitative impairment test consists of a comparison of the fair value of the intangible asset with its carrying amount. If the carrying amount of the intangible asset exceeds its fair value, an impairment loss is recognized in an amount equal to that excess.</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- 6 -</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and per share data)</w:t>
      </w:r>
    </w:p>
    <w:p>
      <w:pPr>
        <w:sectPr>
          <w:pgSz w:w="11900" w:h="16838" w:orient="portrait"/>
          <w:cols w:equalWidth="0" w:num="1">
            <w:col w:w="11400"/>
          </w:cols>
          <w:pgMar w:left="240" w:top="131" w:right="259" w:bottom="0" w:gutter="0" w:footer="0" w:header="0"/>
        </w:sect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(2) SUMMARY OF SIGNIFICANT ACCOUNTING POLICIES </w:t>
      </w:r>
      <w:r>
        <w:rPr>
          <w:rFonts w:ascii="Arial" w:cs="Arial" w:eastAsia="Arial" w:hAnsi="Arial"/>
          <w:sz w:val="16"/>
          <w:szCs w:val="16"/>
          <w:color w:val="auto"/>
        </w:rPr>
        <w:t>(Continued)</w:t>
      </w:r>
    </w:p>
    <w:p>
      <w:pPr>
        <w:sectPr>
          <w:pgSz w:w="11900" w:h="16838" w:orient="portrait"/>
          <w:cols w:equalWidth="0" w:num="1">
            <w:col w:w="11400"/>
          </w:cols>
          <w:pgMar w:left="240" w:top="131" w:right="259" w:bottom="0" w:gutter="0" w:footer="0" w:header="0"/>
          <w:type w:val="continuous"/>
        </w:sectPr>
      </w:pPr>
    </w:p>
    <w:bookmarkStart w:id="6" w:name="page7"/>
    <w:bookmarkEnd w:id="6"/>
    <w:p>
      <w:pPr>
        <w:ind w:left="540" w:right="100"/>
        <w:spacing w:after="0" w:line="294" w:lineRule="auto"/>
        <w:rPr>
          <w:sz w:val="20"/>
          <w:szCs w:val="20"/>
          <w:color w:val="auto"/>
        </w:rPr>
      </w:pPr>
      <w:r>
        <w:rPr>
          <w:rFonts w:ascii="Arial" w:cs="Arial" w:eastAsia="Arial" w:hAnsi="Arial"/>
          <w:sz w:val="16"/>
          <w:szCs w:val="16"/>
          <w:color w:val="auto"/>
        </w:rPr>
        <w:t>Long-lived assets, which consist of finite-lived intangible assets and property and equipment, are assessed for impairment whenever events or changes in business circumstances indicate that the carrying amount of the assets may not be fully recoverable or that the useful lives of these assets are no longer appropriate. Each impairment test is based on a comparison of the estimated undiscounted cash flows to the recorded value of the asset. If impairment is indicated, the asset is written down to its estimated fair value. The cash flow estimates used to determine the impairment, if any, contain management's best estimates using appropriate assumptions and projections at that time.</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Stock-Based Compensation</w:t>
      </w:r>
    </w:p>
    <w:p>
      <w:pPr>
        <w:spacing w:after="0" w:line="225" w:lineRule="exact"/>
        <w:rPr>
          <w:sz w:val="20"/>
          <w:szCs w:val="20"/>
          <w:color w:val="auto"/>
        </w:rPr>
      </w:pPr>
    </w:p>
    <w:p>
      <w:pPr>
        <w:ind w:left="540" w:right="20"/>
        <w:spacing w:after="0" w:line="256" w:lineRule="auto"/>
        <w:rPr>
          <w:sz w:val="20"/>
          <w:szCs w:val="20"/>
          <w:color w:val="auto"/>
        </w:rPr>
      </w:pPr>
      <w:r>
        <w:rPr>
          <w:rFonts w:ascii="Arial" w:cs="Arial" w:eastAsia="Arial" w:hAnsi="Arial"/>
          <w:sz w:val="18"/>
          <w:szCs w:val="18"/>
          <w:color w:val="auto"/>
        </w:rPr>
        <w:t>We account for stock-based compensation in accordance with ASC Topic 718 (Compensation - Stock Compensation) which requires that employee share-based equity awards be accounted for under the fair value method and requires the use of an option pricing model for estimating fair value of stock options granted, which is then amortized to expense over the service periods. See further disclosures related to our stock-based compensation plan in Note 7.</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Subsequent Events</w:t>
      </w:r>
    </w:p>
    <w:p>
      <w:pPr>
        <w:spacing w:after="0" w:line="225"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color w:val="auto"/>
        </w:rPr>
        <w:t>We have made an assessment of our operations and determined that there were no material subsequent events requiring adjustment to, or disclosure in, our consolidated financial statements for the three months ended March 31, 2014.</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Revenue Recognition</w:t>
      </w:r>
    </w:p>
    <w:p>
      <w:pPr>
        <w:spacing w:after="0" w:line="225" w:lineRule="exact"/>
        <w:rPr>
          <w:sz w:val="20"/>
          <w:szCs w:val="20"/>
          <w:color w:val="auto"/>
        </w:rPr>
      </w:pPr>
    </w:p>
    <w:p>
      <w:pPr>
        <w:ind w:left="540" w:right="60"/>
        <w:spacing w:after="0" w:line="290" w:lineRule="auto"/>
        <w:rPr>
          <w:sz w:val="20"/>
          <w:szCs w:val="20"/>
          <w:color w:val="auto"/>
        </w:rPr>
      </w:pPr>
      <w:r>
        <w:rPr>
          <w:rFonts w:ascii="Arial" w:cs="Arial" w:eastAsia="Arial" w:hAnsi="Arial"/>
          <w:sz w:val="16"/>
          <w:szCs w:val="16"/>
          <w:color w:val="auto"/>
        </w:rPr>
        <w:t>We recognize revenue when persuasive evidence of an arrangement exists, delivery has occurred or services have been rendered, the price is fixed or determinable, and collection of the related receivable is reasonably assured. Sales of our products are made through our sales employees, third-party sales representatives and distributors. There are no differences in revenue recognition policies based on the sales channel. We do not provide our customers with rights of return or exchanges. Revenue is generally recognized upon product shipment. Our customers' purchase orders do not typically contain any customer-specific acceptance criteria, other than that the product performs within the agreed upon specifications. We test all products manufactured as part of our quality assurance process to determine that they comply with specifications prior to shipment to a customer. To the extent that any customer purchase order contains customer-specific acceptance criteria, revenue recognition is deferred until customer acceptance.</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In addition, in our Thermal and Mechanical Products segments, we lease certain of our equipment to customers under non-cancellable operating leases.</w:t>
      </w:r>
    </w:p>
    <w:p>
      <w:pPr>
        <w:spacing w:after="0" w:line="38"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These leases generally have an initial term of six months. We recognize revenue for these leases on a straight-line basis over the term of the lease.</w:t>
      </w:r>
    </w:p>
    <w:p>
      <w:pPr>
        <w:spacing w:after="0" w:line="242" w:lineRule="exact"/>
        <w:rPr>
          <w:sz w:val="20"/>
          <w:szCs w:val="20"/>
          <w:color w:val="auto"/>
        </w:rPr>
      </w:pPr>
    </w:p>
    <w:p>
      <w:pPr>
        <w:ind w:left="540" w:right="280"/>
        <w:spacing w:after="0" w:line="332" w:lineRule="auto"/>
        <w:rPr>
          <w:sz w:val="20"/>
          <w:szCs w:val="20"/>
          <w:color w:val="auto"/>
        </w:rPr>
      </w:pPr>
      <w:r>
        <w:rPr>
          <w:rFonts w:ascii="Arial" w:cs="Arial" w:eastAsia="Arial" w:hAnsi="Arial"/>
          <w:sz w:val="16"/>
          <w:szCs w:val="16"/>
          <w:color w:val="auto"/>
        </w:rPr>
        <w:t>With respect to sales tax collected from customers and remitted to governmental authorities, we use a net presentation in our consolidated statement of operations. As a result, there are no amounts included in either our net revenues or cost of revenues related to sales tax.</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Product Warranties</w:t>
      </w:r>
    </w:p>
    <w:p>
      <w:pPr>
        <w:spacing w:after="0" w:line="225" w:lineRule="exact"/>
        <w:rPr>
          <w:sz w:val="20"/>
          <w:szCs w:val="20"/>
          <w:color w:val="auto"/>
        </w:rPr>
      </w:pPr>
    </w:p>
    <w:p>
      <w:pPr>
        <w:ind w:left="540" w:right="340"/>
        <w:spacing w:after="0" w:line="268" w:lineRule="auto"/>
        <w:rPr>
          <w:sz w:val="20"/>
          <w:szCs w:val="20"/>
          <w:color w:val="auto"/>
        </w:rPr>
      </w:pPr>
      <w:r>
        <w:rPr>
          <w:rFonts w:ascii="Arial" w:cs="Arial" w:eastAsia="Arial" w:hAnsi="Arial"/>
          <w:sz w:val="18"/>
          <w:szCs w:val="18"/>
          <w:color w:val="auto"/>
        </w:rPr>
        <w:t>We generally provide product warranties and record estimated warranty expense at the time of sale based upon historical claims experience. Warranty expense is included in selling expense in the consolidated financial statements.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225" w:lineRule="exact"/>
        <w:rPr>
          <w:sz w:val="20"/>
          <w:szCs w:val="20"/>
          <w:color w:val="auto"/>
        </w:rPr>
      </w:pPr>
    </w:p>
    <w:p>
      <w:pPr>
        <w:ind w:left="540" w:right="200"/>
        <w:spacing w:after="0" w:line="259" w:lineRule="auto"/>
        <w:rPr>
          <w:sz w:val="20"/>
          <w:szCs w:val="20"/>
          <w:color w:val="auto"/>
        </w:rPr>
      </w:pPr>
      <w:r>
        <w:rPr>
          <w:rFonts w:ascii="Arial" w:cs="Arial" w:eastAsia="Arial" w:hAnsi="Arial"/>
          <w:sz w:val="18"/>
          <w:szCs w:val="18"/>
          <w:color w:val="auto"/>
        </w:rPr>
        <w:t>The asset and liability method is used in accounting for income taxes. Under this method, deferred tax assets and liabilities are recognized for operating loss and tax credit carryforwards and for the future tax consequences attributable to differences between the financial statement carrying amounts of existing assets and liabilities and their respective tax bases. Deferred tax</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and per share data)</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 SUMMARY OF SIGNIFICANT ACCOUNTING POLICIES </w:t>
      </w:r>
      <w:r>
        <w:rPr>
          <w:rFonts w:ascii="Arial" w:cs="Arial" w:eastAsia="Arial" w:hAnsi="Arial"/>
          <w:sz w:val="18"/>
          <w:szCs w:val="18"/>
          <w:color w:val="auto"/>
        </w:rPr>
        <w:t>(Continued)</w:t>
      </w:r>
    </w:p>
    <w:p>
      <w:pPr>
        <w:spacing w:after="0" w:line="191" w:lineRule="exact"/>
        <w:rPr>
          <w:sz w:val="20"/>
          <w:szCs w:val="20"/>
          <w:color w:val="auto"/>
        </w:rPr>
      </w:pPr>
    </w:p>
    <w:p>
      <w:pPr>
        <w:ind w:left="540" w:right="60"/>
        <w:spacing w:after="0" w:line="256" w:lineRule="auto"/>
        <w:rPr>
          <w:sz w:val="20"/>
          <w:szCs w:val="20"/>
          <w:color w:val="auto"/>
        </w:rPr>
      </w:pPr>
      <w:r>
        <w:rPr>
          <w:rFonts w:ascii="Arial" w:cs="Arial" w:eastAsia="Arial" w:hAnsi="Arial"/>
          <w:sz w:val="18"/>
          <w:szCs w:val="18"/>
          <w:color w:val="auto"/>
        </w:rPr>
        <w:t>assets and liabilities are measured using enacted tax rates expected to apply to taxable income in the periods in which those temporary differences are expected to be recovered or settled. The effect on deferred tax assets and liabilities of a change in tax rates is recognized in the results of operations in the period that includes the enactment date. A valuation allowance is recorded to reduce the carrying amounts of deferred tax assets if it is more likely than not that such assets will not be realized.</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Net Earnings Per Common Share</w:t>
      </w:r>
    </w:p>
    <w:p>
      <w:pPr>
        <w:spacing w:after="0" w:line="225" w:lineRule="exact"/>
        <w:rPr>
          <w:sz w:val="20"/>
          <w:szCs w:val="20"/>
          <w:color w:val="auto"/>
        </w:rPr>
      </w:pPr>
    </w:p>
    <w:p>
      <w:pPr>
        <w:ind w:left="540" w:right="80"/>
        <w:spacing w:after="0" w:line="298" w:lineRule="auto"/>
        <w:rPr>
          <w:sz w:val="20"/>
          <w:szCs w:val="20"/>
          <w:color w:val="auto"/>
        </w:rPr>
      </w:pPr>
      <w:r>
        <w:rPr>
          <w:rFonts w:ascii="Arial" w:cs="Arial" w:eastAsia="Arial" w:hAnsi="Arial"/>
          <w:sz w:val="16"/>
          <w:szCs w:val="16"/>
          <w:color w:val="auto"/>
        </w:rPr>
        <w:t>Net earnings per common share - basic is computed by dividing net earnings by the weighted average number of common shares outstanding during each period. Net earnings per common share - diluted is computed by dividing net earnings by the weighted average number of common shares and common share equivalents outstanding during each period. Common share equivalents represent stock options and unvested shares of restricted stock and are calculated using the treasury stock method. Common share equivalents are excluded from the calculation if their effect is anti-dilutive.</w:t>
      </w:r>
    </w:p>
    <w:p>
      <w:pPr>
        <w:spacing w:after="0" w:line="167" w:lineRule="exact"/>
        <w:rPr>
          <w:sz w:val="20"/>
          <w:szCs w:val="20"/>
          <w:color w:val="auto"/>
        </w:rPr>
      </w:pPr>
    </w:p>
    <w:p>
      <w:pPr>
        <w:ind w:left="540" w:right="40"/>
        <w:spacing w:after="0" w:line="259" w:lineRule="auto"/>
        <w:rPr>
          <w:sz w:val="20"/>
          <w:szCs w:val="20"/>
          <w:color w:val="auto"/>
        </w:rPr>
      </w:pPr>
      <w:r>
        <w:rPr>
          <w:rFonts w:ascii="Arial" w:cs="Arial" w:eastAsia="Arial" w:hAnsi="Arial"/>
          <w:sz w:val="18"/>
          <w:szCs w:val="18"/>
          <w:color w:val="auto"/>
        </w:rPr>
        <w:t>The table below sets forth, for the periods indicated, a reconciliation of weighted average common shares outstanding - basic to weighted average common shares and common share equivalents outstanding - diluted and the average number of potentially dilutive securities that were excluded from the calculation of diluted earnings per share because their effect was anti-dilutive:</w:t>
      </w:r>
    </w:p>
    <w:p>
      <w:pPr>
        <w:sectPr>
          <w:pgSz w:w="11900" w:h="16838" w:orient="portrait"/>
          <w:cols w:equalWidth="0" w:num="1">
            <w:col w:w="11400"/>
          </w:cols>
          <w:pgMar w:left="240" w:top="131" w:right="259" w:bottom="0" w:gutter="0" w:footer="0" w:header="0"/>
        </w:sectPr>
      </w:pPr>
    </w:p>
    <w:bookmarkStart w:id="7" w:name="page8"/>
    <w:bookmarkEnd w:id="7"/>
    <w:p>
      <w:pPr>
        <w:spacing w:after="0" w:line="38" w:lineRule="exact"/>
        <w:rPr>
          <w:sz w:val="20"/>
          <w:szCs w:val="20"/>
          <w:color w:val="auto"/>
        </w:rPr>
      </w:pPr>
    </w:p>
    <w:p>
      <w:pPr>
        <w:ind w:left="6620"/>
        <w:spacing w:after="0"/>
        <w:rPr>
          <w:sz w:val="20"/>
          <w:szCs w:val="20"/>
          <w:color w:val="auto"/>
        </w:rPr>
      </w:pPr>
      <w:r>
        <w:rPr>
          <w:rFonts w:ascii="Arial" w:cs="Arial" w:eastAsia="Arial" w:hAnsi="Arial"/>
          <w:sz w:val="14"/>
          <w:szCs w:val="14"/>
          <w:b w:val="1"/>
          <w:bCs w:val="1"/>
          <w:i w:val="1"/>
          <w:iCs w:val="1"/>
          <w:color w:val="auto"/>
        </w:rPr>
        <w:t>Three Months Ended</w:t>
      </w:r>
    </w:p>
    <w:p>
      <w:pPr>
        <w:ind w:left="6920"/>
        <w:spacing w:after="0"/>
        <w:rPr>
          <w:sz w:val="20"/>
          <w:szCs w:val="20"/>
          <w:color w:val="auto"/>
        </w:rPr>
      </w:pPr>
      <w:r>
        <w:rPr>
          <w:rFonts w:ascii="Arial" w:cs="Arial" w:eastAsia="Arial" w:hAnsi="Arial"/>
          <w:sz w:val="14"/>
          <w:szCs w:val="14"/>
          <w:b w:val="1"/>
          <w:bCs w:val="1"/>
          <w:i w:val="1"/>
          <w:i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4240530</wp:posOffset>
            </wp:positionH>
            <wp:positionV relativeFrom="paragraph">
              <wp:posOffset>-16510</wp:posOffset>
            </wp:positionV>
            <wp:extent cx="6883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8340" cy="8890"/>
                    </a:xfrm>
                    <a:prstGeom prst="rect">
                      <a:avLst/>
                    </a:prstGeom>
                    <a:noFill/>
                  </pic:spPr>
                </pic:pic>
              </a:graphicData>
            </a:graphic>
          </wp:anchor>
        </w:drawing>
      </w:r>
    </w:p>
    <w:tbl>
      <w:tblPr>
        <w:tblLayout w:type="fixed"/>
        <w:tblInd w:w="560" w:type="dxa"/>
        <w:tblCellMar>
          <w:top w:w="0" w:type="dxa"/>
          <w:left w:w="0" w:type="dxa"/>
          <w:bottom w:w="0" w:type="dxa"/>
          <w:right w:w="0" w:type="dxa"/>
        </w:tblCellMar>
      </w:tblPr>
      <w:tr>
        <w:trPr>
          <w:trHeight w:val="148"/>
        </w:trPr>
        <w:tc>
          <w:tcPr>
            <w:tcW w:w="5580" w:type="dxa"/>
            <w:vAlign w:val="bottom"/>
          </w:tcPr>
          <w:p>
            <w:pPr>
              <w:spacing w:after="0"/>
              <w:rPr>
                <w:sz w:val="12"/>
                <w:szCs w:val="12"/>
                <w:color w:val="auto"/>
              </w:rPr>
            </w:pPr>
          </w:p>
        </w:tc>
        <w:tc>
          <w:tcPr>
            <w:tcW w:w="760" w:type="dxa"/>
            <w:vAlign w:val="bottom"/>
            <w:gridSpan w:val="4"/>
          </w:tcPr>
          <w:p>
            <w:pPr>
              <w:jc w:val="right"/>
              <w:spacing w:after="0" w:line="149" w:lineRule="exact"/>
              <w:rPr>
                <w:sz w:val="20"/>
                <w:szCs w:val="20"/>
                <w:color w:val="auto"/>
              </w:rPr>
            </w:pPr>
            <w:r>
              <w:rPr>
                <w:rFonts w:ascii="Arial" w:cs="Arial" w:eastAsia="Arial" w:hAnsi="Arial"/>
                <w:sz w:val="14"/>
                <w:szCs w:val="14"/>
                <w:b w:val="1"/>
                <w:bCs w:val="1"/>
                <w:i w:val="1"/>
                <w:iCs w:val="1"/>
                <w:color w:val="auto"/>
              </w:rPr>
              <w:t>2014</w:t>
            </w:r>
          </w:p>
        </w:tc>
        <w:tc>
          <w:tcPr>
            <w:tcW w:w="300" w:type="dxa"/>
            <w:vAlign w:val="bottom"/>
          </w:tcPr>
          <w:p>
            <w:pPr>
              <w:spacing w:after="0"/>
              <w:rPr>
                <w:sz w:val="12"/>
                <w:szCs w:val="12"/>
                <w:color w:val="auto"/>
              </w:rPr>
            </w:pPr>
          </w:p>
        </w:tc>
        <w:tc>
          <w:tcPr>
            <w:tcW w:w="900" w:type="dxa"/>
            <w:vAlign w:val="bottom"/>
            <w:gridSpan w:val="4"/>
          </w:tcPr>
          <w:p>
            <w:pPr>
              <w:jc w:val="right"/>
              <w:ind w:right="300"/>
              <w:spacing w:after="0" w:line="149" w:lineRule="exact"/>
              <w:rPr>
                <w:sz w:val="20"/>
                <w:szCs w:val="20"/>
                <w:color w:val="auto"/>
              </w:rPr>
            </w:pPr>
            <w:r>
              <w:rPr>
                <w:rFonts w:ascii="Arial" w:cs="Arial" w:eastAsia="Arial" w:hAnsi="Arial"/>
                <w:sz w:val="14"/>
                <w:szCs w:val="14"/>
                <w:b w:val="1"/>
                <w:bCs w:val="1"/>
                <w:i w:val="1"/>
                <w:iCs w:val="1"/>
                <w:color w:val="auto"/>
              </w:rPr>
              <w:t>2013</w:t>
            </w:r>
          </w:p>
        </w:tc>
      </w:tr>
      <w:tr>
        <w:trPr>
          <w:trHeight w:val="20"/>
        </w:trPr>
        <w:tc>
          <w:tcPr>
            <w:tcW w:w="5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35"/>
        </w:trPr>
        <w:tc>
          <w:tcPr>
            <w:tcW w:w="5580" w:type="dxa"/>
            <w:vAlign w:val="bottom"/>
          </w:tcPr>
          <w:p>
            <w:pPr>
              <w:spacing w:after="0"/>
              <w:rPr>
                <w:sz w:val="20"/>
                <w:szCs w:val="20"/>
                <w:color w:val="auto"/>
              </w:rPr>
            </w:pPr>
            <w:r>
              <w:rPr>
                <w:rFonts w:ascii="Arial" w:cs="Arial" w:eastAsia="Arial" w:hAnsi="Arial"/>
                <w:sz w:val="18"/>
                <w:szCs w:val="18"/>
                <w:color w:val="auto"/>
              </w:rPr>
              <w:t>Weighted average common shares outstanding -- basic</w:t>
            </w:r>
          </w:p>
        </w:tc>
        <w:tc>
          <w:tcPr>
            <w:tcW w:w="1060" w:type="dxa"/>
            <w:vAlign w:val="bottom"/>
            <w:gridSpan w:val="5"/>
          </w:tcPr>
          <w:p>
            <w:pPr>
              <w:jc w:val="right"/>
              <w:spacing w:after="0"/>
              <w:rPr>
                <w:sz w:val="20"/>
                <w:szCs w:val="20"/>
                <w:color w:val="auto"/>
              </w:rPr>
            </w:pPr>
            <w:r>
              <w:rPr>
                <w:rFonts w:ascii="Arial" w:cs="Arial" w:eastAsia="Arial" w:hAnsi="Arial"/>
                <w:sz w:val="18"/>
                <w:szCs w:val="18"/>
                <w:color w:val="auto"/>
              </w:rPr>
              <w:t>10,393,956</w:t>
            </w:r>
          </w:p>
        </w:tc>
        <w:tc>
          <w:tcPr>
            <w:tcW w:w="900" w:type="dxa"/>
            <w:vAlign w:val="bottom"/>
            <w:gridSpan w:val="4"/>
          </w:tcPr>
          <w:p>
            <w:pPr>
              <w:jc w:val="right"/>
              <w:spacing w:after="0"/>
              <w:rPr>
                <w:sz w:val="20"/>
                <w:szCs w:val="20"/>
                <w:color w:val="auto"/>
              </w:rPr>
            </w:pPr>
            <w:r>
              <w:rPr>
                <w:rFonts w:ascii="Arial" w:cs="Arial" w:eastAsia="Arial" w:hAnsi="Arial"/>
                <w:sz w:val="18"/>
                <w:szCs w:val="18"/>
                <w:color w:val="auto"/>
                <w:w w:val="97"/>
              </w:rPr>
              <w:t>10,327,428</w:t>
            </w:r>
          </w:p>
        </w:tc>
      </w:tr>
      <w:tr>
        <w:trPr>
          <w:trHeight w:val="459"/>
        </w:trPr>
        <w:tc>
          <w:tcPr>
            <w:tcW w:w="5580" w:type="dxa"/>
            <w:vAlign w:val="bottom"/>
          </w:tcPr>
          <w:p>
            <w:pPr>
              <w:spacing w:after="0"/>
              <w:rPr>
                <w:sz w:val="20"/>
                <w:szCs w:val="20"/>
                <w:color w:val="auto"/>
              </w:rPr>
            </w:pPr>
            <w:r>
              <w:rPr>
                <w:rFonts w:ascii="Arial" w:cs="Arial" w:eastAsia="Arial" w:hAnsi="Arial"/>
                <w:sz w:val="18"/>
                <w:szCs w:val="18"/>
                <w:color w:val="auto"/>
              </w:rPr>
              <w:t>Potentially dilutive securities:</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421"/>
        </w:trPr>
        <w:tc>
          <w:tcPr>
            <w:tcW w:w="5580" w:type="dxa"/>
            <w:vAlign w:val="bottom"/>
          </w:tcPr>
          <w:p>
            <w:pPr>
              <w:ind w:left="220"/>
              <w:spacing w:after="0"/>
              <w:rPr>
                <w:sz w:val="20"/>
                <w:szCs w:val="20"/>
                <w:color w:val="auto"/>
              </w:rPr>
            </w:pPr>
            <w:r>
              <w:rPr>
                <w:rFonts w:ascii="Arial" w:cs="Arial" w:eastAsia="Arial" w:hAnsi="Arial"/>
                <w:sz w:val="18"/>
                <w:szCs w:val="18"/>
                <w:color w:val="auto"/>
              </w:rPr>
              <w:t>Employee stock options and unvested shares of restricted stock</w:t>
            </w:r>
          </w:p>
        </w:tc>
        <w:tc>
          <w:tcPr>
            <w:tcW w:w="1060" w:type="dxa"/>
            <w:vAlign w:val="bottom"/>
            <w:gridSpan w:val="5"/>
          </w:tcPr>
          <w:p>
            <w:pPr>
              <w:jc w:val="right"/>
              <w:spacing w:after="0"/>
              <w:rPr>
                <w:sz w:val="20"/>
                <w:szCs w:val="20"/>
                <w:color w:val="auto"/>
              </w:rPr>
            </w:pPr>
            <w:r>
              <w:rPr>
                <w:rFonts w:ascii="Arial" w:cs="Arial" w:eastAsia="Arial" w:hAnsi="Arial"/>
                <w:sz w:val="18"/>
                <w:szCs w:val="18"/>
                <w:color w:val="auto"/>
              </w:rPr>
              <w:t>54,955</w:t>
            </w: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38,884</w:t>
            </w:r>
          </w:p>
        </w:tc>
      </w:tr>
      <w:tr>
        <w:trPr>
          <w:trHeight w:val="471"/>
        </w:trPr>
        <w:tc>
          <w:tcPr>
            <w:tcW w:w="5580" w:type="dxa"/>
            <w:vAlign w:val="bottom"/>
          </w:tcPr>
          <w:p>
            <w:pPr>
              <w:spacing w:after="0"/>
              <w:rPr>
                <w:sz w:val="20"/>
                <w:szCs w:val="20"/>
                <w:color w:val="auto"/>
              </w:rPr>
            </w:pPr>
            <w:r>
              <w:rPr>
                <w:rFonts w:ascii="Arial" w:cs="Arial" w:eastAsia="Arial" w:hAnsi="Arial"/>
                <w:sz w:val="18"/>
                <w:szCs w:val="18"/>
                <w:color w:val="auto"/>
              </w:rPr>
              <w:t>Weighted average common shares and common share equivalents</w:t>
            </w:r>
          </w:p>
        </w:tc>
        <w:tc>
          <w:tcPr>
            <w:tcW w:w="28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r>
      <w:tr>
        <w:trPr>
          <w:trHeight w:val="184"/>
        </w:trPr>
        <w:tc>
          <w:tcPr>
            <w:tcW w:w="5580" w:type="dxa"/>
            <w:vAlign w:val="bottom"/>
          </w:tcPr>
          <w:p>
            <w:pPr>
              <w:ind w:left="80"/>
              <w:spacing w:after="0" w:line="184" w:lineRule="exact"/>
              <w:rPr>
                <w:sz w:val="20"/>
                <w:szCs w:val="20"/>
                <w:color w:val="auto"/>
              </w:rPr>
            </w:pPr>
            <w:r>
              <w:rPr>
                <w:rFonts w:ascii="Arial" w:cs="Arial" w:eastAsia="Arial" w:hAnsi="Arial"/>
                <w:sz w:val="18"/>
                <w:szCs w:val="18"/>
                <w:color w:val="auto"/>
              </w:rPr>
              <w:t>outstanding -- diluted</w:t>
            </w:r>
          </w:p>
        </w:tc>
        <w:tc>
          <w:tcPr>
            <w:tcW w:w="1060" w:type="dxa"/>
            <w:vAlign w:val="bottom"/>
            <w:gridSpan w:val="5"/>
          </w:tcPr>
          <w:p>
            <w:pPr>
              <w:jc w:val="right"/>
              <w:spacing w:after="0" w:line="184" w:lineRule="exact"/>
              <w:rPr>
                <w:sz w:val="20"/>
                <w:szCs w:val="20"/>
                <w:color w:val="auto"/>
              </w:rPr>
            </w:pPr>
            <w:r>
              <w:rPr>
                <w:rFonts w:ascii="Arial" w:cs="Arial" w:eastAsia="Arial" w:hAnsi="Arial"/>
                <w:sz w:val="18"/>
                <w:szCs w:val="18"/>
                <w:color w:val="auto"/>
              </w:rPr>
              <w:t>10,448,911</w:t>
            </w:r>
          </w:p>
        </w:tc>
        <w:tc>
          <w:tcPr>
            <w:tcW w:w="900" w:type="dxa"/>
            <w:vAlign w:val="bottom"/>
            <w:gridSpan w:val="4"/>
          </w:tcPr>
          <w:p>
            <w:pPr>
              <w:jc w:val="right"/>
              <w:spacing w:after="0" w:line="184" w:lineRule="exact"/>
              <w:rPr>
                <w:sz w:val="20"/>
                <w:szCs w:val="20"/>
                <w:color w:val="auto"/>
              </w:rPr>
            </w:pPr>
            <w:r>
              <w:rPr>
                <w:rFonts w:ascii="Arial" w:cs="Arial" w:eastAsia="Arial" w:hAnsi="Arial"/>
                <w:sz w:val="18"/>
                <w:szCs w:val="18"/>
                <w:color w:val="auto"/>
                <w:w w:val="97"/>
              </w:rPr>
              <w:t>10,366,312</w:t>
            </w:r>
          </w:p>
        </w:tc>
      </w:tr>
      <w:tr>
        <w:trPr>
          <w:trHeight w:val="869"/>
        </w:trPr>
        <w:tc>
          <w:tcPr>
            <w:tcW w:w="5580" w:type="dxa"/>
            <w:vAlign w:val="bottom"/>
          </w:tcPr>
          <w:p>
            <w:pPr>
              <w:spacing w:after="0"/>
              <w:rPr>
                <w:sz w:val="20"/>
                <w:szCs w:val="20"/>
                <w:color w:val="auto"/>
              </w:rPr>
            </w:pPr>
            <w:r>
              <w:rPr>
                <w:rFonts w:ascii="Arial" w:cs="Arial" w:eastAsia="Arial" w:hAnsi="Arial"/>
                <w:sz w:val="18"/>
                <w:szCs w:val="18"/>
                <w:color w:val="auto"/>
                <w:w w:val="94"/>
              </w:rPr>
              <w:t>Average number of potentially dilutive securities excluded from calculation</w:t>
            </w:r>
          </w:p>
        </w:tc>
        <w:tc>
          <w:tcPr>
            <w:tcW w:w="300" w:type="dxa"/>
            <w:vAlign w:val="bottom"/>
            <w:gridSpan w:val="2"/>
          </w:tcPr>
          <w:p>
            <w:pPr>
              <w:spacing w:after="0"/>
              <w:rPr>
                <w:sz w:val="24"/>
                <w:szCs w:val="24"/>
                <w:color w:val="auto"/>
              </w:rPr>
            </w:pPr>
          </w:p>
        </w:tc>
        <w:tc>
          <w:tcPr>
            <w:tcW w:w="7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97,277</w:t>
            </w:r>
          </w:p>
        </w:tc>
        <w:tc>
          <w:tcPr>
            <w:tcW w:w="100" w:type="dxa"/>
            <w:vAlign w:val="bottom"/>
          </w:tcPr>
          <w:p>
            <w:pPr>
              <w:spacing w:after="0"/>
              <w:rPr>
                <w:sz w:val="24"/>
                <w:szCs w:val="24"/>
                <w:color w:val="auto"/>
              </w:rPr>
            </w:pPr>
          </w:p>
        </w:tc>
        <w:tc>
          <w:tcPr>
            <w:tcW w:w="8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28,750</w:t>
            </w:r>
          </w:p>
        </w:tc>
      </w:tr>
    </w:tbl>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GOODWILL AND INTANGIBLE ASSETS</w:t>
      </w:r>
    </w:p>
    <w:p>
      <w:pPr>
        <w:spacing w:after="0" w:line="191" w:lineRule="exact"/>
        <w:rPr>
          <w:sz w:val="20"/>
          <w:szCs w:val="20"/>
          <w:color w:val="auto"/>
        </w:rPr>
      </w:pPr>
    </w:p>
    <w:p>
      <w:pPr>
        <w:ind w:left="540" w:right="440"/>
        <w:spacing w:after="0" w:line="268" w:lineRule="auto"/>
        <w:rPr>
          <w:sz w:val="20"/>
          <w:szCs w:val="20"/>
          <w:color w:val="auto"/>
        </w:rPr>
      </w:pPr>
      <w:r>
        <w:rPr>
          <w:rFonts w:ascii="Arial" w:cs="Arial" w:eastAsia="Arial" w:hAnsi="Arial"/>
          <w:sz w:val="18"/>
          <w:szCs w:val="18"/>
          <w:color w:val="auto"/>
        </w:rPr>
        <w:t>Goodwill and intangible assets on our balance sheets are the result of our acquisitions of Sigma Systems Corp. ("Sigma") in October 2008 and Thermonics, Inc. ("Thermonics"), a division of Test Enterprises, Inc. in January 2012.</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Goodwill</w:t>
      </w:r>
    </w:p>
    <w:p>
      <w:pPr>
        <w:spacing w:after="0" w:line="225"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color w:val="auto"/>
        </w:rPr>
        <w:t>All of our goodwill is allocated to our Thermal Products segment. There was no change in the amount of the carrying value of goodwill for the three months ended March 31,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- 8 -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(In thousands, except share and per share data)</w:t>
      </w:r>
    </w:p>
    <w:p>
      <w:pPr>
        <w:spacing w:after="0" w:line="172" w:lineRule="exact"/>
        <w:rPr>
          <w:sz w:val="20"/>
          <w:szCs w:val="20"/>
          <w:color w:val="auto"/>
        </w:rPr>
      </w:pPr>
    </w:p>
    <w:p>
      <w:pPr>
        <w:ind w:left="300" w:hanging="292"/>
        <w:spacing w:after="0"/>
        <w:tabs>
          <w:tab w:leader="none" w:pos="3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GOODWILL AND INTANGIBLE ASSETS </w:t>
      </w:r>
      <w:r>
        <w:rPr>
          <w:rFonts w:ascii="Arial" w:cs="Arial" w:eastAsia="Arial" w:hAnsi="Arial"/>
          <w:sz w:val="18"/>
          <w:szCs w:val="18"/>
          <w:color w:val="auto"/>
        </w:rPr>
        <w:t>(Continued)</w:t>
      </w:r>
    </w:p>
    <w:p>
      <w:pPr>
        <w:spacing w:after="0" w:line="190" w:lineRule="exact"/>
        <w:rPr>
          <w:rFonts w:ascii="Arial" w:cs="Arial" w:eastAsia="Arial" w:hAnsi="Arial"/>
          <w:sz w:val="18"/>
          <w:szCs w:val="18"/>
          <w:b w:val="1"/>
          <w:bCs w:val="1"/>
          <w:color w:val="auto"/>
        </w:rPr>
      </w:pPr>
    </w:p>
    <w:p>
      <w:pPr>
        <w:ind w:left="540"/>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Intangible Assets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tables provide further detail about our intangible assets as of March 31, 2014 and December 31, 2013:</w:t>
      </w:r>
    </w:p>
    <w:p>
      <w:pPr>
        <w:spacing w:after="0" w:line="181"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4"/>
                <w:szCs w:val="14"/>
                <w:b w:val="1"/>
                <w:bCs w:val="1"/>
                <w:i w:val="1"/>
                <w:iCs w:val="1"/>
                <w:color w:val="auto"/>
                <w:w w:val="88"/>
              </w:rPr>
              <w:t>March 31, 2014</w:t>
            </w: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58"/>
        </w:trPr>
        <w:tc>
          <w:tcPr>
            <w:tcW w:w="3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gridSpan w:val="3"/>
          </w:tcPr>
          <w:p>
            <w:pPr>
              <w:jc w:val="center"/>
              <w:ind w:right="160"/>
              <w:spacing w:after="0"/>
              <w:rPr>
                <w:sz w:val="20"/>
                <w:szCs w:val="20"/>
                <w:color w:val="auto"/>
              </w:rPr>
            </w:pPr>
            <w:r>
              <w:rPr>
                <w:rFonts w:ascii="Arial" w:cs="Arial" w:eastAsia="Arial" w:hAnsi="Arial"/>
                <w:sz w:val="12"/>
                <w:szCs w:val="12"/>
                <w:b w:val="1"/>
                <w:bCs w:val="1"/>
                <w:i w:val="1"/>
                <w:iCs w:val="1"/>
                <w:color w:val="auto"/>
                <w:w w:val="80"/>
              </w:rPr>
              <w:t>Gross</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i w:val="1"/>
                <w:iCs w:val="1"/>
                <w:color w:val="auto"/>
                <w:w w:val="79"/>
              </w:rPr>
              <w:t>Net</w:t>
            </w:r>
          </w:p>
        </w:tc>
      </w:tr>
      <w:tr>
        <w:trPr>
          <w:trHeight w:val="149"/>
        </w:trPr>
        <w:tc>
          <w:tcPr>
            <w:tcW w:w="3520" w:type="dxa"/>
            <w:vAlign w:val="bottom"/>
          </w:tcPr>
          <w:p>
            <w:pPr>
              <w:spacing w:after="0"/>
              <w:rPr>
                <w:sz w:val="12"/>
                <w:szCs w:val="12"/>
                <w:color w:val="auto"/>
              </w:rPr>
            </w:pPr>
          </w:p>
        </w:tc>
        <w:tc>
          <w:tcPr>
            <w:tcW w:w="1080" w:type="dxa"/>
            <w:vAlign w:val="bottom"/>
            <w:gridSpan w:val="5"/>
          </w:tcPr>
          <w:p>
            <w:pPr>
              <w:jc w:val="center"/>
              <w:ind w:left="337"/>
              <w:spacing w:after="0" w:line="149" w:lineRule="exact"/>
              <w:rPr>
                <w:sz w:val="20"/>
                <w:szCs w:val="20"/>
                <w:color w:val="auto"/>
              </w:rPr>
            </w:pPr>
            <w:r>
              <w:rPr>
                <w:rFonts w:ascii="Arial" w:cs="Arial" w:eastAsia="Arial" w:hAnsi="Arial"/>
                <w:sz w:val="14"/>
                <w:szCs w:val="14"/>
                <w:b w:val="1"/>
                <w:bCs w:val="1"/>
                <w:i w:val="1"/>
                <w:iCs w:val="1"/>
                <w:color w:val="auto"/>
                <w:w w:val="86"/>
              </w:rPr>
              <w:t>Carrying</w:t>
            </w:r>
          </w:p>
        </w:tc>
        <w:tc>
          <w:tcPr>
            <w:tcW w:w="960" w:type="dxa"/>
            <w:vAlign w:val="bottom"/>
            <w:gridSpan w:val="5"/>
          </w:tcPr>
          <w:p>
            <w:pPr>
              <w:jc w:val="right"/>
              <w:ind w:right="120"/>
              <w:spacing w:after="0" w:line="149" w:lineRule="exact"/>
              <w:rPr>
                <w:sz w:val="20"/>
                <w:szCs w:val="20"/>
                <w:color w:val="auto"/>
              </w:rPr>
            </w:pPr>
            <w:r>
              <w:rPr>
                <w:rFonts w:ascii="Arial" w:cs="Arial" w:eastAsia="Arial" w:hAnsi="Arial"/>
                <w:sz w:val="14"/>
                <w:szCs w:val="14"/>
                <w:b w:val="1"/>
                <w:bCs w:val="1"/>
                <w:i w:val="1"/>
                <w:iCs w:val="1"/>
                <w:color w:val="auto"/>
                <w:w w:val="93"/>
              </w:rPr>
              <w:t>Accumulated</w:t>
            </w:r>
          </w:p>
        </w:tc>
        <w:tc>
          <w:tcPr>
            <w:tcW w:w="62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i w:val="1"/>
                <w:iCs w:val="1"/>
                <w:color w:val="auto"/>
                <w:w w:val="86"/>
              </w:rPr>
              <w:t>Carrying</w:t>
            </w:r>
          </w:p>
        </w:tc>
      </w:tr>
      <w:tr>
        <w:trPr>
          <w:trHeight w:val="146"/>
        </w:trPr>
        <w:tc>
          <w:tcPr>
            <w:tcW w:w="3520" w:type="dxa"/>
            <w:vAlign w:val="bottom"/>
          </w:tcPr>
          <w:p>
            <w:pPr>
              <w:spacing w:after="0"/>
              <w:rPr>
                <w:sz w:val="12"/>
                <w:szCs w:val="12"/>
                <w:color w:val="auto"/>
              </w:rPr>
            </w:pPr>
          </w:p>
        </w:tc>
        <w:tc>
          <w:tcPr>
            <w:tcW w:w="1080" w:type="dxa"/>
            <w:vAlign w:val="bottom"/>
            <w:gridSpan w:val="5"/>
          </w:tcPr>
          <w:p>
            <w:pPr>
              <w:jc w:val="center"/>
              <w:ind w:left="357"/>
              <w:spacing w:after="0" w:line="146" w:lineRule="exact"/>
              <w:rPr>
                <w:sz w:val="20"/>
                <w:szCs w:val="20"/>
                <w:color w:val="auto"/>
              </w:rPr>
            </w:pPr>
            <w:r>
              <w:rPr>
                <w:rFonts w:ascii="Arial" w:cs="Arial" w:eastAsia="Arial" w:hAnsi="Arial"/>
                <w:sz w:val="14"/>
                <w:szCs w:val="14"/>
                <w:b w:val="1"/>
                <w:bCs w:val="1"/>
                <w:i w:val="1"/>
                <w:iCs w:val="1"/>
                <w:color w:val="auto"/>
                <w:w w:val="83"/>
              </w:rPr>
              <w:t>Amount</w:t>
            </w:r>
          </w:p>
        </w:tc>
        <w:tc>
          <w:tcPr>
            <w:tcW w:w="120" w:type="dxa"/>
            <w:vAlign w:val="bottom"/>
          </w:tcPr>
          <w:p>
            <w:pPr>
              <w:spacing w:after="0"/>
              <w:rPr>
                <w:sz w:val="12"/>
                <w:szCs w:val="12"/>
                <w:color w:val="auto"/>
              </w:rPr>
            </w:pPr>
          </w:p>
        </w:tc>
        <w:tc>
          <w:tcPr>
            <w:tcW w:w="840" w:type="dxa"/>
            <w:vAlign w:val="bottom"/>
            <w:gridSpan w:val="4"/>
          </w:tcPr>
          <w:p>
            <w:pPr>
              <w:jc w:val="right"/>
              <w:ind w:right="120"/>
              <w:spacing w:after="0" w:line="146" w:lineRule="exact"/>
              <w:rPr>
                <w:sz w:val="20"/>
                <w:szCs w:val="20"/>
                <w:color w:val="auto"/>
              </w:rPr>
            </w:pPr>
            <w:r>
              <w:rPr>
                <w:rFonts w:ascii="Arial" w:cs="Arial" w:eastAsia="Arial" w:hAnsi="Arial"/>
                <w:sz w:val="14"/>
                <w:szCs w:val="14"/>
                <w:b w:val="1"/>
                <w:bCs w:val="1"/>
                <w:i w:val="1"/>
                <w:iCs w:val="1"/>
                <w:color w:val="auto"/>
                <w:w w:val="81"/>
              </w:rPr>
              <w:t>Amortization</w:t>
            </w:r>
          </w:p>
        </w:tc>
        <w:tc>
          <w:tcPr>
            <w:tcW w:w="100" w:type="dxa"/>
            <w:vAlign w:val="bottom"/>
          </w:tcPr>
          <w:p>
            <w:pPr>
              <w:spacing w:after="0"/>
              <w:rPr>
                <w:sz w:val="12"/>
                <w:szCs w:val="12"/>
                <w:color w:val="auto"/>
              </w:rPr>
            </w:pPr>
          </w:p>
        </w:tc>
        <w:tc>
          <w:tcPr>
            <w:tcW w:w="520" w:type="dxa"/>
            <w:vAlign w:val="bottom"/>
            <w:gridSpan w:val="4"/>
          </w:tcPr>
          <w:p>
            <w:pPr>
              <w:jc w:val="center"/>
              <w:ind w:right="80"/>
              <w:spacing w:after="0" w:line="146" w:lineRule="exact"/>
              <w:rPr>
                <w:sz w:val="20"/>
                <w:szCs w:val="20"/>
                <w:color w:val="auto"/>
              </w:rPr>
            </w:pPr>
            <w:r>
              <w:rPr>
                <w:rFonts w:ascii="Arial" w:cs="Arial" w:eastAsia="Arial" w:hAnsi="Arial"/>
                <w:sz w:val="14"/>
                <w:szCs w:val="14"/>
                <w:b w:val="1"/>
                <w:bCs w:val="1"/>
                <w:i w:val="1"/>
                <w:iCs w:val="1"/>
                <w:color w:val="auto"/>
                <w:w w:val="83"/>
              </w:rPr>
              <w:t>Amount</w:t>
            </w:r>
          </w:p>
        </w:tc>
      </w:tr>
      <w:tr>
        <w:trPr>
          <w:trHeight w:val="235"/>
        </w:trPr>
        <w:tc>
          <w:tcPr>
            <w:tcW w:w="3520" w:type="dxa"/>
            <w:vAlign w:val="bottom"/>
          </w:tcPr>
          <w:p>
            <w:pPr>
              <w:spacing w:after="0"/>
              <w:rPr>
                <w:sz w:val="20"/>
                <w:szCs w:val="20"/>
                <w:color w:val="auto"/>
              </w:rPr>
            </w:pPr>
            <w:r>
              <w:rPr>
                <w:rFonts w:ascii="Arial" w:cs="Arial" w:eastAsia="Arial" w:hAnsi="Arial"/>
                <w:sz w:val="18"/>
                <w:szCs w:val="18"/>
                <w:color w:val="auto"/>
              </w:rPr>
              <w:t>Finite-lived intangible assets:</w:t>
            </w:r>
          </w:p>
        </w:tc>
        <w:tc>
          <w:tcPr>
            <w:tcW w:w="5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459"/>
        </w:trPr>
        <w:tc>
          <w:tcPr>
            <w:tcW w:w="3520" w:type="dxa"/>
            <w:vAlign w:val="bottom"/>
          </w:tcPr>
          <w:p>
            <w:pPr>
              <w:ind w:left="140"/>
              <w:spacing w:after="0"/>
              <w:rPr>
                <w:sz w:val="20"/>
                <w:szCs w:val="20"/>
                <w:color w:val="auto"/>
              </w:rPr>
            </w:pPr>
            <w:r>
              <w:rPr>
                <w:rFonts w:ascii="Arial" w:cs="Arial" w:eastAsia="Arial" w:hAnsi="Arial"/>
                <w:sz w:val="18"/>
                <w:szCs w:val="18"/>
                <w:color w:val="auto"/>
              </w:rPr>
              <w:t>Customer relationships</w:t>
            </w:r>
          </w:p>
        </w:tc>
        <w:tc>
          <w:tcPr>
            <w:tcW w:w="1080" w:type="dxa"/>
            <w:vAlign w:val="bottom"/>
            <w:gridSpan w:val="5"/>
          </w:tcPr>
          <w:p>
            <w:pPr>
              <w:jc w:val="right"/>
              <w:spacing w:after="0"/>
              <w:rPr>
                <w:sz w:val="20"/>
                <w:szCs w:val="20"/>
                <w:color w:val="auto"/>
              </w:rPr>
            </w:pPr>
            <w:r>
              <w:rPr>
                <w:rFonts w:ascii="Arial" w:cs="Arial" w:eastAsia="Arial" w:hAnsi="Arial"/>
                <w:sz w:val="18"/>
                <w:szCs w:val="18"/>
                <w:color w:val="auto"/>
              </w:rPr>
              <w:t>$1,480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793</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687</w:t>
            </w:r>
          </w:p>
        </w:tc>
      </w:tr>
      <w:tr>
        <w:trPr>
          <w:trHeight w:val="459"/>
        </w:trPr>
        <w:tc>
          <w:tcPr>
            <w:tcW w:w="3520" w:type="dxa"/>
            <w:vAlign w:val="bottom"/>
          </w:tcPr>
          <w:p>
            <w:pPr>
              <w:ind w:left="140"/>
              <w:spacing w:after="0"/>
              <w:rPr>
                <w:sz w:val="20"/>
                <w:szCs w:val="20"/>
                <w:color w:val="auto"/>
              </w:rPr>
            </w:pPr>
            <w:r>
              <w:rPr>
                <w:rFonts w:ascii="Arial" w:cs="Arial" w:eastAsia="Arial" w:hAnsi="Arial"/>
                <w:sz w:val="18"/>
                <w:szCs w:val="18"/>
                <w:color w:val="auto"/>
              </w:rPr>
              <w:t>Patented technology</w:t>
            </w:r>
          </w:p>
        </w:tc>
        <w:tc>
          <w:tcPr>
            <w:tcW w:w="1080" w:type="dxa"/>
            <w:vAlign w:val="bottom"/>
            <w:gridSpan w:val="5"/>
          </w:tcPr>
          <w:p>
            <w:pPr>
              <w:jc w:val="right"/>
              <w:spacing w:after="0"/>
              <w:rPr>
                <w:sz w:val="20"/>
                <w:szCs w:val="20"/>
                <w:color w:val="auto"/>
              </w:rPr>
            </w:pPr>
            <w:r>
              <w:rPr>
                <w:rFonts w:ascii="Arial" w:cs="Arial" w:eastAsia="Arial" w:hAnsi="Arial"/>
                <w:sz w:val="18"/>
                <w:szCs w:val="18"/>
                <w:color w:val="auto"/>
              </w:rPr>
              <w:t>590</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317</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273</w:t>
            </w:r>
          </w:p>
        </w:tc>
      </w:tr>
      <w:tr>
        <w:trPr>
          <w:trHeight w:val="459"/>
        </w:trPr>
        <w:tc>
          <w:tcPr>
            <w:tcW w:w="3520" w:type="dxa"/>
            <w:vAlign w:val="bottom"/>
          </w:tcPr>
          <w:p>
            <w:pPr>
              <w:ind w:left="140"/>
              <w:spacing w:after="0"/>
              <w:rPr>
                <w:sz w:val="20"/>
                <w:szCs w:val="20"/>
                <w:color w:val="auto"/>
              </w:rPr>
            </w:pPr>
            <w:r>
              <w:rPr>
                <w:rFonts w:ascii="Arial" w:cs="Arial" w:eastAsia="Arial" w:hAnsi="Arial"/>
                <w:sz w:val="18"/>
                <w:szCs w:val="18"/>
                <w:color w:val="auto"/>
              </w:rPr>
              <w:t>Software</w:t>
            </w:r>
          </w:p>
        </w:tc>
        <w:tc>
          <w:tcPr>
            <w:tcW w:w="1080" w:type="dxa"/>
            <w:vAlign w:val="bottom"/>
            <w:gridSpan w:val="5"/>
          </w:tcPr>
          <w:p>
            <w:pPr>
              <w:jc w:val="right"/>
              <w:spacing w:after="0"/>
              <w:rPr>
                <w:sz w:val="20"/>
                <w:szCs w:val="20"/>
                <w:color w:val="auto"/>
              </w:rPr>
            </w:pPr>
            <w:r>
              <w:rPr>
                <w:rFonts w:ascii="Arial" w:cs="Arial" w:eastAsia="Arial" w:hAnsi="Arial"/>
                <w:sz w:val="18"/>
                <w:szCs w:val="18"/>
                <w:color w:val="auto"/>
              </w:rPr>
              <w:t>270</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148</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122</w:t>
            </w:r>
          </w:p>
        </w:tc>
      </w:tr>
      <w:tr>
        <w:trPr>
          <w:trHeight w:val="459"/>
        </w:trPr>
        <w:tc>
          <w:tcPr>
            <w:tcW w:w="3520" w:type="dxa"/>
            <w:vAlign w:val="bottom"/>
          </w:tcPr>
          <w:p>
            <w:pPr>
              <w:ind w:left="140"/>
              <w:spacing w:after="0"/>
              <w:rPr>
                <w:sz w:val="20"/>
                <w:szCs w:val="20"/>
                <w:color w:val="auto"/>
              </w:rPr>
            </w:pPr>
            <w:r>
              <w:rPr>
                <w:rFonts w:ascii="Arial" w:cs="Arial" w:eastAsia="Arial" w:hAnsi="Arial"/>
                <w:sz w:val="18"/>
                <w:szCs w:val="18"/>
                <w:color w:val="auto"/>
              </w:rPr>
              <w:t>Trade name</w:t>
            </w:r>
          </w:p>
        </w:tc>
        <w:tc>
          <w:tcPr>
            <w:tcW w:w="1080" w:type="dxa"/>
            <w:vAlign w:val="bottom"/>
            <w:gridSpan w:val="5"/>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77</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63</w:t>
            </w:r>
          </w:p>
        </w:tc>
      </w:tr>
      <w:tr>
        <w:trPr>
          <w:trHeight w:val="459"/>
        </w:trPr>
        <w:tc>
          <w:tcPr>
            <w:tcW w:w="3520" w:type="dxa"/>
            <w:vAlign w:val="bottom"/>
          </w:tcPr>
          <w:p>
            <w:pPr>
              <w:ind w:left="140"/>
              <w:spacing w:after="0"/>
              <w:rPr>
                <w:sz w:val="20"/>
                <w:szCs w:val="20"/>
                <w:color w:val="auto"/>
              </w:rPr>
            </w:pPr>
            <w:r>
              <w:rPr>
                <w:rFonts w:ascii="Arial" w:cs="Arial" w:eastAsia="Arial" w:hAnsi="Arial"/>
                <w:sz w:val="18"/>
                <w:szCs w:val="18"/>
                <w:color w:val="auto"/>
              </w:rPr>
              <w:t>Customer backlog</w:t>
            </w:r>
          </w:p>
        </w:tc>
        <w:tc>
          <w:tcPr>
            <w:tcW w:w="1080" w:type="dxa"/>
            <w:vAlign w:val="bottom"/>
            <w:gridSpan w:val="5"/>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70</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421"/>
        </w:trPr>
        <w:tc>
          <w:tcPr>
            <w:tcW w:w="3520" w:type="dxa"/>
            <w:vAlign w:val="bottom"/>
          </w:tcPr>
          <w:p>
            <w:pPr>
              <w:ind w:left="140"/>
              <w:spacing w:after="0"/>
              <w:rPr>
                <w:sz w:val="20"/>
                <w:szCs w:val="20"/>
                <w:color w:val="auto"/>
              </w:rPr>
            </w:pPr>
            <w:r>
              <w:rPr>
                <w:rFonts w:ascii="Arial" w:cs="Arial" w:eastAsia="Arial" w:hAnsi="Arial"/>
                <w:sz w:val="18"/>
                <w:szCs w:val="18"/>
                <w:color w:val="auto"/>
              </w:rPr>
              <w:t>Non-compete/non-solicitation agreement</w:t>
            </w:r>
          </w:p>
        </w:tc>
        <w:tc>
          <w:tcPr>
            <w:tcW w:w="640" w:type="dxa"/>
            <w:vAlign w:val="bottom"/>
            <w:gridSpan w:val="2"/>
          </w:tcPr>
          <w:p>
            <w:pPr>
              <w:spacing w:after="0"/>
              <w:rPr>
                <w:sz w:val="24"/>
                <w:szCs w:val="24"/>
                <w:color w:val="auto"/>
              </w:rPr>
            </w:pPr>
          </w:p>
        </w:tc>
        <w:tc>
          <w:tcPr>
            <w:tcW w:w="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r>
      <w:tr>
        <w:trPr>
          <w:trHeight w:val="439"/>
        </w:trPr>
        <w:tc>
          <w:tcPr>
            <w:tcW w:w="3520" w:type="dxa"/>
            <w:vAlign w:val="bottom"/>
          </w:tcPr>
          <w:p>
            <w:pPr>
              <w:spacing w:after="0"/>
              <w:rPr>
                <w:sz w:val="20"/>
                <w:szCs w:val="20"/>
                <w:color w:val="auto"/>
              </w:rPr>
            </w:pPr>
            <w:r>
              <w:rPr>
                <w:rFonts w:ascii="Arial" w:cs="Arial" w:eastAsia="Arial" w:hAnsi="Arial"/>
                <w:sz w:val="18"/>
                <w:szCs w:val="18"/>
                <w:color w:val="auto"/>
              </w:rPr>
              <w:t>Total finite-lived intangible assets</w:t>
            </w:r>
          </w:p>
        </w:tc>
        <w:tc>
          <w:tcPr>
            <w:tcW w:w="1080" w:type="dxa"/>
            <w:vAlign w:val="bottom"/>
            <w:gridSpan w:val="5"/>
          </w:tcPr>
          <w:p>
            <w:pPr>
              <w:jc w:val="right"/>
              <w:spacing w:after="0"/>
              <w:rPr>
                <w:sz w:val="20"/>
                <w:szCs w:val="20"/>
                <w:color w:val="auto"/>
              </w:rPr>
            </w:pPr>
            <w:r>
              <w:rPr>
                <w:rFonts w:ascii="Arial" w:cs="Arial" w:eastAsia="Arial" w:hAnsi="Arial"/>
                <w:sz w:val="18"/>
                <w:szCs w:val="18"/>
                <w:color w:val="auto"/>
              </w:rPr>
              <w:t>2,598</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79"/>
              </w:rPr>
              <w:t>1,453</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w w:val="79"/>
              </w:rPr>
              <w:t>1,145</w:t>
            </w:r>
          </w:p>
        </w:tc>
      </w:tr>
      <w:tr>
        <w:trPr>
          <w:trHeight w:val="478"/>
        </w:trPr>
        <w:tc>
          <w:tcPr>
            <w:tcW w:w="3520" w:type="dxa"/>
            <w:vAlign w:val="bottom"/>
          </w:tcPr>
          <w:p>
            <w:pPr>
              <w:spacing w:after="0"/>
              <w:rPr>
                <w:sz w:val="20"/>
                <w:szCs w:val="20"/>
                <w:color w:val="auto"/>
              </w:rPr>
            </w:pPr>
            <w:r>
              <w:rPr>
                <w:rFonts w:ascii="Arial" w:cs="Arial" w:eastAsia="Arial" w:hAnsi="Arial"/>
                <w:sz w:val="18"/>
                <w:szCs w:val="18"/>
                <w:color w:val="auto"/>
              </w:rPr>
              <w:t>Indefinite-lived intangible assets:</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r>
      <w:tr>
        <w:trPr>
          <w:trHeight w:val="421"/>
        </w:trPr>
        <w:tc>
          <w:tcPr>
            <w:tcW w:w="3520" w:type="dxa"/>
            <w:vAlign w:val="bottom"/>
          </w:tcPr>
          <w:p>
            <w:pPr>
              <w:ind w:left="140"/>
              <w:spacing w:after="0"/>
              <w:rPr>
                <w:sz w:val="20"/>
                <w:szCs w:val="20"/>
                <w:color w:val="auto"/>
              </w:rPr>
            </w:pPr>
            <w:r>
              <w:rPr>
                <w:rFonts w:ascii="Arial" w:cs="Arial" w:eastAsia="Arial" w:hAnsi="Arial"/>
                <w:sz w:val="18"/>
                <w:szCs w:val="18"/>
                <w:color w:val="auto"/>
              </w:rPr>
              <w:t>Sigma trademark</w:t>
            </w:r>
          </w:p>
        </w:tc>
        <w:tc>
          <w:tcPr>
            <w:tcW w:w="640" w:type="dxa"/>
            <w:vAlign w:val="bottom"/>
            <w:gridSpan w:val="2"/>
          </w:tcPr>
          <w:p>
            <w:pPr>
              <w:spacing w:after="0"/>
              <w:rPr>
                <w:sz w:val="24"/>
                <w:szCs w:val="24"/>
                <w:color w:val="auto"/>
              </w:rPr>
            </w:pPr>
          </w:p>
        </w:tc>
        <w:tc>
          <w:tcPr>
            <w:tcW w:w="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510</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510</w:t>
            </w:r>
          </w:p>
        </w:tc>
      </w:tr>
      <w:tr>
        <w:trPr>
          <w:trHeight w:val="439"/>
        </w:trPr>
        <w:tc>
          <w:tcPr>
            <w:tcW w:w="3520" w:type="dxa"/>
            <w:vAlign w:val="bottom"/>
          </w:tcPr>
          <w:p>
            <w:pPr>
              <w:spacing w:after="0"/>
              <w:rPr>
                <w:sz w:val="20"/>
                <w:szCs w:val="20"/>
                <w:color w:val="auto"/>
              </w:rPr>
            </w:pPr>
            <w:r>
              <w:rPr>
                <w:rFonts w:ascii="Arial" w:cs="Arial" w:eastAsia="Arial" w:hAnsi="Arial"/>
                <w:sz w:val="18"/>
                <w:szCs w:val="18"/>
                <w:color w:val="auto"/>
              </w:rPr>
              <w:t>Total intangible assets</w:t>
            </w:r>
          </w:p>
        </w:tc>
        <w:tc>
          <w:tcPr>
            <w:tcW w:w="1080" w:type="dxa"/>
            <w:vAlign w:val="bottom"/>
            <w:gridSpan w:val="5"/>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3,108</w:t>
            </w:r>
          </w:p>
        </w:tc>
        <w:tc>
          <w:tcPr>
            <w:tcW w:w="4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79"/>
              </w:rPr>
              <w:t>1,453</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w w:val="79"/>
              </w:rPr>
              <w:t>1,655</w:t>
            </w:r>
          </w:p>
        </w:tc>
      </w:tr>
      <w:tr>
        <w:trPr>
          <w:trHeight w:val="20"/>
        </w:trPr>
        <w:tc>
          <w:tcPr>
            <w:tcW w:w="3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329" w:lineRule="exact"/>
        <w:rPr>
          <w:sz w:val="20"/>
          <w:szCs w:val="20"/>
          <w:color w:val="auto"/>
        </w:rPr>
      </w:pPr>
    </w:p>
    <w:p>
      <w:pPr>
        <w:ind w:left="5640"/>
        <w:spacing w:after="0"/>
        <w:rPr>
          <w:sz w:val="20"/>
          <w:szCs w:val="20"/>
          <w:color w:val="auto"/>
        </w:rPr>
      </w:pPr>
      <w:r>
        <w:rPr>
          <w:rFonts w:ascii="Arial" w:cs="Arial" w:eastAsia="Arial" w:hAnsi="Arial"/>
          <w:sz w:val="14"/>
          <w:szCs w:val="14"/>
          <w:b w:val="1"/>
          <w:bCs w:val="1"/>
          <w:i w:val="1"/>
          <w:iCs w:val="1"/>
          <w:color w:val="auto"/>
        </w:rPr>
        <w:t>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3473450</wp:posOffset>
            </wp:positionH>
            <wp:positionV relativeFrom="paragraph">
              <wp:posOffset>-8890</wp:posOffset>
            </wp:positionV>
            <wp:extent cx="8928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92810" cy="8890"/>
                    </a:xfrm>
                    <a:prstGeom prst="rect">
                      <a:avLst/>
                    </a:prstGeom>
                    <a:noFill/>
                  </pic:spPr>
                </pic:pic>
              </a:graphicData>
            </a:graphic>
          </wp:anchor>
        </w:drawing>
      </w:r>
    </w:p>
    <w:p>
      <w:pPr>
        <w:sectPr>
          <w:pgSz w:w="11900" w:h="16876" w:orient="portrait"/>
          <w:cols w:equalWidth="0" w:num="1">
            <w:col w:w="10980"/>
          </w:cols>
          <w:pgMar w:left="240" w:top="128" w:right="679" w:bottom="0" w:gutter="0" w:footer="0" w:header="0"/>
        </w:sectPr>
      </w:pPr>
    </w:p>
    <w:p>
      <w:pPr>
        <w:spacing w:after="0" w:line="15" w:lineRule="exact"/>
        <w:rPr>
          <w:sz w:val="20"/>
          <w:szCs w:val="20"/>
          <w:color w:val="auto"/>
        </w:rPr>
      </w:pPr>
    </w:p>
    <w:p>
      <w:pPr>
        <w:ind w:left="5220"/>
        <w:spacing w:after="0"/>
        <w:tabs>
          <w:tab w:leader="none" w:pos="6860" w:val="left"/>
        </w:tabs>
        <w:rPr>
          <w:sz w:val="20"/>
          <w:szCs w:val="20"/>
          <w:color w:val="auto"/>
        </w:rPr>
      </w:pPr>
      <w:r>
        <w:rPr>
          <w:rFonts w:ascii="Arial" w:cs="Arial" w:eastAsia="Arial" w:hAnsi="Arial"/>
          <w:sz w:val="12"/>
          <w:szCs w:val="12"/>
          <w:b w:val="1"/>
          <w:bCs w:val="1"/>
          <w:i w:val="1"/>
          <w:iCs w:val="1"/>
          <w:color w:val="auto"/>
        </w:rPr>
        <w:t>Gross</w:t>
      </w:r>
      <w:r>
        <w:rPr>
          <w:sz w:val="20"/>
          <w:szCs w:val="20"/>
          <w:color w:val="auto"/>
        </w:rPr>
        <w:tab/>
      </w:r>
      <w:r>
        <w:rPr>
          <w:rFonts w:ascii="Arial" w:cs="Arial" w:eastAsia="Arial" w:hAnsi="Arial"/>
          <w:sz w:val="12"/>
          <w:szCs w:val="12"/>
          <w:b w:val="1"/>
          <w:bCs w:val="1"/>
          <w:i w:val="1"/>
          <w:iCs w:val="1"/>
          <w:color w:val="auto"/>
        </w:rPr>
        <w:t>Net</w:t>
      </w:r>
    </w:p>
    <w:p>
      <w:pPr>
        <w:sectPr>
          <w:pgSz w:w="11900" w:h="16876" w:orient="portrait"/>
          <w:cols w:equalWidth="0" w:num="1">
            <w:col w:w="10980"/>
          </w:cols>
          <w:pgMar w:left="240" w:top="128" w:right="679" w:bottom="0" w:gutter="0" w:footer="0" w:header="0"/>
          <w:type w:val="continuous"/>
        </w:sectPr>
      </w:pPr>
    </w:p>
    <w:bookmarkStart w:id="8" w:name="page9"/>
    <w:bookmarkEnd w:id="8"/>
    <w:p>
      <w:pPr>
        <w:spacing w:after="0" w:line="42"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1080" w:type="dxa"/>
            <w:vAlign w:val="bottom"/>
            <w:gridSpan w:val="4"/>
          </w:tcPr>
          <w:p>
            <w:pPr>
              <w:jc w:val="right"/>
              <w:ind w:right="80"/>
              <w:spacing w:after="0"/>
              <w:rPr>
                <w:sz w:val="20"/>
                <w:szCs w:val="20"/>
                <w:color w:val="auto"/>
              </w:rPr>
            </w:pPr>
            <w:r>
              <w:rPr>
                <w:rFonts w:ascii="Arial" w:cs="Arial" w:eastAsia="Arial" w:hAnsi="Arial"/>
                <w:sz w:val="14"/>
                <w:szCs w:val="14"/>
                <w:b w:val="1"/>
                <w:bCs w:val="1"/>
                <w:i w:val="1"/>
                <w:iCs w:val="1"/>
                <w:color w:val="auto"/>
              </w:rPr>
              <w:t>Carrying</w:t>
            </w:r>
          </w:p>
        </w:tc>
        <w:tc>
          <w:tcPr>
            <w:tcW w:w="940" w:type="dxa"/>
            <w:vAlign w:val="bottom"/>
            <w:gridSpan w:val="5"/>
          </w:tcPr>
          <w:p>
            <w:pPr>
              <w:jc w:val="right"/>
              <w:ind w:right="100"/>
              <w:spacing w:after="0"/>
              <w:rPr>
                <w:sz w:val="20"/>
                <w:szCs w:val="20"/>
                <w:color w:val="auto"/>
              </w:rPr>
            </w:pPr>
            <w:r>
              <w:rPr>
                <w:rFonts w:ascii="Arial" w:cs="Arial" w:eastAsia="Arial" w:hAnsi="Arial"/>
                <w:sz w:val="14"/>
                <w:szCs w:val="14"/>
                <w:b w:val="1"/>
                <w:bCs w:val="1"/>
                <w:i w:val="1"/>
                <w:iCs w:val="1"/>
                <w:color w:val="auto"/>
                <w:w w:val="93"/>
              </w:rPr>
              <w:t>Accumulated</w:t>
            </w:r>
          </w:p>
        </w:tc>
        <w:tc>
          <w:tcPr>
            <w:tcW w:w="640" w:type="dxa"/>
            <w:vAlign w:val="bottom"/>
            <w:gridSpan w:val="5"/>
          </w:tcPr>
          <w:p>
            <w:pPr>
              <w:jc w:val="right"/>
              <w:ind w:right="60"/>
              <w:spacing w:after="0"/>
              <w:rPr>
                <w:sz w:val="20"/>
                <w:szCs w:val="20"/>
                <w:color w:val="auto"/>
              </w:rPr>
            </w:pPr>
            <w:r>
              <w:rPr>
                <w:rFonts w:ascii="Arial" w:cs="Arial" w:eastAsia="Arial" w:hAnsi="Arial"/>
                <w:sz w:val="14"/>
                <w:szCs w:val="14"/>
                <w:b w:val="1"/>
                <w:bCs w:val="1"/>
                <w:i w:val="1"/>
                <w:iCs w:val="1"/>
                <w:color w:val="auto"/>
                <w:w w:val="97"/>
              </w:rPr>
              <w:t>Carrying</w:t>
            </w:r>
          </w:p>
        </w:tc>
      </w:tr>
      <w:tr>
        <w:trPr>
          <w:trHeight w:val="146"/>
        </w:trPr>
        <w:tc>
          <w:tcPr>
            <w:tcW w:w="3520" w:type="dxa"/>
            <w:vAlign w:val="bottom"/>
          </w:tcPr>
          <w:p>
            <w:pPr>
              <w:spacing w:after="0"/>
              <w:rPr>
                <w:sz w:val="12"/>
                <w:szCs w:val="12"/>
                <w:color w:val="auto"/>
              </w:rPr>
            </w:pPr>
          </w:p>
        </w:tc>
        <w:tc>
          <w:tcPr>
            <w:tcW w:w="1080" w:type="dxa"/>
            <w:vAlign w:val="bottom"/>
            <w:gridSpan w:val="4"/>
          </w:tcPr>
          <w:p>
            <w:pPr>
              <w:jc w:val="right"/>
              <w:ind w:right="100"/>
              <w:spacing w:after="0" w:line="146" w:lineRule="exact"/>
              <w:rPr>
                <w:sz w:val="20"/>
                <w:szCs w:val="20"/>
                <w:color w:val="auto"/>
              </w:rPr>
            </w:pPr>
            <w:r>
              <w:rPr>
                <w:rFonts w:ascii="Arial" w:cs="Arial" w:eastAsia="Arial" w:hAnsi="Arial"/>
                <w:sz w:val="14"/>
                <w:szCs w:val="14"/>
                <w:b w:val="1"/>
                <w:bCs w:val="1"/>
                <w:i w:val="1"/>
                <w:iCs w:val="1"/>
                <w:color w:val="auto"/>
              </w:rPr>
              <w:t>Amount</w:t>
            </w:r>
          </w:p>
        </w:tc>
        <w:tc>
          <w:tcPr>
            <w:tcW w:w="120" w:type="dxa"/>
            <w:vAlign w:val="bottom"/>
          </w:tcPr>
          <w:p>
            <w:pPr>
              <w:spacing w:after="0"/>
              <w:rPr>
                <w:sz w:val="12"/>
                <w:szCs w:val="12"/>
                <w:color w:val="auto"/>
              </w:rPr>
            </w:pPr>
          </w:p>
        </w:tc>
        <w:tc>
          <w:tcPr>
            <w:tcW w:w="820" w:type="dxa"/>
            <w:vAlign w:val="bottom"/>
            <w:gridSpan w:val="4"/>
          </w:tcPr>
          <w:p>
            <w:pPr>
              <w:jc w:val="right"/>
              <w:ind w:right="100"/>
              <w:spacing w:after="0" w:line="146" w:lineRule="exact"/>
              <w:rPr>
                <w:sz w:val="20"/>
                <w:szCs w:val="20"/>
                <w:color w:val="auto"/>
              </w:rPr>
            </w:pPr>
            <w:r>
              <w:rPr>
                <w:rFonts w:ascii="Arial" w:cs="Arial" w:eastAsia="Arial" w:hAnsi="Arial"/>
                <w:sz w:val="14"/>
                <w:szCs w:val="14"/>
                <w:b w:val="1"/>
                <w:bCs w:val="1"/>
                <w:i w:val="1"/>
                <w:iCs w:val="1"/>
                <w:color w:val="auto"/>
                <w:w w:val="81"/>
              </w:rPr>
              <w:t>Amortization</w:t>
            </w:r>
          </w:p>
        </w:tc>
        <w:tc>
          <w:tcPr>
            <w:tcW w:w="120" w:type="dxa"/>
            <w:vAlign w:val="bottom"/>
          </w:tcPr>
          <w:p>
            <w:pPr>
              <w:spacing w:after="0"/>
              <w:rPr>
                <w:sz w:val="12"/>
                <w:szCs w:val="12"/>
                <w:color w:val="auto"/>
              </w:rPr>
            </w:pPr>
          </w:p>
        </w:tc>
        <w:tc>
          <w:tcPr>
            <w:tcW w:w="520" w:type="dxa"/>
            <w:vAlign w:val="bottom"/>
            <w:gridSpan w:val="4"/>
          </w:tcPr>
          <w:p>
            <w:pPr>
              <w:jc w:val="right"/>
              <w:ind w:right="80"/>
              <w:spacing w:after="0" w:line="146" w:lineRule="exact"/>
              <w:rPr>
                <w:sz w:val="20"/>
                <w:szCs w:val="20"/>
                <w:color w:val="auto"/>
              </w:rPr>
            </w:pPr>
            <w:r>
              <w:rPr>
                <w:rFonts w:ascii="Arial" w:cs="Arial" w:eastAsia="Arial" w:hAnsi="Arial"/>
                <w:sz w:val="14"/>
                <w:szCs w:val="14"/>
                <w:b w:val="1"/>
                <w:bCs w:val="1"/>
                <w:i w:val="1"/>
                <w:iCs w:val="1"/>
                <w:color w:val="auto"/>
                <w:w w:val="79"/>
              </w:rPr>
              <w:t>Amount</w:t>
            </w:r>
          </w:p>
        </w:tc>
      </w:tr>
      <w:tr>
        <w:trPr>
          <w:trHeight w:val="397"/>
        </w:trPr>
        <w:tc>
          <w:tcPr>
            <w:tcW w:w="3520" w:type="dxa"/>
            <w:vAlign w:val="bottom"/>
          </w:tcPr>
          <w:p>
            <w:pPr>
              <w:spacing w:after="0"/>
              <w:rPr>
                <w:sz w:val="20"/>
                <w:szCs w:val="20"/>
                <w:color w:val="auto"/>
              </w:rPr>
            </w:pPr>
            <w:r>
              <w:rPr>
                <w:rFonts w:ascii="Arial" w:cs="Arial" w:eastAsia="Arial" w:hAnsi="Arial"/>
                <w:sz w:val="18"/>
                <w:szCs w:val="18"/>
                <w:color w:val="auto"/>
              </w:rPr>
              <w:t>Finite-lived intangible assets:</w:t>
            </w:r>
          </w:p>
        </w:tc>
        <w:tc>
          <w:tcPr>
            <w:tcW w:w="5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459"/>
        </w:trPr>
        <w:tc>
          <w:tcPr>
            <w:tcW w:w="3520" w:type="dxa"/>
            <w:vAlign w:val="bottom"/>
          </w:tcPr>
          <w:p>
            <w:pPr>
              <w:ind w:left="140"/>
              <w:spacing w:after="0"/>
              <w:rPr>
                <w:sz w:val="20"/>
                <w:szCs w:val="20"/>
                <w:color w:val="auto"/>
              </w:rPr>
            </w:pPr>
            <w:r>
              <w:rPr>
                <w:rFonts w:ascii="Arial" w:cs="Arial" w:eastAsia="Arial" w:hAnsi="Arial"/>
                <w:sz w:val="18"/>
                <w:szCs w:val="18"/>
                <w:color w:val="auto"/>
              </w:rPr>
              <w:t>Customer relationships</w:t>
            </w: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$1,480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725</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755</w:t>
            </w:r>
          </w:p>
        </w:tc>
      </w:tr>
      <w:tr>
        <w:trPr>
          <w:trHeight w:val="459"/>
        </w:trPr>
        <w:tc>
          <w:tcPr>
            <w:tcW w:w="3520" w:type="dxa"/>
            <w:vAlign w:val="bottom"/>
          </w:tcPr>
          <w:p>
            <w:pPr>
              <w:ind w:left="140"/>
              <w:spacing w:after="0"/>
              <w:rPr>
                <w:sz w:val="20"/>
                <w:szCs w:val="20"/>
                <w:color w:val="auto"/>
              </w:rPr>
            </w:pPr>
            <w:r>
              <w:rPr>
                <w:rFonts w:ascii="Arial" w:cs="Arial" w:eastAsia="Arial" w:hAnsi="Arial"/>
                <w:sz w:val="18"/>
                <w:szCs w:val="18"/>
                <w:color w:val="auto"/>
              </w:rPr>
              <w:t>Patented technology</w:t>
            </w: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590</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307</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283</w:t>
            </w:r>
          </w:p>
        </w:tc>
      </w:tr>
      <w:tr>
        <w:trPr>
          <w:trHeight w:val="459"/>
        </w:trPr>
        <w:tc>
          <w:tcPr>
            <w:tcW w:w="3520" w:type="dxa"/>
            <w:vAlign w:val="bottom"/>
          </w:tcPr>
          <w:p>
            <w:pPr>
              <w:ind w:left="140"/>
              <w:spacing w:after="0"/>
              <w:rPr>
                <w:sz w:val="20"/>
                <w:szCs w:val="20"/>
                <w:color w:val="auto"/>
              </w:rPr>
            </w:pPr>
            <w:r>
              <w:rPr>
                <w:rFonts w:ascii="Arial" w:cs="Arial" w:eastAsia="Arial" w:hAnsi="Arial"/>
                <w:sz w:val="18"/>
                <w:szCs w:val="18"/>
                <w:color w:val="auto"/>
              </w:rPr>
              <w:t>Software</w:t>
            </w: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270</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142</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128</w:t>
            </w:r>
          </w:p>
        </w:tc>
      </w:tr>
      <w:tr>
        <w:trPr>
          <w:trHeight w:val="459"/>
        </w:trPr>
        <w:tc>
          <w:tcPr>
            <w:tcW w:w="3520" w:type="dxa"/>
            <w:vAlign w:val="bottom"/>
          </w:tcPr>
          <w:p>
            <w:pPr>
              <w:ind w:left="140"/>
              <w:spacing w:after="0"/>
              <w:rPr>
                <w:sz w:val="20"/>
                <w:szCs w:val="20"/>
                <w:color w:val="auto"/>
              </w:rPr>
            </w:pPr>
            <w:r>
              <w:rPr>
                <w:rFonts w:ascii="Arial" w:cs="Arial" w:eastAsia="Arial" w:hAnsi="Arial"/>
                <w:sz w:val="18"/>
                <w:szCs w:val="18"/>
                <w:color w:val="auto"/>
              </w:rPr>
              <w:t>Trade name</w:t>
            </w: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68</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72</w:t>
            </w:r>
          </w:p>
        </w:tc>
      </w:tr>
      <w:tr>
        <w:trPr>
          <w:trHeight w:val="459"/>
        </w:trPr>
        <w:tc>
          <w:tcPr>
            <w:tcW w:w="3520" w:type="dxa"/>
            <w:vAlign w:val="bottom"/>
          </w:tcPr>
          <w:p>
            <w:pPr>
              <w:ind w:left="140"/>
              <w:spacing w:after="0"/>
              <w:rPr>
                <w:sz w:val="20"/>
                <w:szCs w:val="20"/>
                <w:color w:val="auto"/>
              </w:rPr>
            </w:pPr>
            <w:r>
              <w:rPr>
                <w:rFonts w:ascii="Arial" w:cs="Arial" w:eastAsia="Arial" w:hAnsi="Arial"/>
                <w:sz w:val="18"/>
                <w:szCs w:val="18"/>
                <w:color w:val="auto"/>
              </w:rPr>
              <w:t>Customer backlog</w:t>
            </w: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70</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421"/>
        </w:trPr>
        <w:tc>
          <w:tcPr>
            <w:tcW w:w="3520" w:type="dxa"/>
            <w:vAlign w:val="bottom"/>
          </w:tcPr>
          <w:p>
            <w:pPr>
              <w:ind w:left="140"/>
              <w:spacing w:after="0"/>
              <w:rPr>
                <w:sz w:val="20"/>
                <w:szCs w:val="20"/>
                <w:color w:val="auto"/>
              </w:rPr>
            </w:pPr>
            <w:r>
              <w:rPr>
                <w:rFonts w:ascii="Arial" w:cs="Arial" w:eastAsia="Arial" w:hAnsi="Arial"/>
                <w:sz w:val="18"/>
                <w:szCs w:val="18"/>
                <w:color w:val="auto"/>
              </w:rPr>
              <w:t>Non-compete/non-solicitation agreement</w:t>
            </w:r>
          </w:p>
        </w:tc>
        <w:tc>
          <w:tcPr>
            <w:tcW w:w="640" w:type="dxa"/>
            <w:vAlign w:val="bottom"/>
            <w:gridSpan w:val="2"/>
          </w:tcPr>
          <w:p>
            <w:pPr>
              <w:spacing w:after="0"/>
              <w:rPr>
                <w:sz w:val="24"/>
                <w:szCs w:val="24"/>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r>
      <w:tr>
        <w:trPr>
          <w:trHeight w:val="439"/>
        </w:trPr>
        <w:tc>
          <w:tcPr>
            <w:tcW w:w="3520" w:type="dxa"/>
            <w:vAlign w:val="bottom"/>
          </w:tcPr>
          <w:p>
            <w:pPr>
              <w:spacing w:after="0"/>
              <w:rPr>
                <w:sz w:val="20"/>
                <w:szCs w:val="20"/>
                <w:color w:val="auto"/>
              </w:rPr>
            </w:pPr>
            <w:r>
              <w:rPr>
                <w:rFonts w:ascii="Arial" w:cs="Arial" w:eastAsia="Arial" w:hAnsi="Arial"/>
                <w:sz w:val="18"/>
                <w:szCs w:val="18"/>
                <w:color w:val="auto"/>
              </w:rPr>
              <w:t>Total finite-lived intangible assets</w:t>
            </w: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2,598</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79"/>
              </w:rPr>
              <w:t>1,360</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w w:val="79"/>
              </w:rPr>
              <w:t>1,238</w:t>
            </w:r>
          </w:p>
        </w:tc>
      </w:tr>
      <w:tr>
        <w:trPr>
          <w:trHeight w:val="478"/>
        </w:trPr>
        <w:tc>
          <w:tcPr>
            <w:tcW w:w="3520" w:type="dxa"/>
            <w:vAlign w:val="bottom"/>
          </w:tcPr>
          <w:p>
            <w:pPr>
              <w:spacing w:after="0"/>
              <w:rPr>
                <w:sz w:val="20"/>
                <w:szCs w:val="20"/>
                <w:color w:val="auto"/>
              </w:rPr>
            </w:pPr>
            <w:r>
              <w:rPr>
                <w:rFonts w:ascii="Arial" w:cs="Arial" w:eastAsia="Arial" w:hAnsi="Arial"/>
                <w:sz w:val="18"/>
                <w:szCs w:val="18"/>
                <w:color w:val="auto"/>
              </w:rPr>
              <w:t>Indefinite-lived intangible assets:</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r>
      <w:tr>
        <w:trPr>
          <w:trHeight w:val="421"/>
        </w:trPr>
        <w:tc>
          <w:tcPr>
            <w:tcW w:w="3520" w:type="dxa"/>
            <w:vAlign w:val="bottom"/>
          </w:tcPr>
          <w:p>
            <w:pPr>
              <w:ind w:left="140"/>
              <w:spacing w:after="0"/>
              <w:rPr>
                <w:sz w:val="20"/>
                <w:szCs w:val="20"/>
                <w:color w:val="auto"/>
              </w:rPr>
            </w:pPr>
            <w:r>
              <w:rPr>
                <w:rFonts w:ascii="Arial" w:cs="Arial" w:eastAsia="Arial" w:hAnsi="Arial"/>
                <w:sz w:val="18"/>
                <w:szCs w:val="18"/>
                <w:color w:val="auto"/>
              </w:rPr>
              <w:t>Sigma trademark</w:t>
            </w:r>
          </w:p>
        </w:tc>
        <w:tc>
          <w:tcPr>
            <w:tcW w:w="640" w:type="dxa"/>
            <w:vAlign w:val="bottom"/>
            <w:gridSpan w:val="2"/>
          </w:tcPr>
          <w:p>
            <w:pPr>
              <w:spacing w:after="0"/>
              <w:rPr>
                <w:sz w:val="24"/>
                <w:szCs w:val="24"/>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510</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510</w:t>
            </w:r>
          </w:p>
        </w:tc>
      </w:tr>
      <w:tr>
        <w:trPr>
          <w:trHeight w:val="439"/>
        </w:trPr>
        <w:tc>
          <w:tcPr>
            <w:tcW w:w="3520" w:type="dxa"/>
            <w:vAlign w:val="bottom"/>
          </w:tcPr>
          <w:p>
            <w:pPr>
              <w:spacing w:after="0"/>
              <w:rPr>
                <w:sz w:val="20"/>
                <w:szCs w:val="20"/>
                <w:color w:val="auto"/>
              </w:rPr>
            </w:pPr>
            <w:r>
              <w:rPr>
                <w:rFonts w:ascii="Arial" w:cs="Arial" w:eastAsia="Arial" w:hAnsi="Arial"/>
                <w:sz w:val="18"/>
                <w:szCs w:val="18"/>
                <w:color w:val="auto"/>
              </w:rPr>
              <w:t>Total intangible assets</w:t>
            </w:r>
          </w:p>
        </w:tc>
        <w:tc>
          <w:tcPr>
            <w:tcW w:w="108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3,108</w:t>
            </w:r>
          </w:p>
        </w:tc>
        <w:tc>
          <w:tcPr>
            <w:tcW w:w="4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79"/>
              </w:rPr>
              <w:t>1,360</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w w:val="79"/>
              </w:rPr>
              <w:t>1,748</w:t>
            </w:r>
          </w:p>
        </w:tc>
      </w:tr>
      <w:tr>
        <w:trPr>
          <w:trHeight w:val="20"/>
        </w:trPr>
        <w:tc>
          <w:tcPr>
            <w:tcW w:w="3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ind w:left="540"/>
        <w:spacing w:after="0" w:line="259" w:lineRule="auto"/>
        <w:rPr>
          <w:sz w:val="20"/>
          <w:szCs w:val="20"/>
          <w:color w:val="auto"/>
        </w:rPr>
      </w:pPr>
      <w:r>
        <w:rPr>
          <w:rFonts w:ascii="Arial" w:cs="Arial" w:eastAsia="Arial" w:hAnsi="Arial"/>
          <w:sz w:val="18"/>
          <w:szCs w:val="18"/>
          <w:color w:val="auto"/>
        </w:rPr>
        <w:t>We generally amortize our finite-lived intangible assets over their estimated useful lives on a straightline basis, unless an alternate amortization method can be reliably determined. Any such alternate amortization method would be based on the pattern in which the economic benefits of the intangible asset are expected to be consumed. None of our intangible assets have any residual value.</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The following table sets forth changes in the amount of the carrying value of intangible assets for the three months ended March 31, 2014:</w:t>
      </w:r>
    </w:p>
    <w:p>
      <w:pPr>
        <w:spacing w:after="0" w:line="262" w:lineRule="exact"/>
        <w:rPr>
          <w:sz w:val="20"/>
          <w:szCs w:val="20"/>
          <w:color w:val="auto"/>
        </w:rPr>
      </w:pPr>
    </w:p>
    <w:tbl>
      <w:tblPr>
        <w:tblLayout w:type="fixed"/>
        <w:tblInd w:w="1100" w:type="dxa"/>
        <w:tblCellMar>
          <w:top w:w="0" w:type="dxa"/>
          <w:left w:w="0" w:type="dxa"/>
          <w:bottom w:w="0" w:type="dxa"/>
          <w:right w:w="0" w:type="dxa"/>
        </w:tblCellMar>
      </w:tblPr>
      <w:tr>
        <w:trPr>
          <w:trHeight w:val="222"/>
        </w:trPr>
        <w:tc>
          <w:tcPr>
            <w:tcW w:w="3760" w:type="dxa"/>
            <w:vAlign w:val="bottom"/>
          </w:tcPr>
          <w:p>
            <w:pPr>
              <w:spacing w:after="0"/>
              <w:rPr>
                <w:sz w:val="20"/>
                <w:szCs w:val="20"/>
                <w:color w:val="auto"/>
              </w:rPr>
            </w:pPr>
            <w:r>
              <w:rPr>
                <w:rFonts w:ascii="Arial" w:cs="Arial" w:eastAsia="Arial" w:hAnsi="Arial"/>
                <w:sz w:val="18"/>
                <w:szCs w:val="18"/>
                <w:color w:val="auto"/>
              </w:rPr>
              <w:t>Balance - January 1, 2014</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$1,748</w:t>
            </w:r>
          </w:p>
        </w:tc>
        <w:tc>
          <w:tcPr>
            <w:tcW w:w="40" w:type="dxa"/>
            <w:vAlign w:val="bottom"/>
          </w:tcPr>
          <w:p>
            <w:pPr>
              <w:spacing w:after="0"/>
              <w:rPr>
                <w:sz w:val="19"/>
                <w:szCs w:val="19"/>
                <w:color w:val="auto"/>
              </w:rPr>
            </w:pPr>
          </w:p>
        </w:tc>
      </w:tr>
      <w:tr>
        <w:trPr>
          <w:trHeight w:val="421"/>
        </w:trPr>
        <w:tc>
          <w:tcPr>
            <w:tcW w:w="3760" w:type="dxa"/>
            <w:vAlign w:val="bottom"/>
          </w:tcPr>
          <w:p>
            <w:pPr>
              <w:spacing w:after="0"/>
              <w:rPr>
                <w:sz w:val="20"/>
                <w:szCs w:val="20"/>
                <w:color w:val="auto"/>
              </w:rPr>
            </w:pPr>
            <w:r>
              <w:rPr>
                <w:rFonts w:ascii="Arial" w:cs="Arial" w:eastAsia="Arial" w:hAnsi="Arial"/>
                <w:sz w:val="18"/>
                <w:szCs w:val="18"/>
                <w:color w:val="auto"/>
              </w:rPr>
              <w:t>Amortization</w:t>
            </w:r>
          </w:p>
        </w:tc>
        <w:tc>
          <w:tcPr>
            <w:tcW w:w="20" w:type="dxa"/>
            <w:vAlign w:val="bottom"/>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(93)</w:t>
            </w:r>
          </w:p>
        </w:tc>
      </w:tr>
      <w:tr>
        <w:trPr>
          <w:trHeight w:val="20"/>
        </w:trPr>
        <w:tc>
          <w:tcPr>
            <w:tcW w:w="3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3760" w:type="dxa"/>
            <w:vAlign w:val="bottom"/>
          </w:tcPr>
          <w:p>
            <w:pPr>
              <w:spacing w:after="0"/>
              <w:rPr>
                <w:sz w:val="20"/>
                <w:szCs w:val="20"/>
                <w:color w:val="auto"/>
              </w:rPr>
            </w:pPr>
            <w:r>
              <w:rPr>
                <w:rFonts w:ascii="Arial" w:cs="Arial" w:eastAsia="Arial" w:hAnsi="Arial"/>
                <w:sz w:val="18"/>
                <w:szCs w:val="18"/>
                <w:color w:val="auto"/>
              </w:rPr>
              <w:t>Balance - March 31, 2014</w:t>
            </w: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1,655</w:t>
            </w:r>
          </w:p>
        </w:tc>
        <w:tc>
          <w:tcPr>
            <w:tcW w:w="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- 9 -</w:t>
      </w:r>
    </w:p>
    <w:p>
      <w:pPr>
        <w:spacing w:after="0" w:line="200" w:lineRule="exact"/>
        <w:rPr>
          <w:sz w:val="20"/>
          <w:szCs w:val="20"/>
          <w:color w:val="auto"/>
        </w:rPr>
      </w:pPr>
    </w:p>
    <w:p>
      <w:pPr>
        <w:spacing w:after="0" w:line="37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(In thousands, except share and per share data)</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 GOODWILL AND INTANGIBLE ASSETS </w:t>
      </w:r>
      <w:r>
        <w:rPr>
          <w:rFonts w:ascii="Arial" w:cs="Arial" w:eastAsia="Arial" w:hAnsi="Arial"/>
          <w:sz w:val="18"/>
          <w:szCs w:val="18"/>
          <w:color w:val="auto"/>
        </w:rPr>
        <w:t>(Continued)</w:t>
      </w:r>
    </w:p>
    <w:p>
      <w:pPr>
        <w:spacing w:after="0" w:line="191" w:lineRule="exact"/>
        <w:rPr>
          <w:sz w:val="20"/>
          <w:szCs w:val="20"/>
          <w:color w:val="auto"/>
        </w:rPr>
      </w:pPr>
    </w:p>
    <w:p>
      <w:pPr>
        <w:ind w:left="540" w:right="400"/>
        <w:spacing w:after="0" w:line="268" w:lineRule="auto"/>
        <w:rPr>
          <w:sz w:val="20"/>
          <w:szCs w:val="20"/>
          <w:color w:val="auto"/>
        </w:rPr>
      </w:pPr>
      <w:r>
        <w:rPr>
          <w:rFonts w:ascii="Arial" w:cs="Arial" w:eastAsia="Arial" w:hAnsi="Arial"/>
          <w:sz w:val="18"/>
          <w:szCs w:val="18"/>
          <w:color w:val="auto"/>
        </w:rPr>
        <w:t>Total amortization expense for the three months ended March 31, 2014 and 2013 was $93 and $115, respectively. The following table sets forth the estimated annual amortization expense for our finite-lived intangible assets for each of the next five years:</w:t>
      </w:r>
    </w:p>
    <w:p>
      <w:pPr>
        <w:spacing w:after="0" w:line="159" w:lineRule="exact"/>
        <w:rPr>
          <w:sz w:val="20"/>
          <w:szCs w:val="20"/>
          <w:color w:val="auto"/>
        </w:rPr>
      </w:pPr>
    </w:p>
    <w:tbl>
      <w:tblPr>
        <w:tblLayout w:type="fixed"/>
        <w:tblInd w:w="2180" w:type="dxa"/>
        <w:tblCellMar>
          <w:top w:w="0" w:type="dxa"/>
          <w:left w:w="0" w:type="dxa"/>
          <w:bottom w:w="0" w:type="dxa"/>
          <w:right w:w="0" w:type="dxa"/>
        </w:tblCellMar>
      </w:tblPr>
      <w:tr>
        <w:trPr>
          <w:trHeight w:val="222"/>
        </w:trPr>
        <w:tc>
          <w:tcPr>
            <w:tcW w:w="1920" w:type="dxa"/>
            <w:vAlign w:val="bottom"/>
          </w:tcPr>
          <w:p>
            <w:pPr>
              <w:spacing w:after="0"/>
              <w:rPr>
                <w:sz w:val="20"/>
                <w:szCs w:val="20"/>
                <w:color w:val="auto"/>
              </w:rPr>
            </w:pPr>
            <w:r>
              <w:rPr>
                <w:rFonts w:ascii="Arial" w:cs="Arial" w:eastAsia="Arial" w:hAnsi="Arial"/>
                <w:sz w:val="18"/>
                <w:szCs w:val="18"/>
                <w:color w:val="auto"/>
              </w:rPr>
              <w:t>2014 (remainder)</w:t>
            </w:r>
          </w:p>
        </w:tc>
        <w:tc>
          <w:tcPr>
            <w:tcW w:w="1020" w:type="dxa"/>
            <w:vAlign w:val="bottom"/>
          </w:tcPr>
          <w:p>
            <w:pPr>
              <w:jc w:val="right"/>
              <w:spacing w:after="0"/>
              <w:rPr>
                <w:sz w:val="20"/>
                <w:szCs w:val="20"/>
                <w:color w:val="auto"/>
              </w:rPr>
            </w:pPr>
            <w:r>
              <w:rPr>
                <w:rFonts w:ascii="Arial" w:cs="Arial" w:eastAsia="Arial" w:hAnsi="Arial"/>
                <w:sz w:val="18"/>
                <w:szCs w:val="18"/>
                <w:color w:val="auto"/>
              </w:rPr>
              <w:t>$262</w:t>
            </w:r>
          </w:p>
        </w:tc>
      </w:tr>
      <w:tr>
        <w:trPr>
          <w:trHeight w:val="459"/>
        </w:trPr>
        <w:tc>
          <w:tcPr>
            <w:tcW w:w="1920" w:type="dxa"/>
            <w:vAlign w:val="bottom"/>
          </w:tcPr>
          <w:p>
            <w:pPr>
              <w:spacing w:after="0"/>
              <w:rPr>
                <w:sz w:val="20"/>
                <w:szCs w:val="20"/>
                <w:color w:val="auto"/>
              </w:rPr>
            </w:pPr>
            <w:r>
              <w:rPr>
                <w:rFonts w:ascii="Arial" w:cs="Arial" w:eastAsia="Arial" w:hAnsi="Arial"/>
                <w:sz w:val="18"/>
                <w:szCs w:val="18"/>
                <w:color w:val="auto"/>
              </w:rPr>
              <w:t>2015</w:t>
            </w:r>
          </w:p>
        </w:tc>
        <w:tc>
          <w:tcPr>
            <w:tcW w:w="1020" w:type="dxa"/>
            <w:vAlign w:val="bottom"/>
          </w:tcPr>
          <w:p>
            <w:pPr>
              <w:jc w:val="right"/>
              <w:spacing w:after="0"/>
              <w:rPr>
                <w:sz w:val="20"/>
                <w:szCs w:val="20"/>
                <w:color w:val="auto"/>
              </w:rPr>
            </w:pPr>
            <w:r>
              <w:rPr>
                <w:rFonts w:ascii="Arial" w:cs="Arial" w:eastAsia="Arial" w:hAnsi="Arial"/>
                <w:sz w:val="18"/>
                <w:szCs w:val="18"/>
                <w:color w:val="auto"/>
              </w:rPr>
              <w:t>$289</w:t>
            </w:r>
          </w:p>
        </w:tc>
      </w:tr>
      <w:tr>
        <w:trPr>
          <w:trHeight w:val="459"/>
        </w:trPr>
        <w:tc>
          <w:tcPr>
            <w:tcW w:w="1920" w:type="dxa"/>
            <w:vAlign w:val="bottom"/>
          </w:tcPr>
          <w:p>
            <w:pPr>
              <w:spacing w:after="0"/>
              <w:rPr>
                <w:sz w:val="20"/>
                <w:szCs w:val="20"/>
                <w:color w:val="auto"/>
              </w:rPr>
            </w:pPr>
            <w:r>
              <w:rPr>
                <w:rFonts w:ascii="Arial" w:cs="Arial" w:eastAsia="Arial" w:hAnsi="Arial"/>
                <w:sz w:val="18"/>
                <w:szCs w:val="18"/>
                <w:color w:val="auto"/>
              </w:rPr>
              <w:t>2016</w:t>
            </w:r>
          </w:p>
        </w:tc>
        <w:tc>
          <w:tcPr>
            <w:tcW w:w="1020" w:type="dxa"/>
            <w:vAlign w:val="bottom"/>
          </w:tcPr>
          <w:p>
            <w:pPr>
              <w:jc w:val="right"/>
              <w:spacing w:after="0"/>
              <w:rPr>
                <w:sz w:val="20"/>
                <w:szCs w:val="20"/>
                <w:color w:val="auto"/>
              </w:rPr>
            </w:pPr>
            <w:r>
              <w:rPr>
                <w:rFonts w:ascii="Arial" w:cs="Arial" w:eastAsia="Arial" w:hAnsi="Arial"/>
                <w:sz w:val="18"/>
                <w:szCs w:val="18"/>
                <w:color w:val="auto"/>
              </w:rPr>
              <w:t>$229</w:t>
            </w:r>
          </w:p>
        </w:tc>
      </w:tr>
      <w:tr>
        <w:trPr>
          <w:trHeight w:val="459"/>
        </w:trPr>
        <w:tc>
          <w:tcPr>
            <w:tcW w:w="1920" w:type="dxa"/>
            <w:vAlign w:val="bottom"/>
          </w:tcPr>
          <w:p>
            <w:pPr>
              <w:spacing w:after="0"/>
              <w:rPr>
                <w:sz w:val="20"/>
                <w:szCs w:val="20"/>
                <w:color w:val="auto"/>
              </w:rPr>
            </w:pPr>
            <w:r>
              <w:rPr>
                <w:rFonts w:ascii="Arial" w:cs="Arial" w:eastAsia="Arial" w:hAnsi="Arial"/>
                <w:sz w:val="18"/>
                <w:szCs w:val="18"/>
                <w:color w:val="auto"/>
              </w:rPr>
              <w:t>2017</w:t>
            </w:r>
          </w:p>
        </w:tc>
        <w:tc>
          <w:tcPr>
            <w:tcW w:w="1020" w:type="dxa"/>
            <w:vAlign w:val="bottom"/>
          </w:tcPr>
          <w:p>
            <w:pPr>
              <w:jc w:val="right"/>
              <w:spacing w:after="0"/>
              <w:rPr>
                <w:sz w:val="20"/>
                <w:szCs w:val="20"/>
                <w:color w:val="auto"/>
              </w:rPr>
            </w:pPr>
            <w:r>
              <w:rPr>
                <w:rFonts w:ascii="Arial" w:cs="Arial" w:eastAsia="Arial" w:hAnsi="Arial"/>
                <w:sz w:val="18"/>
                <w:szCs w:val="18"/>
                <w:color w:val="auto"/>
              </w:rPr>
              <w:t>$212</w:t>
            </w:r>
          </w:p>
        </w:tc>
      </w:tr>
      <w:tr>
        <w:trPr>
          <w:trHeight w:val="459"/>
        </w:trPr>
        <w:tc>
          <w:tcPr>
            <w:tcW w:w="1920" w:type="dxa"/>
            <w:vAlign w:val="bottom"/>
          </w:tcPr>
          <w:p>
            <w:pPr>
              <w:spacing w:after="0"/>
              <w:rPr>
                <w:sz w:val="20"/>
                <w:szCs w:val="20"/>
                <w:color w:val="auto"/>
              </w:rPr>
            </w:pPr>
            <w:r>
              <w:rPr>
                <w:rFonts w:ascii="Arial" w:cs="Arial" w:eastAsia="Arial" w:hAnsi="Arial"/>
                <w:sz w:val="18"/>
                <w:szCs w:val="18"/>
                <w:color w:val="auto"/>
              </w:rPr>
              <w:t>2018</w:t>
            </w:r>
          </w:p>
        </w:tc>
        <w:tc>
          <w:tcPr>
            <w:tcW w:w="1020" w:type="dxa"/>
            <w:vAlign w:val="bottom"/>
          </w:tcPr>
          <w:p>
            <w:pPr>
              <w:jc w:val="right"/>
              <w:spacing w:after="0"/>
              <w:rPr>
                <w:sz w:val="20"/>
                <w:szCs w:val="20"/>
                <w:color w:val="auto"/>
              </w:rPr>
            </w:pPr>
            <w:r>
              <w:rPr>
                <w:rFonts w:ascii="Arial" w:cs="Arial" w:eastAsia="Arial" w:hAnsi="Arial"/>
                <w:sz w:val="18"/>
                <w:szCs w:val="18"/>
                <w:color w:val="auto"/>
              </w:rPr>
              <w:t>$ 65</w:t>
            </w:r>
          </w:p>
        </w:tc>
      </w:tr>
    </w:tbl>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MAJOR CUSTOMERS</w:t>
      </w:r>
    </w:p>
    <w:p>
      <w:pPr>
        <w:spacing w:after="0" w:line="191" w:lineRule="exact"/>
        <w:rPr>
          <w:sz w:val="20"/>
          <w:szCs w:val="20"/>
          <w:color w:val="auto"/>
        </w:rPr>
      </w:pPr>
    </w:p>
    <w:p>
      <w:pPr>
        <w:ind w:left="540" w:right="60"/>
        <w:spacing w:after="0" w:line="259" w:lineRule="auto"/>
        <w:rPr>
          <w:sz w:val="20"/>
          <w:szCs w:val="20"/>
          <w:color w:val="auto"/>
        </w:rPr>
      </w:pPr>
      <w:r>
        <w:rPr>
          <w:rFonts w:ascii="Arial" w:cs="Arial" w:eastAsia="Arial" w:hAnsi="Arial"/>
          <w:sz w:val="18"/>
          <w:szCs w:val="18"/>
          <w:color w:val="auto"/>
        </w:rPr>
        <w:t>During the three months ended March 31, 2014 and 2013, Hakuto Co., Ltd., one of our distributors, accounted for 11% and 10% of our consolidated net revenues, respectively. These revenues were generated by our Thermal Products segment. No other customers accounted for 10% or more of our consolidated net revenues during the three months ended March 31, 2014 and 2013.</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INVENTORIES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Inventories held at March 31, 2014 and December 31, 2013 were comprised of the following:</w:t>
      </w:r>
    </w:p>
    <w:p>
      <w:pPr>
        <w:sectPr>
          <w:pgSz w:w="11900" w:h="16880" w:orient="portrait"/>
          <w:cols w:equalWidth="0" w:num="1">
            <w:col w:w="11280"/>
          </w:cols>
          <w:pgMar w:left="240" w:top="103" w:right="379" w:bottom="0" w:gutter="0" w:footer="0" w:header="0"/>
        </w:sectPr>
      </w:pPr>
    </w:p>
    <w:bookmarkStart w:id="9" w:name="page10"/>
    <w:bookmarkEnd w:id="9"/>
    <w:tbl>
      <w:tblPr>
        <w:tblLayout w:type="fixed"/>
        <w:tblInd w:w="1640" w:type="dxa"/>
        <w:tblCellMar>
          <w:top w:w="0" w:type="dxa"/>
          <w:left w:w="0" w:type="dxa"/>
          <w:bottom w:w="0" w:type="dxa"/>
          <w:right w:w="0" w:type="dxa"/>
        </w:tblCellMar>
      </w:tblPr>
      <w:tr>
        <w:trPr>
          <w:trHeight w:val="161"/>
        </w:trPr>
        <w:tc>
          <w:tcPr>
            <w:tcW w:w="292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Mar. 31,</w:t>
            </w:r>
          </w:p>
        </w:tc>
        <w:tc>
          <w:tcPr>
            <w:tcW w:w="540" w:type="dxa"/>
            <w:vAlign w:val="bottom"/>
            <w:gridSpan w:val="3"/>
          </w:tcPr>
          <w:p>
            <w:pPr>
              <w:jc w:val="center"/>
              <w:ind w:right="40"/>
              <w:spacing w:after="0"/>
              <w:rPr>
                <w:sz w:val="20"/>
                <w:szCs w:val="20"/>
                <w:color w:val="auto"/>
              </w:rPr>
            </w:pPr>
            <w:r>
              <w:rPr>
                <w:rFonts w:ascii="Arial" w:cs="Arial" w:eastAsia="Arial" w:hAnsi="Arial"/>
                <w:sz w:val="14"/>
                <w:szCs w:val="14"/>
                <w:b w:val="1"/>
                <w:bCs w:val="1"/>
                <w:i w:val="1"/>
                <w:iCs w:val="1"/>
                <w:color w:val="auto"/>
                <w:w w:val="86"/>
              </w:rPr>
              <w:t>Dec. 31,</w:t>
            </w:r>
          </w:p>
        </w:tc>
      </w:tr>
      <w:tr>
        <w:trPr>
          <w:trHeight w:val="146"/>
        </w:trPr>
        <w:tc>
          <w:tcPr>
            <w:tcW w:w="2920" w:type="dxa"/>
            <w:vAlign w:val="bottom"/>
          </w:tcPr>
          <w:p>
            <w:pPr>
              <w:spacing w:after="0"/>
              <w:rPr>
                <w:sz w:val="12"/>
                <w:szCs w:val="12"/>
                <w:color w:val="auto"/>
              </w:rPr>
            </w:pPr>
          </w:p>
        </w:tc>
        <w:tc>
          <w:tcPr>
            <w:tcW w:w="540" w:type="dxa"/>
            <w:vAlign w:val="bottom"/>
            <w:tcBorders>
              <w:bottom w:val="single" w:sz="8" w:color="auto"/>
            </w:tcBorders>
            <w:gridSpan w:val="2"/>
          </w:tcPr>
          <w:p>
            <w:pPr>
              <w:jc w:val="right"/>
              <w:ind w:right="72"/>
              <w:spacing w:after="0" w:line="146" w:lineRule="exact"/>
              <w:rPr>
                <w:sz w:val="20"/>
                <w:szCs w:val="20"/>
                <w:color w:val="auto"/>
              </w:rPr>
            </w:pPr>
            <w:r>
              <w:rPr>
                <w:rFonts w:ascii="Arial" w:cs="Arial" w:eastAsia="Arial" w:hAnsi="Arial"/>
                <w:sz w:val="14"/>
                <w:szCs w:val="14"/>
                <w:b w:val="1"/>
                <w:bCs w:val="1"/>
                <w:i w:val="1"/>
                <w:iCs w:val="1"/>
                <w:color w:val="auto"/>
              </w:rPr>
              <w:t>2014</w:t>
            </w:r>
          </w:p>
        </w:tc>
        <w:tc>
          <w:tcPr>
            <w:tcW w:w="220" w:type="dxa"/>
            <w:vAlign w:val="bottom"/>
          </w:tcPr>
          <w:p>
            <w:pPr>
              <w:spacing w:after="0"/>
              <w:rPr>
                <w:sz w:val="12"/>
                <w:szCs w:val="12"/>
                <w:color w:val="auto"/>
              </w:rPr>
            </w:pPr>
          </w:p>
        </w:tc>
        <w:tc>
          <w:tcPr>
            <w:tcW w:w="480" w:type="dxa"/>
            <w:vAlign w:val="bottom"/>
            <w:tcBorders>
              <w:bottom w:val="single" w:sz="8" w:color="auto"/>
            </w:tcBorders>
            <w:gridSpan w:val="2"/>
          </w:tcPr>
          <w:p>
            <w:pPr>
              <w:jc w:val="right"/>
              <w:ind w:right="12"/>
              <w:spacing w:after="0" w:line="146" w:lineRule="exact"/>
              <w:rPr>
                <w:sz w:val="20"/>
                <w:szCs w:val="20"/>
                <w:color w:val="auto"/>
              </w:rPr>
            </w:pPr>
            <w:r>
              <w:rPr>
                <w:rFonts w:ascii="Arial" w:cs="Arial" w:eastAsia="Arial" w:hAnsi="Arial"/>
                <w:sz w:val="14"/>
                <w:szCs w:val="14"/>
                <w:b w:val="1"/>
                <w:bCs w:val="1"/>
                <w:i w:val="1"/>
                <w:iCs w:val="1"/>
                <w:color w:val="auto"/>
              </w:rPr>
              <w:t>2013</w:t>
            </w:r>
          </w:p>
        </w:tc>
        <w:tc>
          <w:tcPr>
            <w:tcW w:w="60" w:type="dxa"/>
            <w:vAlign w:val="bottom"/>
          </w:tcPr>
          <w:p>
            <w:pPr>
              <w:spacing w:after="0"/>
              <w:rPr>
                <w:sz w:val="12"/>
                <w:szCs w:val="12"/>
                <w:color w:val="auto"/>
              </w:rPr>
            </w:pPr>
          </w:p>
        </w:tc>
      </w:tr>
      <w:tr>
        <w:trPr>
          <w:trHeight w:val="235"/>
        </w:trPr>
        <w:tc>
          <w:tcPr>
            <w:tcW w:w="2920" w:type="dxa"/>
            <w:vAlign w:val="bottom"/>
          </w:tcPr>
          <w:p>
            <w:pPr>
              <w:spacing w:after="0"/>
              <w:rPr>
                <w:sz w:val="20"/>
                <w:szCs w:val="20"/>
                <w:color w:val="auto"/>
              </w:rPr>
            </w:pPr>
            <w:r>
              <w:rPr>
                <w:rFonts w:ascii="Arial" w:cs="Arial" w:eastAsia="Arial" w:hAnsi="Arial"/>
                <w:sz w:val="18"/>
                <w:szCs w:val="18"/>
                <w:color w:val="auto"/>
              </w:rPr>
              <w:t>Raw materials</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4"/>
              </w:rPr>
              <w:t>$2,845</w:t>
            </w:r>
          </w:p>
        </w:tc>
        <w:tc>
          <w:tcPr>
            <w:tcW w:w="220" w:type="dxa"/>
            <w:vAlign w:val="bottom"/>
          </w:tcPr>
          <w:p>
            <w:pPr>
              <w:spacing w:after="0"/>
              <w:rPr>
                <w:sz w:val="20"/>
                <w:szCs w:val="20"/>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w w:val="94"/>
              </w:rPr>
              <w:t>$2,753</w:t>
            </w:r>
          </w:p>
        </w:tc>
      </w:tr>
      <w:tr>
        <w:trPr>
          <w:trHeight w:val="459"/>
        </w:trPr>
        <w:tc>
          <w:tcPr>
            <w:tcW w:w="2920" w:type="dxa"/>
            <w:vAlign w:val="bottom"/>
          </w:tcPr>
          <w:p>
            <w:pPr>
              <w:spacing w:after="0"/>
              <w:rPr>
                <w:sz w:val="20"/>
                <w:szCs w:val="20"/>
                <w:color w:val="auto"/>
              </w:rPr>
            </w:pPr>
            <w:r>
              <w:rPr>
                <w:rFonts w:ascii="Arial" w:cs="Arial" w:eastAsia="Arial" w:hAnsi="Arial"/>
                <w:sz w:val="18"/>
                <w:szCs w:val="18"/>
                <w:color w:val="auto"/>
              </w:rPr>
              <w:t>Work in process</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452</w:t>
            </w:r>
          </w:p>
        </w:tc>
        <w:tc>
          <w:tcPr>
            <w:tcW w:w="220" w:type="dxa"/>
            <w:vAlign w:val="bottom"/>
          </w:tcPr>
          <w:p>
            <w:pPr>
              <w:spacing w:after="0"/>
              <w:rPr>
                <w:sz w:val="24"/>
                <w:szCs w:val="24"/>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222</w:t>
            </w:r>
          </w:p>
        </w:tc>
      </w:tr>
      <w:tr>
        <w:trPr>
          <w:trHeight w:val="459"/>
        </w:trPr>
        <w:tc>
          <w:tcPr>
            <w:tcW w:w="2920" w:type="dxa"/>
            <w:vAlign w:val="bottom"/>
          </w:tcPr>
          <w:p>
            <w:pPr>
              <w:spacing w:after="0"/>
              <w:rPr>
                <w:sz w:val="20"/>
                <w:szCs w:val="20"/>
                <w:color w:val="auto"/>
              </w:rPr>
            </w:pPr>
            <w:r>
              <w:rPr>
                <w:rFonts w:ascii="Arial" w:cs="Arial" w:eastAsia="Arial" w:hAnsi="Arial"/>
                <w:sz w:val="18"/>
                <w:szCs w:val="18"/>
                <w:color w:val="auto"/>
              </w:rPr>
              <w:t>Inventory consigned to others</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88</w:t>
            </w:r>
          </w:p>
        </w:tc>
        <w:tc>
          <w:tcPr>
            <w:tcW w:w="220" w:type="dxa"/>
            <w:vAlign w:val="bottom"/>
          </w:tcPr>
          <w:p>
            <w:pPr>
              <w:spacing w:after="0"/>
              <w:rPr>
                <w:sz w:val="24"/>
                <w:szCs w:val="24"/>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94</w:t>
            </w:r>
          </w:p>
        </w:tc>
      </w:tr>
      <w:tr>
        <w:trPr>
          <w:trHeight w:val="421"/>
        </w:trPr>
        <w:tc>
          <w:tcPr>
            <w:tcW w:w="2920" w:type="dxa"/>
            <w:vAlign w:val="bottom"/>
          </w:tcPr>
          <w:p>
            <w:pPr>
              <w:spacing w:after="0"/>
              <w:rPr>
                <w:sz w:val="20"/>
                <w:szCs w:val="20"/>
                <w:color w:val="auto"/>
              </w:rPr>
            </w:pPr>
            <w:r>
              <w:rPr>
                <w:rFonts w:ascii="Arial" w:cs="Arial" w:eastAsia="Arial" w:hAnsi="Arial"/>
                <w:sz w:val="18"/>
                <w:szCs w:val="18"/>
                <w:color w:val="auto"/>
              </w:rPr>
              <w:t>Finished goods</w:t>
            </w:r>
          </w:p>
        </w:tc>
        <w:tc>
          <w:tcPr>
            <w:tcW w:w="100" w:type="dxa"/>
            <w:vAlign w:val="bottom"/>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174</w:t>
            </w:r>
          </w:p>
        </w:tc>
      </w:tr>
      <w:tr>
        <w:trPr>
          <w:trHeight w:val="439"/>
        </w:trPr>
        <w:tc>
          <w:tcPr>
            <w:tcW w:w="292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3,803</w:t>
            </w:r>
          </w:p>
        </w:tc>
        <w:tc>
          <w:tcPr>
            <w:tcW w:w="220" w:type="dxa"/>
            <w:vAlign w:val="bottom"/>
          </w:tcPr>
          <w:p>
            <w:pPr>
              <w:spacing w:after="0"/>
              <w:rPr>
                <w:sz w:val="24"/>
                <w:szCs w:val="24"/>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3,243</w:t>
            </w:r>
          </w:p>
        </w:tc>
      </w:tr>
      <w:tr>
        <w:trPr>
          <w:trHeight w:val="20"/>
        </w:trPr>
        <w:tc>
          <w:tcPr>
            <w:tcW w:w="29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Letters of Credit</w:t>
      </w:r>
    </w:p>
    <w:p>
      <w:pPr>
        <w:spacing w:after="0" w:line="225" w:lineRule="exact"/>
        <w:rPr>
          <w:sz w:val="20"/>
          <w:szCs w:val="20"/>
          <w:color w:val="auto"/>
        </w:rPr>
      </w:pPr>
    </w:p>
    <w:p>
      <w:pPr>
        <w:ind w:left="540" w:right="40"/>
        <w:spacing w:after="0" w:line="256" w:lineRule="auto"/>
        <w:rPr>
          <w:sz w:val="20"/>
          <w:szCs w:val="20"/>
          <w:color w:val="auto"/>
        </w:rPr>
      </w:pPr>
      <w:r>
        <w:rPr>
          <w:rFonts w:ascii="Arial" w:cs="Arial" w:eastAsia="Arial" w:hAnsi="Arial"/>
          <w:sz w:val="18"/>
          <w:szCs w:val="18"/>
          <w:color w:val="auto"/>
        </w:rPr>
        <w:t>We have issued letters of credit as the security deposits for certain of our domestic leases. These letters of credit are secured by pledged certificates of deposit which are classified as Restricted Certificates of Deposit on our balance sheet. The terms of our leases require us to renew these letters of credit at least 30 days prior to their expiration dates for successive terms of not less than one year until lease expiration. Our outstanding letters of credit at March 31, 2014 and December 31, 2013 consisted of the following:</w:t>
      </w:r>
    </w:p>
    <w:p>
      <w:pPr>
        <w:spacing w:after="0" w:line="155" w:lineRule="exact"/>
        <w:rPr>
          <w:sz w:val="20"/>
          <w:szCs w:val="20"/>
          <w:color w:val="auto"/>
        </w:rPr>
      </w:pPr>
    </w:p>
    <w:tbl>
      <w:tblPr>
        <w:tblLayout w:type="fixed"/>
        <w:tblInd w:w="1640" w:type="dxa"/>
        <w:tblCellMar>
          <w:top w:w="0" w:type="dxa"/>
          <w:left w:w="0" w:type="dxa"/>
          <w:bottom w:w="0" w:type="dxa"/>
          <w:right w:w="0" w:type="dxa"/>
        </w:tblCellMar>
      </w:tblPr>
      <w:tr>
        <w:trPr>
          <w:trHeight w:val="161"/>
        </w:trPr>
        <w:tc>
          <w:tcPr>
            <w:tcW w:w="1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6"/>
          </w:tcPr>
          <w:p>
            <w:pPr>
              <w:jc w:val="right"/>
              <w:ind w:right="200"/>
              <w:spacing w:after="0"/>
              <w:rPr>
                <w:sz w:val="20"/>
                <w:szCs w:val="20"/>
                <w:color w:val="auto"/>
              </w:rPr>
            </w:pPr>
            <w:r>
              <w:rPr>
                <w:rFonts w:ascii="Arial" w:cs="Arial" w:eastAsia="Arial" w:hAnsi="Arial"/>
                <w:sz w:val="14"/>
                <w:szCs w:val="14"/>
                <w:b w:val="1"/>
                <w:bCs w:val="1"/>
                <w:i w:val="1"/>
                <w:iCs w:val="1"/>
                <w:color w:val="auto"/>
                <w:w w:val="85"/>
              </w:rPr>
              <w:t>Letters of Credit</w:t>
            </w:r>
          </w:p>
        </w:tc>
      </w:tr>
      <w:tr>
        <w:trPr>
          <w:trHeight w:val="146"/>
        </w:trPr>
        <w:tc>
          <w:tcPr>
            <w:tcW w:w="1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340"/>
              <w:spacing w:after="0" w:line="146" w:lineRule="exact"/>
              <w:rPr>
                <w:sz w:val="20"/>
                <w:szCs w:val="20"/>
                <w:color w:val="auto"/>
              </w:rPr>
            </w:pPr>
            <w:r>
              <w:rPr>
                <w:rFonts w:ascii="Arial" w:cs="Arial" w:eastAsia="Arial" w:hAnsi="Arial"/>
                <w:sz w:val="14"/>
                <w:szCs w:val="14"/>
                <w:b w:val="1"/>
                <w:bCs w:val="1"/>
                <w:i w:val="1"/>
                <w:iCs w:val="1"/>
                <w:color w:val="auto"/>
                <w:w w:val="88"/>
              </w:rPr>
              <w:t>L/C</w:t>
            </w:r>
          </w:p>
        </w:tc>
        <w:tc>
          <w:tcPr>
            <w:tcW w:w="80" w:type="dxa"/>
            <w:vAlign w:val="bottom"/>
          </w:tcPr>
          <w:p>
            <w:pPr>
              <w:spacing w:after="0"/>
              <w:rPr>
                <w:sz w:val="12"/>
                <w:szCs w:val="12"/>
                <w:color w:val="auto"/>
              </w:rPr>
            </w:pPr>
          </w:p>
        </w:tc>
        <w:tc>
          <w:tcPr>
            <w:tcW w:w="940" w:type="dxa"/>
            <w:vAlign w:val="bottom"/>
            <w:gridSpan w:val="2"/>
          </w:tcPr>
          <w:p>
            <w:pPr>
              <w:jc w:val="center"/>
              <w:ind w:right="420"/>
              <w:spacing w:after="0" w:line="146" w:lineRule="exact"/>
              <w:rPr>
                <w:sz w:val="20"/>
                <w:szCs w:val="20"/>
                <w:color w:val="auto"/>
              </w:rPr>
            </w:pPr>
            <w:r>
              <w:rPr>
                <w:rFonts w:ascii="Arial" w:cs="Arial" w:eastAsia="Arial" w:hAnsi="Arial"/>
                <w:sz w:val="14"/>
                <w:szCs w:val="14"/>
                <w:b w:val="1"/>
                <w:bCs w:val="1"/>
                <w:i w:val="1"/>
                <w:iCs w:val="1"/>
                <w:color w:val="auto"/>
                <w:w w:val="80"/>
              </w:rPr>
              <w:t>Lease</w:t>
            </w:r>
          </w:p>
        </w:tc>
        <w:tc>
          <w:tcPr>
            <w:tcW w:w="20" w:type="dxa"/>
            <w:vAlign w:val="bottom"/>
          </w:tcPr>
          <w:p>
            <w:pPr>
              <w:spacing w:after="0"/>
              <w:rPr>
                <w:sz w:val="12"/>
                <w:szCs w:val="12"/>
                <w:color w:val="auto"/>
              </w:rPr>
            </w:pPr>
          </w:p>
        </w:tc>
        <w:tc>
          <w:tcPr>
            <w:tcW w:w="1180" w:type="dxa"/>
            <w:vAlign w:val="bottom"/>
            <w:tcBorders>
              <w:bottom w:val="single" w:sz="8" w:color="auto"/>
            </w:tcBorders>
            <w:gridSpan w:val="6"/>
          </w:tcPr>
          <w:p>
            <w:pPr>
              <w:jc w:val="right"/>
              <w:spacing w:after="0" w:line="146" w:lineRule="exact"/>
              <w:rPr>
                <w:sz w:val="20"/>
                <w:szCs w:val="20"/>
                <w:color w:val="auto"/>
              </w:rPr>
            </w:pPr>
            <w:r>
              <w:rPr>
                <w:rFonts w:ascii="Arial" w:cs="Arial" w:eastAsia="Arial" w:hAnsi="Arial"/>
                <w:sz w:val="14"/>
                <w:szCs w:val="14"/>
                <w:b w:val="1"/>
                <w:bCs w:val="1"/>
                <w:i w:val="1"/>
                <w:iCs w:val="1"/>
                <w:color w:val="auto"/>
                <w:w w:val="83"/>
              </w:rPr>
              <w:t>Amount Outstanding</w:t>
            </w:r>
          </w:p>
        </w:tc>
        <w:tc>
          <w:tcPr>
            <w:tcW w:w="60" w:type="dxa"/>
            <w:vAlign w:val="bottom"/>
          </w:tcPr>
          <w:p>
            <w:pPr>
              <w:spacing w:after="0"/>
              <w:rPr>
                <w:sz w:val="12"/>
                <w:szCs w:val="12"/>
                <w:color w:val="auto"/>
              </w:rPr>
            </w:pPr>
          </w:p>
        </w:tc>
      </w:tr>
      <w:tr>
        <w:trPr>
          <w:trHeight w:val="158"/>
        </w:trPr>
        <w:tc>
          <w:tcPr>
            <w:tcW w:w="1740" w:type="dxa"/>
            <w:vAlign w:val="bottom"/>
          </w:tcPr>
          <w:p>
            <w:pPr>
              <w:spacing w:after="0"/>
              <w:rPr>
                <w:sz w:val="13"/>
                <w:szCs w:val="13"/>
                <w:color w:val="auto"/>
              </w:rPr>
            </w:pPr>
          </w:p>
        </w:tc>
        <w:tc>
          <w:tcPr>
            <w:tcW w:w="1520" w:type="dxa"/>
            <w:vAlign w:val="bottom"/>
            <w:gridSpan w:val="3"/>
          </w:tcPr>
          <w:p>
            <w:pPr>
              <w:jc w:val="center"/>
              <w:ind w:left="439"/>
              <w:spacing w:after="0" w:line="158" w:lineRule="exact"/>
              <w:rPr>
                <w:sz w:val="20"/>
                <w:szCs w:val="20"/>
                <w:color w:val="auto"/>
              </w:rPr>
            </w:pPr>
            <w:r>
              <w:rPr>
                <w:rFonts w:ascii="Arial" w:cs="Arial" w:eastAsia="Arial" w:hAnsi="Arial"/>
                <w:sz w:val="14"/>
                <w:szCs w:val="14"/>
                <w:b w:val="1"/>
                <w:bCs w:val="1"/>
                <w:i w:val="1"/>
                <w:iCs w:val="1"/>
                <w:color w:val="auto"/>
                <w:w w:val="90"/>
              </w:rPr>
              <w:t>Original L/C</w:t>
            </w:r>
          </w:p>
        </w:tc>
        <w:tc>
          <w:tcPr>
            <w:tcW w:w="1040" w:type="dxa"/>
            <w:vAlign w:val="bottom"/>
            <w:gridSpan w:val="3"/>
          </w:tcPr>
          <w:p>
            <w:pPr>
              <w:jc w:val="center"/>
              <w:ind w:right="200"/>
              <w:spacing w:after="0" w:line="158" w:lineRule="exact"/>
              <w:rPr>
                <w:sz w:val="20"/>
                <w:szCs w:val="20"/>
                <w:color w:val="auto"/>
              </w:rPr>
            </w:pPr>
            <w:r>
              <w:rPr>
                <w:rFonts w:ascii="Arial" w:cs="Arial" w:eastAsia="Arial" w:hAnsi="Arial"/>
                <w:sz w:val="14"/>
                <w:szCs w:val="14"/>
                <w:b w:val="1"/>
                <w:bCs w:val="1"/>
                <w:i w:val="1"/>
                <w:iCs w:val="1"/>
                <w:color w:val="auto"/>
                <w:w w:val="87"/>
              </w:rPr>
              <w:t>Expiration</w:t>
            </w:r>
          </w:p>
        </w:tc>
        <w:tc>
          <w:tcPr>
            <w:tcW w:w="1020" w:type="dxa"/>
            <w:vAlign w:val="bottom"/>
            <w:gridSpan w:val="3"/>
          </w:tcPr>
          <w:p>
            <w:pPr>
              <w:jc w:val="center"/>
              <w:ind w:right="340"/>
              <w:spacing w:after="0" w:line="158" w:lineRule="exact"/>
              <w:rPr>
                <w:sz w:val="20"/>
                <w:szCs w:val="20"/>
                <w:color w:val="auto"/>
              </w:rPr>
            </w:pPr>
            <w:r>
              <w:rPr>
                <w:rFonts w:ascii="Arial" w:cs="Arial" w:eastAsia="Arial" w:hAnsi="Arial"/>
                <w:sz w:val="14"/>
                <w:szCs w:val="14"/>
                <w:b w:val="1"/>
                <w:bCs w:val="1"/>
                <w:i w:val="1"/>
                <w:iCs w:val="1"/>
                <w:color w:val="auto"/>
                <w:w w:val="87"/>
              </w:rPr>
              <w:t>Expiration</w:t>
            </w:r>
          </w:p>
        </w:tc>
        <w:tc>
          <w:tcPr>
            <w:tcW w:w="480" w:type="dxa"/>
            <w:vAlign w:val="bottom"/>
            <w:gridSpan w:val="4"/>
          </w:tcPr>
          <w:p>
            <w:pPr>
              <w:spacing w:after="0" w:line="158" w:lineRule="exact"/>
              <w:rPr>
                <w:sz w:val="20"/>
                <w:szCs w:val="20"/>
                <w:color w:val="auto"/>
              </w:rPr>
            </w:pPr>
            <w:r>
              <w:rPr>
                <w:rFonts w:ascii="Arial" w:cs="Arial" w:eastAsia="Arial" w:hAnsi="Arial"/>
                <w:sz w:val="14"/>
                <w:szCs w:val="14"/>
                <w:b w:val="1"/>
                <w:bCs w:val="1"/>
                <w:i w:val="1"/>
                <w:iCs w:val="1"/>
                <w:color w:val="auto"/>
                <w:w w:val="88"/>
              </w:rPr>
              <w:t>Mar. 31,</w:t>
            </w:r>
          </w:p>
        </w:tc>
        <w:tc>
          <w:tcPr>
            <w:tcW w:w="300" w:type="dxa"/>
            <w:vAlign w:val="bottom"/>
          </w:tcPr>
          <w:p>
            <w:pPr>
              <w:spacing w:after="0"/>
              <w:rPr>
                <w:sz w:val="13"/>
                <w:szCs w:val="13"/>
                <w:color w:val="auto"/>
              </w:rPr>
            </w:pPr>
          </w:p>
        </w:tc>
        <w:tc>
          <w:tcPr>
            <w:tcW w:w="480" w:type="dxa"/>
            <w:vAlign w:val="bottom"/>
            <w:gridSpan w:val="3"/>
          </w:tcPr>
          <w:p>
            <w:pPr>
              <w:jc w:val="right"/>
              <w:ind w:right="20"/>
              <w:spacing w:after="0" w:line="158" w:lineRule="exact"/>
              <w:rPr>
                <w:sz w:val="20"/>
                <w:szCs w:val="20"/>
                <w:color w:val="auto"/>
              </w:rPr>
            </w:pPr>
            <w:r>
              <w:rPr>
                <w:rFonts w:ascii="Arial" w:cs="Arial" w:eastAsia="Arial" w:hAnsi="Arial"/>
                <w:sz w:val="14"/>
                <w:szCs w:val="14"/>
                <w:b w:val="1"/>
                <w:bCs w:val="1"/>
                <w:i w:val="1"/>
                <w:iCs w:val="1"/>
                <w:color w:val="auto"/>
                <w:w w:val="83"/>
              </w:rPr>
              <w:t>Dec. 31,</w:t>
            </w:r>
          </w:p>
        </w:tc>
      </w:tr>
      <w:tr>
        <w:trPr>
          <w:trHeight w:val="146"/>
        </w:trPr>
        <w:tc>
          <w:tcPr>
            <w:tcW w:w="1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Borders>
              <w:bottom w:val="single" w:sz="8" w:color="auto"/>
            </w:tcBorders>
          </w:tcPr>
          <w:p>
            <w:pPr>
              <w:jc w:val="center"/>
              <w:spacing w:after="0" w:line="146" w:lineRule="exact"/>
              <w:rPr>
                <w:sz w:val="20"/>
                <w:szCs w:val="20"/>
                <w:color w:val="auto"/>
              </w:rPr>
            </w:pPr>
            <w:r>
              <w:rPr>
                <w:rFonts w:ascii="Arial" w:cs="Arial" w:eastAsia="Arial" w:hAnsi="Arial"/>
                <w:sz w:val="14"/>
                <w:szCs w:val="14"/>
                <w:b w:val="1"/>
                <w:bCs w:val="1"/>
                <w:i w:val="1"/>
                <w:iCs w:val="1"/>
                <w:color w:val="auto"/>
                <w:w w:val="85"/>
              </w:rPr>
              <w:t>Issue Date</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Borders>
              <w:bottom w:val="single" w:sz="8" w:color="auto"/>
            </w:tcBorders>
          </w:tcPr>
          <w:p>
            <w:pPr>
              <w:jc w:val="center"/>
              <w:spacing w:after="0" w:line="146" w:lineRule="exact"/>
              <w:rPr>
                <w:sz w:val="20"/>
                <w:szCs w:val="20"/>
                <w:color w:val="auto"/>
              </w:rPr>
            </w:pPr>
            <w:r>
              <w:rPr>
                <w:rFonts w:ascii="Arial" w:cs="Arial" w:eastAsia="Arial" w:hAnsi="Arial"/>
                <w:sz w:val="14"/>
                <w:szCs w:val="14"/>
                <w:b w:val="1"/>
                <w:bCs w:val="1"/>
                <w:i w:val="1"/>
                <w:iCs w:val="1"/>
                <w:color w:val="auto"/>
                <w:w w:val="85"/>
              </w:rPr>
              <w:t>Date</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Borders>
              <w:bottom w:val="single" w:sz="8" w:color="auto"/>
            </w:tcBorders>
          </w:tcPr>
          <w:p>
            <w:pPr>
              <w:jc w:val="center"/>
              <w:spacing w:after="0" w:line="146" w:lineRule="exact"/>
              <w:rPr>
                <w:sz w:val="20"/>
                <w:szCs w:val="20"/>
                <w:color w:val="auto"/>
              </w:rPr>
            </w:pPr>
            <w:r>
              <w:rPr>
                <w:rFonts w:ascii="Arial" w:cs="Arial" w:eastAsia="Arial" w:hAnsi="Arial"/>
                <w:sz w:val="14"/>
                <w:szCs w:val="14"/>
                <w:b w:val="1"/>
                <w:bCs w:val="1"/>
                <w:i w:val="1"/>
                <w:iCs w:val="1"/>
                <w:color w:val="auto"/>
                <w:w w:val="85"/>
              </w:rPr>
              <w:t>Date</w:t>
            </w:r>
          </w:p>
        </w:tc>
        <w:tc>
          <w:tcPr>
            <w:tcW w:w="420" w:type="dxa"/>
            <w:vAlign w:val="bottom"/>
          </w:tcPr>
          <w:p>
            <w:pPr>
              <w:spacing w:after="0"/>
              <w:rPr>
                <w:sz w:val="12"/>
                <w:szCs w:val="12"/>
                <w:color w:val="auto"/>
              </w:rPr>
            </w:pPr>
          </w:p>
        </w:tc>
        <w:tc>
          <w:tcPr>
            <w:tcW w:w="460" w:type="dxa"/>
            <w:vAlign w:val="bottom"/>
            <w:tcBorders>
              <w:bottom w:val="single" w:sz="8" w:color="auto"/>
            </w:tcBorders>
            <w:gridSpan w:val="3"/>
          </w:tcPr>
          <w:p>
            <w:pPr>
              <w:jc w:val="right"/>
              <w:ind w:right="2"/>
              <w:spacing w:after="0" w:line="146" w:lineRule="exact"/>
              <w:rPr>
                <w:sz w:val="20"/>
                <w:szCs w:val="20"/>
                <w:color w:val="auto"/>
              </w:rPr>
            </w:pPr>
            <w:r>
              <w:rPr>
                <w:rFonts w:ascii="Arial" w:cs="Arial" w:eastAsia="Arial" w:hAnsi="Arial"/>
                <w:sz w:val="14"/>
                <w:szCs w:val="14"/>
                <w:b w:val="1"/>
                <w:bCs w:val="1"/>
                <w:i w:val="1"/>
                <w:iCs w:val="1"/>
                <w:color w:val="auto"/>
              </w:rPr>
              <w:t>2014</w:t>
            </w:r>
          </w:p>
        </w:tc>
        <w:tc>
          <w:tcPr>
            <w:tcW w:w="2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Borders>
              <w:bottom w:val="single" w:sz="8" w:color="auto"/>
            </w:tcBorders>
            <w:gridSpan w:val="2"/>
          </w:tcPr>
          <w:p>
            <w:pPr>
              <w:jc w:val="right"/>
              <w:spacing w:after="0" w:line="146" w:lineRule="exact"/>
              <w:rPr>
                <w:sz w:val="20"/>
                <w:szCs w:val="20"/>
                <w:color w:val="auto"/>
              </w:rPr>
            </w:pPr>
            <w:r>
              <w:rPr>
                <w:rFonts w:ascii="Arial" w:cs="Arial" w:eastAsia="Arial" w:hAnsi="Arial"/>
                <w:sz w:val="14"/>
                <w:szCs w:val="14"/>
                <w:b w:val="1"/>
                <w:bCs w:val="1"/>
                <w:i w:val="1"/>
                <w:iCs w:val="1"/>
                <w:color w:val="auto"/>
              </w:rPr>
              <w:t>2013</w:t>
            </w:r>
          </w:p>
        </w:tc>
        <w:tc>
          <w:tcPr>
            <w:tcW w:w="60" w:type="dxa"/>
            <w:vAlign w:val="bottom"/>
            <w:tcBorders>
              <w:bottom w:val="single" w:sz="8" w:color="auto"/>
            </w:tcBorders>
          </w:tcPr>
          <w:p>
            <w:pPr>
              <w:spacing w:after="0"/>
              <w:rPr>
                <w:sz w:val="12"/>
                <w:szCs w:val="12"/>
                <w:color w:val="auto"/>
              </w:rPr>
            </w:pPr>
          </w:p>
        </w:tc>
      </w:tr>
      <w:tr>
        <w:trPr>
          <w:trHeight w:val="235"/>
        </w:trPr>
        <w:tc>
          <w:tcPr>
            <w:tcW w:w="1740" w:type="dxa"/>
            <w:vAlign w:val="bottom"/>
          </w:tcPr>
          <w:p>
            <w:pPr>
              <w:spacing w:after="0"/>
              <w:rPr>
                <w:sz w:val="20"/>
                <w:szCs w:val="20"/>
                <w:color w:val="auto"/>
              </w:rPr>
            </w:pPr>
            <w:r>
              <w:rPr>
                <w:rFonts w:ascii="Arial" w:cs="Arial" w:eastAsia="Arial" w:hAnsi="Arial"/>
                <w:sz w:val="18"/>
                <w:szCs w:val="18"/>
                <w:color w:val="auto"/>
              </w:rPr>
              <w:t>Mt. Laurel, NJ</w:t>
            </w:r>
          </w:p>
        </w:tc>
        <w:tc>
          <w:tcPr>
            <w:tcW w:w="1520" w:type="dxa"/>
            <w:vAlign w:val="bottom"/>
            <w:gridSpan w:val="3"/>
          </w:tcPr>
          <w:p>
            <w:pPr>
              <w:jc w:val="right"/>
              <w:ind w:right="60"/>
              <w:spacing w:after="0"/>
              <w:rPr>
                <w:sz w:val="20"/>
                <w:szCs w:val="20"/>
                <w:color w:val="auto"/>
              </w:rPr>
            </w:pPr>
            <w:r>
              <w:rPr>
                <w:rFonts w:ascii="Arial" w:cs="Arial" w:eastAsia="Arial" w:hAnsi="Arial"/>
                <w:sz w:val="18"/>
                <w:szCs w:val="18"/>
                <w:color w:val="auto"/>
              </w:rPr>
              <w:t>3/29/2010</w:t>
            </w:r>
          </w:p>
        </w:tc>
        <w:tc>
          <w:tcPr>
            <w:tcW w:w="1040" w:type="dxa"/>
            <w:vAlign w:val="bottom"/>
            <w:gridSpan w:val="3"/>
          </w:tcPr>
          <w:p>
            <w:pPr>
              <w:jc w:val="right"/>
              <w:ind w:right="180"/>
              <w:spacing w:after="0"/>
              <w:rPr>
                <w:sz w:val="20"/>
                <w:szCs w:val="20"/>
                <w:color w:val="auto"/>
              </w:rPr>
            </w:pPr>
            <w:r>
              <w:rPr>
                <w:rFonts w:ascii="Arial" w:cs="Arial" w:eastAsia="Arial" w:hAnsi="Arial"/>
                <w:sz w:val="18"/>
                <w:szCs w:val="18"/>
                <w:color w:val="auto"/>
              </w:rPr>
              <w:t>3/31/2015</w:t>
            </w: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4/30/2021</w:t>
            </w: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$250</w:t>
            </w:r>
          </w:p>
        </w:tc>
        <w:tc>
          <w:tcPr>
            <w:tcW w:w="20" w:type="dxa"/>
            <w:vAlign w:val="bottom"/>
          </w:tcPr>
          <w:p>
            <w:pPr>
              <w:spacing w:after="0"/>
              <w:rPr>
                <w:sz w:val="20"/>
                <w:szCs w:val="20"/>
                <w:color w:val="auto"/>
              </w:rPr>
            </w:pPr>
          </w:p>
        </w:tc>
        <w:tc>
          <w:tcPr>
            <w:tcW w:w="780" w:type="dxa"/>
            <w:vAlign w:val="bottom"/>
            <w:gridSpan w:val="4"/>
          </w:tcPr>
          <w:p>
            <w:pPr>
              <w:jc w:val="right"/>
              <w:ind w:right="60"/>
              <w:spacing w:after="0"/>
              <w:rPr>
                <w:sz w:val="20"/>
                <w:szCs w:val="20"/>
                <w:color w:val="auto"/>
              </w:rPr>
            </w:pPr>
            <w:r>
              <w:rPr>
                <w:rFonts w:ascii="Arial" w:cs="Arial" w:eastAsia="Arial" w:hAnsi="Arial"/>
                <w:sz w:val="18"/>
                <w:szCs w:val="18"/>
                <w:color w:val="auto"/>
              </w:rPr>
              <w:t>$250</w:t>
            </w:r>
          </w:p>
        </w:tc>
      </w:tr>
      <w:tr>
        <w:trPr>
          <w:trHeight w:val="421"/>
        </w:trPr>
        <w:tc>
          <w:tcPr>
            <w:tcW w:w="1740" w:type="dxa"/>
            <w:vAlign w:val="bottom"/>
          </w:tcPr>
          <w:p>
            <w:pPr>
              <w:spacing w:after="0"/>
              <w:rPr>
                <w:sz w:val="20"/>
                <w:szCs w:val="20"/>
                <w:color w:val="auto"/>
              </w:rPr>
            </w:pPr>
            <w:r>
              <w:rPr>
                <w:rFonts w:ascii="Arial" w:cs="Arial" w:eastAsia="Arial" w:hAnsi="Arial"/>
                <w:sz w:val="18"/>
                <w:szCs w:val="18"/>
                <w:color w:val="auto"/>
              </w:rPr>
              <w:t>Mansfield, MA</w:t>
            </w:r>
          </w:p>
        </w:tc>
        <w:tc>
          <w:tcPr>
            <w:tcW w:w="1520" w:type="dxa"/>
            <w:vAlign w:val="bottom"/>
            <w:gridSpan w:val="3"/>
          </w:tcPr>
          <w:p>
            <w:pPr>
              <w:jc w:val="right"/>
              <w:ind w:right="60"/>
              <w:spacing w:after="0"/>
              <w:rPr>
                <w:sz w:val="20"/>
                <w:szCs w:val="20"/>
                <w:color w:val="auto"/>
              </w:rPr>
            </w:pPr>
            <w:r>
              <w:rPr>
                <w:rFonts w:ascii="Arial" w:cs="Arial" w:eastAsia="Arial" w:hAnsi="Arial"/>
                <w:sz w:val="18"/>
                <w:szCs w:val="18"/>
                <w:color w:val="auto"/>
              </w:rPr>
              <w:t>10/27/2010</w:t>
            </w:r>
          </w:p>
        </w:tc>
        <w:tc>
          <w:tcPr>
            <w:tcW w:w="1040" w:type="dxa"/>
            <w:vAlign w:val="bottom"/>
            <w:gridSpan w:val="3"/>
          </w:tcPr>
          <w:p>
            <w:pPr>
              <w:jc w:val="right"/>
              <w:ind w:right="180"/>
              <w:spacing w:after="0"/>
              <w:rPr>
                <w:sz w:val="20"/>
                <w:szCs w:val="20"/>
                <w:color w:val="auto"/>
              </w:rPr>
            </w:pPr>
            <w:r>
              <w:rPr>
                <w:rFonts w:ascii="Arial" w:cs="Arial" w:eastAsia="Arial" w:hAnsi="Arial"/>
                <w:sz w:val="18"/>
                <w:szCs w:val="18"/>
                <w:color w:val="auto"/>
                <w:w w:val="93"/>
              </w:rPr>
              <w:t>11/08/2014</w:t>
            </w: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8/23/2021</w:t>
            </w:r>
          </w:p>
        </w:tc>
        <w:tc>
          <w:tcPr>
            <w:tcW w:w="120" w:type="dxa"/>
            <w:vAlign w:val="bottom"/>
            <w:gridSpan w:val="2"/>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200</w:t>
            </w:r>
          </w:p>
        </w:tc>
        <w:tc>
          <w:tcPr>
            <w:tcW w:w="20" w:type="dxa"/>
            <w:vAlign w:val="bottom"/>
          </w:tcPr>
          <w:p>
            <w:pPr>
              <w:spacing w:after="0"/>
              <w:rPr>
                <w:sz w:val="24"/>
                <w:szCs w:val="24"/>
                <w:color w:val="auto"/>
              </w:rPr>
            </w:pPr>
          </w:p>
        </w:tc>
        <w:tc>
          <w:tcPr>
            <w:tcW w:w="380" w:type="dxa"/>
            <w:vAlign w:val="bottom"/>
            <w:gridSpan w:val="2"/>
          </w:tcPr>
          <w:p>
            <w:pPr>
              <w:spacing w:after="0"/>
              <w:rPr>
                <w:sz w:val="24"/>
                <w:szCs w:val="24"/>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200</w:t>
            </w:r>
          </w:p>
        </w:tc>
      </w:tr>
      <w:tr>
        <w:trPr>
          <w:trHeight w:val="20"/>
        </w:trPr>
        <w:tc>
          <w:tcPr>
            <w:tcW w:w="1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1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450</w:t>
            </w:r>
          </w:p>
        </w:tc>
        <w:tc>
          <w:tcPr>
            <w:tcW w:w="20" w:type="dxa"/>
            <w:vAlign w:val="bottom"/>
          </w:tcPr>
          <w:p>
            <w:pPr>
              <w:spacing w:after="0"/>
              <w:rPr>
                <w:sz w:val="24"/>
                <w:szCs w:val="24"/>
                <w:color w:val="auto"/>
              </w:rPr>
            </w:pPr>
          </w:p>
        </w:tc>
        <w:tc>
          <w:tcPr>
            <w:tcW w:w="780" w:type="dxa"/>
            <w:vAlign w:val="bottom"/>
            <w:gridSpan w:val="4"/>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450</w:t>
            </w:r>
          </w:p>
        </w:tc>
      </w:tr>
      <w:tr>
        <w:trPr>
          <w:trHeight w:val="424"/>
        </w:trPr>
        <w:tc>
          <w:tcPr>
            <w:tcW w:w="1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- 10 -</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and per share data)</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STOCK-BASED COMPENSATION</w:t>
      </w:r>
    </w:p>
    <w:p>
      <w:pPr>
        <w:spacing w:after="0" w:line="191" w:lineRule="exact"/>
        <w:rPr>
          <w:sz w:val="20"/>
          <w:szCs w:val="20"/>
          <w:color w:val="auto"/>
        </w:rPr>
      </w:pPr>
    </w:p>
    <w:p>
      <w:pPr>
        <w:ind w:left="540" w:right="220"/>
        <w:spacing w:after="0" w:line="268" w:lineRule="auto"/>
        <w:rPr>
          <w:sz w:val="20"/>
          <w:szCs w:val="20"/>
          <w:color w:val="auto"/>
        </w:rPr>
      </w:pPr>
      <w:r>
        <w:rPr>
          <w:rFonts w:ascii="Arial" w:cs="Arial" w:eastAsia="Arial" w:hAnsi="Arial"/>
          <w:sz w:val="18"/>
          <w:szCs w:val="18"/>
          <w:color w:val="auto"/>
        </w:rPr>
        <w:t>As of March 31, 2014, we had outstanding stock options and unvested restricted stock awards granted under stock-based employee compensation plans that are described more fully in Note 14 to the consolidated financial statements in our 2013 Form 10-K.</w:t>
      </w:r>
    </w:p>
    <w:p>
      <w:pPr>
        <w:spacing w:after="0" w:line="186" w:lineRule="exact"/>
        <w:rPr>
          <w:sz w:val="20"/>
          <w:szCs w:val="20"/>
          <w:color w:val="auto"/>
        </w:rPr>
      </w:pPr>
    </w:p>
    <w:p>
      <w:pPr>
        <w:ind w:left="540"/>
        <w:spacing w:after="0" w:line="256" w:lineRule="auto"/>
        <w:rPr>
          <w:sz w:val="20"/>
          <w:szCs w:val="20"/>
          <w:color w:val="auto"/>
        </w:rPr>
      </w:pPr>
      <w:r>
        <w:rPr>
          <w:rFonts w:ascii="Arial" w:cs="Arial" w:eastAsia="Arial" w:hAnsi="Arial"/>
          <w:sz w:val="18"/>
          <w:szCs w:val="18"/>
          <w:color w:val="auto"/>
        </w:rPr>
        <w:t>In addition, on March 4, 2014, our Board of Directors approved the inTEST Corporation 2014 Stock Plan (the "2014 Stock Plan"). The 2014 Stock Plan is included in our 2014 proxy statement for approval by our stockholders. If approved by our stockholders, the 2014 Stock Plan will permit the granting of stock options, restricted stock, stock appreciation rights or restricted stock units for up to 500,000 shares of our common stock to directors, officers, other key employees and consultants.</w:t>
      </w:r>
    </w:p>
    <w:p>
      <w:pPr>
        <w:spacing w:after="0" w:line="197" w:lineRule="exact"/>
        <w:rPr>
          <w:sz w:val="20"/>
          <w:szCs w:val="20"/>
          <w:color w:val="auto"/>
        </w:rPr>
      </w:pPr>
    </w:p>
    <w:p>
      <w:pPr>
        <w:ind w:left="540" w:right="120"/>
        <w:spacing w:after="0" w:line="268" w:lineRule="auto"/>
        <w:rPr>
          <w:sz w:val="20"/>
          <w:szCs w:val="20"/>
          <w:color w:val="auto"/>
        </w:rPr>
      </w:pPr>
      <w:r>
        <w:rPr>
          <w:rFonts w:ascii="Arial" w:cs="Arial" w:eastAsia="Arial" w:hAnsi="Arial"/>
          <w:sz w:val="18"/>
          <w:szCs w:val="18"/>
          <w:color w:val="auto"/>
        </w:rPr>
        <w:t>As of March 31, 2014, total compensation expense to be recognized in future periods was $378. The weighted average period over which this expense is expected to be recognized is 3.3 years. All of this expense is related to nonvested shares of restricted stock.</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Restricted Stock Awards</w:t>
      </w:r>
    </w:p>
    <w:p>
      <w:pPr>
        <w:spacing w:after="0" w:line="225" w:lineRule="exact"/>
        <w:rPr>
          <w:sz w:val="20"/>
          <w:szCs w:val="20"/>
          <w:color w:val="auto"/>
        </w:rPr>
      </w:pPr>
    </w:p>
    <w:p>
      <w:pPr>
        <w:ind w:left="540" w:right="420"/>
        <w:spacing w:after="0" w:line="306" w:lineRule="auto"/>
        <w:rPr>
          <w:sz w:val="20"/>
          <w:szCs w:val="20"/>
          <w:color w:val="auto"/>
        </w:rPr>
      </w:pPr>
      <w:r>
        <w:rPr>
          <w:rFonts w:ascii="Arial" w:cs="Arial" w:eastAsia="Arial" w:hAnsi="Arial"/>
          <w:sz w:val="16"/>
          <w:szCs w:val="16"/>
          <w:color w:val="auto"/>
        </w:rPr>
        <w:t>We record compensation expense for restricted stock awards (nonvested shares) based on the quoted market price of our stock at the grant date and amortize the expense over the vesting period. Restricted stock awards generally vest over four years. The following table shows the allocation of the compensation expense we recorded during the three months ended March 31, 2014 and 2013, respectively, related to nonvested shares:</w:t>
      </w:r>
    </w:p>
    <w:p>
      <w:pPr>
        <w:spacing w:after="0" w:line="131" w:lineRule="exact"/>
        <w:rPr>
          <w:sz w:val="20"/>
          <w:szCs w:val="20"/>
          <w:color w:val="auto"/>
        </w:rPr>
      </w:pPr>
    </w:p>
    <w:p>
      <w:pPr>
        <w:ind w:left="5020"/>
        <w:spacing w:after="0"/>
        <w:rPr>
          <w:sz w:val="20"/>
          <w:szCs w:val="20"/>
          <w:color w:val="auto"/>
        </w:rPr>
      </w:pPr>
      <w:r>
        <w:rPr>
          <w:rFonts w:ascii="Arial" w:cs="Arial" w:eastAsia="Arial" w:hAnsi="Arial"/>
          <w:sz w:val="14"/>
          <w:szCs w:val="14"/>
          <w:b w:val="1"/>
          <w:bCs w:val="1"/>
          <w:i w:val="1"/>
          <w:iCs w:val="1"/>
          <w:color w:val="auto"/>
        </w:rPr>
        <w:t>Three Months Ended</w:t>
      </w:r>
    </w:p>
    <w:p>
      <w:pPr>
        <w:ind w:left="5320"/>
        <w:spacing w:after="0"/>
        <w:rPr>
          <w:sz w:val="20"/>
          <w:szCs w:val="20"/>
          <w:color w:val="auto"/>
        </w:rPr>
      </w:pPr>
      <w:r>
        <w:rPr>
          <w:rFonts w:ascii="Arial" w:cs="Arial" w:eastAsia="Arial" w:hAnsi="Arial"/>
          <w:sz w:val="14"/>
          <w:szCs w:val="14"/>
          <w:b w:val="1"/>
          <w:bCs w:val="1"/>
          <w:i w:val="1"/>
          <w:i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-16510</wp:posOffset>
            </wp:positionV>
            <wp:extent cx="6457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5795" cy="8890"/>
                    </a:xfrm>
                    <a:prstGeom prst="rect">
                      <a:avLst/>
                    </a:prstGeom>
                    <a:noFill/>
                  </pic:spPr>
                </pic:pic>
              </a:graphicData>
            </a:graphic>
          </wp:anchor>
        </w:drawing>
      </w:r>
    </w:p>
    <w:p>
      <w:pPr>
        <w:spacing w:after="0" w:line="102" w:lineRule="exact"/>
        <w:rPr>
          <w:sz w:val="20"/>
          <w:szCs w:val="20"/>
          <w:color w:val="auto"/>
        </w:rPr>
      </w:pPr>
    </w:p>
    <w:tbl>
      <w:tblPr>
        <w:tblLayout w:type="fixed"/>
        <w:tblInd w:w="1640" w:type="dxa"/>
        <w:tblCellMar>
          <w:top w:w="0" w:type="dxa"/>
          <w:left w:w="0" w:type="dxa"/>
          <w:bottom w:w="0" w:type="dxa"/>
          <w:right w:w="0" w:type="dxa"/>
        </w:tblCellMar>
      </w:tblPr>
      <w:tr>
        <w:trPr>
          <w:trHeight w:val="161"/>
        </w:trPr>
        <w:tc>
          <w:tcPr>
            <w:tcW w:w="3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i w:val="1"/>
                <w:iCs w:val="1"/>
                <w:color w:val="auto"/>
                <w:w w:val="83"/>
              </w:rPr>
              <w:t>2014</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i w:val="1"/>
                <w:iCs w:val="1"/>
                <w:color w:val="auto"/>
                <w:w w:val="83"/>
              </w:rPr>
              <w:t>2013</w:t>
            </w:r>
          </w:p>
        </w:tc>
        <w:tc>
          <w:tcPr>
            <w:tcW w:w="100" w:type="dxa"/>
            <w:vAlign w:val="bottom"/>
          </w:tcPr>
          <w:p>
            <w:pPr>
              <w:spacing w:after="0"/>
              <w:rPr>
                <w:sz w:val="14"/>
                <w:szCs w:val="14"/>
                <w:color w:val="auto"/>
              </w:rPr>
            </w:pPr>
          </w:p>
        </w:tc>
      </w:tr>
      <w:tr>
        <w:trPr>
          <w:trHeight w:val="451"/>
        </w:trPr>
        <w:tc>
          <w:tcPr>
            <w:tcW w:w="3080" w:type="dxa"/>
            <w:vAlign w:val="bottom"/>
          </w:tcPr>
          <w:p>
            <w:pPr>
              <w:spacing w:after="0"/>
              <w:rPr>
                <w:sz w:val="20"/>
                <w:szCs w:val="20"/>
                <w:color w:val="auto"/>
              </w:rPr>
            </w:pPr>
            <w:r>
              <w:rPr>
                <w:rFonts w:ascii="Arial" w:cs="Arial" w:eastAsia="Arial" w:hAnsi="Arial"/>
                <w:sz w:val="18"/>
                <w:szCs w:val="18"/>
                <w:color w:val="auto"/>
              </w:rPr>
              <w:t>Cost of revenues</w:t>
            </w: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$ 3</w:t>
            </w:r>
          </w:p>
        </w:tc>
        <w:tc>
          <w:tcPr>
            <w:tcW w:w="380" w:type="dxa"/>
            <w:vAlign w:val="bottom"/>
          </w:tcPr>
          <w:p>
            <w:pPr>
              <w:spacing w:after="0"/>
              <w:rPr>
                <w:sz w:val="24"/>
                <w:szCs w:val="24"/>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$ 1</w:t>
            </w:r>
          </w:p>
        </w:tc>
      </w:tr>
      <w:tr>
        <w:trPr>
          <w:trHeight w:val="459"/>
        </w:trPr>
        <w:tc>
          <w:tcPr>
            <w:tcW w:w="3080" w:type="dxa"/>
            <w:vAlign w:val="bottom"/>
          </w:tcPr>
          <w:p>
            <w:pPr>
              <w:spacing w:after="0"/>
              <w:rPr>
                <w:sz w:val="20"/>
                <w:szCs w:val="20"/>
                <w:color w:val="auto"/>
              </w:rPr>
            </w:pPr>
            <w:r>
              <w:rPr>
                <w:rFonts w:ascii="Arial" w:cs="Arial" w:eastAsia="Arial" w:hAnsi="Arial"/>
                <w:sz w:val="18"/>
                <w:szCs w:val="18"/>
                <w:color w:val="auto"/>
              </w:rPr>
              <w:t>Selling expense</w:t>
            </w: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3</w:t>
            </w:r>
          </w:p>
        </w:tc>
        <w:tc>
          <w:tcPr>
            <w:tcW w:w="380" w:type="dxa"/>
            <w:vAlign w:val="bottom"/>
          </w:tcPr>
          <w:p>
            <w:pPr>
              <w:spacing w:after="0"/>
              <w:rPr>
                <w:sz w:val="24"/>
                <w:szCs w:val="24"/>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2</w:t>
            </w:r>
          </w:p>
        </w:tc>
      </w:tr>
      <w:tr>
        <w:trPr>
          <w:trHeight w:val="453"/>
        </w:trPr>
        <w:tc>
          <w:tcPr>
            <w:tcW w:w="3080" w:type="dxa"/>
            <w:vAlign w:val="bottom"/>
          </w:tcPr>
          <w:p>
            <w:pPr>
              <w:spacing w:after="0"/>
              <w:rPr>
                <w:sz w:val="20"/>
                <w:szCs w:val="20"/>
                <w:color w:val="auto"/>
              </w:rPr>
            </w:pPr>
            <w:r>
              <w:rPr>
                <w:rFonts w:ascii="Arial" w:cs="Arial" w:eastAsia="Arial" w:hAnsi="Arial"/>
                <w:sz w:val="18"/>
                <w:szCs w:val="18"/>
                <w:color w:val="auto"/>
              </w:rPr>
              <w:t>Engineering and product development</w:t>
            </w: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6</w:t>
            </w:r>
          </w:p>
        </w:tc>
        <w:tc>
          <w:tcPr>
            <w:tcW w:w="380" w:type="dxa"/>
            <w:vAlign w:val="bottom"/>
          </w:tcPr>
          <w:p>
            <w:pPr>
              <w:spacing w:after="0"/>
              <w:rPr>
                <w:sz w:val="24"/>
                <w:szCs w:val="24"/>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6</w:t>
            </w:r>
          </w:p>
        </w:tc>
      </w:tr>
      <w:tr>
        <w:trPr>
          <w:trHeight w:val="222"/>
        </w:trPr>
        <w:tc>
          <w:tcPr>
            <w:tcW w:w="3080" w:type="dxa"/>
            <w:vAlign w:val="bottom"/>
          </w:tcPr>
          <w:p>
            <w:pPr>
              <w:spacing w:after="0"/>
              <w:rPr>
                <w:sz w:val="20"/>
                <w:szCs w:val="20"/>
                <w:color w:val="auto"/>
              </w:rPr>
            </w:pPr>
            <w:r>
              <w:rPr>
                <w:rFonts w:ascii="Arial" w:cs="Arial" w:eastAsia="Arial" w:hAnsi="Arial"/>
                <w:sz w:val="18"/>
                <w:szCs w:val="18"/>
                <w:color w:val="auto"/>
              </w:rPr>
              <w:t>expense</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21"/>
        </w:trPr>
        <w:tc>
          <w:tcPr>
            <w:tcW w:w="3080" w:type="dxa"/>
            <w:vAlign w:val="bottom"/>
          </w:tcPr>
          <w:p>
            <w:pPr>
              <w:spacing w:after="0"/>
              <w:rPr>
                <w:sz w:val="20"/>
                <w:szCs w:val="20"/>
                <w:color w:val="auto"/>
              </w:rPr>
            </w:pPr>
            <w:r>
              <w:rPr>
                <w:rFonts w:ascii="Arial" w:cs="Arial" w:eastAsia="Arial" w:hAnsi="Arial"/>
                <w:sz w:val="18"/>
                <w:szCs w:val="18"/>
                <w:color w:val="auto"/>
              </w:rPr>
              <w:t>General and administrative expense</w:t>
            </w:r>
          </w:p>
        </w:tc>
        <w:tc>
          <w:tcPr>
            <w:tcW w:w="400" w:type="dxa"/>
            <w:vAlign w:val="bottom"/>
            <w:gridSpan w:val="2"/>
          </w:tcPr>
          <w:p>
            <w:pPr>
              <w:spacing w:after="0"/>
              <w:rPr>
                <w:sz w:val="24"/>
                <w:szCs w:val="24"/>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29</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18</w:t>
            </w:r>
          </w:p>
        </w:tc>
      </w:tr>
      <w:tr>
        <w:trPr>
          <w:trHeight w:val="439"/>
        </w:trPr>
        <w:tc>
          <w:tcPr>
            <w:tcW w:w="3080" w:type="dxa"/>
            <w:vAlign w:val="bottom"/>
          </w:tcPr>
          <w:p>
            <w:pPr>
              <w:spacing w:after="0"/>
              <w:rPr>
                <w:sz w:val="24"/>
                <w:szCs w:val="24"/>
                <w:color w:val="auto"/>
              </w:rPr>
            </w:pPr>
          </w:p>
        </w:tc>
        <w:tc>
          <w:tcPr>
            <w:tcW w:w="400" w:type="dxa"/>
            <w:vAlign w:val="bottom"/>
            <w:gridSpan w:val="2"/>
          </w:tcPr>
          <w:p>
            <w:pPr>
              <w:spacing w:after="0"/>
              <w:rPr>
                <w:sz w:val="24"/>
                <w:szCs w:val="24"/>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6"/>
              </w:rPr>
              <w:t>$ 41</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6"/>
              </w:rPr>
              <w:t>$ 27</w:t>
            </w:r>
          </w:p>
        </w:tc>
      </w:tr>
    </w:tbl>
    <w:p>
      <w:pPr>
        <w:sectPr>
          <w:pgSz w:w="11900" w:h="16838" w:orient="portrait"/>
          <w:cols w:equalWidth="0" w:num="1">
            <w:col w:w="11400"/>
          </w:cols>
          <w:pgMar w:left="240" w:top="130" w:right="259" w:bottom="319" w:gutter="0" w:footer="0" w:header="0"/>
        </w:sectPr>
      </w:pPr>
    </w:p>
    <w:bookmarkStart w:id="10" w:name="page11"/>
    <w:bookmarkEnd w:id="10"/>
    <w:p>
      <w:pPr>
        <w:ind w:left="540"/>
        <w:spacing w:after="0"/>
        <w:rPr>
          <w:sz w:val="20"/>
          <w:szCs w:val="20"/>
          <w:color w:val="auto"/>
        </w:rPr>
      </w:pPr>
      <w:r>
        <w:rPr>
          <w:rFonts w:ascii="Arial" w:cs="Arial" w:eastAsia="Arial" w:hAnsi="Arial"/>
          <w:sz w:val="18"/>
          <w:szCs w:val="18"/>
          <w:color w:val="auto"/>
        </w:rPr>
        <w:t>There was no compensation expense capitalized in the three months ended March 31, 2014 or 2013.</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summarizes the activity related to nonvested shares for the three months ended March 31, 2014:</w:t>
      </w:r>
    </w:p>
    <w:p>
      <w:pPr>
        <w:spacing w:after="0" w:line="224"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center"/>
              <w:ind w:right="20"/>
              <w:spacing w:after="0"/>
              <w:rPr>
                <w:sz w:val="20"/>
                <w:szCs w:val="20"/>
                <w:color w:val="auto"/>
              </w:rPr>
            </w:pPr>
            <w:r>
              <w:rPr>
                <w:rFonts w:ascii="Arial" w:cs="Arial" w:eastAsia="Arial" w:hAnsi="Arial"/>
                <w:sz w:val="14"/>
                <w:szCs w:val="14"/>
                <w:b w:val="1"/>
                <w:bCs w:val="1"/>
                <w:i w:val="1"/>
                <w:iCs w:val="1"/>
                <w:color w:val="auto"/>
                <w:w w:val="79"/>
              </w:rPr>
              <w:t>Weighted</w:t>
            </w:r>
          </w:p>
        </w:tc>
      </w:tr>
      <w:tr>
        <w:trPr>
          <w:trHeight w:val="149"/>
        </w:trPr>
        <w:tc>
          <w:tcPr>
            <w:tcW w:w="40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i w:val="1"/>
                <w:iCs w:val="1"/>
                <w:color w:val="auto"/>
                <w:w w:val="83"/>
              </w:rPr>
              <w:t>Average</w:t>
            </w:r>
          </w:p>
        </w:tc>
      </w:tr>
      <w:tr>
        <w:trPr>
          <w:trHeight w:val="149"/>
        </w:trPr>
        <w:tc>
          <w:tcPr>
            <w:tcW w:w="40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i w:val="1"/>
                <w:iCs w:val="1"/>
                <w:color w:val="auto"/>
                <w:w w:val="79"/>
              </w:rPr>
              <w:t>Number</w:t>
            </w:r>
          </w:p>
        </w:tc>
        <w:tc>
          <w:tcPr>
            <w:tcW w:w="7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i w:val="1"/>
                <w:iCs w:val="1"/>
                <w:color w:val="auto"/>
                <w:w w:val="86"/>
              </w:rPr>
              <w:t>Grant Date</w:t>
            </w:r>
          </w:p>
        </w:tc>
      </w:tr>
      <w:tr>
        <w:trPr>
          <w:trHeight w:val="146"/>
        </w:trPr>
        <w:tc>
          <w:tcPr>
            <w:tcW w:w="40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jc w:val="center"/>
              <w:spacing w:after="0" w:line="146" w:lineRule="exact"/>
              <w:rPr>
                <w:sz w:val="20"/>
                <w:szCs w:val="20"/>
                <w:color w:val="auto"/>
              </w:rPr>
            </w:pPr>
            <w:r>
              <w:rPr>
                <w:rFonts w:ascii="Arial" w:cs="Arial" w:eastAsia="Arial" w:hAnsi="Arial"/>
                <w:sz w:val="14"/>
                <w:szCs w:val="14"/>
                <w:b w:val="1"/>
                <w:bCs w:val="1"/>
                <w:i w:val="1"/>
                <w:iCs w:val="1"/>
                <w:color w:val="auto"/>
                <w:w w:val="72"/>
              </w:rPr>
              <w:t>of Shares</w:t>
            </w:r>
          </w:p>
        </w:tc>
        <w:tc>
          <w:tcPr>
            <w:tcW w:w="220" w:type="dxa"/>
            <w:vAlign w:val="bottom"/>
            <w:gridSpan w:val="2"/>
          </w:tcPr>
          <w:p>
            <w:pPr>
              <w:spacing w:after="0"/>
              <w:rPr>
                <w:sz w:val="12"/>
                <w:szCs w:val="12"/>
                <w:color w:val="auto"/>
              </w:rPr>
            </w:pPr>
          </w:p>
        </w:tc>
        <w:tc>
          <w:tcPr>
            <w:tcW w:w="700" w:type="dxa"/>
            <w:vAlign w:val="bottom"/>
            <w:gridSpan w:val="3"/>
          </w:tcPr>
          <w:p>
            <w:pPr>
              <w:jc w:val="center"/>
              <w:spacing w:after="0" w:line="146" w:lineRule="exact"/>
              <w:rPr>
                <w:sz w:val="20"/>
                <w:szCs w:val="20"/>
                <w:color w:val="auto"/>
              </w:rPr>
            </w:pPr>
            <w:r>
              <w:rPr>
                <w:rFonts w:ascii="Arial" w:cs="Arial" w:eastAsia="Arial" w:hAnsi="Arial"/>
                <w:sz w:val="14"/>
                <w:szCs w:val="14"/>
                <w:b w:val="1"/>
                <w:bCs w:val="1"/>
                <w:i w:val="1"/>
                <w:iCs w:val="1"/>
                <w:color w:val="auto"/>
                <w:w w:val="86"/>
              </w:rPr>
              <w:t>Fair Value</w:t>
            </w:r>
          </w:p>
        </w:tc>
      </w:tr>
      <w:tr>
        <w:trPr>
          <w:trHeight w:val="20"/>
        </w:trPr>
        <w:tc>
          <w:tcPr>
            <w:tcW w:w="4000" w:type="dxa"/>
            <w:vAlign w:val="bottom"/>
          </w:tcPr>
          <w:p>
            <w:pPr>
              <w:spacing w:after="0" w:line="20" w:lineRule="exact"/>
              <w:rPr>
                <w:sz w:val="1"/>
                <w:szCs w:val="1"/>
                <w:color w:val="auto"/>
              </w:rPr>
            </w:pPr>
          </w:p>
        </w:tc>
        <w:tc>
          <w:tcPr>
            <w:tcW w:w="76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5"/>
        </w:trPr>
        <w:tc>
          <w:tcPr>
            <w:tcW w:w="4000" w:type="dxa"/>
            <w:vAlign w:val="bottom"/>
          </w:tcPr>
          <w:p>
            <w:pPr>
              <w:spacing w:after="0"/>
              <w:rPr>
                <w:sz w:val="20"/>
                <w:szCs w:val="20"/>
                <w:color w:val="auto"/>
              </w:rPr>
            </w:pPr>
            <w:r>
              <w:rPr>
                <w:rFonts w:ascii="Arial" w:cs="Arial" w:eastAsia="Arial" w:hAnsi="Arial"/>
                <w:sz w:val="18"/>
                <w:szCs w:val="18"/>
                <w:color w:val="auto"/>
              </w:rPr>
              <w:t>Nonvested shares outstanding, January 1, 2014</w:t>
            </w:r>
          </w:p>
        </w:tc>
        <w:tc>
          <w:tcPr>
            <w:tcW w:w="76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6"/>
              </w:rPr>
              <w:t>180,000</w:t>
            </w:r>
          </w:p>
        </w:tc>
        <w:tc>
          <w:tcPr>
            <w:tcW w:w="10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$2.69</w:t>
            </w:r>
          </w:p>
        </w:tc>
        <w:tc>
          <w:tcPr>
            <w:tcW w:w="20" w:type="dxa"/>
            <w:vAlign w:val="bottom"/>
          </w:tcPr>
          <w:p>
            <w:pPr>
              <w:spacing w:after="0"/>
              <w:rPr>
                <w:sz w:val="20"/>
                <w:szCs w:val="20"/>
                <w:color w:val="auto"/>
              </w:rPr>
            </w:pPr>
          </w:p>
        </w:tc>
      </w:tr>
      <w:tr>
        <w:trPr>
          <w:trHeight w:val="459"/>
        </w:trPr>
        <w:tc>
          <w:tcPr>
            <w:tcW w:w="4000" w:type="dxa"/>
            <w:vAlign w:val="bottom"/>
          </w:tcPr>
          <w:p>
            <w:pPr>
              <w:ind w:left="140"/>
              <w:spacing w:after="0"/>
              <w:rPr>
                <w:sz w:val="20"/>
                <w:szCs w:val="20"/>
                <w:color w:val="auto"/>
              </w:rPr>
            </w:pPr>
            <w:r>
              <w:rPr>
                <w:rFonts w:ascii="Arial" w:cs="Arial" w:eastAsia="Arial" w:hAnsi="Arial"/>
                <w:sz w:val="18"/>
                <w:szCs w:val="18"/>
                <w:color w:val="auto"/>
              </w:rPr>
              <w:t>Granted</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r>
      <w:tr>
        <w:trPr>
          <w:trHeight w:val="459"/>
        </w:trPr>
        <w:tc>
          <w:tcPr>
            <w:tcW w:w="4000" w:type="dxa"/>
            <w:vAlign w:val="bottom"/>
          </w:tcPr>
          <w:p>
            <w:pPr>
              <w:ind w:left="140"/>
              <w:spacing w:after="0"/>
              <w:rPr>
                <w:sz w:val="20"/>
                <w:szCs w:val="20"/>
                <w:color w:val="auto"/>
              </w:rPr>
            </w:pPr>
            <w:r>
              <w:rPr>
                <w:rFonts w:ascii="Arial" w:cs="Arial" w:eastAsia="Arial" w:hAnsi="Arial"/>
                <w:sz w:val="18"/>
                <w:szCs w:val="18"/>
                <w:color w:val="auto"/>
              </w:rPr>
              <w:t>Vested</w:t>
            </w:r>
          </w:p>
        </w:tc>
        <w:tc>
          <w:tcPr>
            <w:tcW w:w="1440" w:type="dxa"/>
            <w:vAlign w:val="bottom"/>
            <w:gridSpan w:val="4"/>
          </w:tcPr>
          <w:p>
            <w:pPr>
              <w:jc w:val="right"/>
              <w:ind w:right="60"/>
              <w:spacing w:after="0"/>
              <w:rPr>
                <w:sz w:val="20"/>
                <w:szCs w:val="20"/>
                <w:color w:val="auto"/>
              </w:rPr>
            </w:pPr>
            <w:r>
              <w:rPr>
                <w:rFonts w:ascii="Arial" w:cs="Arial" w:eastAsia="Arial" w:hAnsi="Arial"/>
                <w:sz w:val="18"/>
                <w:szCs w:val="18"/>
                <w:color w:val="auto"/>
              </w:rPr>
              <w:t>(55,000)</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1.56</w:t>
            </w:r>
          </w:p>
        </w:tc>
        <w:tc>
          <w:tcPr>
            <w:tcW w:w="20" w:type="dxa"/>
            <w:vAlign w:val="bottom"/>
          </w:tcPr>
          <w:p>
            <w:pPr>
              <w:spacing w:after="0"/>
              <w:rPr>
                <w:sz w:val="24"/>
                <w:szCs w:val="24"/>
                <w:color w:val="auto"/>
              </w:rPr>
            </w:pPr>
          </w:p>
        </w:tc>
      </w:tr>
      <w:tr>
        <w:trPr>
          <w:trHeight w:val="421"/>
        </w:trPr>
        <w:tc>
          <w:tcPr>
            <w:tcW w:w="4000" w:type="dxa"/>
            <w:vAlign w:val="bottom"/>
          </w:tcPr>
          <w:p>
            <w:pPr>
              <w:ind w:left="140"/>
              <w:spacing w:after="0"/>
              <w:rPr>
                <w:sz w:val="20"/>
                <w:szCs w:val="20"/>
                <w:color w:val="auto"/>
              </w:rPr>
            </w:pPr>
            <w:r>
              <w:rPr>
                <w:rFonts w:ascii="Arial" w:cs="Arial" w:eastAsia="Arial" w:hAnsi="Arial"/>
                <w:sz w:val="18"/>
                <w:szCs w:val="18"/>
                <w:color w:val="auto"/>
              </w:rPr>
              <w:t>Forfeited</w:t>
            </w:r>
          </w:p>
        </w:tc>
        <w:tc>
          <w:tcPr>
            <w:tcW w:w="760" w:type="dxa"/>
            <w:vAlign w:val="bottom"/>
          </w:tcPr>
          <w:p>
            <w:pPr>
              <w:spacing w:after="0"/>
              <w:rPr>
                <w:sz w:val="24"/>
                <w:szCs w:val="24"/>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(5,000)</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3.97</w:t>
            </w:r>
          </w:p>
        </w:tc>
        <w:tc>
          <w:tcPr>
            <w:tcW w:w="20" w:type="dxa"/>
            <w:vAlign w:val="bottom"/>
          </w:tcPr>
          <w:p>
            <w:pPr>
              <w:spacing w:after="0"/>
              <w:rPr>
                <w:sz w:val="24"/>
                <w:szCs w:val="24"/>
                <w:color w:val="auto"/>
              </w:rPr>
            </w:pPr>
          </w:p>
        </w:tc>
      </w:tr>
      <w:tr>
        <w:trPr>
          <w:trHeight w:val="439"/>
        </w:trPr>
        <w:tc>
          <w:tcPr>
            <w:tcW w:w="4000" w:type="dxa"/>
            <w:vAlign w:val="bottom"/>
          </w:tcPr>
          <w:p>
            <w:pPr>
              <w:spacing w:after="0"/>
              <w:rPr>
                <w:sz w:val="20"/>
                <w:szCs w:val="20"/>
                <w:color w:val="auto"/>
              </w:rPr>
            </w:pPr>
            <w:r>
              <w:rPr>
                <w:rFonts w:ascii="Arial" w:cs="Arial" w:eastAsia="Arial" w:hAnsi="Arial"/>
                <w:sz w:val="18"/>
                <w:szCs w:val="18"/>
                <w:color w:val="auto"/>
              </w:rPr>
              <w:t>Nonvested shares outstanding, March 31, 2014</w:t>
            </w:r>
          </w:p>
        </w:tc>
        <w:tc>
          <w:tcPr>
            <w:tcW w:w="760" w:type="dxa"/>
            <w:vAlign w:val="bottom"/>
          </w:tcPr>
          <w:p>
            <w:pPr>
              <w:spacing w:after="0"/>
              <w:rPr>
                <w:sz w:val="24"/>
                <w:szCs w:val="24"/>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6"/>
              </w:rPr>
              <w:t>120,000</w:t>
            </w:r>
          </w:p>
        </w:tc>
        <w:tc>
          <w:tcPr>
            <w:tcW w:w="10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3.28</w:t>
            </w:r>
          </w:p>
        </w:tc>
        <w:tc>
          <w:tcPr>
            <w:tcW w:w="20" w:type="dxa"/>
            <w:vAlign w:val="bottom"/>
          </w:tcPr>
          <w:p>
            <w:pPr>
              <w:spacing w:after="0"/>
              <w:rPr>
                <w:sz w:val="24"/>
                <w:szCs w:val="24"/>
                <w:color w:val="auto"/>
              </w:rPr>
            </w:pPr>
          </w:p>
        </w:tc>
      </w:tr>
    </w:tbl>
    <w:p>
      <w:pPr>
        <w:spacing w:after="0" w:line="200" w:lineRule="exact"/>
        <w:rPr>
          <w:sz w:val="20"/>
          <w:szCs w:val="20"/>
          <w:color w:val="auto"/>
        </w:rPr>
      </w:pPr>
    </w:p>
    <w:p>
      <w:pPr>
        <w:spacing w:after="0" w:line="264"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Stock Options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summarizes the stock option activity for the three months ended March 31, 2014:</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- 11 -</w:t>
      </w: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20" w:type="dxa"/>
            <w:vAlign w:val="bottom"/>
            <w:gridSpan w:val="9"/>
          </w:tcPr>
          <w:p>
            <w:pPr>
              <w:jc w:val="center"/>
              <w:ind w:left="3332"/>
              <w:spacing w:after="0"/>
              <w:rPr>
                <w:sz w:val="20"/>
                <w:szCs w:val="20"/>
                <w:color w:val="auto"/>
              </w:rPr>
            </w:pPr>
            <w:r>
              <w:rPr>
                <w:rFonts w:ascii="Arial" w:cs="Arial" w:eastAsia="Arial" w:hAnsi="Arial"/>
                <w:sz w:val="18"/>
                <w:szCs w:val="18"/>
                <w:b w:val="1"/>
                <w:bCs w:val="1"/>
                <w:color w:val="auto"/>
                <w:w w:val="96"/>
              </w:rPr>
              <w:t>inTEST CORPORATION</w:t>
            </w:r>
          </w:p>
        </w:tc>
      </w:tr>
      <w:tr>
        <w:trPr>
          <w:trHeight w:val="222"/>
        </w:trPr>
        <w:tc>
          <w:tcPr>
            <w:tcW w:w="8020" w:type="dxa"/>
            <w:vAlign w:val="bottom"/>
            <w:gridSpan w:val="9"/>
          </w:tcPr>
          <w:p>
            <w:pPr>
              <w:jc w:val="center"/>
              <w:ind w:left="3332"/>
              <w:spacing w:after="0"/>
              <w:rPr>
                <w:sz w:val="20"/>
                <w:szCs w:val="20"/>
                <w:color w:val="auto"/>
              </w:rPr>
            </w:pPr>
            <w:r>
              <w:rPr>
                <w:rFonts w:ascii="Arial" w:cs="Arial" w:eastAsia="Arial" w:hAnsi="Arial"/>
                <w:sz w:val="18"/>
                <w:szCs w:val="18"/>
                <w:b w:val="1"/>
                <w:bCs w:val="1"/>
                <w:color w:val="auto"/>
                <w:w w:val="97"/>
              </w:rPr>
              <w:t>NOTES TO CONSOLIDATED FINANCIAL STATEMENTS</w:t>
            </w:r>
          </w:p>
        </w:tc>
      </w:tr>
      <w:tr>
        <w:trPr>
          <w:trHeight w:val="216"/>
        </w:trPr>
        <w:tc>
          <w:tcPr>
            <w:tcW w:w="5240" w:type="dxa"/>
            <w:vAlign w:val="bottom"/>
          </w:tcPr>
          <w:p>
            <w:pPr>
              <w:spacing w:after="0"/>
              <w:rPr>
                <w:sz w:val="18"/>
                <w:szCs w:val="18"/>
                <w:color w:val="auto"/>
              </w:rPr>
            </w:pPr>
          </w:p>
        </w:tc>
        <w:tc>
          <w:tcPr>
            <w:tcW w:w="1280" w:type="dxa"/>
            <w:vAlign w:val="bottom"/>
            <w:gridSpan w:val="6"/>
          </w:tcPr>
          <w:p>
            <w:pPr>
              <w:jc w:val="center"/>
              <w:ind w:right="340"/>
              <w:spacing w:after="0"/>
              <w:rPr>
                <w:sz w:val="20"/>
                <w:szCs w:val="20"/>
                <w:color w:val="auto"/>
              </w:rPr>
            </w:pPr>
            <w:r>
              <w:rPr>
                <w:rFonts w:ascii="Arial" w:cs="Arial" w:eastAsia="Arial" w:hAnsi="Arial"/>
                <w:sz w:val="18"/>
                <w:szCs w:val="18"/>
                <w:color w:val="auto"/>
                <w:w w:val="91"/>
              </w:rPr>
              <w:t>(Unaudited)</w:t>
            </w: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22"/>
        </w:trPr>
        <w:tc>
          <w:tcPr>
            <w:tcW w:w="8020" w:type="dxa"/>
            <w:vAlign w:val="bottom"/>
            <w:gridSpan w:val="9"/>
          </w:tcPr>
          <w:p>
            <w:pPr>
              <w:jc w:val="center"/>
              <w:ind w:left="3332"/>
              <w:spacing w:after="0"/>
              <w:rPr>
                <w:sz w:val="20"/>
                <w:szCs w:val="20"/>
                <w:color w:val="auto"/>
              </w:rPr>
            </w:pPr>
            <w:r>
              <w:rPr>
                <w:rFonts w:ascii="Arial" w:cs="Arial" w:eastAsia="Arial" w:hAnsi="Arial"/>
                <w:sz w:val="18"/>
                <w:szCs w:val="18"/>
                <w:color w:val="auto"/>
                <w:w w:val="85"/>
              </w:rPr>
              <w:t>(In thousands, except share and per share data)</w:t>
            </w:r>
          </w:p>
        </w:tc>
      </w:tr>
      <w:tr>
        <w:trPr>
          <w:trHeight w:val="608"/>
        </w:trPr>
        <w:tc>
          <w:tcPr>
            <w:tcW w:w="5240" w:type="dxa"/>
            <w:vAlign w:val="bottom"/>
          </w:tcPr>
          <w:p>
            <w:pPr>
              <w:spacing w:after="0"/>
              <w:rPr>
                <w:sz w:val="20"/>
                <w:szCs w:val="20"/>
                <w:color w:val="auto"/>
              </w:rPr>
            </w:pPr>
            <w:r>
              <w:rPr>
                <w:rFonts w:ascii="Arial" w:cs="Arial" w:eastAsia="Arial" w:hAnsi="Arial"/>
                <w:sz w:val="18"/>
                <w:szCs w:val="18"/>
                <w:b w:val="1"/>
                <w:bCs w:val="1"/>
                <w:color w:val="auto"/>
              </w:rPr>
              <w:t xml:space="preserve">(7)  STOCK-BASED COMPENSATION </w:t>
            </w:r>
            <w:r>
              <w:rPr>
                <w:rFonts w:ascii="Arial" w:cs="Arial" w:eastAsia="Arial" w:hAnsi="Arial"/>
                <w:sz w:val="18"/>
                <w:szCs w:val="18"/>
                <w:color w:val="auto"/>
              </w:rPr>
              <w:t>(Continued)</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29"/>
        </w:trPr>
        <w:tc>
          <w:tcPr>
            <w:tcW w:w="5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gridSpan w:val="2"/>
          </w:tcPr>
          <w:p>
            <w:pPr>
              <w:jc w:val="center"/>
              <w:ind w:right="700"/>
              <w:spacing w:after="0"/>
              <w:rPr>
                <w:sz w:val="20"/>
                <w:szCs w:val="20"/>
                <w:color w:val="auto"/>
              </w:rPr>
            </w:pPr>
            <w:r>
              <w:rPr>
                <w:rFonts w:ascii="Arial" w:cs="Arial" w:eastAsia="Arial" w:hAnsi="Arial"/>
                <w:sz w:val="14"/>
                <w:szCs w:val="14"/>
                <w:b w:val="1"/>
                <w:bCs w:val="1"/>
                <w:i w:val="1"/>
                <w:iCs w:val="1"/>
                <w:color w:val="auto"/>
                <w:w w:val="82"/>
              </w:rPr>
              <w:t>Weighted</w:t>
            </w:r>
          </w:p>
        </w:tc>
      </w:tr>
      <w:tr>
        <w:trPr>
          <w:trHeight w:val="149"/>
        </w:trPr>
        <w:tc>
          <w:tcPr>
            <w:tcW w:w="5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gridSpan w:val="5"/>
          </w:tcPr>
          <w:p>
            <w:pPr>
              <w:jc w:val="center"/>
              <w:ind w:right="220"/>
              <w:spacing w:after="0" w:line="149" w:lineRule="exact"/>
              <w:rPr>
                <w:sz w:val="20"/>
                <w:szCs w:val="20"/>
                <w:color w:val="auto"/>
              </w:rPr>
            </w:pPr>
            <w:r>
              <w:rPr>
                <w:rFonts w:ascii="Arial" w:cs="Arial" w:eastAsia="Arial" w:hAnsi="Arial"/>
                <w:sz w:val="14"/>
                <w:szCs w:val="14"/>
                <w:b w:val="1"/>
                <w:bCs w:val="1"/>
                <w:i w:val="1"/>
                <w:iCs w:val="1"/>
                <w:color w:val="auto"/>
                <w:w w:val="86"/>
              </w:rPr>
              <w:t>Number</w:t>
            </w:r>
          </w:p>
        </w:tc>
        <w:tc>
          <w:tcPr>
            <w:tcW w:w="150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i w:val="1"/>
                <w:iCs w:val="1"/>
                <w:color w:val="auto"/>
                <w:w w:val="79"/>
              </w:rPr>
              <w:t>Average</w:t>
            </w:r>
          </w:p>
        </w:tc>
      </w:tr>
      <w:tr>
        <w:trPr>
          <w:trHeight w:val="146"/>
        </w:trPr>
        <w:tc>
          <w:tcPr>
            <w:tcW w:w="5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gridSpan w:val="5"/>
          </w:tcPr>
          <w:p>
            <w:pPr>
              <w:jc w:val="center"/>
              <w:ind w:right="240"/>
              <w:spacing w:after="0" w:line="146" w:lineRule="exact"/>
              <w:rPr>
                <w:sz w:val="20"/>
                <w:szCs w:val="20"/>
                <w:color w:val="auto"/>
              </w:rPr>
            </w:pPr>
            <w:r>
              <w:rPr>
                <w:rFonts w:ascii="Arial" w:cs="Arial" w:eastAsia="Arial" w:hAnsi="Arial"/>
                <w:sz w:val="14"/>
                <w:szCs w:val="14"/>
                <w:b w:val="1"/>
                <w:bCs w:val="1"/>
                <w:i w:val="1"/>
                <w:iCs w:val="1"/>
                <w:color w:val="auto"/>
                <w:w w:val="81"/>
              </w:rPr>
              <w:t>of Shares</w:t>
            </w:r>
          </w:p>
        </w:tc>
        <w:tc>
          <w:tcPr>
            <w:tcW w:w="1500" w:type="dxa"/>
            <w:vAlign w:val="bottom"/>
            <w:gridSpan w:val="2"/>
          </w:tcPr>
          <w:p>
            <w:pPr>
              <w:jc w:val="center"/>
              <w:ind w:right="700"/>
              <w:spacing w:after="0" w:line="146" w:lineRule="exact"/>
              <w:rPr>
                <w:sz w:val="20"/>
                <w:szCs w:val="20"/>
                <w:color w:val="auto"/>
              </w:rPr>
            </w:pPr>
            <w:r>
              <w:rPr>
                <w:rFonts w:ascii="Arial" w:cs="Arial" w:eastAsia="Arial" w:hAnsi="Arial"/>
                <w:sz w:val="14"/>
                <w:szCs w:val="14"/>
                <w:b w:val="1"/>
                <w:bCs w:val="1"/>
                <w:i w:val="1"/>
                <w:iCs w:val="1"/>
                <w:color w:val="auto"/>
                <w:w w:val="83"/>
              </w:rPr>
              <w:t>Exercise Price</w:t>
            </w:r>
          </w:p>
        </w:tc>
      </w:tr>
      <w:tr>
        <w:trPr>
          <w:trHeight w:val="20"/>
        </w:trPr>
        <w:tc>
          <w:tcPr>
            <w:tcW w:w="5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35"/>
        </w:trPr>
        <w:tc>
          <w:tcPr>
            <w:tcW w:w="5240" w:type="dxa"/>
            <w:vAlign w:val="bottom"/>
          </w:tcPr>
          <w:p>
            <w:pPr>
              <w:ind w:left="1100"/>
              <w:spacing w:after="0"/>
              <w:rPr>
                <w:sz w:val="20"/>
                <w:szCs w:val="20"/>
                <w:color w:val="auto"/>
              </w:rPr>
            </w:pPr>
            <w:r>
              <w:rPr>
                <w:rFonts w:ascii="Arial" w:cs="Arial" w:eastAsia="Arial" w:hAnsi="Arial"/>
                <w:sz w:val="18"/>
                <w:szCs w:val="18"/>
                <w:color w:val="auto"/>
                <w:w w:val="88"/>
              </w:rPr>
              <w:t>Options outstanding, January 1, 2014 (10,000 exercisable)</w:t>
            </w:r>
          </w:p>
        </w:tc>
        <w:tc>
          <w:tcPr>
            <w:tcW w:w="520" w:type="dxa"/>
            <w:vAlign w:val="bottom"/>
          </w:tcPr>
          <w:p>
            <w:pPr>
              <w:spacing w:after="0"/>
              <w:rPr>
                <w:sz w:val="20"/>
                <w:szCs w:val="20"/>
                <w:color w:val="auto"/>
              </w:rPr>
            </w:pPr>
          </w:p>
        </w:tc>
        <w:tc>
          <w:tcPr>
            <w:tcW w:w="580" w:type="dxa"/>
            <w:vAlign w:val="bottom"/>
            <w:gridSpan w:val="4"/>
          </w:tcPr>
          <w:p>
            <w:pPr>
              <w:jc w:val="right"/>
              <w:spacing w:after="0"/>
              <w:rPr>
                <w:sz w:val="20"/>
                <w:szCs w:val="20"/>
                <w:color w:val="auto"/>
              </w:rPr>
            </w:pPr>
            <w:r>
              <w:rPr>
                <w:rFonts w:ascii="Arial" w:cs="Arial" w:eastAsia="Arial" w:hAnsi="Arial"/>
                <w:sz w:val="18"/>
                <w:szCs w:val="18"/>
                <w:color w:val="auto"/>
              </w:rPr>
              <w:t>10,000</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$ 5.66</w:t>
            </w:r>
          </w:p>
        </w:tc>
        <w:tc>
          <w:tcPr>
            <w:tcW w:w="700" w:type="dxa"/>
            <w:vAlign w:val="bottom"/>
          </w:tcPr>
          <w:p>
            <w:pPr>
              <w:spacing w:after="0"/>
              <w:rPr>
                <w:sz w:val="20"/>
                <w:szCs w:val="20"/>
                <w:color w:val="auto"/>
              </w:rPr>
            </w:pPr>
          </w:p>
        </w:tc>
      </w:tr>
      <w:tr>
        <w:trPr>
          <w:trHeight w:val="459"/>
        </w:trPr>
        <w:tc>
          <w:tcPr>
            <w:tcW w:w="5240" w:type="dxa"/>
            <w:vAlign w:val="bottom"/>
          </w:tcPr>
          <w:p>
            <w:pPr>
              <w:ind w:left="1240"/>
              <w:spacing w:after="0"/>
              <w:rPr>
                <w:sz w:val="20"/>
                <w:szCs w:val="20"/>
                <w:color w:val="auto"/>
              </w:rPr>
            </w:pPr>
            <w:r>
              <w:rPr>
                <w:rFonts w:ascii="Arial" w:cs="Arial" w:eastAsia="Arial" w:hAnsi="Arial"/>
                <w:sz w:val="18"/>
                <w:szCs w:val="18"/>
                <w:color w:val="auto"/>
              </w:rPr>
              <w:t>Granted</w:t>
            </w:r>
          </w:p>
        </w:tc>
        <w:tc>
          <w:tcPr>
            <w:tcW w:w="1100" w:type="dxa"/>
            <w:vAlign w:val="bottom"/>
            <w:gridSpan w:val="5"/>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4"/>
                <w:szCs w:val="24"/>
                <w:color w:val="auto"/>
              </w:rPr>
            </w:pPr>
          </w:p>
        </w:tc>
      </w:tr>
      <w:tr>
        <w:trPr>
          <w:trHeight w:val="459"/>
        </w:trPr>
        <w:tc>
          <w:tcPr>
            <w:tcW w:w="5240" w:type="dxa"/>
            <w:vAlign w:val="bottom"/>
          </w:tcPr>
          <w:p>
            <w:pPr>
              <w:ind w:left="1240"/>
              <w:spacing w:after="0"/>
              <w:rPr>
                <w:sz w:val="20"/>
                <w:szCs w:val="20"/>
                <w:color w:val="auto"/>
              </w:rPr>
            </w:pPr>
            <w:r>
              <w:rPr>
                <w:rFonts w:ascii="Arial" w:cs="Arial" w:eastAsia="Arial" w:hAnsi="Arial"/>
                <w:sz w:val="18"/>
                <w:szCs w:val="18"/>
                <w:color w:val="auto"/>
              </w:rPr>
              <w:t>Exercised</w:t>
            </w:r>
          </w:p>
        </w:tc>
        <w:tc>
          <w:tcPr>
            <w:tcW w:w="1100" w:type="dxa"/>
            <w:vAlign w:val="bottom"/>
            <w:gridSpan w:val="5"/>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4"/>
                <w:szCs w:val="24"/>
                <w:color w:val="auto"/>
              </w:rPr>
            </w:pPr>
          </w:p>
        </w:tc>
      </w:tr>
      <w:tr>
        <w:trPr>
          <w:trHeight w:val="421"/>
        </w:trPr>
        <w:tc>
          <w:tcPr>
            <w:tcW w:w="5240" w:type="dxa"/>
            <w:vAlign w:val="bottom"/>
          </w:tcPr>
          <w:p>
            <w:pPr>
              <w:ind w:left="1240"/>
              <w:spacing w:after="0"/>
              <w:rPr>
                <w:sz w:val="20"/>
                <w:szCs w:val="20"/>
                <w:color w:val="auto"/>
              </w:rPr>
            </w:pPr>
            <w:r>
              <w:rPr>
                <w:rFonts w:ascii="Arial" w:cs="Arial" w:eastAsia="Arial" w:hAnsi="Arial"/>
                <w:sz w:val="18"/>
                <w:szCs w:val="18"/>
                <w:color w:val="auto"/>
              </w:rPr>
              <w:t>Forfeited/Expired</w:t>
            </w:r>
          </w:p>
        </w:tc>
        <w:tc>
          <w:tcPr>
            <w:tcW w:w="600" w:type="dxa"/>
            <w:vAlign w:val="bottom"/>
            <w:gridSpan w:val="2"/>
          </w:tcPr>
          <w:p>
            <w:pPr>
              <w:spacing w:after="0"/>
              <w:rPr>
                <w:sz w:val="24"/>
                <w:szCs w:val="24"/>
                <w:color w:val="auto"/>
              </w:rPr>
            </w:pPr>
          </w:p>
        </w:tc>
        <w:tc>
          <w:tcPr>
            <w:tcW w:w="5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4"/>
                <w:szCs w:val="24"/>
                <w:color w:val="auto"/>
              </w:rPr>
            </w:pPr>
          </w:p>
        </w:tc>
      </w:tr>
      <w:tr>
        <w:trPr>
          <w:trHeight w:val="439"/>
        </w:trPr>
        <w:tc>
          <w:tcPr>
            <w:tcW w:w="5240" w:type="dxa"/>
            <w:vAlign w:val="bottom"/>
          </w:tcPr>
          <w:p>
            <w:pPr>
              <w:ind w:left="1100"/>
              <w:spacing w:after="0"/>
              <w:rPr>
                <w:sz w:val="20"/>
                <w:szCs w:val="20"/>
                <w:color w:val="auto"/>
              </w:rPr>
            </w:pPr>
            <w:r>
              <w:rPr>
                <w:rFonts w:ascii="Arial" w:cs="Arial" w:eastAsia="Arial" w:hAnsi="Arial"/>
                <w:sz w:val="18"/>
                <w:szCs w:val="18"/>
                <w:color w:val="auto"/>
                <w:w w:val="88"/>
              </w:rPr>
              <w:t>Options outstanding, March 31, 2014 (10,000 exercisable)</w:t>
            </w:r>
          </w:p>
        </w:tc>
        <w:tc>
          <w:tcPr>
            <w:tcW w:w="1100" w:type="dxa"/>
            <w:vAlign w:val="bottom"/>
            <w:gridSpan w:val="5"/>
          </w:tcPr>
          <w:p>
            <w:pPr>
              <w:jc w:val="right"/>
              <w:spacing w:after="0"/>
              <w:rPr>
                <w:sz w:val="20"/>
                <w:szCs w:val="20"/>
                <w:color w:val="auto"/>
              </w:rPr>
            </w:pPr>
            <w:r>
              <w:rPr>
                <w:rFonts w:ascii="Arial" w:cs="Arial" w:eastAsia="Arial" w:hAnsi="Arial"/>
                <w:sz w:val="18"/>
                <w:szCs w:val="18"/>
                <w:color w:val="auto"/>
              </w:rPr>
              <w:t>10,000</w:t>
            </w: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5.66</w:t>
            </w:r>
          </w:p>
        </w:tc>
        <w:tc>
          <w:tcPr>
            <w:tcW w:w="700" w:type="dxa"/>
            <w:vAlign w:val="bottom"/>
          </w:tcPr>
          <w:p>
            <w:pPr>
              <w:spacing w:after="0"/>
              <w:rPr>
                <w:sz w:val="24"/>
                <w:szCs w:val="24"/>
                <w:color w:val="auto"/>
              </w:rPr>
            </w:pPr>
          </w:p>
        </w:tc>
      </w:tr>
      <w:tr>
        <w:trPr>
          <w:trHeight w:val="20"/>
        </w:trPr>
        <w:tc>
          <w:tcPr>
            <w:tcW w:w="5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EMPLOYEE BENEFIT PLANS</w:t>
      </w:r>
    </w:p>
    <w:p>
      <w:pPr>
        <w:spacing w:after="0" w:line="191" w:lineRule="exact"/>
        <w:rPr>
          <w:sz w:val="20"/>
          <w:szCs w:val="20"/>
          <w:color w:val="auto"/>
        </w:rPr>
      </w:pPr>
    </w:p>
    <w:p>
      <w:pPr>
        <w:ind w:left="540"/>
        <w:spacing w:after="0" w:line="255" w:lineRule="auto"/>
        <w:rPr>
          <w:sz w:val="20"/>
          <w:szCs w:val="20"/>
          <w:color w:val="auto"/>
        </w:rPr>
      </w:pPr>
      <w:r>
        <w:rPr>
          <w:rFonts w:ascii="Arial" w:cs="Arial" w:eastAsia="Arial" w:hAnsi="Arial"/>
          <w:sz w:val="18"/>
          <w:szCs w:val="18"/>
          <w:color w:val="auto"/>
        </w:rPr>
        <w:t>We have a defined contribution 401(k) plan for our employees who work in the U.S. (the "inTEST 401(k) Plan"). All permanent employees of inTEST Corporation, Temptronic Corporation and inTEST Silicon Valley Corporation who are at least 18 years of age are eligible to participate in the plan. We match employee contributions dollar for dollar up to 10% of the employee's annual compensation, with a maximum limit of $5. Employer contributions vest ratably over four years. Matching contributions are discretionary. For the three months ended March 31, 2014 and 2013, we recorded $133 and $132 of expense for matching contributions, respectively.</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SEGMENT INFORMATION</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We have three reportable segments, which are also our reporting units: Thermal Products, Mechanical Products and Electrical Products.</w:t>
      </w:r>
    </w:p>
    <w:p>
      <w:pPr>
        <w:spacing w:after="0" w:line="248" w:lineRule="exact"/>
        <w:rPr>
          <w:sz w:val="20"/>
          <w:szCs w:val="20"/>
          <w:color w:val="auto"/>
        </w:rPr>
      </w:pPr>
    </w:p>
    <w:p>
      <w:pPr>
        <w:jc w:val="both"/>
        <w:ind w:left="540" w:right="80"/>
        <w:spacing w:after="0" w:line="306" w:lineRule="auto"/>
        <w:rPr>
          <w:sz w:val="20"/>
          <w:szCs w:val="20"/>
          <w:color w:val="auto"/>
        </w:rPr>
      </w:pPr>
      <w:r>
        <w:rPr>
          <w:rFonts w:ascii="Arial" w:cs="Arial" w:eastAsia="Arial" w:hAnsi="Arial"/>
          <w:sz w:val="16"/>
          <w:szCs w:val="16"/>
          <w:color w:val="auto"/>
        </w:rPr>
        <w:t>The Thermal Products segment includes the operations of Temptronic, Thermonics, Sigma, inTEST Thermal Solutions GmbH (Germany), and inTEST Pte, Limited (Singapore). Sales of this segment consist primarily of temperature management systems, which we design, manufacture and market under our Temptronic, Thermonics and Sigma Systems product lines. In addition, this segment provides post warranty service and support.</w:t>
      </w:r>
    </w:p>
    <w:p>
      <w:pPr>
        <w:spacing w:after="0" w:line="161" w:lineRule="exact"/>
        <w:rPr>
          <w:sz w:val="20"/>
          <w:szCs w:val="20"/>
          <w:color w:val="auto"/>
        </w:rPr>
      </w:pPr>
    </w:p>
    <w:p>
      <w:pPr>
        <w:ind w:left="540" w:right="60"/>
        <w:spacing w:after="0" w:line="259" w:lineRule="auto"/>
        <w:rPr>
          <w:sz w:val="20"/>
          <w:szCs w:val="20"/>
          <w:color w:val="auto"/>
        </w:rPr>
      </w:pPr>
      <w:r>
        <w:rPr>
          <w:rFonts w:ascii="Arial" w:cs="Arial" w:eastAsia="Arial" w:hAnsi="Arial"/>
          <w:sz w:val="18"/>
          <w:szCs w:val="18"/>
          <w:color w:val="auto"/>
        </w:rPr>
        <w:t>The Mechanical Products segment includes the operations of our Mt. Laurel, New Jersey manufacturing facility. Sales of our Mechanical Products segment consist primarily of manipulator and docking hardware products, which we design, manufacture and market. In addition, this segment provides post warranty service and support for various ATE equipment.</w:t>
      </w:r>
    </w:p>
    <w:p>
      <w:pPr>
        <w:spacing w:after="0" w:line="194" w:lineRule="exact"/>
        <w:rPr>
          <w:sz w:val="20"/>
          <w:szCs w:val="20"/>
          <w:color w:val="auto"/>
        </w:rPr>
      </w:pPr>
    </w:p>
    <w:p>
      <w:pPr>
        <w:ind w:left="540" w:right="20"/>
        <w:spacing w:after="0" w:line="268" w:lineRule="auto"/>
        <w:rPr>
          <w:sz w:val="20"/>
          <w:szCs w:val="20"/>
          <w:color w:val="auto"/>
        </w:rPr>
      </w:pPr>
      <w:r>
        <w:rPr>
          <w:rFonts w:ascii="Arial" w:cs="Arial" w:eastAsia="Arial" w:hAnsi="Arial"/>
          <w:sz w:val="18"/>
          <w:szCs w:val="18"/>
          <w:color w:val="auto"/>
        </w:rPr>
        <w:t>The Electrical Products segment includes the operations of inTEST Silicon Valley Corporation. Sales of this segment consist primarily of tester interface products, which we design, manufacture and market.</w:t>
      </w:r>
    </w:p>
    <w:p>
      <w:pPr>
        <w:spacing w:after="0" w:line="186" w:lineRule="exact"/>
        <w:rPr>
          <w:sz w:val="20"/>
          <w:szCs w:val="20"/>
          <w:color w:val="auto"/>
        </w:rPr>
      </w:pPr>
    </w:p>
    <w:p>
      <w:pPr>
        <w:ind w:left="540" w:right="180"/>
        <w:spacing w:after="0" w:line="370" w:lineRule="auto"/>
        <w:rPr>
          <w:sz w:val="20"/>
          <w:szCs w:val="20"/>
          <w:color w:val="auto"/>
        </w:rPr>
      </w:pPr>
      <w:r>
        <w:rPr>
          <w:rFonts w:ascii="Arial" w:cs="Arial" w:eastAsia="Arial" w:hAnsi="Arial"/>
          <w:sz w:val="15"/>
          <w:szCs w:val="15"/>
          <w:color w:val="auto"/>
        </w:rPr>
        <w:t>We operate our business worldwide, and all three segments sell their products both domestically and internationally. All three segments sell to semiconductor manufacturers, third-party test and assembly houses and ATE manufacturers. Our Thermal Products segment also sells into a variety of</w:t>
      </w:r>
    </w:p>
    <w:p>
      <w:pPr>
        <w:sectPr>
          <w:pgSz w:w="11900" w:h="16838" w:orient="portrait"/>
          <w:cols w:equalWidth="0" w:num="1">
            <w:col w:w="11300"/>
          </w:cols>
          <w:pgMar w:left="240" w:top="131" w:right="359" w:bottom="0" w:gutter="0" w:footer="0" w:header="0"/>
        </w:sectPr>
      </w:pPr>
    </w:p>
    <w:bookmarkStart w:id="11" w:name="page12"/>
    <w:bookmarkEnd w:id="11"/>
    <w:p>
      <w:pPr>
        <w:ind w:left="540" w:right="220"/>
        <w:spacing w:after="0" w:line="332" w:lineRule="auto"/>
        <w:rPr>
          <w:sz w:val="20"/>
          <w:szCs w:val="20"/>
          <w:color w:val="auto"/>
        </w:rPr>
      </w:pPr>
      <w:r>
        <w:rPr>
          <w:rFonts w:ascii="Arial" w:cs="Arial" w:eastAsia="Arial" w:hAnsi="Arial"/>
          <w:sz w:val="16"/>
          <w:szCs w:val="16"/>
          <w:color w:val="auto"/>
        </w:rPr>
        <w:t>markets outside of the semiconductor market, including the automotive, consumer electronics, defense/aerospace, energy, industrial and telecommunications markets. Intercompany pricing between segments is either a multiple of cost for component parts or list price for finished goods.</w:t>
      </w:r>
    </w:p>
    <w:p>
      <w:pPr>
        <w:spacing w:after="0" w:line="109" w:lineRule="exact"/>
        <w:rPr>
          <w:sz w:val="20"/>
          <w:szCs w:val="20"/>
          <w:color w:val="auto"/>
        </w:rPr>
      </w:pPr>
    </w:p>
    <w:p>
      <w:pPr>
        <w:jc w:val="center"/>
        <w:ind w:left="1160"/>
        <w:spacing w:after="0"/>
        <w:rPr>
          <w:sz w:val="20"/>
          <w:szCs w:val="20"/>
          <w:color w:val="auto"/>
        </w:rPr>
      </w:pPr>
      <w:r>
        <w:rPr>
          <w:rFonts w:ascii="Arial" w:cs="Arial" w:eastAsia="Arial" w:hAnsi="Arial"/>
          <w:sz w:val="14"/>
          <w:szCs w:val="14"/>
          <w:b w:val="1"/>
          <w:bCs w:val="1"/>
          <w:i w:val="1"/>
          <w:iCs w:val="1"/>
          <w:color w:val="auto"/>
        </w:rPr>
        <w:t>Three Months Ended</w:t>
      </w:r>
    </w:p>
    <w:p>
      <w:pPr>
        <w:jc w:val="center"/>
        <w:ind w:left="1160"/>
        <w:spacing w:after="0"/>
        <w:rPr>
          <w:sz w:val="20"/>
          <w:szCs w:val="20"/>
          <w:color w:val="auto"/>
        </w:rPr>
      </w:pPr>
      <w:r>
        <w:rPr>
          <w:rFonts w:ascii="Arial" w:cs="Arial" w:eastAsia="Arial" w:hAnsi="Arial"/>
          <w:sz w:val="14"/>
          <w:szCs w:val="14"/>
          <w:b w:val="1"/>
          <w:bCs w:val="1"/>
          <w:i w:val="1"/>
          <w:i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3659505</wp:posOffset>
            </wp:positionH>
            <wp:positionV relativeFrom="paragraph">
              <wp:posOffset>-16510</wp:posOffset>
            </wp:positionV>
            <wp:extent cx="6667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750" cy="8890"/>
                    </a:xfrm>
                    <a:prstGeom prst="rect">
                      <a:avLst/>
                    </a:prstGeom>
                    <a:noFill/>
                  </pic:spPr>
                </pic:pic>
              </a:graphicData>
            </a:graphic>
          </wp:anchor>
        </w:drawing>
      </w:r>
    </w:p>
    <w:tbl>
      <w:tblPr>
        <w:tblLayout w:type="fixed"/>
        <w:tblInd w:w="1100" w:type="dxa"/>
        <w:tblCellMar>
          <w:top w:w="0" w:type="dxa"/>
          <w:left w:w="0" w:type="dxa"/>
          <w:bottom w:w="0" w:type="dxa"/>
          <w:right w:w="0" w:type="dxa"/>
        </w:tblCellMar>
      </w:tblPr>
      <w:tr>
        <w:trPr>
          <w:trHeight w:val="148"/>
        </w:trPr>
        <w:tc>
          <w:tcPr>
            <w:tcW w:w="374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Net revenues from unaffiliated customers:</w:t>
            </w:r>
          </w:p>
        </w:tc>
        <w:tc>
          <w:tcPr>
            <w:tcW w:w="840" w:type="dxa"/>
            <w:vAlign w:val="bottom"/>
            <w:vMerge w:val="restart"/>
          </w:tcPr>
          <w:p>
            <w:pPr>
              <w:spacing w:after="0"/>
              <w:rPr>
                <w:sz w:val="12"/>
                <w:szCs w:val="12"/>
                <w:color w:val="auto"/>
              </w:rPr>
            </w:pPr>
          </w:p>
        </w:tc>
        <w:tc>
          <w:tcPr>
            <w:tcW w:w="120" w:type="dxa"/>
            <w:vAlign w:val="bottom"/>
            <w:vMerge w:val="restart"/>
          </w:tcPr>
          <w:p>
            <w:pPr>
              <w:spacing w:after="0"/>
              <w:rPr>
                <w:sz w:val="12"/>
                <w:szCs w:val="12"/>
                <w:color w:val="auto"/>
              </w:rPr>
            </w:pPr>
          </w:p>
        </w:tc>
        <w:tc>
          <w:tcPr>
            <w:tcW w:w="2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b w:val="1"/>
                <w:bCs w:val="1"/>
                <w:i w:val="1"/>
                <w:iCs w:val="1"/>
                <w:color w:val="auto"/>
                <w:w w:val="83"/>
              </w:rPr>
              <w:t>2014</w:t>
            </w:r>
          </w:p>
        </w:tc>
        <w:tc>
          <w:tcPr>
            <w:tcW w:w="80" w:type="dxa"/>
            <w:vAlign w:val="bottom"/>
          </w:tcPr>
          <w:p>
            <w:pPr>
              <w:spacing w:after="0"/>
              <w:rPr>
                <w:sz w:val="12"/>
                <w:szCs w:val="12"/>
                <w:color w:val="auto"/>
              </w:rPr>
            </w:pPr>
          </w:p>
        </w:tc>
        <w:tc>
          <w:tcPr>
            <w:tcW w:w="440" w:type="dxa"/>
            <w:vAlign w:val="bottom"/>
            <w:vMerge w:val="restart"/>
          </w:tcPr>
          <w:p>
            <w:pPr>
              <w:spacing w:after="0"/>
              <w:rPr>
                <w:sz w:val="12"/>
                <w:szCs w:val="12"/>
                <w:color w:val="auto"/>
              </w:rPr>
            </w:pPr>
          </w:p>
        </w:tc>
        <w:tc>
          <w:tcPr>
            <w:tcW w:w="120" w:type="dxa"/>
            <w:vAlign w:val="bottom"/>
            <w:vMerge w:val="restart"/>
          </w:tcPr>
          <w:p>
            <w:pPr>
              <w:spacing w:after="0"/>
              <w:rPr>
                <w:sz w:val="12"/>
                <w:szCs w:val="12"/>
                <w:color w:val="auto"/>
              </w:rPr>
            </w:pPr>
          </w:p>
        </w:tc>
        <w:tc>
          <w:tcPr>
            <w:tcW w:w="2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b w:val="1"/>
                <w:bCs w:val="1"/>
                <w:i w:val="1"/>
                <w:iCs w:val="1"/>
                <w:color w:val="auto"/>
                <w:w w:val="83"/>
              </w:rPr>
              <w:t>2013</w:t>
            </w:r>
          </w:p>
        </w:tc>
        <w:tc>
          <w:tcPr>
            <w:tcW w:w="8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59"/>
        </w:trPr>
        <w:tc>
          <w:tcPr>
            <w:tcW w:w="374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59"/>
        </w:trPr>
        <w:tc>
          <w:tcPr>
            <w:tcW w:w="3740" w:type="dxa"/>
            <w:vAlign w:val="bottom"/>
          </w:tcPr>
          <w:p>
            <w:pPr>
              <w:spacing w:after="0"/>
              <w:rPr>
                <w:sz w:val="20"/>
                <w:szCs w:val="20"/>
                <w:color w:val="auto"/>
              </w:rPr>
            </w:pPr>
            <w:r>
              <w:rPr>
                <w:rFonts w:ascii="Arial" w:cs="Arial" w:eastAsia="Arial" w:hAnsi="Arial"/>
                <w:sz w:val="18"/>
                <w:szCs w:val="18"/>
                <w:color w:val="auto"/>
              </w:rPr>
              <w:t>Thermal Products</w:t>
            </w:r>
          </w:p>
        </w:tc>
        <w:tc>
          <w:tcPr>
            <w:tcW w:w="1320" w:type="dxa"/>
            <w:vAlign w:val="bottom"/>
            <w:gridSpan w:val="4"/>
          </w:tcPr>
          <w:p>
            <w:pPr>
              <w:jc w:val="right"/>
              <w:spacing w:after="0"/>
              <w:rPr>
                <w:sz w:val="20"/>
                <w:szCs w:val="20"/>
                <w:color w:val="auto"/>
              </w:rPr>
            </w:pPr>
            <w:r>
              <w:rPr>
                <w:rFonts w:ascii="Arial" w:cs="Arial" w:eastAsia="Arial" w:hAnsi="Arial"/>
                <w:sz w:val="18"/>
                <w:szCs w:val="18"/>
                <w:color w:val="auto"/>
              </w:rPr>
              <w:t>$5,243</w:t>
            </w: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$5,898</w:t>
            </w:r>
          </w:p>
        </w:tc>
        <w:tc>
          <w:tcPr>
            <w:tcW w:w="0" w:type="dxa"/>
            <w:vAlign w:val="bottom"/>
          </w:tcPr>
          <w:p>
            <w:pPr>
              <w:spacing w:after="0"/>
              <w:rPr>
                <w:sz w:val="1"/>
                <w:szCs w:val="1"/>
                <w:color w:val="auto"/>
              </w:rPr>
            </w:pPr>
          </w:p>
        </w:tc>
      </w:tr>
      <w:tr>
        <w:trPr>
          <w:trHeight w:val="459"/>
        </w:trPr>
        <w:tc>
          <w:tcPr>
            <w:tcW w:w="3740" w:type="dxa"/>
            <w:vAlign w:val="bottom"/>
          </w:tcPr>
          <w:p>
            <w:pPr>
              <w:spacing w:after="0"/>
              <w:rPr>
                <w:sz w:val="20"/>
                <w:szCs w:val="20"/>
                <w:color w:val="auto"/>
              </w:rPr>
            </w:pPr>
            <w:r>
              <w:rPr>
                <w:rFonts w:ascii="Arial" w:cs="Arial" w:eastAsia="Arial" w:hAnsi="Arial"/>
                <w:sz w:val="18"/>
                <w:szCs w:val="18"/>
                <w:color w:val="auto"/>
              </w:rPr>
              <w:t>Mechanical Products</w:t>
            </w:r>
          </w:p>
        </w:tc>
        <w:tc>
          <w:tcPr>
            <w:tcW w:w="1320" w:type="dxa"/>
            <w:vAlign w:val="bottom"/>
            <w:gridSpan w:val="4"/>
          </w:tcPr>
          <w:p>
            <w:pPr>
              <w:jc w:val="right"/>
              <w:spacing w:after="0"/>
              <w:rPr>
                <w:sz w:val="20"/>
                <w:szCs w:val="20"/>
                <w:color w:val="auto"/>
              </w:rPr>
            </w:pPr>
            <w:r>
              <w:rPr>
                <w:rFonts w:ascii="Arial" w:cs="Arial" w:eastAsia="Arial" w:hAnsi="Arial"/>
                <w:sz w:val="18"/>
                <w:szCs w:val="18"/>
                <w:color w:val="auto"/>
              </w:rPr>
              <w:t>2,047</w:t>
            </w: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1,793</w:t>
            </w:r>
          </w:p>
        </w:tc>
        <w:tc>
          <w:tcPr>
            <w:tcW w:w="0" w:type="dxa"/>
            <w:vAlign w:val="bottom"/>
          </w:tcPr>
          <w:p>
            <w:pPr>
              <w:spacing w:after="0"/>
              <w:rPr>
                <w:sz w:val="1"/>
                <w:szCs w:val="1"/>
                <w:color w:val="auto"/>
              </w:rPr>
            </w:pPr>
          </w:p>
        </w:tc>
      </w:tr>
      <w:tr>
        <w:trPr>
          <w:trHeight w:val="421"/>
        </w:trPr>
        <w:tc>
          <w:tcPr>
            <w:tcW w:w="3740" w:type="dxa"/>
            <w:vAlign w:val="bottom"/>
          </w:tcPr>
          <w:p>
            <w:pPr>
              <w:spacing w:after="0"/>
              <w:rPr>
                <w:sz w:val="20"/>
                <w:szCs w:val="20"/>
                <w:color w:val="auto"/>
              </w:rPr>
            </w:pPr>
            <w:r>
              <w:rPr>
                <w:rFonts w:ascii="Arial" w:cs="Arial" w:eastAsia="Arial" w:hAnsi="Arial"/>
                <w:sz w:val="18"/>
                <w:szCs w:val="18"/>
                <w:color w:val="auto"/>
              </w:rPr>
              <w:t>Electrical Products</w:t>
            </w:r>
          </w:p>
        </w:tc>
        <w:tc>
          <w:tcPr>
            <w:tcW w:w="840" w:type="dxa"/>
            <w:vAlign w:val="bottom"/>
          </w:tcPr>
          <w:p>
            <w:pPr>
              <w:spacing w:after="0"/>
              <w:rPr>
                <w:sz w:val="24"/>
                <w:szCs w:val="24"/>
                <w:color w:val="auto"/>
              </w:rPr>
            </w:pPr>
          </w:p>
        </w:tc>
        <w:tc>
          <w:tcPr>
            <w:tcW w:w="4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1,507</w:t>
            </w:r>
          </w:p>
        </w:tc>
        <w:tc>
          <w:tcPr>
            <w:tcW w:w="440" w:type="dxa"/>
            <w:vAlign w:val="bottom"/>
          </w:tcPr>
          <w:p>
            <w:pPr>
              <w:spacing w:after="0"/>
              <w:rPr>
                <w:sz w:val="24"/>
                <w:szCs w:val="24"/>
                <w:color w:val="auto"/>
              </w:rPr>
            </w:pPr>
          </w:p>
        </w:tc>
        <w:tc>
          <w:tcPr>
            <w:tcW w:w="4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1,282</w:t>
            </w:r>
          </w:p>
        </w:tc>
        <w:tc>
          <w:tcPr>
            <w:tcW w:w="0" w:type="dxa"/>
            <w:vAlign w:val="bottom"/>
          </w:tcPr>
          <w:p>
            <w:pPr>
              <w:spacing w:after="0"/>
              <w:rPr>
                <w:sz w:val="1"/>
                <w:szCs w:val="1"/>
                <w:color w:val="auto"/>
              </w:rPr>
            </w:pPr>
          </w:p>
        </w:tc>
      </w:tr>
      <w:tr>
        <w:trPr>
          <w:trHeight w:val="439"/>
        </w:trPr>
        <w:tc>
          <w:tcPr>
            <w:tcW w:w="3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8,797</w:t>
            </w:r>
          </w:p>
        </w:tc>
        <w:tc>
          <w:tcPr>
            <w:tcW w:w="92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8,973</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8"/>
        </w:trPr>
        <w:tc>
          <w:tcPr>
            <w:tcW w:w="3740" w:type="dxa"/>
            <w:vAlign w:val="bottom"/>
          </w:tcPr>
          <w:p>
            <w:pPr>
              <w:spacing w:after="0"/>
              <w:rPr>
                <w:sz w:val="24"/>
                <w:szCs w:val="24"/>
                <w:color w:val="auto"/>
              </w:rPr>
            </w:pPr>
          </w:p>
        </w:tc>
        <w:tc>
          <w:tcPr>
            <w:tcW w:w="1240" w:type="dxa"/>
            <w:vAlign w:val="bottom"/>
            <w:gridSpan w:val="3"/>
          </w:tcPr>
          <w:p>
            <w:pPr>
              <w:jc w:val="right"/>
              <w:ind w:right="112"/>
              <w:spacing w:after="0"/>
              <w:rPr>
                <w:sz w:val="20"/>
                <w:szCs w:val="20"/>
                <w:color w:val="auto"/>
              </w:rPr>
            </w:pPr>
            <w:r>
              <w:rPr>
                <w:rFonts w:ascii="Arial" w:cs="Arial" w:eastAsia="Arial" w:hAnsi="Arial"/>
                <w:sz w:val="18"/>
                <w:szCs w:val="18"/>
                <w:color w:val="auto"/>
              </w:rPr>
              <w:t>- 12 -</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(In thousands, except share and per share data)</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(9)  SEGMENT INFORMATION </w:t>
      </w:r>
      <w:r>
        <w:rPr>
          <w:rFonts w:ascii="Arial" w:cs="Arial" w:eastAsia="Arial" w:hAnsi="Arial"/>
          <w:sz w:val="18"/>
          <w:szCs w:val="18"/>
          <w:color w:val="auto"/>
        </w:rPr>
        <w:t>(Continued)</w:t>
      </w:r>
    </w:p>
    <w:p>
      <w:pPr>
        <w:spacing w:after="0" w:line="201" w:lineRule="exact"/>
        <w:rPr>
          <w:sz w:val="20"/>
          <w:szCs w:val="20"/>
          <w:color w:val="auto"/>
        </w:rPr>
      </w:pPr>
    </w:p>
    <w:p>
      <w:pPr>
        <w:jc w:val="center"/>
        <w:ind w:left="1200"/>
        <w:spacing w:after="0"/>
        <w:rPr>
          <w:sz w:val="20"/>
          <w:szCs w:val="20"/>
          <w:color w:val="auto"/>
        </w:rPr>
      </w:pPr>
      <w:r>
        <w:rPr>
          <w:rFonts w:ascii="Arial" w:cs="Arial" w:eastAsia="Arial" w:hAnsi="Arial"/>
          <w:sz w:val="14"/>
          <w:szCs w:val="14"/>
          <w:b w:val="1"/>
          <w:bCs w:val="1"/>
          <w:i w:val="1"/>
          <w:iCs w:val="1"/>
          <w:color w:val="auto"/>
        </w:rPr>
        <w:t>Three Months Ended</w:t>
      </w:r>
    </w:p>
    <w:p>
      <w:pPr>
        <w:jc w:val="center"/>
        <w:ind w:left="1200"/>
        <w:spacing w:after="0"/>
        <w:rPr>
          <w:sz w:val="20"/>
          <w:szCs w:val="20"/>
          <w:color w:val="auto"/>
        </w:rPr>
      </w:pPr>
      <w:r>
        <w:rPr>
          <w:rFonts w:ascii="Arial" w:cs="Arial" w:eastAsia="Arial" w:hAnsi="Arial"/>
          <w:sz w:val="14"/>
          <w:szCs w:val="14"/>
          <w:b w:val="1"/>
          <w:bCs w:val="1"/>
          <w:i w:val="1"/>
          <w:i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3672205</wp:posOffset>
            </wp:positionH>
            <wp:positionV relativeFrom="paragraph">
              <wp:posOffset>-16510</wp:posOffset>
            </wp:positionV>
            <wp:extent cx="6667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750" cy="8890"/>
                    </a:xfrm>
                    <a:prstGeom prst="rect">
                      <a:avLst/>
                    </a:prstGeom>
                    <a:noFill/>
                  </pic:spPr>
                </pic:pic>
              </a:graphicData>
            </a:graphic>
          </wp:anchor>
        </w:drawing>
      </w:r>
    </w:p>
    <w:tbl>
      <w:tblPr>
        <w:tblLayout w:type="fixed"/>
        <w:tblInd w:w="1100" w:type="dxa"/>
        <w:tblCellMar>
          <w:top w:w="0" w:type="dxa"/>
          <w:left w:w="0" w:type="dxa"/>
          <w:bottom w:w="0" w:type="dxa"/>
          <w:right w:w="0" w:type="dxa"/>
        </w:tblCellMar>
      </w:tblPr>
      <w:tr>
        <w:trPr>
          <w:trHeight w:val="148"/>
        </w:trPr>
        <w:tc>
          <w:tcPr>
            <w:tcW w:w="448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w w:val="99"/>
              </w:rPr>
              <w:t>Earnings (loss) before income tax expense (benefit):</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260" w:type="dxa"/>
            <w:vAlign w:val="bottom"/>
            <w:tcBorders>
              <w:bottom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i w:val="1"/>
                <w:iCs w:val="1"/>
                <w:color w:val="auto"/>
                <w:w w:val="76"/>
              </w:rPr>
              <w:t>2014</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vMerge w:val="restart"/>
          </w:tcPr>
          <w:p>
            <w:pPr>
              <w:spacing w:after="0"/>
              <w:rPr>
                <w:sz w:val="12"/>
                <w:szCs w:val="12"/>
                <w:color w:val="auto"/>
              </w:rPr>
            </w:pPr>
          </w:p>
        </w:tc>
        <w:tc>
          <w:tcPr>
            <w:tcW w:w="280" w:type="dxa"/>
            <w:vAlign w:val="bottom"/>
            <w:tcBorders>
              <w:bottom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i w:val="1"/>
                <w:iCs w:val="1"/>
                <w:color w:val="auto"/>
                <w:w w:val="83"/>
              </w:rPr>
              <w:t>2013</w:t>
            </w:r>
          </w:p>
        </w:tc>
        <w:tc>
          <w:tcPr>
            <w:tcW w:w="80" w:type="dxa"/>
            <w:vAlign w:val="bottom"/>
            <w:vMerge w:val="restart"/>
          </w:tcPr>
          <w:p>
            <w:pPr>
              <w:spacing w:after="0"/>
              <w:rPr>
                <w:sz w:val="12"/>
                <w:szCs w:val="12"/>
                <w:color w:val="auto"/>
              </w:rPr>
            </w:pPr>
          </w:p>
        </w:tc>
        <w:tc>
          <w:tcPr>
            <w:tcW w:w="6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59"/>
        </w:trPr>
        <w:tc>
          <w:tcPr>
            <w:tcW w:w="44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59"/>
        </w:trPr>
        <w:tc>
          <w:tcPr>
            <w:tcW w:w="4480" w:type="dxa"/>
            <w:vAlign w:val="bottom"/>
          </w:tcPr>
          <w:p>
            <w:pPr>
              <w:spacing w:after="0"/>
              <w:rPr>
                <w:sz w:val="20"/>
                <w:szCs w:val="20"/>
                <w:color w:val="auto"/>
              </w:rPr>
            </w:pPr>
            <w:r>
              <w:rPr>
                <w:rFonts w:ascii="Arial" w:cs="Arial" w:eastAsia="Arial" w:hAnsi="Arial"/>
                <w:sz w:val="18"/>
                <w:szCs w:val="18"/>
                <w:color w:val="auto"/>
              </w:rPr>
              <w:t>Thermal Products</w:t>
            </w:r>
          </w:p>
        </w:tc>
        <w:tc>
          <w:tcPr>
            <w:tcW w:w="2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gridSpan w:val="4"/>
          </w:tcPr>
          <w:p>
            <w:pPr>
              <w:jc w:val="right"/>
              <w:spacing w:after="0"/>
              <w:rPr>
                <w:sz w:val="20"/>
                <w:szCs w:val="20"/>
                <w:color w:val="auto"/>
              </w:rPr>
            </w:pPr>
            <w:r>
              <w:rPr>
                <w:rFonts w:ascii="Arial" w:cs="Arial" w:eastAsia="Arial" w:hAnsi="Arial"/>
                <w:sz w:val="18"/>
                <w:szCs w:val="18"/>
                <w:color w:val="auto"/>
              </w:rPr>
              <w:t>811</w:t>
            </w:r>
          </w:p>
        </w:tc>
        <w:tc>
          <w:tcPr>
            <w:tcW w:w="260" w:type="dxa"/>
            <w:vAlign w:val="bottom"/>
          </w:tcPr>
          <w:p>
            <w:pPr>
              <w:spacing w:after="0"/>
              <w:rPr>
                <w:sz w:val="24"/>
                <w:szCs w:val="24"/>
                <w:color w:val="auto"/>
              </w:rPr>
            </w:pPr>
          </w:p>
        </w:tc>
        <w:tc>
          <w:tcPr>
            <w:tcW w:w="720" w:type="dxa"/>
            <w:vAlign w:val="bottom"/>
            <w:gridSpan w:val="5"/>
          </w:tcPr>
          <w:p>
            <w:pPr>
              <w:jc w:val="right"/>
              <w:ind w:right="60"/>
              <w:spacing w:after="0"/>
              <w:rPr>
                <w:sz w:val="20"/>
                <w:szCs w:val="20"/>
                <w:color w:val="auto"/>
              </w:rPr>
            </w:pPr>
            <w:r>
              <w:rPr>
                <w:rFonts w:ascii="Arial" w:cs="Arial" w:eastAsia="Arial" w:hAnsi="Arial"/>
                <w:sz w:val="18"/>
                <w:szCs w:val="18"/>
                <w:color w:val="auto"/>
              </w:rPr>
              <w:t>$1,158</w:t>
            </w:r>
          </w:p>
        </w:tc>
        <w:tc>
          <w:tcPr>
            <w:tcW w:w="0" w:type="dxa"/>
            <w:vAlign w:val="bottom"/>
          </w:tcPr>
          <w:p>
            <w:pPr>
              <w:spacing w:after="0"/>
              <w:rPr>
                <w:sz w:val="1"/>
                <w:szCs w:val="1"/>
                <w:color w:val="auto"/>
              </w:rPr>
            </w:pPr>
          </w:p>
        </w:tc>
      </w:tr>
      <w:tr>
        <w:trPr>
          <w:trHeight w:val="459"/>
        </w:trPr>
        <w:tc>
          <w:tcPr>
            <w:tcW w:w="4480" w:type="dxa"/>
            <w:vAlign w:val="bottom"/>
          </w:tcPr>
          <w:p>
            <w:pPr>
              <w:spacing w:after="0"/>
              <w:rPr>
                <w:sz w:val="20"/>
                <w:szCs w:val="20"/>
                <w:color w:val="auto"/>
              </w:rPr>
            </w:pPr>
            <w:r>
              <w:rPr>
                <w:rFonts w:ascii="Arial" w:cs="Arial" w:eastAsia="Arial" w:hAnsi="Arial"/>
                <w:sz w:val="18"/>
                <w:szCs w:val="18"/>
                <w:color w:val="auto"/>
              </w:rPr>
              <w:t>Mechanical Products</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gridSpan w:val="5"/>
          </w:tcPr>
          <w:p>
            <w:pPr>
              <w:jc w:val="right"/>
              <w:ind w:right="220"/>
              <w:spacing w:after="0"/>
              <w:rPr>
                <w:sz w:val="20"/>
                <w:szCs w:val="20"/>
                <w:color w:val="auto"/>
              </w:rPr>
            </w:pPr>
            <w:r>
              <w:rPr>
                <w:rFonts w:ascii="Arial" w:cs="Arial" w:eastAsia="Arial" w:hAnsi="Arial"/>
                <w:sz w:val="18"/>
                <w:szCs w:val="18"/>
                <w:color w:val="auto"/>
                <w:w w:val="95"/>
              </w:rPr>
              <w:t>(283)</w:t>
            </w:r>
          </w:p>
        </w:tc>
        <w:tc>
          <w:tcPr>
            <w:tcW w:w="720" w:type="dxa"/>
            <w:vAlign w:val="bottom"/>
            <w:gridSpan w:val="5"/>
          </w:tcPr>
          <w:p>
            <w:pPr>
              <w:jc w:val="right"/>
              <w:spacing w:after="0"/>
              <w:rPr>
                <w:sz w:val="20"/>
                <w:szCs w:val="20"/>
                <w:color w:val="auto"/>
              </w:rPr>
            </w:pPr>
            <w:r>
              <w:rPr>
                <w:rFonts w:ascii="Arial" w:cs="Arial" w:eastAsia="Arial" w:hAnsi="Arial"/>
                <w:sz w:val="18"/>
                <w:szCs w:val="18"/>
                <w:color w:val="auto"/>
              </w:rPr>
              <w:t>(686)</w:t>
            </w:r>
          </w:p>
        </w:tc>
        <w:tc>
          <w:tcPr>
            <w:tcW w:w="0" w:type="dxa"/>
            <w:vAlign w:val="bottom"/>
          </w:tcPr>
          <w:p>
            <w:pPr>
              <w:spacing w:after="0"/>
              <w:rPr>
                <w:sz w:val="1"/>
                <w:szCs w:val="1"/>
                <w:color w:val="auto"/>
              </w:rPr>
            </w:pPr>
          </w:p>
        </w:tc>
      </w:tr>
      <w:tr>
        <w:trPr>
          <w:trHeight w:val="459"/>
        </w:trPr>
        <w:tc>
          <w:tcPr>
            <w:tcW w:w="4480" w:type="dxa"/>
            <w:vAlign w:val="bottom"/>
          </w:tcPr>
          <w:p>
            <w:pPr>
              <w:spacing w:after="0"/>
              <w:rPr>
                <w:sz w:val="20"/>
                <w:szCs w:val="20"/>
                <w:color w:val="auto"/>
              </w:rPr>
            </w:pPr>
            <w:r>
              <w:rPr>
                <w:rFonts w:ascii="Arial" w:cs="Arial" w:eastAsia="Arial" w:hAnsi="Arial"/>
                <w:sz w:val="18"/>
                <w:szCs w:val="18"/>
                <w:color w:val="auto"/>
              </w:rPr>
              <w:t>Electrical Products</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gridSpan w:val="4"/>
          </w:tcPr>
          <w:p>
            <w:pPr>
              <w:jc w:val="right"/>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24"/>
                <w:szCs w:val="24"/>
                <w:color w:val="auto"/>
              </w:rPr>
            </w:pPr>
          </w:p>
        </w:tc>
        <w:tc>
          <w:tcPr>
            <w:tcW w:w="720" w:type="dxa"/>
            <w:vAlign w:val="bottom"/>
            <w:gridSpan w:val="5"/>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421"/>
        </w:trPr>
        <w:tc>
          <w:tcPr>
            <w:tcW w:w="4480" w:type="dxa"/>
            <w:vAlign w:val="bottom"/>
          </w:tcPr>
          <w:p>
            <w:pPr>
              <w:spacing w:after="0"/>
              <w:rPr>
                <w:sz w:val="20"/>
                <w:szCs w:val="20"/>
                <w:color w:val="auto"/>
              </w:rPr>
            </w:pPr>
            <w:r>
              <w:rPr>
                <w:rFonts w:ascii="Arial" w:cs="Arial" w:eastAsia="Arial" w:hAnsi="Arial"/>
                <w:sz w:val="18"/>
                <w:szCs w:val="18"/>
                <w:color w:val="auto"/>
              </w:rPr>
              <w:t>Corporate</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gridSpan w:val="5"/>
          </w:tcPr>
          <w:p>
            <w:pPr>
              <w:jc w:val="right"/>
              <w:ind w:right="220"/>
              <w:spacing w:after="0"/>
              <w:rPr>
                <w:sz w:val="20"/>
                <w:szCs w:val="20"/>
                <w:color w:val="auto"/>
              </w:rPr>
            </w:pPr>
            <w:r>
              <w:rPr>
                <w:rFonts w:ascii="Arial" w:cs="Arial" w:eastAsia="Arial" w:hAnsi="Arial"/>
                <w:sz w:val="18"/>
                <w:szCs w:val="18"/>
                <w:color w:val="auto"/>
                <w:w w:val="95"/>
              </w:rPr>
              <w:t>(122)</w:t>
            </w:r>
          </w:p>
        </w:tc>
        <w:tc>
          <w:tcPr>
            <w:tcW w:w="720" w:type="dxa"/>
            <w:vAlign w:val="bottom"/>
            <w:gridSpan w:val="5"/>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gridSpan w:val="2"/>
          </w:tcPr>
          <w:p>
            <w:pPr>
              <w:jc w:val="right"/>
              <w:ind w:right="20"/>
              <w:spacing w:after="0"/>
              <w:rPr>
                <w:sz w:val="20"/>
                <w:szCs w:val="20"/>
                <w:color w:val="auto"/>
              </w:rPr>
            </w:pPr>
            <w:r>
              <w:rPr>
                <w:rFonts w:ascii="Arial" w:cs="Arial" w:eastAsia="Arial" w:hAnsi="Arial"/>
                <w:sz w:val="5"/>
                <w:szCs w:val="5"/>
                <w:color w:val="auto"/>
                <w:w w:val="70"/>
              </w:rPr>
              <w:t>$</w:t>
            </w:r>
          </w:p>
        </w:tc>
        <w:tc>
          <w:tcPr>
            <w:tcW w:w="380" w:type="dxa"/>
            <w:vAlign w:val="bottom"/>
            <w:gridSpan w:val="4"/>
          </w:tcPr>
          <w:p>
            <w:pPr>
              <w:jc w:val="right"/>
              <w:spacing w:after="0"/>
              <w:rPr>
                <w:sz w:val="20"/>
                <w:szCs w:val="20"/>
                <w:color w:val="auto"/>
              </w:rPr>
            </w:pPr>
            <w:r>
              <w:rPr>
                <w:rFonts w:ascii="Arial" w:cs="Arial" w:eastAsia="Arial" w:hAnsi="Arial"/>
                <w:sz w:val="18"/>
                <w:szCs w:val="18"/>
                <w:color w:val="auto"/>
              </w:rPr>
              <w:t>411</w:t>
            </w:r>
          </w:p>
        </w:tc>
        <w:tc>
          <w:tcPr>
            <w:tcW w:w="260" w:type="dxa"/>
            <w:vAlign w:val="bottom"/>
          </w:tcPr>
          <w:p>
            <w:pPr>
              <w:spacing w:after="0"/>
              <w:rPr>
                <w:sz w:val="24"/>
                <w:szCs w:val="24"/>
                <w:color w:val="auto"/>
              </w:rPr>
            </w:pPr>
          </w:p>
        </w:tc>
        <w:tc>
          <w:tcPr>
            <w:tcW w:w="720" w:type="dxa"/>
            <w:vAlign w:val="bottom"/>
            <w:gridSpan w:val="5"/>
          </w:tcPr>
          <w:p>
            <w:pPr>
              <w:jc w:val="right"/>
              <w:ind w:right="60"/>
              <w:spacing w:after="0"/>
              <w:rPr>
                <w:sz w:val="20"/>
                <w:szCs w:val="20"/>
                <w:color w:val="auto"/>
              </w:rPr>
            </w:pPr>
            <w:r>
              <w:rPr>
                <w:rFonts w:ascii="Arial" w:cs="Arial" w:eastAsia="Arial" w:hAnsi="Arial"/>
                <w:sz w:val="18"/>
                <w:szCs w:val="18"/>
                <w:color w:val="auto"/>
              </w:rPr>
              <w:t>$  370</w:t>
            </w:r>
          </w:p>
        </w:tc>
        <w:tc>
          <w:tcPr>
            <w:tcW w:w="0" w:type="dxa"/>
            <w:vAlign w:val="bottom"/>
          </w:tcPr>
          <w:p>
            <w:pPr>
              <w:spacing w:after="0"/>
              <w:rPr>
                <w:sz w:val="1"/>
                <w:szCs w:val="1"/>
                <w:color w:val="auto"/>
              </w:rPr>
            </w:pPr>
          </w:p>
        </w:tc>
      </w:tr>
      <w:tr>
        <w:trPr>
          <w:trHeight w:val="653"/>
        </w:trPr>
        <w:tc>
          <w:tcPr>
            <w:tcW w:w="4480" w:type="dxa"/>
            <w:vAlign w:val="bottom"/>
          </w:tcPr>
          <w:p>
            <w:pPr>
              <w:spacing w:after="0"/>
              <w:rPr>
                <w:sz w:val="20"/>
                <w:szCs w:val="20"/>
                <w:color w:val="auto"/>
              </w:rPr>
            </w:pPr>
            <w:r>
              <w:rPr>
                <w:rFonts w:ascii="Arial" w:cs="Arial" w:eastAsia="Arial" w:hAnsi="Arial"/>
                <w:sz w:val="18"/>
                <w:szCs w:val="18"/>
                <w:b w:val="1"/>
                <w:bCs w:val="1"/>
                <w:i w:val="1"/>
                <w:iCs w:val="1"/>
                <w:color w:val="auto"/>
              </w:rPr>
              <w:t>Net earnings (loss):</w:t>
            </w:r>
          </w:p>
        </w:tc>
        <w:tc>
          <w:tcPr>
            <w:tcW w:w="2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480" w:type="dxa"/>
            <w:vAlign w:val="bottom"/>
          </w:tcPr>
          <w:p>
            <w:pPr>
              <w:spacing w:after="0"/>
              <w:rPr>
                <w:sz w:val="20"/>
                <w:szCs w:val="20"/>
                <w:color w:val="auto"/>
              </w:rPr>
            </w:pPr>
            <w:r>
              <w:rPr>
                <w:rFonts w:ascii="Arial" w:cs="Arial" w:eastAsia="Arial" w:hAnsi="Arial"/>
                <w:sz w:val="18"/>
                <w:szCs w:val="18"/>
                <w:color w:val="auto"/>
              </w:rPr>
              <w:t>Thermal Products</w:t>
            </w:r>
          </w:p>
        </w:tc>
        <w:tc>
          <w:tcPr>
            <w:tcW w:w="640" w:type="dxa"/>
            <w:vAlign w:val="bottom"/>
            <w:gridSpan w:val="7"/>
          </w:tcPr>
          <w:p>
            <w:pPr>
              <w:jc w:val="right"/>
              <w:spacing w:after="0"/>
              <w:rPr>
                <w:sz w:val="20"/>
                <w:szCs w:val="20"/>
                <w:color w:val="auto"/>
              </w:rPr>
            </w:pPr>
            <w:r>
              <w:rPr>
                <w:rFonts w:ascii="Arial" w:cs="Arial" w:eastAsia="Arial" w:hAnsi="Arial"/>
                <w:sz w:val="18"/>
                <w:szCs w:val="18"/>
                <w:color w:val="auto"/>
              </w:rPr>
              <w:t>$ 564</w:t>
            </w:r>
          </w:p>
        </w:tc>
        <w:tc>
          <w:tcPr>
            <w:tcW w:w="260" w:type="dxa"/>
            <w:vAlign w:val="bottom"/>
          </w:tcPr>
          <w:p>
            <w:pPr>
              <w:spacing w:after="0"/>
              <w:rPr>
                <w:sz w:val="24"/>
                <w:szCs w:val="24"/>
                <w:color w:val="auto"/>
              </w:rPr>
            </w:pPr>
          </w:p>
        </w:tc>
        <w:tc>
          <w:tcPr>
            <w:tcW w:w="720" w:type="dxa"/>
            <w:vAlign w:val="bottom"/>
            <w:gridSpan w:val="5"/>
          </w:tcPr>
          <w:p>
            <w:pPr>
              <w:jc w:val="right"/>
              <w:ind w:right="60"/>
              <w:spacing w:after="0"/>
              <w:rPr>
                <w:sz w:val="20"/>
                <w:szCs w:val="20"/>
                <w:color w:val="auto"/>
              </w:rPr>
            </w:pPr>
            <w:r>
              <w:rPr>
                <w:rFonts w:ascii="Arial" w:cs="Arial" w:eastAsia="Arial" w:hAnsi="Arial"/>
                <w:sz w:val="18"/>
                <w:szCs w:val="18"/>
                <w:color w:val="auto"/>
              </w:rPr>
              <w:t>$ 914</w:t>
            </w:r>
          </w:p>
        </w:tc>
        <w:tc>
          <w:tcPr>
            <w:tcW w:w="0" w:type="dxa"/>
            <w:vAlign w:val="bottom"/>
          </w:tcPr>
          <w:p>
            <w:pPr>
              <w:spacing w:after="0"/>
              <w:rPr>
                <w:sz w:val="1"/>
                <w:szCs w:val="1"/>
                <w:color w:val="auto"/>
              </w:rPr>
            </w:pPr>
          </w:p>
        </w:tc>
      </w:tr>
      <w:tr>
        <w:trPr>
          <w:trHeight w:val="459"/>
        </w:trPr>
        <w:tc>
          <w:tcPr>
            <w:tcW w:w="4480" w:type="dxa"/>
            <w:vAlign w:val="bottom"/>
          </w:tcPr>
          <w:p>
            <w:pPr>
              <w:spacing w:after="0"/>
              <w:rPr>
                <w:sz w:val="20"/>
                <w:szCs w:val="20"/>
                <w:color w:val="auto"/>
              </w:rPr>
            </w:pPr>
            <w:r>
              <w:rPr>
                <w:rFonts w:ascii="Arial" w:cs="Arial" w:eastAsia="Arial" w:hAnsi="Arial"/>
                <w:sz w:val="18"/>
                <w:szCs w:val="18"/>
                <w:color w:val="auto"/>
              </w:rPr>
              <w:t>Mechanical Products</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gridSpan w:val="5"/>
          </w:tcPr>
          <w:p>
            <w:pPr>
              <w:jc w:val="right"/>
              <w:ind w:right="220"/>
              <w:spacing w:after="0"/>
              <w:rPr>
                <w:sz w:val="20"/>
                <w:szCs w:val="20"/>
                <w:color w:val="auto"/>
              </w:rPr>
            </w:pPr>
            <w:r>
              <w:rPr>
                <w:rFonts w:ascii="Arial" w:cs="Arial" w:eastAsia="Arial" w:hAnsi="Arial"/>
                <w:sz w:val="18"/>
                <w:szCs w:val="18"/>
                <w:color w:val="auto"/>
                <w:w w:val="95"/>
              </w:rPr>
              <w:t>(197)</w:t>
            </w:r>
          </w:p>
        </w:tc>
        <w:tc>
          <w:tcPr>
            <w:tcW w:w="720" w:type="dxa"/>
            <w:vAlign w:val="bottom"/>
            <w:gridSpan w:val="5"/>
          </w:tcPr>
          <w:p>
            <w:pPr>
              <w:jc w:val="right"/>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459"/>
        </w:trPr>
        <w:tc>
          <w:tcPr>
            <w:tcW w:w="4480" w:type="dxa"/>
            <w:vAlign w:val="bottom"/>
          </w:tcPr>
          <w:p>
            <w:pPr>
              <w:spacing w:after="0"/>
              <w:rPr>
                <w:sz w:val="20"/>
                <w:szCs w:val="20"/>
                <w:color w:val="auto"/>
              </w:rPr>
            </w:pPr>
            <w:r>
              <w:rPr>
                <w:rFonts w:ascii="Arial" w:cs="Arial" w:eastAsia="Arial" w:hAnsi="Arial"/>
                <w:sz w:val="18"/>
                <w:szCs w:val="18"/>
                <w:color w:val="auto"/>
              </w:rPr>
              <w:t>Electrical Products</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gridSpan w:val="4"/>
          </w:tcPr>
          <w:p>
            <w:pPr>
              <w:jc w:val="right"/>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24"/>
                <w:szCs w:val="24"/>
                <w:color w:val="auto"/>
              </w:rPr>
            </w:pPr>
          </w:p>
        </w:tc>
        <w:tc>
          <w:tcPr>
            <w:tcW w:w="720" w:type="dxa"/>
            <w:vAlign w:val="bottom"/>
            <w:gridSpan w:val="5"/>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21"/>
        </w:trPr>
        <w:tc>
          <w:tcPr>
            <w:tcW w:w="4480" w:type="dxa"/>
            <w:vAlign w:val="bottom"/>
          </w:tcPr>
          <w:p>
            <w:pPr>
              <w:spacing w:after="0"/>
              <w:rPr>
                <w:sz w:val="20"/>
                <w:szCs w:val="20"/>
                <w:color w:val="auto"/>
              </w:rPr>
            </w:pPr>
            <w:r>
              <w:rPr>
                <w:rFonts w:ascii="Arial" w:cs="Arial" w:eastAsia="Arial" w:hAnsi="Arial"/>
                <w:sz w:val="18"/>
                <w:szCs w:val="18"/>
                <w:color w:val="auto"/>
              </w:rPr>
              <w:t>Corporate</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gridSpan w:val="5"/>
          </w:tcPr>
          <w:p>
            <w:pPr>
              <w:jc w:val="right"/>
              <w:ind w:right="220"/>
              <w:spacing w:after="0"/>
              <w:rPr>
                <w:sz w:val="20"/>
                <w:szCs w:val="20"/>
                <w:color w:val="auto"/>
              </w:rPr>
            </w:pPr>
            <w:r>
              <w:rPr>
                <w:rFonts w:ascii="Arial" w:cs="Arial" w:eastAsia="Arial" w:hAnsi="Arial"/>
                <w:sz w:val="18"/>
                <w:szCs w:val="18"/>
                <w:color w:val="auto"/>
              </w:rPr>
              <w:t>(85)</w:t>
            </w:r>
          </w:p>
        </w:tc>
        <w:tc>
          <w:tcPr>
            <w:tcW w:w="720" w:type="dxa"/>
            <w:vAlign w:val="bottom"/>
            <w:gridSpan w:val="5"/>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480" w:type="dxa"/>
            <w:vAlign w:val="bottom"/>
          </w:tcPr>
          <w:p>
            <w:pPr>
              <w:spacing w:after="0"/>
              <w:rPr>
                <w:sz w:val="24"/>
                <w:szCs w:val="24"/>
                <w:color w:val="auto"/>
              </w:rPr>
            </w:pPr>
          </w:p>
        </w:tc>
        <w:tc>
          <w:tcPr>
            <w:tcW w:w="640" w:type="dxa"/>
            <w:vAlign w:val="bottom"/>
            <w:gridSpan w:val="7"/>
          </w:tcPr>
          <w:p>
            <w:pPr>
              <w:jc w:val="right"/>
              <w:spacing w:after="0"/>
              <w:rPr>
                <w:sz w:val="20"/>
                <w:szCs w:val="20"/>
                <w:color w:val="auto"/>
              </w:rPr>
            </w:pPr>
            <w:r>
              <w:rPr>
                <w:rFonts w:ascii="Arial" w:cs="Arial" w:eastAsia="Arial" w:hAnsi="Arial"/>
                <w:sz w:val="18"/>
                <w:szCs w:val="18"/>
                <w:color w:val="auto"/>
              </w:rPr>
              <w:t>$ 286</w:t>
            </w:r>
          </w:p>
        </w:tc>
        <w:tc>
          <w:tcPr>
            <w:tcW w:w="260" w:type="dxa"/>
            <w:vAlign w:val="bottom"/>
          </w:tcPr>
          <w:p>
            <w:pPr>
              <w:spacing w:after="0"/>
              <w:rPr>
                <w:sz w:val="24"/>
                <w:szCs w:val="24"/>
                <w:color w:val="auto"/>
              </w:rPr>
            </w:pPr>
          </w:p>
        </w:tc>
        <w:tc>
          <w:tcPr>
            <w:tcW w:w="720" w:type="dxa"/>
            <w:vAlign w:val="bottom"/>
            <w:gridSpan w:val="5"/>
          </w:tcPr>
          <w:p>
            <w:pPr>
              <w:jc w:val="right"/>
              <w:ind w:right="60"/>
              <w:spacing w:after="0"/>
              <w:rPr>
                <w:sz w:val="20"/>
                <w:szCs w:val="20"/>
                <w:color w:val="auto"/>
              </w:rPr>
            </w:pPr>
            <w:r>
              <w:rPr>
                <w:rFonts w:ascii="Arial" w:cs="Arial" w:eastAsia="Arial" w:hAnsi="Arial"/>
                <w:sz w:val="18"/>
                <w:szCs w:val="18"/>
                <w:color w:val="auto"/>
              </w:rPr>
              <w:t>$ 292</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4"/>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4480" w:type="dxa"/>
            <w:vAlign w:val="bottom"/>
          </w:tcPr>
          <w:p>
            <w:pPr>
              <w:spacing w:after="0"/>
              <w:rPr>
                <w:sz w:val="24"/>
                <w:szCs w:val="24"/>
                <w:color w:val="auto"/>
              </w:rPr>
            </w:pPr>
          </w:p>
        </w:tc>
        <w:tc>
          <w:tcPr>
            <w:tcW w:w="900" w:type="dxa"/>
            <w:vAlign w:val="bottom"/>
            <w:gridSpan w:val="8"/>
          </w:tcPr>
          <w:p>
            <w:pPr>
              <w:jc w:val="center"/>
              <w:ind w:right="380"/>
              <w:spacing w:after="0"/>
              <w:rPr>
                <w:sz w:val="20"/>
                <w:szCs w:val="20"/>
                <w:color w:val="auto"/>
              </w:rPr>
            </w:pPr>
            <w:r>
              <w:rPr>
                <w:rFonts w:ascii="Arial" w:cs="Arial" w:eastAsia="Arial" w:hAnsi="Arial"/>
                <w:sz w:val="14"/>
                <w:szCs w:val="14"/>
                <w:b w:val="1"/>
                <w:bCs w:val="1"/>
                <w:i w:val="1"/>
                <w:iCs w:val="1"/>
                <w:color w:val="auto"/>
                <w:w w:val="91"/>
              </w:rPr>
              <w:t>Mar. 31,</w:t>
            </w:r>
          </w:p>
        </w:tc>
        <w:tc>
          <w:tcPr>
            <w:tcW w:w="720" w:type="dxa"/>
            <w:vAlign w:val="bottom"/>
            <w:gridSpan w:val="5"/>
          </w:tcPr>
          <w:p>
            <w:pPr>
              <w:jc w:val="center"/>
              <w:ind w:right="200"/>
              <w:spacing w:after="0"/>
              <w:rPr>
                <w:sz w:val="20"/>
                <w:szCs w:val="20"/>
                <w:color w:val="auto"/>
              </w:rPr>
            </w:pPr>
            <w:r>
              <w:rPr>
                <w:rFonts w:ascii="Arial" w:cs="Arial" w:eastAsia="Arial" w:hAnsi="Arial"/>
                <w:sz w:val="14"/>
                <w:szCs w:val="14"/>
                <w:b w:val="1"/>
                <w:bCs w:val="1"/>
                <w:i w:val="1"/>
                <w:iCs w:val="1"/>
                <w:color w:val="auto"/>
                <w:w w:val="83"/>
              </w:rPr>
              <w:t>Dec. 31,</w:t>
            </w:r>
          </w:p>
        </w:tc>
        <w:tc>
          <w:tcPr>
            <w:tcW w:w="0" w:type="dxa"/>
            <w:vAlign w:val="bottom"/>
          </w:tcPr>
          <w:p>
            <w:pPr>
              <w:spacing w:after="0"/>
              <w:rPr>
                <w:sz w:val="1"/>
                <w:szCs w:val="1"/>
                <w:color w:val="auto"/>
              </w:rPr>
            </w:pPr>
          </w:p>
        </w:tc>
      </w:tr>
      <w:tr>
        <w:trPr>
          <w:trHeight w:val="163"/>
        </w:trPr>
        <w:tc>
          <w:tcPr>
            <w:tcW w:w="4480" w:type="dxa"/>
            <w:vAlign w:val="bottom"/>
          </w:tcPr>
          <w:p>
            <w:pPr>
              <w:spacing w:after="0"/>
              <w:rPr>
                <w:sz w:val="14"/>
                <w:szCs w:val="14"/>
                <w:color w:val="auto"/>
              </w:rPr>
            </w:pPr>
          </w:p>
        </w:tc>
        <w:tc>
          <w:tcPr>
            <w:tcW w:w="520" w:type="dxa"/>
            <w:vAlign w:val="bottom"/>
            <w:tcBorders>
              <w:bottom w:val="single" w:sz="8" w:color="auto"/>
            </w:tcBorders>
            <w:gridSpan w:val="5"/>
          </w:tcPr>
          <w:p>
            <w:pPr>
              <w:jc w:val="right"/>
              <w:ind w:right="52"/>
              <w:spacing w:after="0"/>
              <w:rPr>
                <w:sz w:val="20"/>
                <w:szCs w:val="20"/>
                <w:color w:val="auto"/>
              </w:rPr>
            </w:pPr>
            <w:r>
              <w:rPr>
                <w:rFonts w:ascii="Arial" w:cs="Arial" w:eastAsia="Arial" w:hAnsi="Arial"/>
                <w:sz w:val="14"/>
                <w:szCs w:val="14"/>
                <w:b w:val="1"/>
                <w:bCs w:val="1"/>
                <w:i w:val="1"/>
                <w:iCs w:val="1"/>
                <w:color w:val="auto"/>
              </w:rPr>
              <w:t>2014</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Borders>
              <w:bottom w:val="single" w:sz="8" w:color="auto"/>
            </w:tcBorders>
            <w:gridSpan w:val="2"/>
          </w:tcPr>
          <w:p>
            <w:pPr>
              <w:jc w:val="right"/>
              <w:ind w:right="42"/>
              <w:spacing w:after="0"/>
              <w:rPr>
                <w:sz w:val="20"/>
                <w:szCs w:val="20"/>
                <w:color w:val="auto"/>
              </w:rPr>
            </w:pPr>
            <w:r>
              <w:rPr>
                <w:rFonts w:ascii="Arial" w:cs="Arial" w:eastAsia="Arial" w:hAnsi="Arial"/>
                <w:sz w:val="14"/>
                <w:szCs w:val="14"/>
                <w:b w:val="1"/>
                <w:bCs w:val="1"/>
                <w:i w:val="1"/>
                <w:iCs w:val="1"/>
                <w:color w:val="auto"/>
              </w:rPr>
              <w:t>2013</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4480" w:type="dxa"/>
            <w:vAlign w:val="bottom"/>
          </w:tcPr>
          <w:p>
            <w:pPr>
              <w:spacing w:after="0"/>
              <w:rPr>
                <w:sz w:val="20"/>
                <w:szCs w:val="20"/>
                <w:color w:val="auto"/>
              </w:rPr>
            </w:pPr>
            <w:r>
              <w:rPr>
                <w:rFonts w:ascii="Arial" w:cs="Arial" w:eastAsia="Arial" w:hAnsi="Arial"/>
                <w:sz w:val="18"/>
                <w:szCs w:val="18"/>
                <w:b w:val="1"/>
                <w:bCs w:val="1"/>
                <w:i w:val="1"/>
                <w:iCs w:val="1"/>
                <w:color w:val="auto"/>
              </w:rPr>
              <w:t>Identifiable assets:</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9"/>
        </w:trPr>
        <w:tc>
          <w:tcPr>
            <w:tcW w:w="4480" w:type="dxa"/>
            <w:vAlign w:val="bottom"/>
          </w:tcPr>
          <w:p>
            <w:pPr>
              <w:spacing w:after="0"/>
              <w:rPr>
                <w:sz w:val="20"/>
                <w:szCs w:val="20"/>
                <w:color w:val="auto"/>
              </w:rPr>
            </w:pPr>
            <w:r>
              <w:rPr>
                <w:rFonts w:ascii="Arial" w:cs="Arial" w:eastAsia="Arial" w:hAnsi="Arial"/>
                <w:sz w:val="18"/>
                <w:szCs w:val="18"/>
                <w:color w:val="auto"/>
              </w:rPr>
              <w:t>Thermal Products</w:t>
            </w:r>
          </w:p>
        </w:tc>
        <w:tc>
          <w:tcPr>
            <w:tcW w:w="640" w:type="dxa"/>
            <w:vAlign w:val="bottom"/>
            <w:gridSpan w:val="7"/>
          </w:tcPr>
          <w:p>
            <w:pPr>
              <w:jc w:val="right"/>
              <w:spacing w:after="0"/>
              <w:rPr>
                <w:sz w:val="20"/>
                <w:szCs w:val="20"/>
                <w:color w:val="auto"/>
              </w:rPr>
            </w:pPr>
            <w:r>
              <w:rPr>
                <w:rFonts w:ascii="Arial" w:cs="Arial" w:eastAsia="Arial" w:hAnsi="Arial"/>
                <w:sz w:val="18"/>
                <w:szCs w:val="18"/>
                <w:color w:val="auto"/>
                <w:w w:val="95"/>
              </w:rPr>
              <w:t>$24,423</w:t>
            </w:r>
          </w:p>
        </w:tc>
        <w:tc>
          <w:tcPr>
            <w:tcW w:w="260" w:type="dxa"/>
            <w:vAlign w:val="bottom"/>
          </w:tcPr>
          <w:p>
            <w:pPr>
              <w:spacing w:after="0"/>
              <w:rPr>
                <w:sz w:val="24"/>
                <w:szCs w:val="24"/>
                <w:color w:val="auto"/>
              </w:rPr>
            </w:pPr>
          </w:p>
        </w:tc>
        <w:tc>
          <w:tcPr>
            <w:tcW w:w="720" w:type="dxa"/>
            <w:vAlign w:val="bottom"/>
            <w:gridSpan w:val="5"/>
          </w:tcPr>
          <w:p>
            <w:pPr>
              <w:jc w:val="right"/>
              <w:ind w:right="60"/>
              <w:spacing w:after="0"/>
              <w:rPr>
                <w:sz w:val="20"/>
                <w:szCs w:val="20"/>
                <w:color w:val="auto"/>
              </w:rPr>
            </w:pPr>
            <w:r>
              <w:rPr>
                <w:rFonts w:ascii="Arial" w:cs="Arial" w:eastAsia="Arial" w:hAnsi="Arial"/>
                <w:sz w:val="18"/>
                <w:szCs w:val="18"/>
                <w:color w:val="auto"/>
                <w:w w:val="98"/>
              </w:rPr>
              <w:t>$23,934</w:t>
            </w:r>
          </w:p>
        </w:tc>
        <w:tc>
          <w:tcPr>
            <w:tcW w:w="0" w:type="dxa"/>
            <w:vAlign w:val="bottom"/>
          </w:tcPr>
          <w:p>
            <w:pPr>
              <w:spacing w:after="0"/>
              <w:rPr>
                <w:sz w:val="1"/>
                <w:szCs w:val="1"/>
                <w:color w:val="auto"/>
              </w:rPr>
            </w:pPr>
          </w:p>
        </w:tc>
      </w:tr>
      <w:tr>
        <w:trPr>
          <w:trHeight w:val="459"/>
        </w:trPr>
        <w:tc>
          <w:tcPr>
            <w:tcW w:w="4480" w:type="dxa"/>
            <w:vAlign w:val="bottom"/>
          </w:tcPr>
          <w:p>
            <w:pPr>
              <w:spacing w:after="0"/>
              <w:rPr>
                <w:sz w:val="20"/>
                <w:szCs w:val="20"/>
                <w:color w:val="auto"/>
              </w:rPr>
            </w:pPr>
            <w:r>
              <w:rPr>
                <w:rFonts w:ascii="Arial" w:cs="Arial" w:eastAsia="Arial" w:hAnsi="Arial"/>
                <w:sz w:val="18"/>
                <w:szCs w:val="18"/>
                <w:color w:val="auto"/>
              </w:rPr>
              <w:t>Mechanical Products</w:t>
            </w:r>
          </w:p>
        </w:tc>
        <w:tc>
          <w:tcPr>
            <w:tcW w:w="640" w:type="dxa"/>
            <w:vAlign w:val="bottom"/>
            <w:gridSpan w:val="7"/>
          </w:tcPr>
          <w:p>
            <w:pPr>
              <w:jc w:val="right"/>
              <w:spacing w:after="0"/>
              <w:rPr>
                <w:sz w:val="20"/>
                <w:szCs w:val="20"/>
                <w:color w:val="auto"/>
              </w:rPr>
            </w:pPr>
            <w:r>
              <w:rPr>
                <w:rFonts w:ascii="Arial" w:cs="Arial" w:eastAsia="Arial" w:hAnsi="Arial"/>
                <w:sz w:val="18"/>
                <w:szCs w:val="18"/>
                <w:color w:val="auto"/>
              </w:rPr>
              <w:t>6,941</w:t>
            </w:r>
          </w:p>
        </w:tc>
        <w:tc>
          <w:tcPr>
            <w:tcW w:w="260" w:type="dxa"/>
            <w:vAlign w:val="bottom"/>
          </w:tcPr>
          <w:p>
            <w:pPr>
              <w:spacing w:after="0"/>
              <w:rPr>
                <w:sz w:val="24"/>
                <w:szCs w:val="24"/>
                <w:color w:val="auto"/>
              </w:rPr>
            </w:pPr>
          </w:p>
        </w:tc>
        <w:tc>
          <w:tcPr>
            <w:tcW w:w="720" w:type="dxa"/>
            <w:vAlign w:val="bottom"/>
            <w:gridSpan w:val="5"/>
          </w:tcPr>
          <w:p>
            <w:pPr>
              <w:jc w:val="right"/>
              <w:ind w:right="60"/>
              <w:spacing w:after="0"/>
              <w:rPr>
                <w:sz w:val="20"/>
                <w:szCs w:val="20"/>
                <w:color w:val="auto"/>
              </w:rPr>
            </w:pPr>
            <w:r>
              <w:rPr>
                <w:rFonts w:ascii="Arial" w:cs="Arial" w:eastAsia="Arial" w:hAnsi="Arial"/>
                <w:sz w:val="18"/>
                <w:szCs w:val="18"/>
                <w:color w:val="auto"/>
              </w:rPr>
              <w:t>7,093</w:t>
            </w:r>
          </w:p>
        </w:tc>
        <w:tc>
          <w:tcPr>
            <w:tcW w:w="0" w:type="dxa"/>
            <w:vAlign w:val="bottom"/>
          </w:tcPr>
          <w:p>
            <w:pPr>
              <w:spacing w:after="0"/>
              <w:rPr>
                <w:sz w:val="1"/>
                <w:szCs w:val="1"/>
                <w:color w:val="auto"/>
              </w:rPr>
            </w:pPr>
          </w:p>
        </w:tc>
      </w:tr>
      <w:tr>
        <w:trPr>
          <w:trHeight w:val="421"/>
        </w:trPr>
        <w:tc>
          <w:tcPr>
            <w:tcW w:w="4480" w:type="dxa"/>
            <w:vAlign w:val="bottom"/>
          </w:tcPr>
          <w:p>
            <w:pPr>
              <w:spacing w:after="0"/>
              <w:rPr>
                <w:sz w:val="20"/>
                <w:szCs w:val="20"/>
                <w:color w:val="auto"/>
              </w:rPr>
            </w:pPr>
            <w:r>
              <w:rPr>
                <w:rFonts w:ascii="Arial" w:cs="Arial" w:eastAsia="Arial" w:hAnsi="Arial"/>
                <w:sz w:val="18"/>
                <w:szCs w:val="18"/>
                <w:color w:val="auto"/>
              </w:rPr>
              <w:t>Electrical Products</w:t>
            </w:r>
          </w:p>
        </w:tc>
        <w:tc>
          <w:tcPr>
            <w:tcW w:w="200" w:type="dxa"/>
            <w:vAlign w:val="bottom"/>
          </w:tcPr>
          <w:p>
            <w:pPr>
              <w:spacing w:after="0"/>
              <w:rPr>
                <w:sz w:val="24"/>
                <w:szCs w:val="24"/>
                <w:color w:val="auto"/>
              </w:rPr>
            </w:pPr>
          </w:p>
        </w:tc>
        <w:tc>
          <w:tcPr>
            <w:tcW w:w="44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color w:val="auto"/>
                <w:w w:val="93"/>
              </w:rPr>
              <w:t>4,571</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75"/>
              </w:rPr>
              <w:t>4,454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4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gridSpan w:val="6"/>
          </w:tcPr>
          <w:p>
            <w:pPr>
              <w:jc w:val="right"/>
              <w:spacing w:after="0"/>
              <w:rPr>
                <w:sz w:val="20"/>
                <w:szCs w:val="20"/>
                <w:color w:val="auto"/>
              </w:rPr>
            </w:pPr>
            <w:r>
              <w:rPr>
                <w:rFonts w:ascii="Arial" w:cs="Arial" w:eastAsia="Arial" w:hAnsi="Arial"/>
                <w:sz w:val="16"/>
                <w:szCs w:val="16"/>
                <w:u w:val="single" w:color="auto"/>
                <w:color w:val="auto"/>
                <w:w w:val="72"/>
              </w:rPr>
              <w:t>$</w:t>
            </w:r>
            <w:r>
              <w:rPr>
                <w:rFonts w:ascii="Arial" w:cs="Arial" w:eastAsia="Arial" w:hAnsi="Arial"/>
                <w:sz w:val="16"/>
                <w:szCs w:val="16"/>
                <w:color w:val="auto"/>
                <w:w w:val="72"/>
              </w:rPr>
              <w:t>35,935</w:t>
            </w:r>
          </w:p>
        </w:tc>
        <w:tc>
          <w:tcPr>
            <w:tcW w:w="260" w:type="dxa"/>
            <w:vAlign w:val="bottom"/>
          </w:tcPr>
          <w:p>
            <w:pPr>
              <w:spacing w:after="0"/>
              <w:rPr>
                <w:sz w:val="24"/>
                <w:szCs w:val="24"/>
                <w:color w:val="auto"/>
              </w:rPr>
            </w:pPr>
          </w:p>
        </w:tc>
        <w:tc>
          <w:tcPr>
            <w:tcW w:w="720" w:type="dxa"/>
            <w:vAlign w:val="bottom"/>
            <w:gridSpan w:val="5"/>
          </w:tcPr>
          <w:p>
            <w:pPr>
              <w:jc w:val="right"/>
              <w:ind w:right="6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35,481</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7"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color w:val="auto"/>
        </w:rPr>
        <w:t>The following table provides information about our geographic areas of operation. Net revenues from unaffiliated customers are based on the location to which the goods are shipped.</w:t>
      </w:r>
    </w:p>
    <w:p>
      <w:pPr>
        <w:spacing w:after="0" w:line="197" w:lineRule="exact"/>
        <w:rPr>
          <w:sz w:val="20"/>
          <w:szCs w:val="20"/>
          <w:color w:val="auto"/>
        </w:rPr>
      </w:pPr>
    </w:p>
    <w:p>
      <w:pPr>
        <w:ind w:left="5720"/>
        <w:spacing w:after="0"/>
        <w:rPr>
          <w:sz w:val="20"/>
          <w:szCs w:val="20"/>
          <w:color w:val="auto"/>
        </w:rPr>
      </w:pPr>
      <w:r>
        <w:rPr>
          <w:rFonts w:ascii="Arial" w:cs="Arial" w:eastAsia="Arial" w:hAnsi="Arial"/>
          <w:sz w:val="14"/>
          <w:szCs w:val="14"/>
          <w:b w:val="1"/>
          <w:bCs w:val="1"/>
          <w:i w:val="1"/>
          <w:iCs w:val="1"/>
          <w:color w:val="auto"/>
        </w:rPr>
        <w:t>Three Months Ended</w:t>
      </w:r>
    </w:p>
    <w:p>
      <w:pPr>
        <w:ind w:left="6000"/>
        <w:spacing w:after="0"/>
        <w:rPr>
          <w:sz w:val="20"/>
          <w:szCs w:val="20"/>
          <w:color w:val="auto"/>
        </w:rPr>
      </w:pPr>
      <w:r>
        <w:rPr>
          <w:rFonts w:ascii="Arial" w:cs="Arial" w:eastAsia="Arial" w:hAnsi="Arial"/>
          <w:sz w:val="14"/>
          <w:szCs w:val="14"/>
          <w:b w:val="1"/>
          <w:bCs w:val="1"/>
          <w:i w:val="1"/>
          <w:i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3661410</wp:posOffset>
            </wp:positionH>
            <wp:positionV relativeFrom="paragraph">
              <wp:posOffset>-16510</wp:posOffset>
            </wp:positionV>
            <wp:extent cx="6883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8340" cy="8890"/>
                    </a:xfrm>
                    <a:prstGeom prst="rect">
                      <a:avLst/>
                    </a:prstGeom>
                    <a:noFill/>
                  </pic:spPr>
                </pic:pic>
              </a:graphicData>
            </a:graphic>
          </wp:anchor>
        </w:drawing>
      </w:r>
    </w:p>
    <w:p>
      <w:pPr>
        <w:ind w:left="5940"/>
        <w:spacing w:after="0"/>
        <w:tabs>
          <w:tab w:leader="none" w:pos="6760" w:val="left"/>
        </w:tabs>
        <w:rPr>
          <w:sz w:val="20"/>
          <w:szCs w:val="20"/>
          <w:color w:val="auto"/>
        </w:rPr>
      </w:pPr>
      <w:r>
        <w:rPr>
          <w:rFonts w:ascii="Arial" w:cs="Arial" w:eastAsia="Arial" w:hAnsi="Arial"/>
          <w:sz w:val="14"/>
          <w:szCs w:val="14"/>
          <w:b w:val="1"/>
          <w:bCs w:val="1"/>
          <w:i w:val="1"/>
          <w:iCs w:val="1"/>
          <w:u w:val="single" w:color="auto"/>
          <w:color w:val="auto"/>
        </w:rPr>
        <w:t>2014</w:t>
      </w:r>
      <w:r>
        <w:rPr>
          <w:sz w:val="20"/>
          <w:szCs w:val="20"/>
          <w:color w:val="auto"/>
        </w:rPr>
        <w:tab/>
      </w:r>
      <w:r>
        <w:rPr>
          <w:rFonts w:ascii="Arial" w:cs="Arial" w:eastAsia="Arial" w:hAnsi="Arial"/>
          <w:sz w:val="14"/>
          <w:szCs w:val="14"/>
          <w:b w:val="1"/>
          <w:bCs w:val="1"/>
          <w:i w:val="1"/>
          <w:iCs w:val="1"/>
          <w:u w:val="single" w:color="auto"/>
          <w:color w:val="auto"/>
        </w:rPr>
        <w:t>2013</w:t>
      </w:r>
    </w:p>
    <w:p>
      <w:pPr>
        <w:sectPr>
          <w:pgSz w:w="11900" w:h="16838" w:orient="portrait"/>
          <w:cols w:equalWidth="0" w:num="1">
            <w:col w:w="11260"/>
          </w:cols>
          <w:pgMar w:left="240" w:top="131" w:right="399" w:bottom="0" w:gutter="0" w:footer="0" w:header="0"/>
        </w:sectPr>
      </w:pPr>
    </w:p>
    <w:bookmarkStart w:id="12" w:name="page13"/>
    <w:bookmarkEnd w:id="12"/>
    <w:tbl>
      <w:tblPr>
        <w:tblLayout w:type="fixed"/>
        <w:tblInd w:w="1080" w:type="dxa"/>
        <w:tblCellMar>
          <w:top w:w="0" w:type="dxa"/>
          <w:left w:w="0" w:type="dxa"/>
          <w:bottom w:w="0" w:type="dxa"/>
          <w:right w:w="0" w:type="dxa"/>
        </w:tblCellMar>
      </w:tblPr>
      <w:tr>
        <w:trPr>
          <w:trHeight w:val="222"/>
        </w:trPr>
        <w:tc>
          <w:tcPr>
            <w:tcW w:w="37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Net revenues from unaffiliated customers:</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459"/>
        </w:trPr>
        <w:tc>
          <w:tcPr>
            <w:tcW w:w="3740" w:type="dxa"/>
            <w:vAlign w:val="bottom"/>
            <w:gridSpan w:val="2"/>
          </w:tcPr>
          <w:p>
            <w:pPr>
              <w:spacing w:after="0"/>
              <w:rPr>
                <w:sz w:val="20"/>
                <w:szCs w:val="20"/>
                <w:color w:val="auto"/>
              </w:rPr>
            </w:pPr>
            <w:r>
              <w:rPr>
                <w:rFonts w:ascii="Arial" w:cs="Arial" w:eastAsia="Arial" w:hAnsi="Arial"/>
                <w:sz w:val="18"/>
                <w:szCs w:val="18"/>
                <w:color w:val="auto"/>
              </w:rPr>
              <w:t>U.S.</w:t>
            </w:r>
          </w:p>
        </w:tc>
        <w:tc>
          <w:tcPr>
            <w:tcW w:w="1460" w:type="dxa"/>
            <w:vAlign w:val="bottom"/>
            <w:gridSpan w:val="5"/>
          </w:tcPr>
          <w:p>
            <w:pPr>
              <w:jc w:val="right"/>
              <w:spacing w:after="0"/>
              <w:rPr>
                <w:sz w:val="20"/>
                <w:szCs w:val="20"/>
                <w:color w:val="auto"/>
              </w:rPr>
            </w:pPr>
            <w:r>
              <w:rPr>
                <w:rFonts w:ascii="Arial" w:cs="Arial" w:eastAsia="Arial" w:hAnsi="Arial"/>
                <w:sz w:val="18"/>
                <w:szCs w:val="18"/>
                <w:color w:val="auto"/>
              </w:rPr>
              <w:t>$ 3,149</w:t>
            </w:r>
          </w:p>
        </w:tc>
        <w:tc>
          <w:tcPr>
            <w:tcW w:w="2280" w:type="dxa"/>
            <w:vAlign w:val="bottom"/>
            <w:gridSpan w:val="6"/>
          </w:tcPr>
          <w:p>
            <w:pPr>
              <w:jc w:val="right"/>
              <w:ind w:right="1440"/>
              <w:spacing w:after="0"/>
              <w:rPr>
                <w:sz w:val="20"/>
                <w:szCs w:val="20"/>
                <w:color w:val="auto"/>
              </w:rPr>
            </w:pPr>
            <w:r>
              <w:rPr>
                <w:rFonts w:ascii="Arial" w:cs="Arial" w:eastAsia="Arial" w:hAnsi="Arial"/>
                <w:sz w:val="18"/>
                <w:szCs w:val="18"/>
                <w:color w:val="auto"/>
              </w:rPr>
              <w:t>$ 3,214</w:t>
            </w:r>
          </w:p>
        </w:tc>
      </w:tr>
      <w:tr>
        <w:trPr>
          <w:trHeight w:val="421"/>
        </w:trPr>
        <w:tc>
          <w:tcPr>
            <w:tcW w:w="3740" w:type="dxa"/>
            <w:vAlign w:val="bottom"/>
            <w:gridSpan w:val="2"/>
          </w:tcPr>
          <w:p>
            <w:pPr>
              <w:spacing w:after="0"/>
              <w:rPr>
                <w:sz w:val="20"/>
                <w:szCs w:val="20"/>
                <w:color w:val="auto"/>
              </w:rPr>
            </w:pPr>
            <w:r>
              <w:rPr>
                <w:rFonts w:ascii="Arial" w:cs="Arial" w:eastAsia="Arial" w:hAnsi="Arial"/>
                <w:sz w:val="18"/>
                <w:szCs w:val="18"/>
                <w:color w:val="auto"/>
              </w:rPr>
              <w:t>Foreign</w:t>
            </w:r>
          </w:p>
        </w:tc>
        <w:tc>
          <w:tcPr>
            <w:tcW w:w="1020" w:type="dxa"/>
            <w:vAlign w:val="bottom"/>
            <w:gridSpan w:val="3"/>
          </w:tcPr>
          <w:p>
            <w:pPr>
              <w:spacing w:after="0"/>
              <w:rPr>
                <w:sz w:val="24"/>
                <w:szCs w:val="24"/>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93"/>
              </w:rPr>
              <w:t>5,648</w:t>
            </w:r>
          </w:p>
        </w:tc>
        <w:tc>
          <w:tcPr>
            <w:tcW w:w="360" w:type="dxa"/>
            <w:vAlign w:val="bottom"/>
            <w:gridSpan w:val="3"/>
          </w:tcPr>
          <w:p>
            <w:pPr>
              <w:spacing w:after="0"/>
              <w:rPr>
                <w:sz w:val="24"/>
                <w:szCs w:val="24"/>
                <w:color w:val="auto"/>
              </w:rPr>
            </w:pPr>
          </w:p>
        </w:tc>
        <w:tc>
          <w:tcPr>
            <w:tcW w:w="1920" w:type="dxa"/>
            <w:vAlign w:val="bottom"/>
            <w:gridSpan w:val="3"/>
          </w:tcPr>
          <w:p>
            <w:pPr>
              <w:jc w:val="right"/>
              <w:ind w:right="1440"/>
              <w:spacing w:after="0"/>
              <w:rPr>
                <w:sz w:val="20"/>
                <w:szCs w:val="20"/>
                <w:color w:val="auto"/>
              </w:rPr>
            </w:pPr>
            <w:r>
              <w:rPr>
                <w:rFonts w:ascii="Arial" w:cs="Arial" w:eastAsia="Arial" w:hAnsi="Arial"/>
                <w:sz w:val="18"/>
                <w:szCs w:val="18"/>
                <w:color w:val="auto"/>
              </w:rPr>
              <w:t>5,759</w:t>
            </w:r>
          </w:p>
        </w:tc>
      </w:tr>
      <w:tr>
        <w:trPr>
          <w:trHeight w:val="20"/>
        </w:trPr>
        <w:tc>
          <w:tcPr>
            <w:tcW w:w="17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439"/>
        </w:trPr>
        <w:tc>
          <w:tcPr>
            <w:tcW w:w="17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80" w:type="dxa"/>
            <w:vAlign w:val="bottom"/>
            <w:gridSpan w:val="2"/>
          </w:tcPr>
          <w:p>
            <w:pPr>
              <w:spacing w:after="0"/>
              <w:rPr>
                <w:sz w:val="24"/>
                <w:szCs w:val="24"/>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w w:val="93"/>
              </w:rPr>
              <w:t>$ 8,797</w:t>
            </w:r>
          </w:p>
        </w:tc>
        <w:tc>
          <w:tcPr>
            <w:tcW w:w="2280" w:type="dxa"/>
            <w:vAlign w:val="bottom"/>
            <w:gridSpan w:val="6"/>
          </w:tcPr>
          <w:p>
            <w:pPr>
              <w:jc w:val="right"/>
              <w:ind w:right="1440"/>
              <w:spacing w:after="0"/>
              <w:rPr>
                <w:sz w:val="20"/>
                <w:szCs w:val="20"/>
                <w:color w:val="auto"/>
              </w:rPr>
            </w:pPr>
            <w:r>
              <w:rPr>
                <w:rFonts w:ascii="Arial" w:cs="Arial" w:eastAsia="Arial" w:hAnsi="Arial"/>
                <w:sz w:val="18"/>
                <w:szCs w:val="18"/>
                <w:color w:val="auto"/>
              </w:rPr>
              <w:t>$ 8,973</w:t>
            </w:r>
          </w:p>
        </w:tc>
      </w:tr>
      <w:tr>
        <w:trPr>
          <w:trHeight w:val="20"/>
        </w:trPr>
        <w:tc>
          <w:tcPr>
            <w:tcW w:w="17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601"/>
        </w:trPr>
        <w:tc>
          <w:tcPr>
            <w:tcW w:w="17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gridSpan w:val="4"/>
          </w:tcPr>
          <w:p>
            <w:pPr>
              <w:jc w:val="center"/>
              <w:ind w:right="160"/>
              <w:spacing w:after="0"/>
              <w:rPr>
                <w:sz w:val="20"/>
                <w:szCs w:val="20"/>
                <w:color w:val="auto"/>
              </w:rPr>
            </w:pPr>
            <w:r>
              <w:rPr>
                <w:rFonts w:ascii="Arial" w:cs="Arial" w:eastAsia="Arial" w:hAnsi="Arial"/>
                <w:sz w:val="14"/>
                <w:szCs w:val="14"/>
                <w:b w:val="1"/>
                <w:bCs w:val="1"/>
                <w:i w:val="1"/>
                <w:iCs w:val="1"/>
                <w:color w:val="auto"/>
                <w:w w:val="91"/>
              </w:rPr>
              <w:t>Mar. 31,</w:t>
            </w:r>
          </w:p>
        </w:tc>
        <w:tc>
          <w:tcPr>
            <w:tcW w:w="220" w:type="dxa"/>
            <w:vAlign w:val="bottom"/>
          </w:tcPr>
          <w:p>
            <w:pPr>
              <w:spacing w:after="0"/>
              <w:rPr>
                <w:sz w:val="24"/>
                <w:szCs w:val="24"/>
                <w:color w:val="auto"/>
              </w:rPr>
            </w:pPr>
          </w:p>
        </w:tc>
        <w:tc>
          <w:tcPr>
            <w:tcW w:w="2060" w:type="dxa"/>
            <w:vAlign w:val="bottom"/>
            <w:gridSpan w:val="5"/>
          </w:tcPr>
          <w:p>
            <w:pPr>
              <w:jc w:val="center"/>
              <w:ind w:right="1540"/>
              <w:spacing w:after="0"/>
              <w:rPr>
                <w:sz w:val="20"/>
                <w:szCs w:val="20"/>
                <w:color w:val="auto"/>
              </w:rPr>
            </w:pPr>
            <w:r>
              <w:rPr>
                <w:rFonts w:ascii="Arial" w:cs="Arial" w:eastAsia="Arial" w:hAnsi="Arial"/>
                <w:sz w:val="14"/>
                <w:szCs w:val="14"/>
                <w:b w:val="1"/>
                <w:bCs w:val="1"/>
                <w:i w:val="1"/>
                <w:iCs w:val="1"/>
                <w:color w:val="auto"/>
                <w:w w:val="83"/>
              </w:rPr>
              <w:t>Dec. 31,</w:t>
            </w:r>
          </w:p>
        </w:tc>
      </w:tr>
      <w:tr>
        <w:trPr>
          <w:trHeight w:val="163"/>
        </w:trPr>
        <w:tc>
          <w:tcPr>
            <w:tcW w:w="17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300" w:type="dxa"/>
            <w:vAlign w:val="bottom"/>
            <w:gridSpan w:val="4"/>
          </w:tcPr>
          <w:p>
            <w:pPr>
              <w:jc w:val="right"/>
              <w:ind w:right="32"/>
              <w:spacing w:after="0"/>
              <w:rPr>
                <w:sz w:val="20"/>
                <w:szCs w:val="20"/>
                <w:color w:val="auto"/>
              </w:rPr>
            </w:pPr>
            <w:r>
              <w:rPr>
                <w:rFonts w:ascii="Arial" w:cs="Arial" w:eastAsia="Arial" w:hAnsi="Arial"/>
                <w:sz w:val="14"/>
                <w:szCs w:val="14"/>
                <w:b w:val="1"/>
                <w:bCs w:val="1"/>
                <w:i w:val="1"/>
                <w:iCs w:val="1"/>
                <w:color w:val="auto"/>
              </w:rPr>
              <w:t>2014</w:t>
            </w:r>
          </w:p>
        </w:tc>
        <w:tc>
          <w:tcPr>
            <w:tcW w:w="160" w:type="dxa"/>
            <w:vAlign w:val="bottom"/>
          </w:tcPr>
          <w:p>
            <w:pPr>
              <w:spacing w:after="0"/>
              <w:rPr>
                <w:sz w:val="14"/>
                <w:szCs w:val="14"/>
                <w:color w:val="auto"/>
              </w:rPr>
            </w:pPr>
          </w:p>
        </w:tc>
        <w:tc>
          <w:tcPr>
            <w:tcW w:w="740" w:type="dxa"/>
            <w:vAlign w:val="bottom"/>
            <w:gridSpan w:val="4"/>
          </w:tcPr>
          <w:p>
            <w:pPr>
              <w:jc w:val="right"/>
              <w:ind w:right="32"/>
              <w:spacing w:after="0"/>
              <w:rPr>
                <w:sz w:val="20"/>
                <w:szCs w:val="20"/>
                <w:color w:val="auto"/>
              </w:rPr>
            </w:pPr>
            <w:r>
              <w:rPr>
                <w:rFonts w:ascii="Arial" w:cs="Arial" w:eastAsia="Arial" w:hAnsi="Arial"/>
                <w:sz w:val="14"/>
                <w:szCs w:val="14"/>
                <w:b w:val="1"/>
                <w:bCs w:val="1"/>
                <w:i w:val="1"/>
                <w:iCs w:val="1"/>
                <w:color w:val="auto"/>
              </w:rPr>
              <w:t>2013</w:t>
            </w: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262"/>
        </w:trPr>
        <w:tc>
          <w:tcPr>
            <w:tcW w:w="37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Long-lived assets:</w:t>
            </w:r>
          </w:p>
        </w:tc>
        <w:tc>
          <w:tcPr>
            <w:tcW w:w="78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459"/>
        </w:trPr>
        <w:tc>
          <w:tcPr>
            <w:tcW w:w="3740" w:type="dxa"/>
            <w:vAlign w:val="bottom"/>
            <w:gridSpan w:val="2"/>
          </w:tcPr>
          <w:p>
            <w:pPr>
              <w:spacing w:after="0"/>
              <w:rPr>
                <w:sz w:val="20"/>
                <w:szCs w:val="20"/>
                <w:color w:val="auto"/>
              </w:rPr>
            </w:pPr>
            <w:r>
              <w:rPr>
                <w:rFonts w:ascii="Arial" w:cs="Arial" w:eastAsia="Arial" w:hAnsi="Arial"/>
                <w:sz w:val="18"/>
                <w:szCs w:val="18"/>
                <w:color w:val="auto"/>
              </w:rPr>
              <w:t>U.S.</w:t>
            </w:r>
          </w:p>
        </w:tc>
        <w:tc>
          <w:tcPr>
            <w:tcW w:w="1460" w:type="dxa"/>
            <w:vAlign w:val="bottom"/>
            <w:gridSpan w:val="5"/>
          </w:tcPr>
          <w:p>
            <w:pPr>
              <w:jc w:val="right"/>
              <w:spacing w:after="0"/>
              <w:rPr>
                <w:sz w:val="20"/>
                <w:szCs w:val="20"/>
                <w:color w:val="auto"/>
              </w:rPr>
            </w:pPr>
            <w:r>
              <w:rPr>
                <w:rFonts w:ascii="Arial" w:cs="Arial" w:eastAsia="Arial" w:hAnsi="Arial"/>
                <w:sz w:val="18"/>
                <w:szCs w:val="18"/>
                <w:color w:val="auto"/>
              </w:rPr>
              <w:t>$  747</w:t>
            </w:r>
          </w:p>
        </w:tc>
        <w:tc>
          <w:tcPr>
            <w:tcW w:w="2280" w:type="dxa"/>
            <w:vAlign w:val="bottom"/>
            <w:gridSpan w:val="6"/>
          </w:tcPr>
          <w:p>
            <w:pPr>
              <w:jc w:val="right"/>
              <w:ind w:right="1440"/>
              <w:spacing w:after="0"/>
              <w:rPr>
                <w:sz w:val="20"/>
                <w:szCs w:val="20"/>
                <w:color w:val="auto"/>
              </w:rPr>
            </w:pPr>
            <w:r>
              <w:rPr>
                <w:rFonts w:ascii="Arial" w:cs="Arial" w:eastAsia="Arial" w:hAnsi="Arial"/>
                <w:sz w:val="18"/>
                <w:szCs w:val="18"/>
                <w:color w:val="auto"/>
              </w:rPr>
              <w:t>$  700</w:t>
            </w:r>
          </w:p>
        </w:tc>
      </w:tr>
      <w:tr>
        <w:trPr>
          <w:trHeight w:val="421"/>
        </w:trPr>
        <w:tc>
          <w:tcPr>
            <w:tcW w:w="3740" w:type="dxa"/>
            <w:vAlign w:val="bottom"/>
            <w:gridSpan w:val="2"/>
          </w:tcPr>
          <w:p>
            <w:pPr>
              <w:spacing w:after="0"/>
              <w:rPr>
                <w:sz w:val="20"/>
                <w:szCs w:val="20"/>
                <w:color w:val="auto"/>
              </w:rPr>
            </w:pPr>
            <w:r>
              <w:rPr>
                <w:rFonts w:ascii="Arial" w:cs="Arial" w:eastAsia="Arial" w:hAnsi="Arial"/>
                <w:sz w:val="18"/>
                <w:szCs w:val="18"/>
                <w:color w:val="auto"/>
              </w:rPr>
              <w:t>Foreign</w:t>
            </w:r>
          </w:p>
        </w:tc>
        <w:tc>
          <w:tcPr>
            <w:tcW w:w="1020" w:type="dxa"/>
            <w:vAlign w:val="bottom"/>
            <w:gridSpan w:val="3"/>
          </w:tcPr>
          <w:p>
            <w:pPr>
              <w:spacing w:after="0"/>
              <w:rPr>
                <w:sz w:val="24"/>
                <w:szCs w:val="24"/>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576</w:t>
            </w:r>
          </w:p>
        </w:tc>
        <w:tc>
          <w:tcPr>
            <w:tcW w:w="360" w:type="dxa"/>
            <w:vAlign w:val="bottom"/>
            <w:gridSpan w:val="3"/>
          </w:tcPr>
          <w:p>
            <w:pPr>
              <w:spacing w:after="0"/>
              <w:rPr>
                <w:sz w:val="24"/>
                <w:szCs w:val="24"/>
                <w:color w:val="auto"/>
              </w:rPr>
            </w:pPr>
          </w:p>
        </w:tc>
        <w:tc>
          <w:tcPr>
            <w:tcW w:w="1920" w:type="dxa"/>
            <w:vAlign w:val="bottom"/>
            <w:gridSpan w:val="3"/>
          </w:tcPr>
          <w:p>
            <w:pPr>
              <w:jc w:val="right"/>
              <w:ind w:right="1440"/>
              <w:spacing w:after="0"/>
              <w:rPr>
                <w:sz w:val="20"/>
                <w:szCs w:val="20"/>
                <w:color w:val="auto"/>
              </w:rPr>
            </w:pPr>
            <w:r>
              <w:rPr>
                <w:rFonts w:ascii="Arial" w:cs="Arial" w:eastAsia="Arial" w:hAnsi="Arial"/>
                <w:sz w:val="18"/>
                <w:szCs w:val="18"/>
                <w:color w:val="auto"/>
              </w:rPr>
              <w:t>554</w:t>
            </w:r>
          </w:p>
        </w:tc>
      </w:tr>
      <w:tr>
        <w:trPr>
          <w:trHeight w:val="20"/>
        </w:trPr>
        <w:tc>
          <w:tcPr>
            <w:tcW w:w="17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439"/>
        </w:trPr>
        <w:tc>
          <w:tcPr>
            <w:tcW w:w="17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460" w:type="dxa"/>
            <w:vAlign w:val="bottom"/>
            <w:gridSpan w:val="5"/>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1,323</w:t>
            </w:r>
          </w:p>
        </w:tc>
        <w:tc>
          <w:tcPr>
            <w:tcW w:w="2280" w:type="dxa"/>
            <w:vAlign w:val="bottom"/>
            <w:gridSpan w:val="6"/>
          </w:tcPr>
          <w:p>
            <w:pPr>
              <w:jc w:val="right"/>
              <w:ind w:right="14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1,254</w:t>
            </w:r>
          </w:p>
        </w:tc>
      </w:tr>
      <w:tr>
        <w:trPr>
          <w:trHeight w:val="20"/>
        </w:trPr>
        <w:tc>
          <w:tcPr>
            <w:tcW w:w="17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20" w:type="dxa"/>
            <w:vAlign w:val="bottom"/>
            <w:tcBorders>
              <w:right w:val="single" w:sz="8" w:color="auto"/>
            </w:tcBorders>
            <w:gridSpan w:val="3"/>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964"/>
        </w:trPr>
        <w:tc>
          <w:tcPr>
            <w:tcW w:w="17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300" w:type="dxa"/>
            <w:vAlign w:val="bottom"/>
            <w:gridSpan w:val="4"/>
          </w:tcPr>
          <w:p>
            <w:pPr>
              <w:jc w:val="right"/>
              <w:ind w:right="152"/>
              <w:spacing w:after="0"/>
              <w:rPr>
                <w:sz w:val="20"/>
                <w:szCs w:val="20"/>
                <w:color w:val="auto"/>
              </w:rPr>
            </w:pPr>
            <w:r>
              <w:rPr>
                <w:rFonts w:ascii="Arial" w:cs="Arial" w:eastAsia="Arial" w:hAnsi="Arial"/>
                <w:sz w:val="18"/>
                <w:szCs w:val="18"/>
                <w:color w:val="auto"/>
              </w:rPr>
              <w:t>- 13 -</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25"/>
        </w:trPr>
        <w:tc>
          <w:tcPr>
            <w:tcW w:w="1740" w:type="dxa"/>
            <w:vAlign w:val="bottom"/>
          </w:tcPr>
          <w:p>
            <w:pPr>
              <w:spacing w:after="0"/>
              <w:rPr>
                <w:sz w:val="19"/>
                <w:szCs w:val="19"/>
                <w:color w:val="auto"/>
              </w:rPr>
            </w:pPr>
          </w:p>
        </w:tc>
        <w:tc>
          <w:tcPr>
            <w:tcW w:w="2000" w:type="dxa"/>
            <w:vAlign w:val="bottom"/>
            <w:tcBorders>
              <w:bottom w:val="single" w:sz="8" w:color="9A9A9A"/>
            </w:tcBorders>
          </w:tcPr>
          <w:p>
            <w:pPr>
              <w:spacing w:after="0"/>
              <w:rPr>
                <w:sz w:val="19"/>
                <w:szCs w:val="19"/>
                <w:color w:val="auto"/>
              </w:rPr>
            </w:pPr>
          </w:p>
        </w:tc>
        <w:tc>
          <w:tcPr>
            <w:tcW w:w="78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140" w:type="dxa"/>
            <w:vAlign w:val="bottom"/>
            <w:tcBorders>
              <w:bottom w:val="single" w:sz="8" w:color="9A9A9A"/>
            </w:tcBorders>
          </w:tcPr>
          <w:p>
            <w:pPr>
              <w:spacing w:after="0"/>
              <w:rPr>
                <w:sz w:val="19"/>
                <w:szCs w:val="19"/>
                <w:color w:val="auto"/>
              </w:rPr>
            </w:pPr>
          </w:p>
        </w:tc>
        <w:tc>
          <w:tcPr>
            <w:tcW w:w="28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220" w:type="dxa"/>
            <w:vAlign w:val="bottom"/>
            <w:tcBorders>
              <w:bottom w:val="single" w:sz="8" w:color="9A9A9A"/>
            </w:tcBorders>
          </w:tcPr>
          <w:p>
            <w:pPr>
              <w:spacing w:after="0"/>
              <w:rPr>
                <w:sz w:val="19"/>
                <w:szCs w:val="19"/>
                <w:color w:val="auto"/>
              </w:rPr>
            </w:pPr>
          </w:p>
        </w:tc>
        <w:tc>
          <w:tcPr>
            <w:tcW w:w="6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38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144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5416550</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1780540</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01" w:lineRule="exact"/>
        <w:rPr>
          <w:sz w:val="20"/>
          <w:szCs w:val="20"/>
          <w:color w:val="auto"/>
        </w:rPr>
      </w:pPr>
    </w:p>
    <w:p>
      <w:pPr>
        <w:ind w:left="520" w:right="1720" w:hanging="539"/>
        <w:spacing w:after="0" w:line="478" w:lineRule="auto"/>
        <w:rPr>
          <w:sz w:val="20"/>
          <w:szCs w:val="20"/>
          <w:color w:val="auto"/>
        </w:rPr>
      </w:pPr>
      <w:r>
        <w:rPr>
          <w:rFonts w:ascii="Arial" w:cs="Arial" w:eastAsia="Arial" w:hAnsi="Arial"/>
          <w:sz w:val="18"/>
          <w:szCs w:val="18"/>
          <w:b w:val="1"/>
          <w:bCs w:val="1"/>
          <w:color w:val="auto"/>
        </w:rPr>
        <w:t xml:space="preserve">Item 2. MANAGEMENT'S DISCUSSION AND ANALYSIS OF FINANCIAL CONDITION AND RESULTS OF OPERATIONS </w:t>
      </w:r>
      <w:r>
        <w:rPr>
          <w:rFonts w:ascii="Arial" w:cs="Arial" w:eastAsia="Arial" w:hAnsi="Arial"/>
          <w:sz w:val="18"/>
          <w:szCs w:val="18"/>
          <w:b w:val="1"/>
          <w:bCs w:val="1"/>
          <w:u w:val="single" w:color="auto"/>
          <w:color w:val="auto"/>
        </w:rPr>
        <w:t>Risk Factors and Forward-Looking Statements</w:t>
      </w:r>
    </w:p>
    <w:p>
      <w:pPr>
        <w:spacing w:after="0" w:line="5" w:lineRule="exact"/>
        <w:rPr>
          <w:sz w:val="20"/>
          <w:szCs w:val="20"/>
          <w:color w:val="auto"/>
        </w:rPr>
      </w:pPr>
    </w:p>
    <w:p>
      <w:pPr>
        <w:ind w:left="520" w:right="60"/>
        <w:spacing w:after="0" w:line="290" w:lineRule="auto"/>
        <w:rPr>
          <w:sz w:val="20"/>
          <w:szCs w:val="20"/>
          <w:color w:val="auto"/>
        </w:rPr>
      </w:pPr>
      <w:r>
        <w:rPr>
          <w:rFonts w:ascii="Arial" w:cs="Arial" w:eastAsia="Arial" w:hAnsi="Arial"/>
          <w:sz w:val="16"/>
          <w:szCs w:val="16"/>
          <w:color w:val="auto"/>
        </w:rPr>
        <w:t>In addition to historical information, this discussion and analysis contains statements relating to possible future events and results that are considered "forward-looking statements" within the meaning of the Private Securities Litigation Reform Act of 1995. These statements can often be identified by the use of forward-looking terminology such as "believes," "expects," "intends," "may," "will," "should" or "anticipates" or similar terminology. See Part I, Item 1 - "Business - Cautionary Statement Regarding Forward-Looking Statements" in our 2013 Form 10-K for examples of statements made in this report which may be "forward-looking statements." These statements involve risks and uncertainties and are based on various assumptions. Although we believe that our expectations are based on reasonable assumptions, investors and prospective investors are cautioned that such statements are only projections, and there cannot be any assurance that these events or results will occur.</w:t>
      </w:r>
    </w:p>
    <w:p>
      <w:pPr>
        <w:spacing w:after="0" w:line="172" w:lineRule="exact"/>
        <w:rPr>
          <w:sz w:val="20"/>
          <w:szCs w:val="20"/>
          <w:color w:val="auto"/>
        </w:rPr>
      </w:pPr>
    </w:p>
    <w:p>
      <w:pPr>
        <w:ind w:left="520"/>
        <w:spacing w:after="0" w:line="298" w:lineRule="auto"/>
        <w:rPr>
          <w:sz w:val="20"/>
          <w:szCs w:val="20"/>
          <w:color w:val="auto"/>
        </w:rPr>
      </w:pPr>
      <w:r>
        <w:rPr>
          <w:rFonts w:ascii="Arial" w:cs="Arial" w:eastAsia="Arial" w:hAnsi="Arial"/>
          <w:sz w:val="16"/>
          <w:szCs w:val="16"/>
          <w:color w:val="auto"/>
        </w:rPr>
        <w:t>Information about the primary risks and uncertainties that could cause our actual future results to differ materially from our historic results or the results described in the forward-looking statements made in this report or presented elsewhere by Management from time to time are included in Part I, Item 1A - "Risk Factors" in our 2013 Form 10-K. Material changes to such risk factors may be reported in subsequent Quarterly Reports on Form 10-Q in Part II, Item 1A. There have been no such changes from the risk factors set forth in our 2013 Form 10-K.</w:t>
      </w:r>
    </w:p>
    <w:p>
      <w:pPr>
        <w:spacing w:after="0" w:line="161" w:lineRule="exact"/>
        <w:rPr>
          <w:sz w:val="20"/>
          <w:szCs w:val="20"/>
          <w:color w:val="auto"/>
        </w:rPr>
      </w:pPr>
    </w:p>
    <w:p>
      <w:pPr>
        <w:ind w:left="520"/>
        <w:spacing w:after="0"/>
        <w:rPr>
          <w:sz w:val="20"/>
          <w:szCs w:val="20"/>
          <w:color w:val="auto"/>
        </w:rPr>
      </w:pPr>
      <w:r>
        <w:rPr>
          <w:rFonts w:ascii="Arial" w:cs="Arial" w:eastAsia="Arial" w:hAnsi="Arial"/>
          <w:sz w:val="18"/>
          <w:szCs w:val="18"/>
          <w:b w:val="1"/>
          <w:bCs w:val="1"/>
          <w:u w:val="single" w:color="auto"/>
          <w:color w:val="auto"/>
        </w:rPr>
        <w:t>Overview</w:t>
      </w:r>
    </w:p>
    <w:p>
      <w:pPr>
        <w:spacing w:after="0" w:line="23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This MD&amp;A should be read in conjunction with the accompanying consolidated financial statements.</w:t>
      </w:r>
    </w:p>
    <w:p>
      <w:pPr>
        <w:spacing w:after="0" w:line="225" w:lineRule="exact"/>
        <w:rPr>
          <w:sz w:val="20"/>
          <w:szCs w:val="20"/>
          <w:color w:val="auto"/>
        </w:rPr>
      </w:pPr>
    </w:p>
    <w:p>
      <w:pPr>
        <w:ind w:left="520" w:right="20"/>
        <w:spacing w:after="0" w:line="291" w:lineRule="auto"/>
        <w:rPr>
          <w:sz w:val="20"/>
          <w:szCs w:val="20"/>
          <w:color w:val="auto"/>
        </w:rPr>
      </w:pPr>
      <w:r>
        <w:rPr>
          <w:rFonts w:ascii="Arial" w:cs="Arial" w:eastAsia="Arial" w:hAnsi="Arial"/>
          <w:sz w:val="16"/>
          <w:szCs w:val="16"/>
          <w:color w:val="auto"/>
        </w:rPr>
        <w:t>Our business and results of operations are substantially dependent upon the demand for ATE by semiconductor manufacturers and companies that specialize in the testing of ICs. Demand for ATE is driven by semiconductor manufacturers that are opening new, or expanding existing, semiconductor fabrication facilities or upgrading existing equipment, which in turn is dependent upon the current and anticipated market demand for semiconductors and products incorporating semiconductors. In the past, the semiconductor industry has been highly cyclical with recurring periods of oversupply, which often have a severe impact on the semiconductor industry's demand for ATE, including the products we manufacture. This can cause wide fluctuations in both our orders and net revenues and, depending on our ability to react quickly to these shifts in demand, can significantly impact our results of operations.</w:t>
      </w:r>
    </w:p>
    <w:p>
      <w:pPr>
        <w:spacing w:after="0" w:line="174" w:lineRule="exact"/>
        <w:rPr>
          <w:sz w:val="20"/>
          <w:szCs w:val="20"/>
          <w:color w:val="auto"/>
        </w:rPr>
      </w:pPr>
    </w:p>
    <w:p>
      <w:pPr>
        <w:ind w:left="520" w:right="20"/>
        <w:spacing w:after="0" w:line="286" w:lineRule="auto"/>
        <w:rPr>
          <w:sz w:val="20"/>
          <w:szCs w:val="20"/>
          <w:color w:val="auto"/>
        </w:rPr>
      </w:pPr>
      <w:r>
        <w:rPr>
          <w:rFonts w:ascii="Arial" w:cs="Arial" w:eastAsia="Arial" w:hAnsi="Arial"/>
          <w:sz w:val="16"/>
          <w:szCs w:val="16"/>
          <w:color w:val="auto"/>
        </w:rPr>
        <w:t>ATE market cycles are difficult to predict and in recent years have become more volatile and, in certain cases, shorter in duration. Because the market cycles are generally characterized by sequential periods of growth or declines in orders and net revenues during each cycle, year over year comparisons of operating results may not always be as meaningful as comparisons of periods at similar points in either up or down cycles. In addition, during both downward and upward cycles in our industry, in any given quarter, the trend in both our orders and net revenues can be erratic. This can occur, for example, when orders are canceled or currently scheduled delivery dates are accelerated or postponed by a significant customer or when customer forecasts and general business conditions fluctuate during a quarter. We believe that purchases of most of our products are typically made from semiconductor manufacturers' capital expenditure budgets. Certain portions of our business, however, are generally less dependent upon the capital expenditure budgets of the end users. For example, purchases of certain of our products, such as docking hardware, for the purpose of upgrading or improving the utilization, performance and efficiency of existing ATE, tend to be counter cyclical to sales of new ATE. Moreover, we believe a portion of our sales of thermal products results from the increasing need for temperature testing of circuit boards and specialized components that do not have the design or quantity to be tested in an electronic device handler.</w:t>
      </w:r>
    </w:p>
    <w:p>
      <w:pPr>
        <w:spacing w:after="0" w:line="181" w:lineRule="exact"/>
        <w:rPr>
          <w:sz w:val="20"/>
          <w:szCs w:val="20"/>
          <w:color w:val="auto"/>
        </w:rPr>
      </w:pPr>
    </w:p>
    <w:p>
      <w:pPr>
        <w:ind w:left="520" w:right="20"/>
        <w:spacing w:after="0" w:line="314" w:lineRule="auto"/>
        <w:rPr>
          <w:sz w:val="20"/>
          <w:szCs w:val="20"/>
          <w:color w:val="auto"/>
        </w:rPr>
      </w:pPr>
      <w:r>
        <w:rPr>
          <w:rFonts w:ascii="Arial" w:cs="Arial" w:eastAsia="Arial" w:hAnsi="Arial"/>
          <w:sz w:val="15"/>
          <w:szCs w:val="15"/>
          <w:color w:val="auto"/>
        </w:rPr>
        <w:t>As part of our diversification strategy to reduce the impact of ATE market volatility on our business operations, we market our Thermostream temperature management systems in markets outside the ATE market, such as the automotive, consumer electronics, defense/aerospace, energy, industrial and telecommunications markets. We believe that these markets usually are less cyclical than the ATE market. However, because we are a recent market entrant in these markets, we have not yet developed meaningful market shares in these non-ATE markets. Consequently, we are continuing to evaluate customer buying patterns or market trends in these non-ATE markets. In addition, our orders or net revenues in any given period in these markets do not necessarily reflect the overall trends in these non-ATE markets due to our limited market shares. The level of our orders and net revenues from these non-</w:t>
      </w:r>
    </w:p>
    <w:p>
      <w:pPr>
        <w:sectPr>
          <w:pgSz w:w="11900" w:h="16838" w:orient="portrait"/>
          <w:cols w:equalWidth="0" w:num="1">
            <w:col w:w="11380"/>
          </w:cols>
          <w:pgMar w:left="260" w:top="131" w:right="259" w:bottom="0" w:gutter="0" w:footer="0" w:header="0"/>
        </w:sectPr>
      </w:pPr>
    </w:p>
    <w:bookmarkStart w:id="13" w:name="page14"/>
    <w:bookmarkEnd w:id="13"/>
    <w:p>
      <w:pPr>
        <w:ind w:left="540" w:right="280"/>
        <w:spacing w:after="0" w:line="268" w:lineRule="auto"/>
        <w:rPr>
          <w:sz w:val="20"/>
          <w:szCs w:val="20"/>
          <w:color w:val="auto"/>
        </w:rPr>
      </w:pPr>
      <w:r>
        <w:rPr>
          <w:rFonts w:ascii="Arial" w:cs="Arial" w:eastAsia="Arial" w:hAnsi="Arial"/>
          <w:sz w:val="18"/>
          <w:szCs w:val="18"/>
          <w:color w:val="auto"/>
        </w:rPr>
        <w:t>ATE markets has varied in the past, and we expect will vary significantly in the future, as we work to build our presence in these markets and establish new markets for our products.</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- 14 -</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OF FINANCIAL CONDITION AND RESULTS OF OPERATIONS </w:t>
      </w:r>
      <w:r>
        <w:rPr>
          <w:rFonts w:ascii="Arial" w:cs="Arial" w:eastAsia="Arial" w:hAnsi="Arial"/>
          <w:sz w:val="18"/>
          <w:szCs w:val="18"/>
          <w:color w:val="auto"/>
        </w:rPr>
        <w:t>(Continued)</w:t>
      </w:r>
    </w:p>
    <w:p>
      <w:pPr>
        <w:spacing w:after="0" w:line="191" w:lineRule="exact"/>
        <w:rPr>
          <w:sz w:val="20"/>
          <w:szCs w:val="20"/>
          <w:color w:val="auto"/>
        </w:rPr>
      </w:pPr>
    </w:p>
    <w:p>
      <w:pPr>
        <w:ind w:left="540" w:right="40"/>
        <w:spacing w:after="0" w:line="286" w:lineRule="auto"/>
        <w:rPr>
          <w:sz w:val="20"/>
          <w:szCs w:val="20"/>
          <w:color w:val="auto"/>
        </w:rPr>
      </w:pPr>
      <w:r>
        <w:rPr>
          <w:rFonts w:ascii="Arial" w:cs="Arial" w:eastAsia="Arial" w:hAnsi="Arial"/>
          <w:sz w:val="16"/>
          <w:szCs w:val="16"/>
          <w:color w:val="auto"/>
        </w:rPr>
        <w:t>While the majority of our orders and net revenues are derived from the ATE market, our operating results do not always follow the overall trend in the ATE market in any given period. We believe that these anomalies may be driven by a variety of changes within the ATE market, including, for example, changing product requirements, longer time periods between new product offerings by OEMs and changes in customer buying patterns. In particular, demand for our mechanical and electrical products, which are sold exclusively within the ATE market, and our operating margins in these product segments have been affected by shifts in the competitive landscape, including (i) customers placing heightened emphasis on shorter lead times (which places increased demands on our available engineering and production capacity increasing unit costs) and ordering in smaller quantities (which prevents us from acquiring component materials in larger volumes at lower cost and increasing unit costs), (ii) the practice of OEM manufacturers to specify other suppliers as primary vendors, with less frequent opportunities to compete for such designations, (iii) the role of third-party test and assembly houses in the ATE market and their requirement of products with a greater range of use at the lowest cost, (iv) customer supply chain management groups demanding lower prices and spreading purchases across multiple vendors, and (v) certain competitors aggressively reducing their products' sales prices (causing us to either reduce our products' sales price to be successful in obtaining the sale or causing loss of the sale).</w:t>
      </w:r>
    </w:p>
    <w:p>
      <w:pPr>
        <w:spacing w:after="0" w:line="181" w:lineRule="exact"/>
        <w:rPr>
          <w:sz w:val="20"/>
          <w:szCs w:val="20"/>
          <w:color w:val="auto"/>
        </w:rPr>
      </w:pPr>
    </w:p>
    <w:p>
      <w:pPr>
        <w:ind w:left="540" w:right="80"/>
        <w:spacing w:after="0" w:line="291" w:lineRule="auto"/>
        <w:rPr>
          <w:sz w:val="20"/>
          <w:szCs w:val="20"/>
          <w:color w:val="auto"/>
        </w:rPr>
      </w:pPr>
      <w:r>
        <w:rPr>
          <w:rFonts w:ascii="Arial" w:cs="Arial" w:eastAsia="Arial" w:hAnsi="Arial"/>
          <w:sz w:val="16"/>
          <w:szCs w:val="16"/>
          <w:color w:val="auto"/>
        </w:rPr>
        <w:t>In addition, in recent periods we have seen instances where demand for ATE is not consistent for each of our product segments or for any given product within a particular product segment. This inconsistency in demand for ATE can be driven by a number of factors, but in most cases we have found the primary reason is unique customer-specific changes in demand for certain products driven by the needs of their customers or markets served. These shifts in market practices and customer-specific needs have had, and may continue to have, varying levels of impact on our operating results and are difficult to quantify or predict from period to period. Management has taken, and will continue to take, such actions it deems appropriate to adjust our strategies, products and operations to counter such shifts in market practices as they become evident.</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Orders and Backlog</w:t>
      </w:r>
    </w:p>
    <w:p>
      <w:pPr>
        <w:spacing w:after="0" w:line="225" w:lineRule="exact"/>
        <w:rPr>
          <w:sz w:val="20"/>
          <w:szCs w:val="20"/>
          <w:color w:val="auto"/>
        </w:rPr>
      </w:pPr>
    </w:p>
    <w:p>
      <w:pPr>
        <w:ind w:left="540" w:right="360"/>
        <w:spacing w:after="0" w:line="268" w:lineRule="auto"/>
        <w:rPr>
          <w:sz w:val="20"/>
          <w:szCs w:val="20"/>
          <w:color w:val="auto"/>
        </w:rPr>
      </w:pPr>
      <w:r>
        <w:rPr>
          <w:rFonts w:ascii="Arial" w:cs="Arial" w:eastAsia="Arial" w:hAnsi="Arial"/>
          <w:sz w:val="18"/>
          <w:szCs w:val="18"/>
          <w:color w:val="auto"/>
        </w:rPr>
        <w:t>The following table sets forth, for the periods indicated, a breakdown of the orders received from unaffiliated customers both by product segment and market.</w:t>
      </w:r>
    </w:p>
    <w:p>
      <w:pPr>
        <w:spacing w:after="0" w:line="144"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3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gridSpan w:val="2"/>
          </w:tcPr>
          <w:p>
            <w:pPr>
              <w:jc w:val="center"/>
              <w:ind w:right="160"/>
              <w:spacing w:after="0"/>
              <w:rPr>
                <w:sz w:val="20"/>
                <w:szCs w:val="20"/>
                <w:color w:val="auto"/>
              </w:rPr>
            </w:pPr>
            <w:r>
              <w:rPr>
                <w:rFonts w:ascii="Arial" w:cs="Arial" w:eastAsia="Arial" w:hAnsi="Arial"/>
                <w:sz w:val="14"/>
                <w:szCs w:val="14"/>
                <w:b w:val="1"/>
                <w:bCs w:val="1"/>
                <w:i w:val="1"/>
                <w:iCs w:val="1"/>
                <w:color w:val="auto"/>
                <w:w w:val="89"/>
              </w:rPr>
              <w:t>Three</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5"/>
          </w:tcPr>
          <w:p>
            <w:pPr>
              <w:jc w:val="center"/>
              <w:ind w:right="200"/>
              <w:spacing w:after="0"/>
              <w:rPr>
                <w:sz w:val="20"/>
                <w:szCs w:val="20"/>
                <w:color w:val="auto"/>
              </w:rPr>
            </w:pPr>
            <w:r>
              <w:rPr>
                <w:rFonts w:ascii="Arial" w:cs="Arial" w:eastAsia="Arial" w:hAnsi="Arial"/>
                <w:sz w:val="14"/>
                <w:szCs w:val="14"/>
                <w:b w:val="1"/>
                <w:bCs w:val="1"/>
                <w:i w:val="1"/>
                <w:iCs w:val="1"/>
                <w:color w:val="auto"/>
                <w:w w:val="89"/>
              </w:rPr>
              <w:t>Three</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3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7"/>
          </w:tcPr>
          <w:p>
            <w:pPr>
              <w:jc w:val="center"/>
              <w:ind w:right="280"/>
              <w:spacing w:after="0" w:line="149" w:lineRule="exact"/>
              <w:rPr>
                <w:sz w:val="20"/>
                <w:szCs w:val="20"/>
                <w:color w:val="auto"/>
              </w:rPr>
            </w:pPr>
            <w:r>
              <w:rPr>
                <w:rFonts w:ascii="Arial" w:cs="Arial" w:eastAsia="Arial" w:hAnsi="Arial"/>
                <w:sz w:val="14"/>
                <w:szCs w:val="14"/>
                <w:b w:val="1"/>
                <w:bCs w:val="1"/>
                <w:i w:val="1"/>
                <w:iCs w:val="1"/>
                <w:color w:val="auto"/>
                <w:w w:val="84"/>
              </w:rPr>
              <w:t>Months Ended</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6"/>
          </w:tcPr>
          <w:p>
            <w:pPr>
              <w:jc w:val="center"/>
              <w:ind w:right="80"/>
              <w:spacing w:after="0" w:line="149" w:lineRule="exact"/>
              <w:rPr>
                <w:sz w:val="20"/>
                <w:szCs w:val="20"/>
                <w:color w:val="auto"/>
              </w:rPr>
            </w:pPr>
            <w:r>
              <w:rPr>
                <w:rFonts w:ascii="Arial" w:cs="Arial" w:eastAsia="Arial" w:hAnsi="Arial"/>
                <w:sz w:val="14"/>
                <w:szCs w:val="14"/>
                <w:b w:val="1"/>
                <w:bCs w:val="1"/>
                <w:i w:val="1"/>
                <w:iCs w:val="1"/>
                <w:color w:val="auto"/>
                <w:w w:val="84"/>
              </w:rPr>
              <w:t>Months Ended</w:t>
            </w: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6"/>
        </w:trPr>
        <w:tc>
          <w:tcPr>
            <w:tcW w:w="3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6"/>
          </w:tcPr>
          <w:p>
            <w:pPr>
              <w:ind w:left="80"/>
              <w:spacing w:after="0" w:line="146" w:lineRule="exact"/>
              <w:rPr>
                <w:sz w:val="20"/>
                <w:szCs w:val="20"/>
                <w:color w:val="auto"/>
              </w:rPr>
            </w:pPr>
            <w:r>
              <w:rPr>
                <w:rFonts w:ascii="Arial" w:cs="Arial" w:eastAsia="Arial" w:hAnsi="Arial"/>
                <w:sz w:val="14"/>
                <w:szCs w:val="14"/>
                <w:b w:val="1"/>
                <w:bCs w:val="1"/>
                <w:i w:val="1"/>
                <w:iCs w:val="1"/>
                <w:color w:val="auto"/>
              </w:rPr>
              <w:t>March 31,</w:t>
            </w:r>
          </w:p>
        </w:tc>
        <w:tc>
          <w:tcPr>
            <w:tcW w:w="180" w:type="dxa"/>
            <w:vAlign w:val="bottom"/>
          </w:tcPr>
          <w:p>
            <w:pPr>
              <w:spacing w:after="0"/>
              <w:rPr>
                <w:sz w:val="12"/>
                <w:szCs w:val="12"/>
                <w:color w:val="auto"/>
              </w:rPr>
            </w:pPr>
          </w:p>
        </w:tc>
        <w:tc>
          <w:tcPr>
            <w:tcW w:w="900" w:type="dxa"/>
            <w:vAlign w:val="bottom"/>
            <w:gridSpan w:val="5"/>
          </w:tcPr>
          <w:p>
            <w:pPr>
              <w:jc w:val="right"/>
              <w:ind w:right="380"/>
              <w:spacing w:after="0" w:line="146" w:lineRule="exact"/>
              <w:rPr>
                <w:sz w:val="20"/>
                <w:szCs w:val="20"/>
                <w:color w:val="auto"/>
              </w:rPr>
            </w:pPr>
            <w:r>
              <w:rPr>
                <w:rFonts w:ascii="Arial" w:cs="Arial" w:eastAsia="Arial" w:hAnsi="Arial"/>
                <w:sz w:val="14"/>
                <w:szCs w:val="14"/>
                <w:b w:val="1"/>
                <w:bCs w:val="1"/>
                <w:i w:val="1"/>
                <w:iCs w:val="1"/>
                <w:color w:val="auto"/>
                <w:w w:val="97"/>
              </w:rPr>
              <w:t>Change</w:t>
            </w:r>
          </w:p>
        </w:tc>
        <w:tc>
          <w:tcPr>
            <w:tcW w:w="80" w:type="dxa"/>
            <w:vAlign w:val="bottom"/>
          </w:tcPr>
          <w:p>
            <w:pPr>
              <w:spacing w:after="0"/>
              <w:rPr>
                <w:sz w:val="12"/>
                <w:szCs w:val="12"/>
                <w:color w:val="auto"/>
              </w:rPr>
            </w:pPr>
          </w:p>
        </w:tc>
        <w:tc>
          <w:tcPr>
            <w:tcW w:w="980" w:type="dxa"/>
            <w:vAlign w:val="bottom"/>
            <w:gridSpan w:val="5"/>
          </w:tcPr>
          <w:p>
            <w:pPr>
              <w:jc w:val="center"/>
              <w:ind w:right="140"/>
              <w:spacing w:after="0" w:line="146" w:lineRule="exact"/>
              <w:rPr>
                <w:sz w:val="20"/>
                <w:szCs w:val="20"/>
                <w:color w:val="auto"/>
              </w:rPr>
            </w:pPr>
            <w:r>
              <w:rPr>
                <w:rFonts w:ascii="Arial" w:cs="Arial" w:eastAsia="Arial" w:hAnsi="Arial"/>
                <w:sz w:val="14"/>
                <w:szCs w:val="14"/>
                <w:b w:val="1"/>
                <w:bCs w:val="1"/>
                <w:i w:val="1"/>
                <w:iCs w:val="1"/>
                <w:color w:val="auto"/>
                <w:w w:val="83"/>
              </w:rPr>
              <w:t>December 31,</w:t>
            </w:r>
          </w:p>
        </w:tc>
        <w:tc>
          <w:tcPr>
            <w:tcW w:w="260" w:type="dxa"/>
            <w:vAlign w:val="bottom"/>
          </w:tcPr>
          <w:p>
            <w:pPr>
              <w:spacing w:after="0"/>
              <w:rPr>
                <w:sz w:val="12"/>
                <w:szCs w:val="12"/>
                <w:color w:val="auto"/>
              </w:rPr>
            </w:pPr>
          </w:p>
        </w:tc>
        <w:tc>
          <w:tcPr>
            <w:tcW w:w="520" w:type="dxa"/>
            <w:vAlign w:val="bottom"/>
            <w:gridSpan w:val="2"/>
          </w:tcPr>
          <w:p>
            <w:pPr>
              <w:jc w:val="right"/>
              <w:ind w:right="20"/>
              <w:spacing w:after="0" w:line="146" w:lineRule="exact"/>
              <w:rPr>
                <w:sz w:val="20"/>
                <w:szCs w:val="20"/>
                <w:color w:val="auto"/>
              </w:rPr>
            </w:pPr>
            <w:r>
              <w:rPr>
                <w:rFonts w:ascii="Arial" w:cs="Arial" w:eastAsia="Arial" w:hAnsi="Arial"/>
                <w:sz w:val="14"/>
                <w:szCs w:val="14"/>
                <w:b w:val="1"/>
                <w:bCs w:val="1"/>
                <w:i w:val="1"/>
                <w:iCs w:val="1"/>
                <w:color w:val="auto"/>
                <w:w w:val="93"/>
              </w:rPr>
              <w:t>Change</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0"/>
        </w:trPr>
        <w:tc>
          <w:tcPr>
            <w:tcW w:w="3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3"/>
        </w:trPr>
        <w:tc>
          <w:tcPr>
            <w:tcW w:w="3380" w:type="dxa"/>
            <w:vAlign w:val="bottom"/>
          </w:tcPr>
          <w:p>
            <w:pPr>
              <w:spacing w:after="0"/>
              <w:rPr>
                <w:sz w:val="19"/>
                <w:szCs w:val="19"/>
                <w:color w:val="auto"/>
              </w:rPr>
            </w:pPr>
          </w:p>
        </w:tc>
        <w:tc>
          <w:tcPr>
            <w:tcW w:w="580" w:type="dxa"/>
            <w:vAlign w:val="bottom"/>
            <w:gridSpan w:val="4"/>
          </w:tcPr>
          <w:p>
            <w:pPr>
              <w:jc w:val="right"/>
              <w:ind w:right="152"/>
              <w:spacing w:after="0"/>
              <w:rPr>
                <w:sz w:val="20"/>
                <w:szCs w:val="20"/>
                <w:color w:val="auto"/>
              </w:rPr>
            </w:pPr>
            <w:r>
              <w:rPr>
                <w:rFonts w:ascii="Arial" w:cs="Arial" w:eastAsia="Arial" w:hAnsi="Arial"/>
                <w:sz w:val="14"/>
                <w:szCs w:val="14"/>
                <w:b w:val="1"/>
                <w:bCs w:val="1"/>
                <w:i w:val="1"/>
                <w:iCs w:val="1"/>
                <w:color w:val="auto"/>
              </w:rPr>
              <w:t>2014</w:t>
            </w:r>
          </w:p>
        </w:tc>
        <w:tc>
          <w:tcPr>
            <w:tcW w:w="28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0"/>
                <w:szCs w:val="10"/>
                <w:b w:val="1"/>
                <w:bCs w:val="1"/>
                <w:i w:val="1"/>
                <w:iCs w:val="1"/>
                <w:color w:val="auto"/>
                <w:w w:val="71"/>
              </w:rPr>
              <w:t>2013</w:t>
            </w:r>
          </w:p>
        </w:tc>
        <w:tc>
          <w:tcPr>
            <w:tcW w:w="60" w:type="dxa"/>
            <w:vAlign w:val="bottom"/>
          </w:tcPr>
          <w:p>
            <w:pPr>
              <w:spacing w:after="0"/>
              <w:rPr>
                <w:sz w:val="19"/>
                <w:szCs w:val="19"/>
                <w:color w:val="auto"/>
              </w:rPr>
            </w:pPr>
          </w:p>
        </w:tc>
        <w:tc>
          <w:tcPr>
            <w:tcW w:w="560" w:type="dxa"/>
            <w:vAlign w:val="bottom"/>
            <w:gridSpan w:val="2"/>
          </w:tcPr>
          <w:p>
            <w:pPr>
              <w:jc w:val="right"/>
              <w:ind w:right="178"/>
              <w:spacing w:after="0"/>
              <w:rPr>
                <w:sz w:val="20"/>
                <w:szCs w:val="20"/>
                <w:color w:val="auto"/>
              </w:rPr>
            </w:pPr>
            <w:r>
              <w:rPr>
                <w:rFonts w:ascii="Arial" w:cs="Arial" w:eastAsia="Arial" w:hAnsi="Arial"/>
                <w:sz w:val="14"/>
                <w:szCs w:val="14"/>
                <w:b w:val="1"/>
                <w:bCs w:val="1"/>
                <w:i w:val="1"/>
                <w:iCs w:val="1"/>
                <w:u w:val="single" w:color="auto"/>
                <w:color w:val="auto"/>
              </w:rPr>
              <w:t>$</w:t>
            </w:r>
          </w:p>
        </w:tc>
        <w:tc>
          <w:tcPr>
            <w:tcW w:w="520" w:type="dxa"/>
            <w:vAlign w:val="bottom"/>
            <w:gridSpan w:val="4"/>
          </w:tcPr>
          <w:p>
            <w:pPr>
              <w:jc w:val="right"/>
              <w:ind w:right="220"/>
              <w:spacing w:after="0"/>
              <w:rPr>
                <w:sz w:val="20"/>
                <w:szCs w:val="20"/>
                <w:color w:val="auto"/>
              </w:rPr>
            </w:pPr>
            <w:r>
              <w:rPr>
                <w:rFonts w:ascii="Arial" w:cs="Arial" w:eastAsia="Arial" w:hAnsi="Arial"/>
                <w:sz w:val="14"/>
                <w:szCs w:val="14"/>
                <w:b w:val="1"/>
                <w:bCs w:val="1"/>
                <w:i w:val="1"/>
                <w:iCs w:val="1"/>
                <w:color w:val="auto"/>
              </w:rPr>
              <w:t>%</w:t>
            </w:r>
          </w:p>
        </w:tc>
        <w:tc>
          <w:tcPr>
            <w:tcW w:w="840" w:type="dxa"/>
            <w:vAlign w:val="bottom"/>
            <w:gridSpan w:val="5"/>
          </w:tcPr>
          <w:p>
            <w:pPr>
              <w:jc w:val="center"/>
              <w:ind w:left="58"/>
              <w:spacing w:after="0"/>
              <w:rPr>
                <w:sz w:val="20"/>
                <w:szCs w:val="20"/>
                <w:color w:val="auto"/>
              </w:rPr>
            </w:pPr>
            <w:r>
              <w:rPr>
                <w:rFonts w:ascii="Arial" w:cs="Arial" w:eastAsia="Arial" w:hAnsi="Arial"/>
                <w:sz w:val="14"/>
                <w:szCs w:val="14"/>
                <w:b w:val="1"/>
                <w:bCs w:val="1"/>
                <w:i w:val="1"/>
                <w:iCs w:val="1"/>
                <w:color w:val="auto"/>
                <w:w w:val="83"/>
              </w:rPr>
              <w:t>2013</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jc w:val="right"/>
              <w:ind w:right="177"/>
              <w:spacing w:after="0"/>
              <w:rPr>
                <w:sz w:val="20"/>
                <w:szCs w:val="20"/>
                <w:color w:val="auto"/>
              </w:rPr>
            </w:pPr>
            <w:r>
              <w:rPr>
                <w:rFonts w:ascii="Arial" w:cs="Arial" w:eastAsia="Arial" w:hAnsi="Arial"/>
                <w:sz w:val="14"/>
                <w:szCs w:val="14"/>
                <w:b w:val="1"/>
                <w:bCs w:val="1"/>
                <w:i w:val="1"/>
                <w:iCs w:val="1"/>
                <w:u w:val="single" w:color="auto"/>
                <w:color w:val="auto"/>
              </w:rPr>
              <w:t>$</w:t>
            </w:r>
          </w:p>
        </w:tc>
        <w:tc>
          <w:tcPr>
            <w:tcW w:w="160" w:type="dxa"/>
            <w:vAlign w:val="bottom"/>
          </w:tcPr>
          <w:p>
            <w:pPr>
              <w:spacing w:after="0"/>
              <w:rPr>
                <w:sz w:val="19"/>
                <w:szCs w:val="19"/>
                <w:color w:val="auto"/>
              </w:rPr>
            </w:pPr>
          </w:p>
        </w:tc>
        <w:tc>
          <w:tcPr>
            <w:tcW w:w="180" w:type="dxa"/>
            <w:vAlign w:val="bottom"/>
            <w:gridSpan w:val="2"/>
          </w:tcPr>
          <w:p>
            <w:pPr>
              <w:ind w:left="80"/>
              <w:spacing w:after="0"/>
              <w:rPr>
                <w:sz w:val="20"/>
                <w:szCs w:val="20"/>
                <w:color w:val="auto"/>
              </w:rPr>
            </w:pPr>
            <w:r>
              <w:rPr>
                <w:rFonts w:ascii="Arial" w:cs="Arial" w:eastAsia="Arial" w:hAnsi="Arial"/>
                <w:sz w:val="12"/>
                <w:szCs w:val="12"/>
                <w:b w:val="1"/>
                <w:bCs w:val="1"/>
                <w:i w:val="1"/>
                <w:iCs w:val="1"/>
                <w:color w:val="auto"/>
                <w:w w:val="74"/>
              </w:rPr>
              <w:t>%</w:t>
            </w:r>
          </w:p>
        </w:tc>
        <w:tc>
          <w:tcPr>
            <w:tcW w:w="160" w:type="dxa"/>
            <w:vAlign w:val="bottom"/>
          </w:tcPr>
          <w:p>
            <w:pPr>
              <w:spacing w:after="0"/>
              <w:rPr>
                <w:sz w:val="19"/>
                <w:szCs w:val="19"/>
                <w:color w:val="auto"/>
              </w:rPr>
            </w:pPr>
          </w:p>
        </w:tc>
      </w:tr>
      <w:tr>
        <w:trPr>
          <w:trHeight w:val="235"/>
        </w:trPr>
        <w:tc>
          <w:tcPr>
            <w:tcW w:w="3380" w:type="dxa"/>
            <w:vAlign w:val="bottom"/>
          </w:tcPr>
          <w:p>
            <w:pPr>
              <w:spacing w:after="0"/>
              <w:rPr>
                <w:sz w:val="20"/>
                <w:szCs w:val="20"/>
                <w:color w:val="auto"/>
              </w:rPr>
            </w:pPr>
            <w:r>
              <w:rPr>
                <w:rFonts w:ascii="Arial" w:cs="Arial" w:eastAsia="Arial" w:hAnsi="Arial"/>
                <w:sz w:val="18"/>
                <w:szCs w:val="18"/>
                <w:b w:val="1"/>
                <w:bCs w:val="1"/>
                <w:i w:val="1"/>
                <w:iCs w:val="1"/>
                <w:color w:val="auto"/>
              </w:rPr>
              <w:t>Orders from unaffiliated customers:</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459"/>
        </w:trPr>
        <w:tc>
          <w:tcPr>
            <w:tcW w:w="3380" w:type="dxa"/>
            <w:vAlign w:val="bottom"/>
          </w:tcPr>
          <w:p>
            <w:pPr>
              <w:spacing w:after="0"/>
              <w:rPr>
                <w:sz w:val="20"/>
                <w:szCs w:val="20"/>
                <w:color w:val="auto"/>
              </w:rPr>
            </w:pPr>
            <w:r>
              <w:rPr>
                <w:rFonts w:ascii="Arial" w:cs="Arial" w:eastAsia="Arial" w:hAnsi="Arial"/>
                <w:sz w:val="18"/>
                <w:szCs w:val="18"/>
                <w:color w:val="auto"/>
              </w:rPr>
              <w:t>Thermal Products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5,644</w:t>
            </w:r>
          </w:p>
        </w:tc>
        <w:tc>
          <w:tcPr>
            <w:tcW w:w="280" w:type="dxa"/>
            <w:vAlign w:val="bottom"/>
          </w:tcPr>
          <w:p>
            <w:pPr>
              <w:spacing w:after="0"/>
              <w:rPr>
                <w:sz w:val="24"/>
                <w:szCs w:val="24"/>
                <w:color w:val="auto"/>
              </w:rPr>
            </w:pPr>
          </w:p>
        </w:tc>
        <w:tc>
          <w:tcPr>
            <w:tcW w:w="420" w:type="dxa"/>
            <w:vAlign w:val="bottom"/>
            <w:gridSpan w:val="3"/>
          </w:tcPr>
          <w:p>
            <w:pPr>
              <w:jc w:val="right"/>
              <w:ind w:right="60"/>
              <w:spacing w:after="0"/>
              <w:rPr>
                <w:sz w:val="20"/>
                <w:szCs w:val="20"/>
                <w:color w:val="auto"/>
              </w:rPr>
            </w:pPr>
            <w:r>
              <w:rPr>
                <w:rFonts w:ascii="Arial" w:cs="Arial" w:eastAsia="Arial" w:hAnsi="Arial"/>
                <w:sz w:val="15"/>
                <w:szCs w:val="15"/>
                <w:color w:val="auto"/>
                <w:w w:val="74"/>
              </w:rPr>
              <w:t>$4,724</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  920</w:t>
            </w:r>
          </w:p>
        </w:tc>
        <w:tc>
          <w:tcPr>
            <w:tcW w:w="520" w:type="dxa"/>
            <w:vAlign w:val="bottom"/>
            <w:gridSpan w:val="4"/>
          </w:tcPr>
          <w:p>
            <w:pPr>
              <w:jc w:val="right"/>
              <w:ind w:right="60"/>
              <w:spacing w:after="0"/>
              <w:rPr>
                <w:sz w:val="20"/>
                <w:szCs w:val="20"/>
                <w:color w:val="auto"/>
              </w:rPr>
            </w:pPr>
            <w:r>
              <w:rPr>
                <w:rFonts w:ascii="Arial" w:cs="Arial" w:eastAsia="Arial" w:hAnsi="Arial"/>
                <w:sz w:val="18"/>
                <w:szCs w:val="18"/>
                <w:color w:val="auto"/>
              </w:rPr>
              <w:t>19%</w:t>
            </w:r>
          </w:p>
        </w:tc>
        <w:tc>
          <w:tcPr>
            <w:tcW w:w="840" w:type="dxa"/>
            <w:vAlign w:val="bottom"/>
            <w:gridSpan w:val="5"/>
          </w:tcPr>
          <w:p>
            <w:pPr>
              <w:jc w:val="right"/>
              <w:spacing w:after="0"/>
              <w:rPr>
                <w:sz w:val="20"/>
                <w:szCs w:val="20"/>
                <w:color w:val="auto"/>
              </w:rPr>
            </w:pPr>
            <w:r>
              <w:rPr>
                <w:rFonts w:ascii="Arial" w:cs="Arial" w:eastAsia="Arial" w:hAnsi="Arial"/>
                <w:sz w:val="18"/>
                <w:szCs w:val="18"/>
                <w:color w:val="auto"/>
              </w:rPr>
              <w:t>$5,329</w:t>
            </w:r>
          </w:p>
        </w:tc>
        <w:tc>
          <w:tcPr>
            <w:tcW w:w="22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315</w:t>
            </w:r>
          </w:p>
        </w:tc>
        <w:tc>
          <w:tcPr>
            <w:tcW w:w="160" w:type="dxa"/>
            <w:vAlign w:val="bottom"/>
          </w:tcPr>
          <w:p>
            <w:pPr>
              <w:spacing w:after="0"/>
              <w:rPr>
                <w:sz w:val="24"/>
                <w:szCs w:val="24"/>
                <w:color w:val="auto"/>
              </w:rPr>
            </w:pP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6%</w:t>
            </w:r>
          </w:p>
        </w:tc>
      </w:tr>
      <w:tr>
        <w:trPr>
          <w:trHeight w:val="459"/>
        </w:trPr>
        <w:tc>
          <w:tcPr>
            <w:tcW w:w="3380" w:type="dxa"/>
            <w:vAlign w:val="bottom"/>
          </w:tcPr>
          <w:p>
            <w:pPr>
              <w:spacing w:after="0"/>
              <w:rPr>
                <w:sz w:val="20"/>
                <w:szCs w:val="20"/>
                <w:color w:val="auto"/>
              </w:rPr>
            </w:pPr>
            <w:r>
              <w:rPr>
                <w:rFonts w:ascii="Arial" w:cs="Arial" w:eastAsia="Arial" w:hAnsi="Arial"/>
                <w:sz w:val="18"/>
                <w:szCs w:val="18"/>
                <w:color w:val="auto"/>
              </w:rPr>
              <w:t>Mechanical Products</w:t>
            </w:r>
          </w:p>
        </w:tc>
        <w:tc>
          <w:tcPr>
            <w:tcW w:w="100" w:type="dxa"/>
            <w:vAlign w:val="bottom"/>
          </w:tcPr>
          <w:p>
            <w:pPr>
              <w:spacing w:after="0"/>
              <w:rPr>
                <w:sz w:val="24"/>
                <w:szCs w:val="24"/>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2,964</w:t>
            </w:r>
          </w:p>
        </w:tc>
        <w:tc>
          <w:tcPr>
            <w:tcW w:w="280" w:type="dxa"/>
            <w:vAlign w:val="bottom"/>
          </w:tcPr>
          <w:p>
            <w:pPr>
              <w:spacing w:after="0"/>
              <w:rPr>
                <w:sz w:val="24"/>
                <w:szCs w:val="24"/>
                <w:color w:val="auto"/>
              </w:rPr>
            </w:pPr>
          </w:p>
        </w:tc>
        <w:tc>
          <w:tcPr>
            <w:tcW w:w="420" w:type="dxa"/>
            <w:vAlign w:val="bottom"/>
            <w:gridSpan w:val="3"/>
          </w:tcPr>
          <w:p>
            <w:pPr>
              <w:jc w:val="right"/>
              <w:ind w:right="60"/>
              <w:spacing w:after="0"/>
              <w:rPr>
                <w:sz w:val="20"/>
                <w:szCs w:val="20"/>
                <w:color w:val="auto"/>
              </w:rPr>
            </w:pPr>
            <w:r>
              <w:rPr>
                <w:rFonts w:ascii="Arial" w:cs="Arial" w:eastAsia="Arial" w:hAnsi="Arial"/>
                <w:sz w:val="18"/>
                <w:szCs w:val="18"/>
                <w:color w:val="auto"/>
                <w:w w:val="75"/>
              </w:rPr>
              <w:t>2,225</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739</w:t>
            </w:r>
          </w:p>
        </w:tc>
        <w:tc>
          <w:tcPr>
            <w:tcW w:w="520" w:type="dxa"/>
            <w:vAlign w:val="bottom"/>
            <w:gridSpan w:val="4"/>
          </w:tcPr>
          <w:p>
            <w:pPr>
              <w:jc w:val="right"/>
              <w:ind w:right="160"/>
              <w:spacing w:after="0"/>
              <w:rPr>
                <w:sz w:val="20"/>
                <w:szCs w:val="20"/>
                <w:color w:val="auto"/>
              </w:rPr>
            </w:pPr>
            <w:r>
              <w:rPr>
                <w:rFonts w:ascii="Arial" w:cs="Arial" w:eastAsia="Arial" w:hAnsi="Arial"/>
                <w:sz w:val="18"/>
                <w:szCs w:val="18"/>
                <w:color w:val="auto"/>
              </w:rPr>
              <w:t>33</w:t>
            </w:r>
          </w:p>
        </w:tc>
        <w:tc>
          <w:tcPr>
            <w:tcW w:w="840" w:type="dxa"/>
            <w:vAlign w:val="bottom"/>
            <w:gridSpan w:val="5"/>
          </w:tcPr>
          <w:p>
            <w:pPr>
              <w:jc w:val="right"/>
              <w:spacing w:after="0"/>
              <w:rPr>
                <w:sz w:val="20"/>
                <w:szCs w:val="20"/>
                <w:color w:val="auto"/>
              </w:rPr>
            </w:pPr>
            <w:r>
              <w:rPr>
                <w:rFonts w:ascii="Arial" w:cs="Arial" w:eastAsia="Arial" w:hAnsi="Arial"/>
                <w:sz w:val="18"/>
                <w:szCs w:val="18"/>
                <w:color w:val="auto"/>
              </w:rPr>
              <w:t>2,366</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598</w:t>
            </w:r>
          </w:p>
        </w:tc>
        <w:tc>
          <w:tcPr>
            <w:tcW w:w="160" w:type="dxa"/>
            <w:vAlign w:val="bottom"/>
          </w:tcPr>
          <w:p>
            <w:pPr>
              <w:spacing w:after="0"/>
              <w:rPr>
                <w:sz w:val="24"/>
                <w:szCs w:val="24"/>
                <w:color w:val="auto"/>
              </w:rPr>
            </w:pPr>
          </w:p>
        </w:tc>
        <w:tc>
          <w:tcPr>
            <w:tcW w:w="340" w:type="dxa"/>
            <w:vAlign w:val="bottom"/>
            <w:gridSpan w:val="3"/>
          </w:tcPr>
          <w:p>
            <w:pPr>
              <w:ind w:left="80"/>
              <w:spacing w:after="0"/>
              <w:rPr>
                <w:sz w:val="20"/>
                <w:szCs w:val="20"/>
                <w:color w:val="auto"/>
              </w:rPr>
            </w:pPr>
            <w:r>
              <w:rPr>
                <w:rFonts w:ascii="Arial" w:cs="Arial" w:eastAsia="Arial" w:hAnsi="Arial"/>
                <w:sz w:val="18"/>
                <w:szCs w:val="18"/>
                <w:color w:val="auto"/>
              </w:rPr>
              <w:t>25</w:t>
            </w:r>
          </w:p>
        </w:tc>
      </w:tr>
      <w:tr>
        <w:trPr>
          <w:trHeight w:val="421"/>
        </w:trPr>
        <w:tc>
          <w:tcPr>
            <w:tcW w:w="3380" w:type="dxa"/>
            <w:vAlign w:val="bottom"/>
          </w:tcPr>
          <w:p>
            <w:pPr>
              <w:spacing w:after="0"/>
              <w:rPr>
                <w:sz w:val="20"/>
                <w:szCs w:val="20"/>
                <w:color w:val="auto"/>
              </w:rPr>
            </w:pPr>
            <w:r>
              <w:rPr>
                <w:rFonts w:ascii="Arial" w:cs="Arial" w:eastAsia="Arial" w:hAnsi="Arial"/>
                <w:sz w:val="18"/>
                <w:szCs w:val="18"/>
                <w:color w:val="auto"/>
              </w:rPr>
              <w:t>Electrical Products</w:t>
            </w:r>
          </w:p>
        </w:tc>
        <w:tc>
          <w:tcPr>
            <w:tcW w:w="100" w:type="dxa"/>
            <w:vAlign w:val="bottom"/>
          </w:tcPr>
          <w:p>
            <w:pPr>
              <w:spacing w:after="0"/>
              <w:rPr>
                <w:sz w:val="24"/>
                <w:szCs w:val="24"/>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1,553</w:t>
            </w:r>
          </w:p>
        </w:tc>
        <w:tc>
          <w:tcPr>
            <w:tcW w:w="280" w:type="dxa"/>
            <w:vAlign w:val="bottom"/>
          </w:tcPr>
          <w:p>
            <w:pPr>
              <w:spacing w:after="0"/>
              <w:rPr>
                <w:sz w:val="24"/>
                <w:szCs w:val="24"/>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759</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794</w:t>
            </w:r>
          </w:p>
        </w:tc>
        <w:tc>
          <w:tcPr>
            <w:tcW w:w="520" w:type="dxa"/>
            <w:vAlign w:val="bottom"/>
            <w:gridSpan w:val="4"/>
          </w:tcPr>
          <w:p>
            <w:pPr>
              <w:jc w:val="right"/>
              <w:ind w:right="160"/>
              <w:spacing w:after="0"/>
              <w:rPr>
                <w:sz w:val="20"/>
                <w:szCs w:val="20"/>
                <w:color w:val="auto"/>
              </w:rPr>
            </w:pPr>
            <w:r>
              <w:rPr>
                <w:rFonts w:ascii="Arial" w:cs="Arial" w:eastAsia="Arial" w:hAnsi="Arial"/>
                <w:sz w:val="18"/>
                <w:szCs w:val="18"/>
                <w:color w:val="auto"/>
              </w:rPr>
              <w:t>105</w:t>
            </w:r>
          </w:p>
        </w:tc>
        <w:tc>
          <w:tcPr>
            <w:tcW w:w="400" w:type="dxa"/>
            <w:vAlign w:val="bottom"/>
            <w:gridSpan w:val="3"/>
          </w:tcPr>
          <w:p>
            <w:pPr>
              <w:spacing w:after="0"/>
              <w:rPr>
                <w:sz w:val="24"/>
                <w:szCs w:val="24"/>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93"/>
              </w:rPr>
              <w:t>1,565</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340" w:type="dxa"/>
            <w:vAlign w:val="bottom"/>
            <w:gridSpan w:val="3"/>
          </w:tcPr>
          <w:p>
            <w:pPr>
              <w:jc w:val="right"/>
              <w:ind w:right="40"/>
              <w:spacing w:after="0"/>
              <w:rPr>
                <w:sz w:val="20"/>
                <w:szCs w:val="20"/>
                <w:color w:val="auto"/>
              </w:rPr>
            </w:pPr>
            <w:r>
              <w:rPr>
                <w:rFonts w:ascii="Arial" w:cs="Arial" w:eastAsia="Arial" w:hAnsi="Arial"/>
                <w:sz w:val="18"/>
                <w:szCs w:val="18"/>
                <w:color w:val="auto"/>
              </w:rPr>
              <w:t>(1)</w:t>
            </w:r>
          </w:p>
        </w:tc>
      </w:tr>
      <w:tr>
        <w:trPr>
          <w:trHeight w:val="20"/>
        </w:trPr>
        <w:tc>
          <w:tcPr>
            <w:tcW w:w="33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r>
      <w:tr>
        <w:trPr>
          <w:trHeight w:val="439"/>
        </w:trPr>
        <w:tc>
          <w:tcPr>
            <w:tcW w:w="33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w w:val="83"/>
              </w:rPr>
              <w:t>10,161</w:t>
            </w:r>
          </w:p>
        </w:tc>
        <w:tc>
          <w:tcPr>
            <w:tcW w:w="280" w:type="dxa"/>
            <w:vAlign w:val="bottom"/>
          </w:tcPr>
          <w:p>
            <w:pPr>
              <w:spacing w:after="0"/>
              <w:rPr>
                <w:sz w:val="24"/>
                <w:szCs w:val="24"/>
                <w:color w:val="auto"/>
              </w:rPr>
            </w:pPr>
          </w:p>
        </w:tc>
        <w:tc>
          <w:tcPr>
            <w:tcW w:w="360" w:type="dxa"/>
            <w:vAlign w:val="bottom"/>
            <w:gridSpan w:val="2"/>
          </w:tcPr>
          <w:p>
            <w:pPr>
              <w:jc w:val="right"/>
              <w:spacing w:after="0"/>
              <w:rPr>
                <w:sz w:val="20"/>
                <w:szCs w:val="20"/>
                <w:color w:val="auto"/>
              </w:rPr>
            </w:pPr>
            <w:r>
              <w:rPr>
                <w:rFonts w:ascii="Arial" w:cs="Arial" w:eastAsia="Arial" w:hAnsi="Arial"/>
                <w:sz w:val="15"/>
                <w:szCs w:val="15"/>
                <w:u w:val="single" w:color="auto"/>
                <w:color w:val="auto"/>
                <w:w w:val="74"/>
              </w:rPr>
              <w:t>$</w:t>
            </w:r>
            <w:r>
              <w:rPr>
                <w:rFonts w:ascii="Arial" w:cs="Arial" w:eastAsia="Arial" w:hAnsi="Arial"/>
                <w:sz w:val="15"/>
                <w:szCs w:val="15"/>
                <w:color w:val="auto"/>
                <w:w w:val="74"/>
              </w:rPr>
              <w:t>7,708</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6"/>
                <w:szCs w:val="16"/>
                <w:u w:val="single" w:color="auto"/>
                <w:color w:val="auto"/>
                <w:w w:val="73"/>
              </w:rPr>
              <w:t>$</w:t>
            </w:r>
            <w:r>
              <w:rPr>
                <w:rFonts w:ascii="Arial" w:cs="Arial" w:eastAsia="Arial" w:hAnsi="Arial"/>
                <w:sz w:val="16"/>
                <w:szCs w:val="16"/>
                <w:color w:val="auto"/>
                <w:w w:val="73"/>
              </w:rPr>
              <w:t>2,453</w:t>
            </w:r>
          </w:p>
        </w:tc>
        <w:tc>
          <w:tcPr>
            <w:tcW w:w="520" w:type="dxa"/>
            <w:vAlign w:val="bottom"/>
            <w:gridSpan w:val="4"/>
          </w:tcPr>
          <w:p>
            <w:pPr>
              <w:jc w:val="right"/>
              <w:ind w:right="60"/>
              <w:spacing w:after="0"/>
              <w:rPr>
                <w:sz w:val="20"/>
                <w:szCs w:val="20"/>
                <w:color w:val="auto"/>
              </w:rPr>
            </w:pPr>
            <w:r>
              <w:rPr>
                <w:rFonts w:ascii="Arial" w:cs="Arial" w:eastAsia="Arial" w:hAnsi="Arial"/>
                <w:sz w:val="18"/>
                <w:szCs w:val="18"/>
                <w:color w:val="auto"/>
              </w:rPr>
              <w:t>32%</w:t>
            </w:r>
          </w:p>
        </w:tc>
        <w:tc>
          <w:tcPr>
            <w:tcW w:w="840" w:type="dxa"/>
            <w:vAlign w:val="bottom"/>
            <w:gridSpan w:val="5"/>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9,260</w:t>
            </w:r>
          </w:p>
        </w:tc>
        <w:tc>
          <w:tcPr>
            <w:tcW w:w="22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901</w:t>
            </w:r>
          </w:p>
        </w:tc>
        <w:tc>
          <w:tcPr>
            <w:tcW w:w="160" w:type="dxa"/>
            <w:vAlign w:val="bottom"/>
          </w:tcPr>
          <w:p>
            <w:pPr>
              <w:spacing w:after="0"/>
              <w:rPr>
                <w:sz w:val="24"/>
                <w:szCs w:val="24"/>
                <w:color w:val="auto"/>
              </w:rPr>
            </w:pPr>
          </w:p>
        </w:tc>
        <w:tc>
          <w:tcPr>
            <w:tcW w:w="340" w:type="dxa"/>
            <w:vAlign w:val="bottom"/>
            <w:gridSpan w:val="3"/>
          </w:tcPr>
          <w:p>
            <w:pPr>
              <w:jc w:val="right"/>
              <w:spacing w:after="0"/>
              <w:rPr>
                <w:sz w:val="20"/>
                <w:szCs w:val="20"/>
                <w:color w:val="auto"/>
              </w:rPr>
            </w:pPr>
            <w:r>
              <w:rPr>
                <w:rFonts w:ascii="Arial" w:cs="Arial" w:eastAsia="Arial" w:hAnsi="Arial"/>
                <w:sz w:val="18"/>
                <w:szCs w:val="18"/>
                <w:color w:val="auto"/>
                <w:w w:val="88"/>
              </w:rPr>
              <w:t>10%</w:t>
            </w:r>
          </w:p>
        </w:tc>
      </w:tr>
      <w:tr>
        <w:trPr>
          <w:trHeight w:val="20"/>
        </w:trPr>
        <w:tc>
          <w:tcPr>
            <w:tcW w:w="338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400" w:type="dxa"/>
            <w:vAlign w:val="bottom"/>
            <w:tcBorders>
              <w:right w:val="single" w:sz="8" w:color="auto"/>
            </w:tcBorders>
            <w:gridSpan w:val="3"/>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r>
      <w:tr>
        <w:trPr>
          <w:trHeight w:val="721"/>
        </w:trPr>
        <w:tc>
          <w:tcPr>
            <w:tcW w:w="3380" w:type="dxa"/>
            <w:vAlign w:val="bottom"/>
          </w:tcPr>
          <w:p>
            <w:pPr>
              <w:spacing w:after="0"/>
              <w:rPr>
                <w:sz w:val="20"/>
                <w:szCs w:val="20"/>
                <w:color w:val="auto"/>
              </w:rPr>
            </w:pPr>
            <w:r>
              <w:rPr>
                <w:rFonts w:ascii="Arial" w:cs="Arial" w:eastAsia="Arial" w:hAnsi="Arial"/>
                <w:sz w:val="18"/>
                <w:szCs w:val="18"/>
                <w:color w:val="auto"/>
              </w:rPr>
              <w:t>ATE market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8,219</w:t>
            </w:r>
          </w:p>
        </w:tc>
        <w:tc>
          <w:tcPr>
            <w:tcW w:w="280" w:type="dxa"/>
            <w:vAlign w:val="bottom"/>
          </w:tcPr>
          <w:p>
            <w:pPr>
              <w:spacing w:after="0"/>
              <w:rPr>
                <w:sz w:val="24"/>
                <w:szCs w:val="24"/>
                <w:color w:val="auto"/>
              </w:rPr>
            </w:pPr>
          </w:p>
        </w:tc>
        <w:tc>
          <w:tcPr>
            <w:tcW w:w="360" w:type="dxa"/>
            <w:vAlign w:val="bottom"/>
            <w:gridSpan w:val="2"/>
          </w:tcPr>
          <w:p>
            <w:pPr>
              <w:jc w:val="right"/>
              <w:spacing w:after="0"/>
              <w:rPr>
                <w:sz w:val="20"/>
                <w:szCs w:val="20"/>
                <w:color w:val="auto"/>
              </w:rPr>
            </w:pPr>
            <w:r>
              <w:rPr>
                <w:rFonts w:ascii="Arial" w:cs="Arial" w:eastAsia="Arial" w:hAnsi="Arial"/>
                <w:sz w:val="15"/>
                <w:szCs w:val="15"/>
                <w:color w:val="auto"/>
                <w:w w:val="74"/>
              </w:rPr>
              <w:t>$6,183</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w w:val="73"/>
              </w:rPr>
              <w:t>$2,036</w:t>
            </w:r>
          </w:p>
        </w:tc>
        <w:tc>
          <w:tcPr>
            <w:tcW w:w="520" w:type="dxa"/>
            <w:vAlign w:val="bottom"/>
            <w:gridSpan w:val="4"/>
          </w:tcPr>
          <w:p>
            <w:pPr>
              <w:jc w:val="right"/>
              <w:ind w:right="60"/>
              <w:spacing w:after="0"/>
              <w:rPr>
                <w:sz w:val="20"/>
                <w:szCs w:val="20"/>
                <w:color w:val="auto"/>
              </w:rPr>
            </w:pPr>
            <w:r>
              <w:rPr>
                <w:rFonts w:ascii="Arial" w:cs="Arial" w:eastAsia="Arial" w:hAnsi="Arial"/>
                <w:sz w:val="18"/>
                <w:szCs w:val="18"/>
                <w:color w:val="auto"/>
              </w:rPr>
              <w:t>33%</w:t>
            </w:r>
          </w:p>
        </w:tc>
        <w:tc>
          <w:tcPr>
            <w:tcW w:w="840" w:type="dxa"/>
            <w:vAlign w:val="bottom"/>
            <w:gridSpan w:val="5"/>
          </w:tcPr>
          <w:p>
            <w:pPr>
              <w:jc w:val="right"/>
              <w:spacing w:after="0"/>
              <w:rPr>
                <w:sz w:val="20"/>
                <w:szCs w:val="20"/>
                <w:color w:val="auto"/>
              </w:rPr>
            </w:pPr>
            <w:r>
              <w:rPr>
                <w:rFonts w:ascii="Arial" w:cs="Arial" w:eastAsia="Arial" w:hAnsi="Arial"/>
                <w:sz w:val="18"/>
                <w:szCs w:val="18"/>
                <w:color w:val="auto"/>
              </w:rPr>
              <w:t>$7,025</w:t>
            </w:r>
          </w:p>
        </w:tc>
        <w:tc>
          <w:tcPr>
            <w:tcW w:w="22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$1,194</w:t>
            </w:r>
          </w:p>
        </w:tc>
        <w:tc>
          <w:tcPr>
            <w:tcW w:w="160" w:type="dxa"/>
            <w:vAlign w:val="bottom"/>
          </w:tcPr>
          <w:p>
            <w:pPr>
              <w:spacing w:after="0"/>
              <w:rPr>
                <w:sz w:val="24"/>
                <w:szCs w:val="24"/>
                <w:color w:val="auto"/>
              </w:rPr>
            </w:pPr>
          </w:p>
        </w:tc>
        <w:tc>
          <w:tcPr>
            <w:tcW w:w="340" w:type="dxa"/>
            <w:vAlign w:val="bottom"/>
            <w:gridSpan w:val="3"/>
          </w:tcPr>
          <w:p>
            <w:pPr>
              <w:jc w:val="right"/>
              <w:spacing w:after="0"/>
              <w:rPr>
                <w:sz w:val="20"/>
                <w:szCs w:val="20"/>
                <w:color w:val="auto"/>
              </w:rPr>
            </w:pPr>
            <w:r>
              <w:rPr>
                <w:rFonts w:ascii="Arial" w:cs="Arial" w:eastAsia="Arial" w:hAnsi="Arial"/>
                <w:sz w:val="18"/>
                <w:szCs w:val="18"/>
                <w:color w:val="auto"/>
                <w:w w:val="88"/>
              </w:rPr>
              <w:t>17%</w:t>
            </w:r>
          </w:p>
        </w:tc>
      </w:tr>
      <w:tr>
        <w:trPr>
          <w:trHeight w:val="421"/>
        </w:trPr>
        <w:tc>
          <w:tcPr>
            <w:tcW w:w="3380" w:type="dxa"/>
            <w:vAlign w:val="bottom"/>
          </w:tcPr>
          <w:p>
            <w:pPr>
              <w:spacing w:after="0"/>
              <w:rPr>
                <w:sz w:val="20"/>
                <w:szCs w:val="20"/>
                <w:color w:val="auto"/>
              </w:rPr>
            </w:pPr>
            <w:r>
              <w:rPr>
                <w:rFonts w:ascii="Arial" w:cs="Arial" w:eastAsia="Arial" w:hAnsi="Arial"/>
                <w:sz w:val="18"/>
                <w:szCs w:val="18"/>
                <w:color w:val="auto"/>
              </w:rPr>
              <w:t>Non-ATE market</w:t>
            </w:r>
          </w:p>
        </w:tc>
        <w:tc>
          <w:tcPr>
            <w:tcW w:w="100" w:type="dxa"/>
            <w:vAlign w:val="bottom"/>
          </w:tcPr>
          <w:p>
            <w:pPr>
              <w:spacing w:after="0"/>
              <w:rPr>
                <w:sz w:val="24"/>
                <w:szCs w:val="24"/>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1,942</w:t>
            </w:r>
          </w:p>
        </w:tc>
        <w:tc>
          <w:tcPr>
            <w:tcW w:w="280" w:type="dxa"/>
            <w:vAlign w:val="bottom"/>
          </w:tcPr>
          <w:p>
            <w:pPr>
              <w:spacing w:after="0"/>
              <w:rPr>
                <w:sz w:val="24"/>
                <w:szCs w:val="24"/>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w w:val="75"/>
              </w:rPr>
              <w:t>1,525</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417</w:t>
            </w:r>
          </w:p>
        </w:tc>
        <w:tc>
          <w:tcPr>
            <w:tcW w:w="520" w:type="dxa"/>
            <w:vAlign w:val="bottom"/>
            <w:gridSpan w:val="4"/>
          </w:tcPr>
          <w:p>
            <w:pPr>
              <w:jc w:val="right"/>
              <w:ind w:right="160"/>
              <w:spacing w:after="0"/>
              <w:rPr>
                <w:sz w:val="20"/>
                <w:szCs w:val="20"/>
                <w:color w:val="auto"/>
              </w:rPr>
            </w:pPr>
            <w:r>
              <w:rPr>
                <w:rFonts w:ascii="Arial" w:cs="Arial" w:eastAsia="Arial" w:hAnsi="Arial"/>
                <w:sz w:val="18"/>
                <w:szCs w:val="18"/>
                <w:color w:val="auto"/>
              </w:rPr>
              <w:t>27</w:t>
            </w:r>
          </w:p>
        </w:tc>
        <w:tc>
          <w:tcPr>
            <w:tcW w:w="400" w:type="dxa"/>
            <w:vAlign w:val="bottom"/>
            <w:gridSpan w:val="3"/>
          </w:tcPr>
          <w:p>
            <w:pPr>
              <w:spacing w:after="0"/>
              <w:rPr>
                <w:sz w:val="24"/>
                <w:szCs w:val="24"/>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93"/>
              </w:rPr>
              <w:t>2,235</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(293)</w:t>
            </w:r>
          </w:p>
        </w:tc>
        <w:tc>
          <w:tcPr>
            <w:tcW w:w="340" w:type="dxa"/>
            <w:vAlign w:val="bottom"/>
            <w:gridSpan w:val="3"/>
          </w:tcPr>
          <w:p>
            <w:pPr>
              <w:jc w:val="right"/>
              <w:ind w:right="40"/>
              <w:spacing w:after="0"/>
              <w:rPr>
                <w:sz w:val="20"/>
                <w:szCs w:val="20"/>
                <w:color w:val="auto"/>
              </w:rPr>
            </w:pPr>
            <w:r>
              <w:rPr>
                <w:rFonts w:ascii="Arial" w:cs="Arial" w:eastAsia="Arial" w:hAnsi="Arial"/>
                <w:sz w:val="18"/>
                <w:szCs w:val="18"/>
                <w:color w:val="auto"/>
                <w:w w:val="87"/>
              </w:rPr>
              <w:t>(13)</w:t>
            </w:r>
          </w:p>
        </w:tc>
      </w:tr>
      <w:tr>
        <w:trPr>
          <w:trHeight w:val="20"/>
        </w:trPr>
        <w:tc>
          <w:tcPr>
            <w:tcW w:w="33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r>
      <w:tr>
        <w:trPr>
          <w:trHeight w:val="439"/>
        </w:trPr>
        <w:tc>
          <w:tcPr>
            <w:tcW w:w="33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w w:val="83"/>
              </w:rPr>
              <w:t>10,161</w:t>
            </w:r>
          </w:p>
        </w:tc>
        <w:tc>
          <w:tcPr>
            <w:tcW w:w="280" w:type="dxa"/>
            <w:vAlign w:val="bottom"/>
          </w:tcPr>
          <w:p>
            <w:pPr>
              <w:spacing w:after="0"/>
              <w:rPr>
                <w:sz w:val="24"/>
                <w:szCs w:val="24"/>
                <w:color w:val="auto"/>
              </w:rPr>
            </w:pPr>
          </w:p>
        </w:tc>
        <w:tc>
          <w:tcPr>
            <w:tcW w:w="360" w:type="dxa"/>
            <w:vAlign w:val="bottom"/>
            <w:gridSpan w:val="2"/>
          </w:tcPr>
          <w:p>
            <w:pPr>
              <w:jc w:val="right"/>
              <w:spacing w:after="0"/>
              <w:rPr>
                <w:sz w:val="20"/>
                <w:szCs w:val="20"/>
                <w:color w:val="auto"/>
              </w:rPr>
            </w:pPr>
            <w:r>
              <w:rPr>
                <w:rFonts w:ascii="Arial" w:cs="Arial" w:eastAsia="Arial" w:hAnsi="Arial"/>
                <w:sz w:val="15"/>
                <w:szCs w:val="15"/>
                <w:u w:val="single" w:color="auto"/>
                <w:color w:val="auto"/>
                <w:w w:val="74"/>
              </w:rPr>
              <w:t>$</w:t>
            </w:r>
            <w:r>
              <w:rPr>
                <w:rFonts w:ascii="Arial" w:cs="Arial" w:eastAsia="Arial" w:hAnsi="Arial"/>
                <w:sz w:val="15"/>
                <w:szCs w:val="15"/>
                <w:color w:val="auto"/>
                <w:w w:val="74"/>
              </w:rPr>
              <w:t>7,708</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6"/>
                <w:szCs w:val="16"/>
                <w:u w:val="single" w:color="auto"/>
                <w:color w:val="auto"/>
                <w:w w:val="73"/>
              </w:rPr>
              <w:t>$</w:t>
            </w:r>
            <w:r>
              <w:rPr>
                <w:rFonts w:ascii="Arial" w:cs="Arial" w:eastAsia="Arial" w:hAnsi="Arial"/>
                <w:sz w:val="16"/>
                <w:szCs w:val="16"/>
                <w:color w:val="auto"/>
                <w:w w:val="73"/>
              </w:rPr>
              <w:t>2,453</w:t>
            </w:r>
          </w:p>
        </w:tc>
        <w:tc>
          <w:tcPr>
            <w:tcW w:w="520" w:type="dxa"/>
            <w:vAlign w:val="bottom"/>
            <w:gridSpan w:val="4"/>
          </w:tcPr>
          <w:p>
            <w:pPr>
              <w:jc w:val="right"/>
              <w:ind w:right="60"/>
              <w:spacing w:after="0"/>
              <w:rPr>
                <w:sz w:val="20"/>
                <w:szCs w:val="20"/>
                <w:color w:val="auto"/>
              </w:rPr>
            </w:pPr>
            <w:r>
              <w:rPr>
                <w:rFonts w:ascii="Arial" w:cs="Arial" w:eastAsia="Arial" w:hAnsi="Arial"/>
                <w:sz w:val="18"/>
                <w:szCs w:val="18"/>
                <w:color w:val="auto"/>
              </w:rPr>
              <w:t>32%</w:t>
            </w:r>
          </w:p>
        </w:tc>
        <w:tc>
          <w:tcPr>
            <w:tcW w:w="840" w:type="dxa"/>
            <w:vAlign w:val="bottom"/>
            <w:gridSpan w:val="5"/>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9,260</w:t>
            </w:r>
          </w:p>
        </w:tc>
        <w:tc>
          <w:tcPr>
            <w:tcW w:w="22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901</w:t>
            </w:r>
          </w:p>
        </w:tc>
        <w:tc>
          <w:tcPr>
            <w:tcW w:w="160" w:type="dxa"/>
            <w:vAlign w:val="bottom"/>
          </w:tcPr>
          <w:p>
            <w:pPr>
              <w:spacing w:after="0"/>
              <w:rPr>
                <w:sz w:val="24"/>
                <w:szCs w:val="24"/>
                <w:color w:val="auto"/>
              </w:rPr>
            </w:pPr>
          </w:p>
        </w:tc>
        <w:tc>
          <w:tcPr>
            <w:tcW w:w="340" w:type="dxa"/>
            <w:vAlign w:val="bottom"/>
            <w:gridSpan w:val="3"/>
          </w:tcPr>
          <w:p>
            <w:pPr>
              <w:jc w:val="right"/>
              <w:spacing w:after="0"/>
              <w:rPr>
                <w:sz w:val="20"/>
                <w:szCs w:val="20"/>
                <w:color w:val="auto"/>
              </w:rPr>
            </w:pPr>
            <w:r>
              <w:rPr>
                <w:rFonts w:ascii="Arial" w:cs="Arial" w:eastAsia="Arial" w:hAnsi="Arial"/>
                <w:sz w:val="18"/>
                <w:szCs w:val="18"/>
                <w:color w:val="auto"/>
                <w:w w:val="88"/>
              </w:rPr>
              <w:t>10%</w:t>
            </w:r>
          </w:p>
        </w:tc>
      </w:tr>
      <w:tr>
        <w:trPr>
          <w:trHeight w:val="20"/>
        </w:trPr>
        <w:tc>
          <w:tcPr>
            <w:tcW w:w="338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ind w:left="540" w:right="60"/>
        <w:spacing w:after="0" w:line="256" w:lineRule="auto"/>
        <w:rPr>
          <w:sz w:val="20"/>
          <w:szCs w:val="20"/>
          <w:color w:val="auto"/>
        </w:rPr>
      </w:pPr>
      <w:r>
        <w:rPr>
          <w:rFonts w:ascii="Arial" w:cs="Arial" w:eastAsia="Arial" w:hAnsi="Arial"/>
          <w:sz w:val="18"/>
          <w:szCs w:val="18"/>
          <w:color w:val="auto"/>
        </w:rPr>
        <w:t>Total consolidated orders for the quarter ended March 31, 2014 were $10.2 million compared to $7.7 million for the same period in 2013 and $9.3 million for the quarter ended December 31, 2013. The increase in consolidated orders primarily reflects improved demand in the ATE market for all of our product segments, as well as new product introductions in our Mechanical and Electrical Products segment and continued penetration into non-ATE markets.</w:t>
      </w:r>
    </w:p>
    <w:p>
      <w:pPr>
        <w:spacing w:after="0" w:line="197" w:lineRule="exact"/>
        <w:rPr>
          <w:sz w:val="20"/>
          <w:szCs w:val="20"/>
          <w:color w:val="auto"/>
        </w:rPr>
      </w:pPr>
    </w:p>
    <w:p>
      <w:pPr>
        <w:ind w:left="540"/>
        <w:spacing w:after="0" w:line="291" w:lineRule="auto"/>
        <w:rPr>
          <w:sz w:val="20"/>
          <w:szCs w:val="20"/>
          <w:color w:val="auto"/>
        </w:rPr>
      </w:pPr>
      <w:r>
        <w:rPr>
          <w:rFonts w:ascii="Arial" w:cs="Arial" w:eastAsia="Arial" w:hAnsi="Arial"/>
          <w:sz w:val="16"/>
          <w:szCs w:val="16"/>
          <w:color w:val="auto"/>
        </w:rPr>
        <w:t>Orders from customers in various markets outside of the ATE market for the quarter ended March 31, 2014, grew by 27% as compared to the same period in 2013, reflecting increased demand from certain customers in the telecommunications and other non-ATE markets. However, as a percent of our total consolidated orders, non-ATE markets orders declined from 20% in the first quarter of 2013 to 19% in the first quarter of 2014, reflecting the significant increase in demand from our customers in the ATE market during the first quarter of 2014 as compared to the same period in 2013. Orders from customers in various markets outside of the ATE market for the quarter ended March 31, 2014 declined 13% as compared to the quarter ended December 31, 2013, reflecting reduced demand from certain customers in both the telecommunications and industrial markets.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- 15 -</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OF FINANCIAL CONDITION AND RESULTS OF OPERATIONS </w:t>
      </w:r>
      <w:r>
        <w:rPr>
          <w:rFonts w:ascii="Arial" w:cs="Arial" w:eastAsia="Arial" w:hAnsi="Arial"/>
          <w:sz w:val="18"/>
          <w:szCs w:val="18"/>
          <w:color w:val="auto"/>
        </w:rPr>
        <w:t>(Continued)</w:t>
      </w:r>
    </w:p>
    <w:p>
      <w:pPr>
        <w:spacing w:after="0" w:line="191" w:lineRule="exact"/>
        <w:rPr>
          <w:sz w:val="20"/>
          <w:szCs w:val="20"/>
          <w:color w:val="auto"/>
        </w:rPr>
      </w:pPr>
    </w:p>
    <w:p>
      <w:pPr>
        <w:ind w:left="540" w:right="160"/>
        <w:spacing w:after="0" w:line="332" w:lineRule="auto"/>
        <w:rPr>
          <w:sz w:val="20"/>
          <w:szCs w:val="20"/>
          <w:color w:val="auto"/>
        </w:rPr>
      </w:pPr>
      <w:r>
        <w:rPr>
          <w:rFonts w:ascii="Arial" w:cs="Arial" w:eastAsia="Arial" w:hAnsi="Arial"/>
          <w:sz w:val="16"/>
          <w:szCs w:val="16"/>
          <w:color w:val="auto"/>
        </w:rPr>
        <w:t>At March 31, 2014, our backlog of unfilled orders for all products was approximately $4.5 million compared with approximately $2.9 million at March 31, 2013 and $3.1 million at December 31, 2013. Our backlog includes customer orders which we have accepted, substantially all of which we expect to</w:t>
      </w:r>
    </w:p>
    <w:p>
      <w:pPr>
        <w:sectPr>
          <w:pgSz w:w="11900" w:h="16838" w:orient="portrait"/>
          <w:cols w:equalWidth="0" w:num="1">
            <w:col w:w="11420"/>
          </w:cols>
          <w:pgMar w:left="240" w:top="131" w:right="239" w:bottom="0" w:gutter="0" w:footer="0" w:header="0"/>
        </w:sectPr>
      </w:pPr>
    </w:p>
    <w:bookmarkStart w:id="14" w:name="page15"/>
    <w:bookmarkEnd w:id="14"/>
    <w:p>
      <w:pPr>
        <w:spacing w:after="0" w:line="32" w:lineRule="exact"/>
        <w:rPr>
          <w:sz w:val="20"/>
          <w:szCs w:val="20"/>
          <w:color w:val="auto"/>
        </w:rPr>
      </w:pPr>
    </w:p>
    <w:p>
      <w:pPr>
        <w:ind w:left="540" w:right="20"/>
        <w:spacing w:after="0" w:line="298" w:lineRule="auto"/>
        <w:rPr>
          <w:sz w:val="20"/>
          <w:szCs w:val="20"/>
          <w:color w:val="auto"/>
        </w:rPr>
      </w:pPr>
      <w:r>
        <w:rPr>
          <w:rFonts w:ascii="Arial" w:cs="Arial" w:eastAsia="Arial" w:hAnsi="Arial"/>
          <w:sz w:val="16"/>
          <w:szCs w:val="16"/>
          <w:color w:val="auto"/>
        </w:rPr>
        <w:t>deliver in 2014. While backlog is calculated on the basis of firm purchase orders, a customer may cancel an order or accelerate or postpone currently scheduled delivery dates. Our backlog may be affected by the tendency of customers to rely on short lead times available from suppliers, including us, in periods of depressed demand. In periods of increased demand, there is a tendency towards longer lead times that has the effect of increasing backlog. As a result, our backlog at a particular date is not necessarily indicative of sales for any future period.</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Net Revenues</w:t>
      </w:r>
    </w:p>
    <w:p>
      <w:pPr>
        <w:spacing w:after="0" w:line="225" w:lineRule="exact"/>
        <w:rPr>
          <w:sz w:val="20"/>
          <w:szCs w:val="20"/>
          <w:color w:val="auto"/>
        </w:rPr>
      </w:pPr>
    </w:p>
    <w:p>
      <w:pPr>
        <w:ind w:left="540" w:right="540"/>
        <w:spacing w:after="0" w:line="268" w:lineRule="auto"/>
        <w:rPr>
          <w:sz w:val="20"/>
          <w:szCs w:val="20"/>
          <w:color w:val="auto"/>
        </w:rPr>
      </w:pPr>
      <w:r>
        <w:rPr>
          <w:rFonts w:ascii="Arial" w:cs="Arial" w:eastAsia="Arial" w:hAnsi="Arial"/>
          <w:sz w:val="18"/>
          <w:szCs w:val="18"/>
          <w:color w:val="auto"/>
        </w:rPr>
        <w:t>The following table sets forth, for the periods indicated, a breakdown of the net revenues from unaffiliated customers both by product segment and market.</w:t>
      </w:r>
    </w:p>
    <w:p>
      <w:pPr>
        <w:spacing w:after="0" w:line="144"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6"/>
          </w:tcPr>
          <w:p>
            <w:pPr>
              <w:jc w:val="right"/>
              <w:ind w:right="400"/>
              <w:spacing w:after="0"/>
              <w:rPr>
                <w:sz w:val="20"/>
                <w:szCs w:val="20"/>
                <w:color w:val="auto"/>
              </w:rPr>
            </w:pPr>
            <w:r>
              <w:rPr>
                <w:rFonts w:ascii="Arial" w:cs="Arial" w:eastAsia="Arial" w:hAnsi="Arial"/>
                <w:sz w:val="14"/>
                <w:szCs w:val="14"/>
                <w:b w:val="1"/>
                <w:bCs w:val="1"/>
                <w:i w:val="1"/>
                <w:iCs w:val="1"/>
                <w:color w:val="auto"/>
              </w:rPr>
              <w:t>Three</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5"/>
          </w:tcPr>
          <w:p>
            <w:pPr>
              <w:jc w:val="center"/>
              <w:ind w:right="140"/>
              <w:spacing w:after="0"/>
              <w:rPr>
                <w:sz w:val="20"/>
                <w:szCs w:val="20"/>
                <w:color w:val="auto"/>
              </w:rPr>
            </w:pPr>
            <w:r>
              <w:rPr>
                <w:rFonts w:ascii="Arial" w:cs="Arial" w:eastAsia="Arial" w:hAnsi="Arial"/>
                <w:sz w:val="14"/>
                <w:szCs w:val="14"/>
                <w:b w:val="1"/>
                <w:bCs w:val="1"/>
                <w:i w:val="1"/>
                <w:iCs w:val="1"/>
                <w:color w:val="auto"/>
                <w:w w:val="89"/>
              </w:rPr>
              <w:t>Three</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3900" w:type="dxa"/>
            <w:vAlign w:val="bottom"/>
          </w:tcPr>
          <w:p>
            <w:pPr>
              <w:spacing w:after="0"/>
              <w:rPr>
                <w:sz w:val="12"/>
                <w:szCs w:val="12"/>
                <w:color w:val="auto"/>
              </w:rPr>
            </w:pPr>
          </w:p>
        </w:tc>
        <w:tc>
          <w:tcPr>
            <w:tcW w:w="960" w:type="dxa"/>
            <w:vAlign w:val="bottom"/>
            <w:gridSpan w:val="7"/>
          </w:tcPr>
          <w:p>
            <w:pPr>
              <w:jc w:val="right"/>
              <w:ind w:right="140"/>
              <w:spacing w:after="0" w:line="149" w:lineRule="exact"/>
              <w:rPr>
                <w:sz w:val="20"/>
                <w:szCs w:val="20"/>
                <w:color w:val="auto"/>
              </w:rPr>
            </w:pPr>
            <w:r>
              <w:rPr>
                <w:rFonts w:ascii="Arial" w:cs="Arial" w:eastAsia="Arial" w:hAnsi="Arial"/>
                <w:sz w:val="14"/>
                <w:szCs w:val="14"/>
                <w:b w:val="1"/>
                <w:bCs w:val="1"/>
                <w:i w:val="1"/>
                <w:iCs w:val="1"/>
                <w:color w:val="auto"/>
                <w:w w:val="82"/>
              </w:rPr>
              <w:t>Months Ended</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6"/>
          </w:tcPr>
          <w:p>
            <w:pPr>
              <w:jc w:val="center"/>
              <w:ind w:right="40"/>
              <w:spacing w:after="0" w:line="149" w:lineRule="exact"/>
              <w:rPr>
                <w:sz w:val="20"/>
                <w:szCs w:val="20"/>
                <w:color w:val="auto"/>
              </w:rPr>
            </w:pPr>
            <w:r>
              <w:rPr>
                <w:rFonts w:ascii="Arial" w:cs="Arial" w:eastAsia="Arial" w:hAnsi="Arial"/>
                <w:sz w:val="14"/>
                <w:szCs w:val="14"/>
                <w:b w:val="1"/>
                <w:bCs w:val="1"/>
                <w:i w:val="1"/>
                <w:iCs w:val="1"/>
                <w:color w:val="auto"/>
                <w:w w:val="84"/>
              </w:rPr>
              <w:t>Months Ended</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6"/>
        </w:trPr>
        <w:tc>
          <w:tcPr>
            <w:tcW w:w="3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4"/>
          </w:tcPr>
          <w:p>
            <w:pPr>
              <w:ind w:left="80"/>
              <w:spacing w:after="0" w:line="146" w:lineRule="exact"/>
              <w:rPr>
                <w:sz w:val="20"/>
                <w:szCs w:val="20"/>
                <w:color w:val="auto"/>
              </w:rPr>
            </w:pPr>
            <w:r>
              <w:rPr>
                <w:rFonts w:ascii="Arial" w:cs="Arial" w:eastAsia="Arial" w:hAnsi="Arial"/>
                <w:sz w:val="14"/>
                <w:szCs w:val="14"/>
                <w:b w:val="1"/>
                <w:bCs w:val="1"/>
                <w:i w:val="1"/>
                <w:iCs w:val="1"/>
                <w:color w:val="auto"/>
                <w:w w:val="86"/>
              </w:rPr>
              <w:t>March 31,</w:t>
            </w:r>
          </w:p>
        </w:tc>
        <w:tc>
          <w:tcPr>
            <w:tcW w:w="220" w:type="dxa"/>
            <w:vAlign w:val="bottom"/>
            <w:gridSpan w:val="2"/>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4"/>
          </w:tcPr>
          <w:p>
            <w:pPr>
              <w:ind w:left="20"/>
              <w:spacing w:after="0" w:line="146" w:lineRule="exact"/>
              <w:rPr>
                <w:sz w:val="20"/>
                <w:szCs w:val="20"/>
                <w:color w:val="auto"/>
              </w:rPr>
            </w:pPr>
            <w:r>
              <w:rPr>
                <w:rFonts w:ascii="Arial" w:cs="Arial" w:eastAsia="Arial" w:hAnsi="Arial"/>
                <w:sz w:val="14"/>
                <w:szCs w:val="14"/>
                <w:b w:val="1"/>
                <w:bCs w:val="1"/>
                <w:i w:val="1"/>
                <w:iCs w:val="1"/>
                <w:color w:val="auto"/>
              </w:rPr>
              <w:t>Change</w:t>
            </w:r>
          </w:p>
        </w:tc>
        <w:tc>
          <w:tcPr>
            <w:tcW w:w="28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5"/>
          </w:tcPr>
          <w:p>
            <w:pPr>
              <w:jc w:val="center"/>
              <w:ind w:right="80"/>
              <w:spacing w:after="0" w:line="146" w:lineRule="exact"/>
              <w:rPr>
                <w:sz w:val="20"/>
                <w:szCs w:val="20"/>
                <w:color w:val="auto"/>
              </w:rPr>
            </w:pPr>
            <w:r>
              <w:rPr>
                <w:rFonts w:ascii="Arial" w:cs="Arial" w:eastAsia="Arial" w:hAnsi="Arial"/>
                <w:sz w:val="14"/>
                <w:szCs w:val="14"/>
                <w:b w:val="1"/>
                <w:bCs w:val="1"/>
                <w:i w:val="1"/>
                <w:iCs w:val="1"/>
                <w:color w:val="auto"/>
                <w:w w:val="83"/>
              </w:rPr>
              <w:t>December 31,</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7"/>
          </w:tcPr>
          <w:p>
            <w:pPr>
              <w:jc w:val="right"/>
              <w:ind w:right="320"/>
              <w:spacing w:after="0" w:line="146" w:lineRule="exact"/>
              <w:rPr>
                <w:sz w:val="20"/>
                <w:szCs w:val="20"/>
                <w:color w:val="auto"/>
              </w:rPr>
            </w:pPr>
            <w:r>
              <w:rPr>
                <w:rFonts w:ascii="Arial" w:cs="Arial" w:eastAsia="Arial" w:hAnsi="Arial"/>
                <w:sz w:val="14"/>
                <w:szCs w:val="14"/>
                <w:b w:val="1"/>
                <w:bCs w:val="1"/>
                <w:i w:val="1"/>
                <w:iCs w:val="1"/>
                <w:color w:val="auto"/>
                <w:w w:val="89"/>
              </w:rPr>
              <w:t>Change</w:t>
            </w:r>
          </w:p>
        </w:tc>
      </w:tr>
      <w:tr>
        <w:trPr>
          <w:trHeight w:val="20"/>
        </w:trPr>
        <w:tc>
          <w:tcPr>
            <w:tcW w:w="3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3"/>
        </w:trPr>
        <w:tc>
          <w:tcPr>
            <w:tcW w:w="3900" w:type="dxa"/>
            <w:vAlign w:val="bottom"/>
          </w:tcPr>
          <w:p>
            <w:pPr>
              <w:spacing w:after="0"/>
              <w:rPr>
                <w:sz w:val="19"/>
                <w:szCs w:val="19"/>
                <w:color w:val="auto"/>
              </w:rPr>
            </w:pPr>
          </w:p>
        </w:tc>
        <w:tc>
          <w:tcPr>
            <w:tcW w:w="400" w:type="dxa"/>
            <w:vAlign w:val="bottom"/>
            <w:gridSpan w:val="3"/>
          </w:tcPr>
          <w:p>
            <w:pPr>
              <w:jc w:val="right"/>
              <w:ind w:right="140"/>
              <w:spacing w:after="0"/>
              <w:rPr>
                <w:sz w:val="20"/>
                <w:szCs w:val="20"/>
                <w:color w:val="auto"/>
              </w:rPr>
            </w:pPr>
            <w:r>
              <w:rPr>
                <w:rFonts w:ascii="Arial" w:cs="Arial" w:eastAsia="Arial" w:hAnsi="Arial"/>
                <w:sz w:val="14"/>
                <w:szCs w:val="14"/>
                <w:b w:val="1"/>
                <w:bCs w:val="1"/>
                <w:i w:val="1"/>
                <w:iCs w:val="1"/>
                <w:color w:val="auto"/>
                <w:w w:val="76"/>
              </w:rPr>
              <w:t>2014</w:t>
            </w:r>
          </w:p>
        </w:tc>
        <w:tc>
          <w:tcPr>
            <w:tcW w:w="560" w:type="dxa"/>
            <w:vAlign w:val="bottom"/>
            <w:gridSpan w:val="4"/>
          </w:tcPr>
          <w:p>
            <w:pPr>
              <w:jc w:val="right"/>
              <w:ind w:right="140"/>
              <w:spacing w:after="0"/>
              <w:rPr>
                <w:sz w:val="20"/>
                <w:szCs w:val="20"/>
                <w:color w:val="auto"/>
              </w:rPr>
            </w:pPr>
            <w:r>
              <w:rPr>
                <w:rFonts w:ascii="Arial" w:cs="Arial" w:eastAsia="Arial" w:hAnsi="Arial"/>
                <w:sz w:val="14"/>
                <w:szCs w:val="14"/>
                <w:b w:val="1"/>
                <w:bCs w:val="1"/>
                <w:i w:val="1"/>
                <w:iCs w:val="1"/>
                <w:color w:val="auto"/>
              </w:rPr>
              <w:t>2013</w:t>
            </w:r>
          </w:p>
        </w:tc>
        <w:tc>
          <w:tcPr>
            <w:tcW w:w="380" w:type="dxa"/>
            <w:vAlign w:val="bottom"/>
            <w:gridSpan w:val="2"/>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gridSpan w:val="4"/>
          </w:tcPr>
          <w:p>
            <w:pPr>
              <w:jc w:val="right"/>
              <w:ind w:right="260"/>
              <w:spacing w:after="0"/>
              <w:rPr>
                <w:sz w:val="20"/>
                <w:szCs w:val="20"/>
                <w:color w:val="auto"/>
              </w:rPr>
            </w:pPr>
            <w:r>
              <w:rPr>
                <w:rFonts w:ascii="Arial" w:cs="Arial" w:eastAsia="Arial" w:hAnsi="Arial"/>
                <w:sz w:val="14"/>
                <w:szCs w:val="14"/>
                <w:b w:val="1"/>
                <w:bCs w:val="1"/>
                <w:i w:val="1"/>
                <w:iCs w:val="1"/>
                <w:color w:val="auto"/>
              </w:rPr>
              <w:t>%</w:t>
            </w:r>
          </w:p>
        </w:tc>
        <w:tc>
          <w:tcPr>
            <w:tcW w:w="600" w:type="dxa"/>
            <w:vAlign w:val="bottom"/>
            <w:gridSpan w:val="3"/>
          </w:tcPr>
          <w:p>
            <w:pPr>
              <w:jc w:val="center"/>
              <w:ind w:left="257"/>
              <w:spacing w:after="0"/>
              <w:rPr>
                <w:sz w:val="20"/>
                <w:szCs w:val="20"/>
                <w:color w:val="auto"/>
              </w:rPr>
            </w:pPr>
            <w:r>
              <w:rPr>
                <w:rFonts w:ascii="Arial" w:cs="Arial" w:eastAsia="Arial" w:hAnsi="Arial"/>
                <w:sz w:val="14"/>
                <w:szCs w:val="14"/>
                <w:b w:val="1"/>
                <w:bCs w:val="1"/>
                <w:i w:val="1"/>
                <w:iCs w:val="1"/>
                <w:color w:val="auto"/>
                <w:w w:val="83"/>
              </w:rPr>
              <w:t>2013</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gridSpan w:val="4"/>
          </w:tcPr>
          <w:p>
            <w:pPr>
              <w:jc w:val="right"/>
              <w:ind w:right="160"/>
              <w:spacing w:after="0"/>
              <w:rPr>
                <w:sz w:val="20"/>
                <w:szCs w:val="20"/>
                <w:color w:val="auto"/>
              </w:rPr>
            </w:pPr>
            <w:r>
              <w:rPr>
                <w:rFonts w:ascii="Arial" w:cs="Arial" w:eastAsia="Arial" w:hAnsi="Arial"/>
                <w:sz w:val="14"/>
                <w:szCs w:val="14"/>
                <w:b w:val="1"/>
                <w:bCs w:val="1"/>
                <w:i w:val="1"/>
                <w:iCs w:val="1"/>
                <w:color w:val="auto"/>
              </w:rPr>
              <w:t>%</w:t>
            </w:r>
          </w:p>
        </w:tc>
      </w:tr>
      <w:tr>
        <w:trPr>
          <w:trHeight w:val="235"/>
        </w:trPr>
        <w:tc>
          <w:tcPr>
            <w:tcW w:w="3900" w:type="dxa"/>
            <w:vAlign w:val="bottom"/>
          </w:tcPr>
          <w:p>
            <w:pPr>
              <w:spacing w:after="0"/>
              <w:rPr>
                <w:sz w:val="20"/>
                <w:szCs w:val="20"/>
                <w:color w:val="auto"/>
              </w:rPr>
            </w:pPr>
            <w:r>
              <w:rPr>
                <w:rFonts w:ascii="Arial" w:cs="Arial" w:eastAsia="Arial" w:hAnsi="Arial"/>
                <w:sz w:val="18"/>
                <w:szCs w:val="18"/>
                <w:b w:val="1"/>
                <w:bCs w:val="1"/>
                <w:i w:val="1"/>
                <w:iCs w:val="1"/>
                <w:color w:val="auto"/>
              </w:rPr>
              <w:t>Net revenues from unaffiliated customers:</w:t>
            </w:r>
          </w:p>
        </w:tc>
        <w:tc>
          <w:tcPr>
            <w:tcW w:w="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459"/>
        </w:trPr>
        <w:tc>
          <w:tcPr>
            <w:tcW w:w="3900" w:type="dxa"/>
            <w:vAlign w:val="bottom"/>
          </w:tcPr>
          <w:p>
            <w:pPr>
              <w:spacing w:after="0"/>
              <w:rPr>
                <w:sz w:val="20"/>
                <w:szCs w:val="20"/>
                <w:color w:val="auto"/>
              </w:rPr>
            </w:pPr>
            <w:r>
              <w:rPr>
                <w:rFonts w:ascii="Arial" w:cs="Arial" w:eastAsia="Arial" w:hAnsi="Arial"/>
                <w:sz w:val="18"/>
                <w:szCs w:val="18"/>
                <w:color w:val="auto"/>
              </w:rPr>
              <w:t>Thermal Products</w:t>
            </w:r>
          </w:p>
        </w:tc>
        <w:tc>
          <w:tcPr>
            <w:tcW w:w="400" w:type="dxa"/>
            <w:vAlign w:val="bottom"/>
            <w:gridSpan w:val="3"/>
          </w:tcPr>
          <w:p>
            <w:pPr>
              <w:jc w:val="right"/>
              <w:spacing w:after="0"/>
              <w:rPr>
                <w:sz w:val="20"/>
                <w:szCs w:val="20"/>
                <w:color w:val="auto"/>
              </w:rPr>
            </w:pPr>
            <w:r>
              <w:rPr>
                <w:rFonts w:ascii="Arial" w:cs="Arial" w:eastAsia="Arial" w:hAnsi="Arial"/>
                <w:sz w:val="16"/>
                <w:szCs w:val="16"/>
                <w:color w:val="auto"/>
                <w:w w:val="77"/>
              </w:rPr>
              <w:t>$5,243</w:t>
            </w:r>
          </w:p>
        </w:tc>
        <w:tc>
          <w:tcPr>
            <w:tcW w:w="560" w:type="dxa"/>
            <w:vAlign w:val="bottom"/>
            <w:gridSpan w:val="4"/>
          </w:tcPr>
          <w:p>
            <w:pPr>
              <w:jc w:val="right"/>
              <w:spacing w:after="0"/>
              <w:rPr>
                <w:sz w:val="20"/>
                <w:szCs w:val="20"/>
                <w:color w:val="auto"/>
              </w:rPr>
            </w:pPr>
            <w:r>
              <w:rPr>
                <w:rFonts w:ascii="Arial" w:cs="Arial" w:eastAsia="Arial" w:hAnsi="Arial"/>
                <w:sz w:val="18"/>
                <w:szCs w:val="18"/>
                <w:color w:val="auto"/>
                <w:w w:val="98"/>
              </w:rPr>
              <w:t>$5,898</w:t>
            </w:r>
          </w:p>
        </w:tc>
        <w:tc>
          <w:tcPr>
            <w:tcW w:w="700" w:type="dxa"/>
            <w:vAlign w:val="bottom"/>
            <w:gridSpan w:val="4"/>
          </w:tcPr>
          <w:p>
            <w:pPr>
              <w:jc w:val="right"/>
              <w:ind w:right="100"/>
              <w:spacing w:after="0"/>
              <w:rPr>
                <w:sz w:val="20"/>
                <w:szCs w:val="20"/>
                <w:color w:val="auto"/>
              </w:rPr>
            </w:pPr>
            <w:r>
              <w:rPr>
                <w:rFonts w:ascii="Arial" w:cs="Arial" w:eastAsia="Arial" w:hAnsi="Arial"/>
                <w:sz w:val="18"/>
                <w:szCs w:val="18"/>
                <w:color w:val="auto"/>
              </w:rPr>
              <w:t>$(655)</w:t>
            </w:r>
          </w:p>
        </w:tc>
        <w:tc>
          <w:tcPr>
            <w:tcW w:w="560" w:type="dxa"/>
            <w:vAlign w:val="bottom"/>
            <w:gridSpan w:val="4"/>
          </w:tcPr>
          <w:p>
            <w:pPr>
              <w:jc w:val="right"/>
              <w:ind w:right="60"/>
              <w:spacing w:after="0"/>
              <w:rPr>
                <w:sz w:val="20"/>
                <w:szCs w:val="20"/>
                <w:color w:val="auto"/>
              </w:rPr>
            </w:pPr>
            <w:r>
              <w:rPr>
                <w:rFonts w:ascii="Arial" w:cs="Arial" w:eastAsia="Arial" w:hAnsi="Arial"/>
                <w:sz w:val="18"/>
                <w:szCs w:val="18"/>
                <w:color w:val="auto"/>
                <w:w w:val="99"/>
              </w:rPr>
              <w:t>(11)%</w:t>
            </w:r>
          </w:p>
        </w:tc>
        <w:tc>
          <w:tcPr>
            <w:tcW w:w="860" w:type="dxa"/>
            <w:vAlign w:val="bottom"/>
            <w:gridSpan w:val="5"/>
          </w:tcPr>
          <w:p>
            <w:pPr>
              <w:jc w:val="right"/>
              <w:ind w:right="80"/>
              <w:spacing w:after="0"/>
              <w:rPr>
                <w:sz w:val="20"/>
                <w:szCs w:val="20"/>
                <w:color w:val="auto"/>
              </w:rPr>
            </w:pPr>
            <w:r>
              <w:rPr>
                <w:rFonts w:ascii="Arial" w:cs="Arial" w:eastAsia="Arial" w:hAnsi="Arial"/>
                <w:sz w:val="18"/>
                <w:szCs w:val="18"/>
                <w:color w:val="auto"/>
              </w:rPr>
              <w:t>$5,449</w:t>
            </w:r>
          </w:p>
        </w:tc>
        <w:tc>
          <w:tcPr>
            <w:tcW w:w="120" w:type="dxa"/>
            <w:vAlign w:val="bottom"/>
          </w:tcPr>
          <w:p>
            <w:pPr>
              <w:spacing w:after="0"/>
              <w:rPr>
                <w:sz w:val="24"/>
                <w:szCs w:val="24"/>
                <w:color w:val="auto"/>
              </w:rPr>
            </w:pPr>
          </w:p>
        </w:tc>
        <w:tc>
          <w:tcPr>
            <w:tcW w:w="640" w:type="dxa"/>
            <w:vAlign w:val="bottom"/>
            <w:gridSpan w:val="5"/>
          </w:tcPr>
          <w:p>
            <w:pPr>
              <w:jc w:val="right"/>
              <w:ind w:right="60"/>
              <w:spacing w:after="0"/>
              <w:rPr>
                <w:sz w:val="20"/>
                <w:szCs w:val="20"/>
                <w:color w:val="auto"/>
              </w:rPr>
            </w:pPr>
            <w:r>
              <w:rPr>
                <w:rFonts w:ascii="Arial" w:cs="Arial" w:eastAsia="Arial" w:hAnsi="Arial"/>
                <w:sz w:val="18"/>
                <w:szCs w:val="18"/>
                <w:color w:val="auto"/>
              </w:rPr>
              <w:t>$(206)</w:t>
            </w:r>
          </w:p>
        </w:tc>
        <w:tc>
          <w:tcPr>
            <w:tcW w:w="440" w:type="dxa"/>
            <w:vAlign w:val="bottom"/>
            <w:gridSpan w:val="4"/>
          </w:tcPr>
          <w:p>
            <w:pPr>
              <w:jc w:val="right"/>
              <w:spacing w:after="0"/>
              <w:rPr>
                <w:sz w:val="20"/>
                <w:szCs w:val="20"/>
                <w:color w:val="auto"/>
              </w:rPr>
            </w:pPr>
            <w:r>
              <w:rPr>
                <w:rFonts w:ascii="Arial" w:cs="Arial" w:eastAsia="Arial" w:hAnsi="Arial"/>
                <w:sz w:val="18"/>
                <w:szCs w:val="18"/>
                <w:color w:val="auto"/>
              </w:rPr>
              <w:t>(4)%</w:t>
            </w:r>
          </w:p>
        </w:tc>
      </w:tr>
      <w:tr>
        <w:trPr>
          <w:trHeight w:val="459"/>
        </w:trPr>
        <w:tc>
          <w:tcPr>
            <w:tcW w:w="3900" w:type="dxa"/>
            <w:vAlign w:val="bottom"/>
          </w:tcPr>
          <w:p>
            <w:pPr>
              <w:spacing w:after="0"/>
              <w:rPr>
                <w:sz w:val="20"/>
                <w:szCs w:val="20"/>
                <w:color w:val="auto"/>
              </w:rPr>
            </w:pPr>
            <w:r>
              <w:rPr>
                <w:rFonts w:ascii="Arial" w:cs="Arial" w:eastAsia="Arial" w:hAnsi="Arial"/>
                <w:sz w:val="18"/>
                <w:szCs w:val="18"/>
                <w:color w:val="auto"/>
              </w:rPr>
              <w:t>Mechanical Products</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w w:val="84"/>
              </w:rPr>
              <w:t>2,047</w:t>
            </w:r>
          </w:p>
        </w:tc>
        <w:tc>
          <w:tcPr>
            <w:tcW w:w="560" w:type="dxa"/>
            <w:vAlign w:val="bottom"/>
            <w:gridSpan w:val="4"/>
          </w:tcPr>
          <w:p>
            <w:pPr>
              <w:jc w:val="right"/>
              <w:spacing w:after="0"/>
              <w:rPr>
                <w:sz w:val="20"/>
                <w:szCs w:val="20"/>
                <w:color w:val="auto"/>
              </w:rPr>
            </w:pPr>
            <w:r>
              <w:rPr>
                <w:rFonts w:ascii="Arial" w:cs="Arial" w:eastAsia="Arial" w:hAnsi="Arial"/>
                <w:sz w:val="18"/>
                <w:szCs w:val="18"/>
                <w:color w:val="auto"/>
              </w:rPr>
              <w:t>1,793</w:t>
            </w:r>
          </w:p>
        </w:tc>
        <w:tc>
          <w:tcPr>
            <w:tcW w:w="700" w:type="dxa"/>
            <w:vAlign w:val="bottom"/>
            <w:gridSpan w:val="4"/>
          </w:tcPr>
          <w:p>
            <w:pPr>
              <w:jc w:val="right"/>
              <w:ind w:right="140"/>
              <w:spacing w:after="0"/>
              <w:rPr>
                <w:sz w:val="20"/>
                <w:szCs w:val="20"/>
                <w:color w:val="auto"/>
              </w:rPr>
            </w:pPr>
            <w:r>
              <w:rPr>
                <w:rFonts w:ascii="Arial" w:cs="Arial" w:eastAsia="Arial" w:hAnsi="Arial"/>
                <w:sz w:val="18"/>
                <w:szCs w:val="18"/>
                <w:color w:val="auto"/>
              </w:rPr>
              <w:t>254</w:t>
            </w:r>
          </w:p>
        </w:tc>
        <w:tc>
          <w:tcPr>
            <w:tcW w:w="560" w:type="dxa"/>
            <w:vAlign w:val="bottom"/>
            <w:gridSpan w:val="4"/>
          </w:tcPr>
          <w:p>
            <w:pPr>
              <w:jc w:val="center"/>
              <w:spacing w:after="0"/>
              <w:rPr>
                <w:sz w:val="20"/>
                <w:szCs w:val="20"/>
                <w:color w:val="auto"/>
              </w:rPr>
            </w:pPr>
            <w:r>
              <w:rPr>
                <w:rFonts w:ascii="Arial" w:cs="Arial" w:eastAsia="Arial" w:hAnsi="Arial"/>
                <w:sz w:val="18"/>
                <w:szCs w:val="18"/>
                <w:color w:val="auto"/>
                <w:w w:val="89"/>
              </w:rPr>
              <w:t>14</w:t>
            </w:r>
          </w:p>
        </w:tc>
        <w:tc>
          <w:tcPr>
            <w:tcW w:w="860" w:type="dxa"/>
            <w:vAlign w:val="bottom"/>
            <w:gridSpan w:val="5"/>
          </w:tcPr>
          <w:p>
            <w:pPr>
              <w:jc w:val="right"/>
              <w:ind w:right="80"/>
              <w:spacing w:after="0"/>
              <w:rPr>
                <w:sz w:val="20"/>
                <w:szCs w:val="20"/>
                <w:color w:val="auto"/>
              </w:rPr>
            </w:pPr>
            <w:r>
              <w:rPr>
                <w:rFonts w:ascii="Arial" w:cs="Arial" w:eastAsia="Arial" w:hAnsi="Arial"/>
                <w:sz w:val="18"/>
                <w:szCs w:val="18"/>
                <w:color w:val="auto"/>
              </w:rPr>
              <w:t>2,177</w:t>
            </w:r>
          </w:p>
        </w:tc>
        <w:tc>
          <w:tcPr>
            <w:tcW w:w="120" w:type="dxa"/>
            <w:vAlign w:val="bottom"/>
          </w:tcPr>
          <w:p>
            <w:pPr>
              <w:spacing w:after="0"/>
              <w:rPr>
                <w:sz w:val="24"/>
                <w:szCs w:val="24"/>
                <w:color w:val="auto"/>
              </w:rPr>
            </w:pPr>
          </w:p>
        </w:tc>
        <w:tc>
          <w:tcPr>
            <w:tcW w:w="640" w:type="dxa"/>
            <w:vAlign w:val="bottom"/>
            <w:gridSpan w:val="5"/>
          </w:tcPr>
          <w:p>
            <w:pPr>
              <w:jc w:val="right"/>
              <w:ind w:right="60"/>
              <w:spacing w:after="0"/>
              <w:rPr>
                <w:sz w:val="20"/>
                <w:szCs w:val="20"/>
                <w:color w:val="auto"/>
              </w:rPr>
            </w:pPr>
            <w:r>
              <w:rPr>
                <w:rFonts w:ascii="Arial" w:cs="Arial" w:eastAsia="Arial" w:hAnsi="Arial"/>
                <w:sz w:val="18"/>
                <w:szCs w:val="18"/>
                <w:color w:val="auto"/>
              </w:rPr>
              <w:t>(130)</w:t>
            </w:r>
          </w:p>
        </w:tc>
        <w:tc>
          <w:tcPr>
            <w:tcW w:w="440" w:type="dxa"/>
            <w:vAlign w:val="bottom"/>
            <w:gridSpan w:val="4"/>
          </w:tcPr>
          <w:p>
            <w:pPr>
              <w:jc w:val="right"/>
              <w:ind w:right="80"/>
              <w:spacing w:after="0"/>
              <w:rPr>
                <w:sz w:val="20"/>
                <w:szCs w:val="20"/>
                <w:color w:val="auto"/>
              </w:rPr>
            </w:pPr>
            <w:r>
              <w:rPr>
                <w:rFonts w:ascii="Arial" w:cs="Arial" w:eastAsia="Arial" w:hAnsi="Arial"/>
                <w:sz w:val="18"/>
                <w:szCs w:val="18"/>
                <w:color w:val="auto"/>
              </w:rPr>
              <w:t>(6)</w:t>
            </w:r>
          </w:p>
        </w:tc>
      </w:tr>
      <w:tr>
        <w:trPr>
          <w:trHeight w:val="421"/>
        </w:trPr>
        <w:tc>
          <w:tcPr>
            <w:tcW w:w="3900" w:type="dxa"/>
            <w:vAlign w:val="bottom"/>
          </w:tcPr>
          <w:p>
            <w:pPr>
              <w:spacing w:after="0"/>
              <w:rPr>
                <w:sz w:val="20"/>
                <w:szCs w:val="20"/>
                <w:color w:val="auto"/>
              </w:rPr>
            </w:pPr>
            <w:r>
              <w:rPr>
                <w:rFonts w:ascii="Arial" w:cs="Arial" w:eastAsia="Arial" w:hAnsi="Arial"/>
                <w:sz w:val="18"/>
                <w:szCs w:val="18"/>
                <w:color w:val="auto"/>
              </w:rPr>
              <w:t>Electrical Products</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w w:val="84"/>
              </w:rPr>
              <w:t>1,507</w:t>
            </w:r>
          </w:p>
        </w:tc>
        <w:tc>
          <w:tcPr>
            <w:tcW w:w="160" w:type="dxa"/>
            <w:vAlign w:val="bottom"/>
          </w:tcPr>
          <w:p>
            <w:pPr>
              <w:spacing w:after="0"/>
              <w:rPr>
                <w:sz w:val="24"/>
                <w:szCs w:val="24"/>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w w:val="84"/>
              </w:rPr>
              <w:t>1,282</w:t>
            </w:r>
          </w:p>
        </w:tc>
        <w:tc>
          <w:tcPr>
            <w:tcW w:w="300" w:type="dxa"/>
            <w:vAlign w:val="bottom"/>
          </w:tcPr>
          <w:p>
            <w:pPr>
              <w:spacing w:after="0"/>
              <w:rPr>
                <w:sz w:val="24"/>
                <w:szCs w:val="24"/>
                <w:color w:val="auto"/>
              </w:rPr>
            </w:pPr>
          </w:p>
        </w:tc>
        <w:tc>
          <w:tcPr>
            <w:tcW w:w="400" w:type="dxa"/>
            <w:vAlign w:val="bottom"/>
            <w:gridSpan w:val="3"/>
          </w:tcPr>
          <w:p>
            <w:pPr>
              <w:jc w:val="right"/>
              <w:ind w:right="140"/>
              <w:spacing w:after="0"/>
              <w:rPr>
                <w:sz w:val="20"/>
                <w:szCs w:val="20"/>
                <w:color w:val="auto"/>
              </w:rPr>
            </w:pPr>
            <w:r>
              <w:rPr>
                <w:rFonts w:ascii="Arial" w:cs="Arial" w:eastAsia="Arial" w:hAnsi="Arial"/>
                <w:sz w:val="18"/>
                <w:szCs w:val="18"/>
                <w:color w:val="auto"/>
                <w:w w:val="79"/>
              </w:rPr>
              <w:t>225</w:t>
            </w:r>
          </w:p>
        </w:tc>
        <w:tc>
          <w:tcPr>
            <w:tcW w:w="560" w:type="dxa"/>
            <w:vAlign w:val="bottom"/>
            <w:gridSpan w:val="4"/>
          </w:tcPr>
          <w:p>
            <w:pPr>
              <w:jc w:val="center"/>
              <w:spacing w:after="0"/>
              <w:rPr>
                <w:sz w:val="20"/>
                <w:szCs w:val="20"/>
                <w:color w:val="auto"/>
              </w:rPr>
            </w:pPr>
            <w:r>
              <w:rPr>
                <w:rFonts w:ascii="Arial" w:cs="Arial" w:eastAsia="Arial" w:hAnsi="Arial"/>
                <w:sz w:val="18"/>
                <w:szCs w:val="18"/>
                <w:color w:val="auto"/>
                <w:w w:val="89"/>
              </w:rPr>
              <w:t>18</w:t>
            </w:r>
          </w:p>
        </w:tc>
        <w:tc>
          <w:tcPr>
            <w:tcW w:w="860" w:type="dxa"/>
            <w:vAlign w:val="bottom"/>
            <w:gridSpan w:val="5"/>
          </w:tcPr>
          <w:p>
            <w:pPr>
              <w:jc w:val="right"/>
              <w:ind w:right="80"/>
              <w:spacing w:after="0"/>
              <w:rPr>
                <w:sz w:val="20"/>
                <w:szCs w:val="20"/>
                <w:color w:val="auto"/>
              </w:rPr>
            </w:pPr>
            <w:r>
              <w:rPr>
                <w:rFonts w:ascii="Arial" w:cs="Arial" w:eastAsia="Arial" w:hAnsi="Arial"/>
                <w:sz w:val="18"/>
                <w:szCs w:val="18"/>
                <w:color w:val="auto"/>
              </w:rPr>
              <w:t>1,709</w:t>
            </w:r>
          </w:p>
        </w:tc>
        <w:tc>
          <w:tcPr>
            <w:tcW w:w="120" w:type="dxa"/>
            <w:vAlign w:val="bottom"/>
          </w:tcPr>
          <w:p>
            <w:pPr>
              <w:spacing w:after="0"/>
              <w:rPr>
                <w:sz w:val="24"/>
                <w:szCs w:val="24"/>
                <w:color w:val="auto"/>
              </w:rPr>
            </w:pPr>
          </w:p>
        </w:tc>
        <w:tc>
          <w:tcPr>
            <w:tcW w:w="640" w:type="dxa"/>
            <w:vAlign w:val="bottom"/>
            <w:gridSpan w:val="5"/>
          </w:tcPr>
          <w:p>
            <w:pPr>
              <w:jc w:val="right"/>
              <w:ind w:right="60"/>
              <w:spacing w:after="0"/>
              <w:rPr>
                <w:sz w:val="20"/>
                <w:szCs w:val="20"/>
                <w:color w:val="auto"/>
              </w:rPr>
            </w:pPr>
            <w:r>
              <w:rPr>
                <w:rFonts w:ascii="Arial" w:cs="Arial" w:eastAsia="Arial" w:hAnsi="Arial"/>
                <w:sz w:val="18"/>
                <w:szCs w:val="18"/>
                <w:color w:val="auto"/>
              </w:rPr>
              <w:t>(202)</w:t>
            </w:r>
          </w:p>
        </w:tc>
        <w:tc>
          <w:tcPr>
            <w:tcW w:w="440" w:type="dxa"/>
            <w:vAlign w:val="bottom"/>
            <w:gridSpan w:val="4"/>
          </w:tcPr>
          <w:p>
            <w:pPr>
              <w:jc w:val="right"/>
              <w:ind w:right="80"/>
              <w:spacing w:after="0"/>
              <w:rPr>
                <w:sz w:val="20"/>
                <w:szCs w:val="20"/>
                <w:color w:val="auto"/>
              </w:rPr>
            </w:pPr>
            <w:r>
              <w:rPr>
                <w:rFonts w:ascii="Arial" w:cs="Arial" w:eastAsia="Arial" w:hAnsi="Arial"/>
                <w:sz w:val="18"/>
                <w:szCs w:val="18"/>
                <w:color w:val="auto"/>
              </w:rPr>
              <w:t>(12)</w:t>
            </w:r>
          </w:p>
        </w:tc>
      </w:tr>
      <w:tr>
        <w:trPr>
          <w:trHeight w:val="20"/>
        </w:trPr>
        <w:tc>
          <w:tcPr>
            <w:tcW w:w="3900" w:type="dxa"/>
            <w:vAlign w:val="bottom"/>
            <w:tcBorders>
              <w:right w:val="single" w:sz="8" w:color="auto"/>
            </w:tcBorders>
          </w:tcPr>
          <w:p>
            <w:pPr>
              <w:spacing w:after="0" w:line="20" w:lineRule="exact"/>
              <w:rPr>
                <w:sz w:val="1"/>
                <w:szCs w:val="1"/>
                <w:color w:val="auto"/>
              </w:rPr>
            </w:pPr>
          </w:p>
        </w:tc>
        <w:tc>
          <w:tcPr>
            <w:tcW w:w="400" w:type="dxa"/>
            <w:vAlign w:val="bottom"/>
            <w:gridSpan w:val="3"/>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400" w:type="dxa"/>
            <w:vAlign w:val="bottom"/>
            <w:gridSpan w:val="3"/>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320" w:type="dxa"/>
            <w:vAlign w:val="bottom"/>
            <w:gridSpan w:val="3"/>
            <w:shd w:val="clear" w:color="auto" w:fill="000000"/>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r>
      <w:tr>
        <w:trPr>
          <w:trHeight w:val="439"/>
        </w:trPr>
        <w:tc>
          <w:tcPr>
            <w:tcW w:w="3900" w:type="dxa"/>
            <w:vAlign w:val="bottom"/>
          </w:tcPr>
          <w:p>
            <w:pPr>
              <w:spacing w:after="0"/>
              <w:rPr>
                <w:sz w:val="24"/>
                <w:szCs w:val="24"/>
                <w:color w:val="auto"/>
              </w:rPr>
            </w:pPr>
          </w:p>
        </w:tc>
        <w:tc>
          <w:tcPr>
            <w:tcW w:w="400" w:type="dxa"/>
            <w:vAlign w:val="bottom"/>
            <w:gridSpan w:val="3"/>
          </w:tcPr>
          <w:p>
            <w:pPr>
              <w:jc w:val="right"/>
              <w:spacing w:after="0"/>
              <w:rPr>
                <w:sz w:val="20"/>
                <w:szCs w:val="20"/>
                <w:color w:val="auto"/>
              </w:rPr>
            </w:pPr>
            <w:r>
              <w:rPr>
                <w:rFonts w:ascii="Arial" w:cs="Arial" w:eastAsia="Arial" w:hAnsi="Arial"/>
                <w:sz w:val="16"/>
                <w:szCs w:val="16"/>
                <w:u w:val="single" w:color="auto"/>
                <w:color w:val="auto"/>
                <w:w w:val="77"/>
              </w:rPr>
              <w:t>$</w:t>
            </w:r>
            <w:r>
              <w:rPr>
                <w:rFonts w:ascii="Arial" w:cs="Arial" w:eastAsia="Arial" w:hAnsi="Arial"/>
                <w:sz w:val="16"/>
                <w:szCs w:val="16"/>
                <w:color w:val="auto"/>
                <w:w w:val="77"/>
              </w:rPr>
              <w:t>8,797</w:t>
            </w:r>
          </w:p>
        </w:tc>
        <w:tc>
          <w:tcPr>
            <w:tcW w:w="160" w:type="dxa"/>
            <w:vAlign w:val="bottom"/>
          </w:tcPr>
          <w:p>
            <w:pPr>
              <w:spacing w:after="0"/>
              <w:rPr>
                <w:sz w:val="24"/>
                <w:szCs w:val="24"/>
                <w:color w:val="auto"/>
              </w:rPr>
            </w:pPr>
          </w:p>
        </w:tc>
        <w:tc>
          <w:tcPr>
            <w:tcW w:w="400" w:type="dxa"/>
            <w:vAlign w:val="bottom"/>
            <w:gridSpan w:val="3"/>
          </w:tcPr>
          <w:p>
            <w:pPr>
              <w:jc w:val="right"/>
              <w:spacing w:after="0"/>
              <w:rPr>
                <w:sz w:val="20"/>
                <w:szCs w:val="20"/>
                <w:color w:val="auto"/>
              </w:rPr>
            </w:pPr>
            <w:r>
              <w:rPr>
                <w:rFonts w:ascii="Arial" w:cs="Arial" w:eastAsia="Arial" w:hAnsi="Arial"/>
                <w:sz w:val="16"/>
                <w:szCs w:val="16"/>
                <w:u w:val="single" w:color="auto"/>
                <w:color w:val="auto"/>
                <w:w w:val="77"/>
              </w:rPr>
              <w:t>$</w:t>
            </w:r>
            <w:r>
              <w:rPr>
                <w:rFonts w:ascii="Arial" w:cs="Arial" w:eastAsia="Arial" w:hAnsi="Arial"/>
                <w:sz w:val="16"/>
                <w:szCs w:val="16"/>
                <w:color w:val="auto"/>
                <w:w w:val="77"/>
              </w:rPr>
              <w:t>8,973</w:t>
            </w:r>
          </w:p>
        </w:tc>
        <w:tc>
          <w:tcPr>
            <w:tcW w:w="300" w:type="dxa"/>
            <w:vAlign w:val="bottom"/>
          </w:tcPr>
          <w:p>
            <w:pPr>
              <w:spacing w:after="0"/>
              <w:rPr>
                <w:sz w:val="24"/>
                <w:szCs w:val="24"/>
                <w:color w:val="auto"/>
              </w:rPr>
            </w:pPr>
          </w:p>
        </w:tc>
        <w:tc>
          <w:tcPr>
            <w:tcW w:w="400" w:type="dxa"/>
            <w:vAlign w:val="bottom"/>
            <w:gridSpan w:val="3"/>
          </w:tcPr>
          <w:p>
            <w:pPr>
              <w:jc w:val="right"/>
              <w:ind w:right="100"/>
              <w:spacing w:after="0"/>
              <w:rPr>
                <w:sz w:val="20"/>
                <w:szCs w:val="20"/>
                <w:color w:val="auto"/>
              </w:rPr>
            </w:pPr>
            <w:r>
              <w:rPr>
                <w:rFonts w:ascii="Arial" w:cs="Arial" w:eastAsia="Arial" w:hAnsi="Arial"/>
                <w:sz w:val="13"/>
                <w:szCs w:val="13"/>
                <w:u w:val="single" w:color="auto"/>
                <w:color w:val="auto"/>
                <w:w w:val="74"/>
              </w:rPr>
              <w:t>$</w:t>
            </w:r>
            <w:r>
              <w:rPr>
                <w:rFonts w:ascii="Arial" w:cs="Arial" w:eastAsia="Arial" w:hAnsi="Arial"/>
                <w:sz w:val="13"/>
                <w:szCs w:val="13"/>
                <w:color w:val="auto"/>
                <w:w w:val="74"/>
              </w:rPr>
              <w:t>(176)</w:t>
            </w:r>
          </w:p>
        </w:tc>
        <w:tc>
          <w:tcPr>
            <w:tcW w:w="560" w:type="dxa"/>
            <w:vAlign w:val="bottom"/>
            <w:gridSpan w:val="4"/>
          </w:tcPr>
          <w:p>
            <w:pPr>
              <w:jc w:val="right"/>
              <w:ind w:right="60"/>
              <w:spacing w:after="0"/>
              <w:rPr>
                <w:sz w:val="20"/>
                <w:szCs w:val="20"/>
                <w:color w:val="auto"/>
              </w:rPr>
            </w:pPr>
            <w:r>
              <w:rPr>
                <w:rFonts w:ascii="Arial" w:cs="Arial" w:eastAsia="Arial" w:hAnsi="Arial"/>
                <w:sz w:val="18"/>
                <w:szCs w:val="18"/>
                <w:color w:val="auto"/>
              </w:rPr>
              <w:t>(2)%</w:t>
            </w:r>
          </w:p>
        </w:tc>
        <w:tc>
          <w:tcPr>
            <w:tcW w:w="860" w:type="dxa"/>
            <w:vAlign w:val="bottom"/>
            <w:gridSpan w:val="5"/>
          </w:tcPr>
          <w:p>
            <w:pPr>
              <w:jc w:val="right"/>
              <w:ind w:right="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9,335</w:t>
            </w:r>
          </w:p>
        </w:tc>
        <w:tc>
          <w:tcPr>
            <w:tcW w:w="120" w:type="dxa"/>
            <w:vAlign w:val="bottom"/>
          </w:tcPr>
          <w:p>
            <w:pPr>
              <w:spacing w:after="0"/>
              <w:rPr>
                <w:sz w:val="24"/>
                <w:szCs w:val="24"/>
                <w:color w:val="auto"/>
              </w:rPr>
            </w:pPr>
          </w:p>
        </w:tc>
        <w:tc>
          <w:tcPr>
            <w:tcW w:w="1080" w:type="dxa"/>
            <w:vAlign w:val="bottom"/>
            <w:gridSpan w:val="9"/>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(538)  (6)%</w:t>
            </w:r>
          </w:p>
        </w:tc>
      </w:tr>
      <w:tr>
        <w:trPr>
          <w:trHeight w:val="20"/>
        </w:trPr>
        <w:tc>
          <w:tcPr>
            <w:tcW w:w="3900" w:type="dxa"/>
            <w:vAlign w:val="bottom"/>
            <w:tcBorders>
              <w:right w:val="single" w:sz="8" w:color="auto"/>
            </w:tcBorders>
          </w:tcPr>
          <w:p>
            <w:pPr>
              <w:spacing w:after="0" w:line="20" w:lineRule="exact"/>
              <w:rPr>
                <w:sz w:val="1"/>
                <w:szCs w:val="1"/>
                <w:color w:val="auto"/>
              </w:rPr>
            </w:pPr>
          </w:p>
        </w:tc>
        <w:tc>
          <w:tcPr>
            <w:tcW w:w="400" w:type="dxa"/>
            <w:vAlign w:val="bottom"/>
            <w:gridSpan w:val="3"/>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400" w:type="dxa"/>
            <w:vAlign w:val="bottom"/>
            <w:gridSpan w:val="3"/>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360" w:type="dxa"/>
            <w:vAlign w:val="bottom"/>
            <w:tcBorders>
              <w:right w:val="single" w:sz="8" w:color="auto"/>
            </w:tcBorders>
            <w:gridSpan w:val="2"/>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32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r>
      <w:tr>
        <w:trPr>
          <w:trHeight w:val="721"/>
        </w:trPr>
        <w:tc>
          <w:tcPr>
            <w:tcW w:w="3900" w:type="dxa"/>
            <w:vAlign w:val="bottom"/>
          </w:tcPr>
          <w:p>
            <w:pPr>
              <w:spacing w:after="0"/>
              <w:rPr>
                <w:sz w:val="20"/>
                <w:szCs w:val="20"/>
                <w:color w:val="auto"/>
              </w:rPr>
            </w:pPr>
            <w:r>
              <w:rPr>
                <w:rFonts w:ascii="Arial" w:cs="Arial" w:eastAsia="Arial" w:hAnsi="Arial"/>
                <w:sz w:val="18"/>
                <w:szCs w:val="18"/>
                <w:color w:val="auto"/>
              </w:rPr>
              <w:t>ATE market</w:t>
            </w:r>
          </w:p>
        </w:tc>
        <w:tc>
          <w:tcPr>
            <w:tcW w:w="400" w:type="dxa"/>
            <w:vAlign w:val="bottom"/>
            <w:gridSpan w:val="3"/>
          </w:tcPr>
          <w:p>
            <w:pPr>
              <w:jc w:val="right"/>
              <w:spacing w:after="0"/>
              <w:rPr>
                <w:sz w:val="20"/>
                <w:szCs w:val="20"/>
                <w:color w:val="auto"/>
              </w:rPr>
            </w:pPr>
            <w:r>
              <w:rPr>
                <w:rFonts w:ascii="Arial" w:cs="Arial" w:eastAsia="Arial" w:hAnsi="Arial"/>
                <w:sz w:val="16"/>
                <w:szCs w:val="16"/>
                <w:color w:val="auto"/>
                <w:w w:val="77"/>
              </w:rPr>
              <w:t>$7,607</w:t>
            </w:r>
          </w:p>
        </w:tc>
        <w:tc>
          <w:tcPr>
            <w:tcW w:w="160" w:type="dxa"/>
            <w:vAlign w:val="bottom"/>
          </w:tcPr>
          <w:p>
            <w:pPr>
              <w:spacing w:after="0"/>
              <w:rPr>
                <w:sz w:val="24"/>
                <w:szCs w:val="24"/>
                <w:color w:val="auto"/>
              </w:rPr>
            </w:pPr>
          </w:p>
        </w:tc>
        <w:tc>
          <w:tcPr>
            <w:tcW w:w="400" w:type="dxa"/>
            <w:vAlign w:val="bottom"/>
            <w:gridSpan w:val="3"/>
          </w:tcPr>
          <w:p>
            <w:pPr>
              <w:jc w:val="right"/>
              <w:spacing w:after="0"/>
              <w:rPr>
                <w:sz w:val="20"/>
                <w:szCs w:val="20"/>
                <w:color w:val="auto"/>
              </w:rPr>
            </w:pPr>
            <w:r>
              <w:rPr>
                <w:rFonts w:ascii="Arial" w:cs="Arial" w:eastAsia="Arial" w:hAnsi="Arial"/>
                <w:sz w:val="16"/>
                <w:szCs w:val="16"/>
                <w:color w:val="auto"/>
                <w:w w:val="77"/>
              </w:rPr>
              <w:t>$6,810</w:t>
            </w:r>
          </w:p>
        </w:tc>
        <w:tc>
          <w:tcPr>
            <w:tcW w:w="300" w:type="dxa"/>
            <w:vAlign w:val="bottom"/>
          </w:tcPr>
          <w:p>
            <w:pPr>
              <w:spacing w:after="0"/>
              <w:rPr>
                <w:sz w:val="24"/>
                <w:szCs w:val="24"/>
                <w:color w:val="auto"/>
              </w:rPr>
            </w:pPr>
          </w:p>
        </w:tc>
        <w:tc>
          <w:tcPr>
            <w:tcW w:w="400" w:type="dxa"/>
            <w:vAlign w:val="bottom"/>
            <w:gridSpan w:val="3"/>
          </w:tcPr>
          <w:p>
            <w:pPr>
              <w:jc w:val="right"/>
              <w:ind w:right="140"/>
              <w:spacing w:after="0"/>
              <w:rPr>
                <w:sz w:val="20"/>
                <w:szCs w:val="20"/>
                <w:color w:val="auto"/>
              </w:rPr>
            </w:pPr>
            <w:r>
              <w:rPr>
                <w:rFonts w:ascii="Arial" w:cs="Arial" w:eastAsia="Arial" w:hAnsi="Arial"/>
                <w:sz w:val="13"/>
                <w:szCs w:val="13"/>
                <w:color w:val="auto"/>
                <w:w w:val="73"/>
              </w:rPr>
              <w:t>$ 797</w:t>
            </w:r>
          </w:p>
        </w:tc>
        <w:tc>
          <w:tcPr>
            <w:tcW w:w="560" w:type="dxa"/>
            <w:vAlign w:val="bottom"/>
            <w:gridSpan w:val="4"/>
          </w:tcPr>
          <w:p>
            <w:pPr>
              <w:jc w:val="right"/>
              <w:ind w:right="60"/>
              <w:spacing w:after="0"/>
              <w:rPr>
                <w:sz w:val="20"/>
                <w:szCs w:val="20"/>
                <w:color w:val="auto"/>
              </w:rPr>
            </w:pPr>
            <w:r>
              <w:rPr>
                <w:rFonts w:ascii="Arial" w:cs="Arial" w:eastAsia="Arial" w:hAnsi="Arial"/>
                <w:sz w:val="18"/>
                <w:szCs w:val="18"/>
                <w:color w:val="auto"/>
              </w:rPr>
              <w:t>12 %</w:t>
            </w:r>
          </w:p>
        </w:tc>
        <w:tc>
          <w:tcPr>
            <w:tcW w:w="860" w:type="dxa"/>
            <w:vAlign w:val="bottom"/>
            <w:gridSpan w:val="5"/>
          </w:tcPr>
          <w:p>
            <w:pPr>
              <w:jc w:val="right"/>
              <w:ind w:right="80"/>
              <w:spacing w:after="0"/>
              <w:rPr>
                <w:sz w:val="20"/>
                <w:szCs w:val="20"/>
                <w:color w:val="auto"/>
              </w:rPr>
            </w:pPr>
            <w:r>
              <w:rPr>
                <w:rFonts w:ascii="Arial" w:cs="Arial" w:eastAsia="Arial" w:hAnsi="Arial"/>
                <w:sz w:val="18"/>
                <w:szCs w:val="18"/>
                <w:color w:val="auto"/>
              </w:rPr>
              <w:t>$7,192</w:t>
            </w:r>
          </w:p>
        </w:tc>
        <w:tc>
          <w:tcPr>
            <w:tcW w:w="120" w:type="dxa"/>
            <w:vAlign w:val="bottom"/>
          </w:tcPr>
          <w:p>
            <w:pPr>
              <w:spacing w:after="0"/>
              <w:rPr>
                <w:sz w:val="24"/>
                <w:szCs w:val="24"/>
                <w:color w:val="auto"/>
              </w:rPr>
            </w:pPr>
          </w:p>
        </w:tc>
        <w:tc>
          <w:tcPr>
            <w:tcW w:w="640" w:type="dxa"/>
            <w:vAlign w:val="bottom"/>
            <w:gridSpan w:val="5"/>
          </w:tcPr>
          <w:p>
            <w:pPr>
              <w:jc w:val="right"/>
              <w:ind w:right="100"/>
              <w:spacing w:after="0"/>
              <w:rPr>
                <w:sz w:val="20"/>
                <w:szCs w:val="20"/>
                <w:color w:val="auto"/>
              </w:rPr>
            </w:pPr>
            <w:r>
              <w:rPr>
                <w:rFonts w:ascii="Arial" w:cs="Arial" w:eastAsia="Arial" w:hAnsi="Arial"/>
                <w:sz w:val="18"/>
                <w:szCs w:val="18"/>
                <w:color w:val="auto"/>
              </w:rPr>
              <w:t>$ 415</w:t>
            </w:r>
          </w:p>
        </w:tc>
        <w:tc>
          <w:tcPr>
            <w:tcW w:w="440" w:type="dxa"/>
            <w:vAlign w:val="bottom"/>
            <w:gridSpan w:val="4"/>
          </w:tcPr>
          <w:p>
            <w:pPr>
              <w:jc w:val="right"/>
              <w:spacing w:after="0"/>
              <w:rPr>
                <w:sz w:val="20"/>
                <w:szCs w:val="20"/>
                <w:color w:val="auto"/>
              </w:rPr>
            </w:pPr>
            <w:r>
              <w:rPr>
                <w:rFonts w:ascii="Arial" w:cs="Arial" w:eastAsia="Arial" w:hAnsi="Arial"/>
                <w:sz w:val="18"/>
                <w:szCs w:val="18"/>
                <w:color w:val="auto"/>
              </w:rPr>
              <w:t>6 %</w:t>
            </w:r>
          </w:p>
        </w:tc>
      </w:tr>
      <w:tr>
        <w:trPr>
          <w:trHeight w:val="421"/>
        </w:trPr>
        <w:tc>
          <w:tcPr>
            <w:tcW w:w="3900" w:type="dxa"/>
            <w:vAlign w:val="bottom"/>
          </w:tcPr>
          <w:p>
            <w:pPr>
              <w:spacing w:after="0"/>
              <w:rPr>
                <w:sz w:val="20"/>
                <w:szCs w:val="20"/>
                <w:color w:val="auto"/>
              </w:rPr>
            </w:pPr>
            <w:r>
              <w:rPr>
                <w:rFonts w:ascii="Arial" w:cs="Arial" w:eastAsia="Arial" w:hAnsi="Arial"/>
                <w:sz w:val="18"/>
                <w:szCs w:val="18"/>
                <w:color w:val="auto"/>
              </w:rPr>
              <w:t>Non-ATE market</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w w:val="84"/>
              </w:rPr>
              <w:t>1,190</w:t>
            </w:r>
          </w:p>
        </w:tc>
        <w:tc>
          <w:tcPr>
            <w:tcW w:w="160" w:type="dxa"/>
            <w:vAlign w:val="bottom"/>
          </w:tcPr>
          <w:p>
            <w:pPr>
              <w:spacing w:after="0"/>
              <w:rPr>
                <w:sz w:val="24"/>
                <w:szCs w:val="24"/>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w w:val="84"/>
              </w:rPr>
              <w:t>2,163</w:t>
            </w:r>
          </w:p>
        </w:tc>
        <w:tc>
          <w:tcPr>
            <w:tcW w:w="300" w:type="dxa"/>
            <w:vAlign w:val="bottom"/>
          </w:tcPr>
          <w:p>
            <w:pPr>
              <w:spacing w:after="0"/>
              <w:rPr>
                <w:sz w:val="24"/>
                <w:szCs w:val="24"/>
                <w:color w:val="auto"/>
              </w:rPr>
            </w:pPr>
          </w:p>
        </w:tc>
        <w:tc>
          <w:tcPr>
            <w:tcW w:w="400" w:type="dxa"/>
            <w:vAlign w:val="bottom"/>
            <w:gridSpan w:val="3"/>
          </w:tcPr>
          <w:p>
            <w:pPr>
              <w:jc w:val="right"/>
              <w:ind w:right="100"/>
              <w:spacing w:after="0"/>
              <w:rPr>
                <w:sz w:val="20"/>
                <w:szCs w:val="20"/>
                <w:color w:val="auto"/>
              </w:rPr>
            </w:pPr>
            <w:r>
              <w:rPr>
                <w:rFonts w:ascii="Arial" w:cs="Arial" w:eastAsia="Arial" w:hAnsi="Arial"/>
                <w:sz w:val="16"/>
                <w:szCs w:val="16"/>
                <w:color w:val="auto"/>
                <w:w w:val="74"/>
              </w:rPr>
              <w:t>(973)</w:t>
            </w:r>
          </w:p>
        </w:tc>
        <w:tc>
          <w:tcPr>
            <w:tcW w:w="560" w:type="dxa"/>
            <w:vAlign w:val="bottom"/>
            <w:gridSpan w:val="4"/>
          </w:tcPr>
          <w:p>
            <w:pPr>
              <w:jc w:val="center"/>
              <w:ind w:right="20"/>
              <w:spacing w:after="0"/>
              <w:rPr>
                <w:sz w:val="20"/>
                <w:szCs w:val="20"/>
                <w:color w:val="auto"/>
              </w:rPr>
            </w:pPr>
            <w:r>
              <w:rPr>
                <w:rFonts w:ascii="Arial" w:cs="Arial" w:eastAsia="Arial" w:hAnsi="Arial"/>
                <w:sz w:val="18"/>
                <w:szCs w:val="18"/>
                <w:color w:val="auto"/>
                <w:w w:val="93"/>
              </w:rPr>
              <w:t>(45)</w:t>
            </w:r>
          </w:p>
        </w:tc>
        <w:tc>
          <w:tcPr>
            <w:tcW w:w="860" w:type="dxa"/>
            <w:vAlign w:val="bottom"/>
            <w:gridSpan w:val="5"/>
          </w:tcPr>
          <w:p>
            <w:pPr>
              <w:jc w:val="right"/>
              <w:ind w:right="80"/>
              <w:spacing w:after="0"/>
              <w:rPr>
                <w:sz w:val="20"/>
                <w:szCs w:val="20"/>
                <w:color w:val="auto"/>
              </w:rPr>
            </w:pPr>
            <w:r>
              <w:rPr>
                <w:rFonts w:ascii="Arial" w:cs="Arial" w:eastAsia="Arial" w:hAnsi="Arial"/>
                <w:sz w:val="18"/>
                <w:szCs w:val="18"/>
                <w:color w:val="auto"/>
              </w:rPr>
              <w:t>2,143</w:t>
            </w:r>
          </w:p>
        </w:tc>
        <w:tc>
          <w:tcPr>
            <w:tcW w:w="120" w:type="dxa"/>
            <w:vAlign w:val="bottom"/>
          </w:tcPr>
          <w:p>
            <w:pPr>
              <w:spacing w:after="0"/>
              <w:rPr>
                <w:sz w:val="24"/>
                <w:szCs w:val="24"/>
                <w:color w:val="auto"/>
              </w:rPr>
            </w:pPr>
          </w:p>
        </w:tc>
        <w:tc>
          <w:tcPr>
            <w:tcW w:w="640" w:type="dxa"/>
            <w:vAlign w:val="bottom"/>
            <w:gridSpan w:val="5"/>
          </w:tcPr>
          <w:p>
            <w:pPr>
              <w:jc w:val="right"/>
              <w:ind w:right="60"/>
              <w:spacing w:after="0"/>
              <w:rPr>
                <w:sz w:val="20"/>
                <w:szCs w:val="20"/>
                <w:color w:val="auto"/>
              </w:rPr>
            </w:pPr>
            <w:r>
              <w:rPr>
                <w:rFonts w:ascii="Arial" w:cs="Arial" w:eastAsia="Arial" w:hAnsi="Arial"/>
                <w:sz w:val="18"/>
                <w:szCs w:val="18"/>
                <w:color w:val="auto"/>
              </w:rPr>
              <w:t>(953)</w:t>
            </w:r>
          </w:p>
        </w:tc>
        <w:tc>
          <w:tcPr>
            <w:tcW w:w="440" w:type="dxa"/>
            <w:vAlign w:val="bottom"/>
            <w:gridSpan w:val="4"/>
          </w:tcPr>
          <w:p>
            <w:pPr>
              <w:jc w:val="right"/>
              <w:ind w:right="80"/>
              <w:spacing w:after="0"/>
              <w:rPr>
                <w:sz w:val="20"/>
                <w:szCs w:val="20"/>
                <w:color w:val="auto"/>
              </w:rPr>
            </w:pPr>
            <w:r>
              <w:rPr>
                <w:rFonts w:ascii="Arial" w:cs="Arial" w:eastAsia="Arial" w:hAnsi="Arial"/>
                <w:sz w:val="18"/>
                <w:szCs w:val="18"/>
                <w:color w:val="auto"/>
              </w:rPr>
              <w:t>(44)</w:t>
            </w:r>
          </w:p>
        </w:tc>
      </w:tr>
      <w:tr>
        <w:trPr>
          <w:trHeight w:val="20"/>
        </w:trPr>
        <w:tc>
          <w:tcPr>
            <w:tcW w:w="3900" w:type="dxa"/>
            <w:vAlign w:val="bottom"/>
            <w:tcBorders>
              <w:right w:val="single" w:sz="8" w:color="auto"/>
            </w:tcBorders>
          </w:tcPr>
          <w:p>
            <w:pPr>
              <w:spacing w:after="0" w:line="20" w:lineRule="exact"/>
              <w:rPr>
                <w:sz w:val="1"/>
                <w:szCs w:val="1"/>
                <w:color w:val="auto"/>
              </w:rPr>
            </w:pPr>
          </w:p>
        </w:tc>
        <w:tc>
          <w:tcPr>
            <w:tcW w:w="400" w:type="dxa"/>
            <w:vAlign w:val="bottom"/>
            <w:gridSpan w:val="3"/>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400" w:type="dxa"/>
            <w:vAlign w:val="bottom"/>
            <w:gridSpan w:val="3"/>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32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r>
      <w:tr>
        <w:trPr>
          <w:trHeight w:val="439"/>
        </w:trPr>
        <w:tc>
          <w:tcPr>
            <w:tcW w:w="3900" w:type="dxa"/>
            <w:vAlign w:val="bottom"/>
          </w:tcPr>
          <w:p>
            <w:pPr>
              <w:spacing w:after="0"/>
              <w:rPr>
                <w:sz w:val="24"/>
                <w:szCs w:val="24"/>
                <w:color w:val="auto"/>
              </w:rPr>
            </w:pPr>
          </w:p>
        </w:tc>
        <w:tc>
          <w:tcPr>
            <w:tcW w:w="400" w:type="dxa"/>
            <w:vAlign w:val="bottom"/>
            <w:gridSpan w:val="3"/>
          </w:tcPr>
          <w:p>
            <w:pPr>
              <w:jc w:val="right"/>
              <w:spacing w:after="0"/>
              <w:rPr>
                <w:sz w:val="20"/>
                <w:szCs w:val="20"/>
                <w:color w:val="auto"/>
              </w:rPr>
            </w:pPr>
            <w:r>
              <w:rPr>
                <w:rFonts w:ascii="Arial" w:cs="Arial" w:eastAsia="Arial" w:hAnsi="Arial"/>
                <w:sz w:val="16"/>
                <w:szCs w:val="16"/>
                <w:u w:val="single" w:color="auto"/>
                <w:color w:val="auto"/>
                <w:w w:val="77"/>
              </w:rPr>
              <w:t>$</w:t>
            </w:r>
            <w:r>
              <w:rPr>
                <w:rFonts w:ascii="Arial" w:cs="Arial" w:eastAsia="Arial" w:hAnsi="Arial"/>
                <w:sz w:val="16"/>
                <w:szCs w:val="16"/>
                <w:color w:val="auto"/>
                <w:w w:val="77"/>
              </w:rPr>
              <w:t>8,797</w:t>
            </w:r>
          </w:p>
        </w:tc>
        <w:tc>
          <w:tcPr>
            <w:tcW w:w="160" w:type="dxa"/>
            <w:vAlign w:val="bottom"/>
          </w:tcPr>
          <w:p>
            <w:pPr>
              <w:spacing w:after="0"/>
              <w:rPr>
                <w:sz w:val="24"/>
                <w:szCs w:val="24"/>
                <w:color w:val="auto"/>
              </w:rPr>
            </w:pPr>
          </w:p>
        </w:tc>
        <w:tc>
          <w:tcPr>
            <w:tcW w:w="400" w:type="dxa"/>
            <w:vAlign w:val="bottom"/>
            <w:gridSpan w:val="3"/>
          </w:tcPr>
          <w:p>
            <w:pPr>
              <w:jc w:val="right"/>
              <w:spacing w:after="0"/>
              <w:rPr>
                <w:sz w:val="20"/>
                <w:szCs w:val="20"/>
                <w:color w:val="auto"/>
              </w:rPr>
            </w:pPr>
            <w:r>
              <w:rPr>
                <w:rFonts w:ascii="Arial" w:cs="Arial" w:eastAsia="Arial" w:hAnsi="Arial"/>
                <w:sz w:val="16"/>
                <w:szCs w:val="16"/>
                <w:u w:val="single" w:color="auto"/>
                <w:color w:val="auto"/>
                <w:w w:val="77"/>
              </w:rPr>
              <w:t>$</w:t>
            </w:r>
            <w:r>
              <w:rPr>
                <w:rFonts w:ascii="Arial" w:cs="Arial" w:eastAsia="Arial" w:hAnsi="Arial"/>
                <w:sz w:val="16"/>
                <w:szCs w:val="16"/>
                <w:color w:val="auto"/>
                <w:w w:val="77"/>
              </w:rPr>
              <w:t>8,973</w:t>
            </w:r>
          </w:p>
        </w:tc>
        <w:tc>
          <w:tcPr>
            <w:tcW w:w="300" w:type="dxa"/>
            <w:vAlign w:val="bottom"/>
          </w:tcPr>
          <w:p>
            <w:pPr>
              <w:spacing w:after="0"/>
              <w:rPr>
                <w:sz w:val="24"/>
                <w:szCs w:val="24"/>
                <w:color w:val="auto"/>
              </w:rPr>
            </w:pPr>
          </w:p>
        </w:tc>
        <w:tc>
          <w:tcPr>
            <w:tcW w:w="400" w:type="dxa"/>
            <w:vAlign w:val="bottom"/>
            <w:gridSpan w:val="3"/>
          </w:tcPr>
          <w:p>
            <w:pPr>
              <w:jc w:val="right"/>
              <w:ind w:right="100"/>
              <w:spacing w:after="0"/>
              <w:rPr>
                <w:sz w:val="20"/>
                <w:szCs w:val="20"/>
                <w:color w:val="auto"/>
              </w:rPr>
            </w:pPr>
            <w:r>
              <w:rPr>
                <w:rFonts w:ascii="Arial" w:cs="Arial" w:eastAsia="Arial" w:hAnsi="Arial"/>
                <w:sz w:val="13"/>
                <w:szCs w:val="13"/>
                <w:u w:val="single" w:color="auto"/>
                <w:color w:val="auto"/>
                <w:w w:val="74"/>
              </w:rPr>
              <w:t>$</w:t>
            </w:r>
            <w:r>
              <w:rPr>
                <w:rFonts w:ascii="Arial" w:cs="Arial" w:eastAsia="Arial" w:hAnsi="Arial"/>
                <w:sz w:val="13"/>
                <w:szCs w:val="13"/>
                <w:color w:val="auto"/>
                <w:w w:val="74"/>
              </w:rPr>
              <w:t>(176)</w:t>
            </w:r>
          </w:p>
        </w:tc>
        <w:tc>
          <w:tcPr>
            <w:tcW w:w="560" w:type="dxa"/>
            <w:vAlign w:val="bottom"/>
            <w:gridSpan w:val="4"/>
          </w:tcPr>
          <w:p>
            <w:pPr>
              <w:jc w:val="right"/>
              <w:ind w:right="60"/>
              <w:spacing w:after="0"/>
              <w:rPr>
                <w:sz w:val="20"/>
                <w:szCs w:val="20"/>
                <w:color w:val="auto"/>
              </w:rPr>
            </w:pPr>
            <w:r>
              <w:rPr>
                <w:rFonts w:ascii="Arial" w:cs="Arial" w:eastAsia="Arial" w:hAnsi="Arial"/>
                <w:sz w:val="18"/>
                <w:szCs w:val="18"/>
                <w:color w:val="auto"/>
              </w:rPr>
              <w:t>(2)%</w:t>
            </w:r>
          </w:p>
        </w:tc>
        <w:tc>
          <w:tcPr>
            <w:tcW w:w="860" w:type="dxa"/>
            <w:vAlign w:val="bottom"/>
            <w:gridSpan w:val="5"/>
          </w:tcPr>
          <w:p>
            <w:pPr>
              <w:jc w:val="right"/>
              <w:ind w:right="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9,335</w:t>
            </w:r>
          </w:p>
        </w:tc>
        <w:tc>
          <w:tcPr>
            <w:tcW w:w="120" w:type="dxa"/>
            <w:vAlign w:val="bottom"/>
          </w:tcPr>
          <w:p>
            <w:pPr>
              <w:spacing w:after="0"/>
              <w:rPr>
                <w:sz w:val="24"/>
                <w:szCs w:val="24"/>
                <w:color w:val="auto"/>
              </w:rPr>
            </w:pPr>
          </w:p>
        </w:tc>
        <w:tc>
          <w:tcPr>
            <w:tcW w:w="640" w:type="dxa"/>
            <w:vAlign w:val="bottom"/>
            <w:gridSpan w:val="5"/>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(538)</w:t>
            </w:r>
          </w:p>
        </w:tc>
        <w:tc>
          <w:tcPr>
            <w:tcW w:w="440" w:type="dxa"/>
            <w:vAlign w:val="bottom"/>
            <w:gridSpan w:val="4"/>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39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ind w:left="540" w:right="60"/>
        <w:spacing w:after="0" w:line="289" w:lineRule="auto"/>
        <w:rPr>
          <w:sz w:val="20"/>
          <w:szCs w:val="20"/>
          <w:color w:val="auto"/>
        </w:rPr>
      </w:pPr>
      <w:r>
        <w:rPr>
          <w:rFonts w:ascii="Arial" w:cs="Arial" w:eastAsia="Arial" w:hAnsi="Arial"/>
          <w:sz w:val="16"/>
          <w:szCs w:val="16"/>
          <w:color w:val="auto"/>
        </w:rPr>
        <w:t>Our consolidated net revenues for the quarter ended March 31, 2014 decreased $176,000 as compared to the same period in 2013. For the quarter ended March 31, 2014, the net revenues of our Thermal Products segment decreased $655,000 while the net revenues of our Mechanical and Electrical Products segments increased $254,000 and $225,000, respectively, as compared to the same period in 2013. The increases in our Mechanical and Electrical Products segments reflect the aforementioned increase in demand experienced during the first quarter of 2014 from the ATE market. Although our Thermal Products segment also experienced increased levels of demand from its customers within the ATE market during the first quarter of 2014, these increases were offset by reduced demand from one particular customer within the industrial market as this customer is currently temporarily capacity-constrained. This resulted in the overall decline in both our consolidated net revenues and the net revenues of our Thermal Products segment during the first quarter of 2014 as compared to the same period in 2013.</w:t>
      </w:r>
    </w:p>
    <w:p>
      <w:pPr>
        <w:spacing w:after="0" w:line="172" w:lineRule="exact"/>
        <w:rPr>
          <w:sz w:val="20"/>
          <w:szCs w:val="20"/>
          <w:color w:val="auto"/>
        </w:rPr>
      </w:pPr>
    </w:p>
    <w:p>
      <w:pPr>
        <w:ind w:left="540"/>
        <w:spacing w:after="0" w:line="254" w:lineRule="auto"/>
        <w:rPr>
          <w:sz w:val="20"/>
          <w:szCs w:val="20"/>
          <w:color w:val="auto"/>
        </w:rPr>
      </w:pPr>
      <w:r>
        <w:rPr>
          <w:rFonts w:ascii="Arial" w:cs="Arial" w:eastAsia="Arial" w:hAnsi="Arial"/>
          <w:sz w:val="18"/>
          <w:szCs w:val="18"/>
          <w:color w:val="auto"/>
        </w:rPr>
        <w:t>Our consolidated net revenues for the quarter ended March 31, 2014 decreased $538,000 as compared to the quarter ended December 31, 2013. The net revenues of our Thermal, Mechanical and Electrical Products segments decreased $206,000, $130,000 and $202,000, respectively, for the first quarter of 2014 as compared to the fourth quarter of 2013. We believe the decrease in our net revenues reflects weakened demand in the fourth quarter of 2013 which resulted in lower order levels during that period and a lower backlog at the beginning of the first quarter of 2014. Although demand improved and our order activity increased during the first quarter of 2014, as previously discussed, many of the orders were not received in time to be shipped within the first quarter of 2014.</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Product/Customer Mix</w:t>
      </w:r>
    </w:p>
    <w:p>
      <w:pPr>
        <w:spacing w:after="0" w:line="225" w:lineRule="exact"/>
        <w:rPr>
          <w:sz w:val="20"/>
          <w:szCs w:val="20"/>
          <w:color w:val="auto"/>
        </w:rPr>
      </w:pPr>
    </w:p>
    <w:p>
      <w:pPr>
        <w:ind w:left="540" w:right="120"/>
        <w:spacing w:after="0" w:line="256" w:lineRule="auto"/>
        <w:rPr>
          <w:sz w:val="20"/>
          <w:szCs w:val="20"/>
          <w:color w:val="auto"/>
        </w:rPr>
      </w:pPr>
      <w:r>
        <w:rPr>
          <w:rFonts w:ascii="Arial" w:cs="Arial" w:eastAsia="Arial" w:hAnsi="Arial"/>
          <w:sz w:val="18"/>
          <w:szCs w:val="18"/>
          <w:color w:val="auto"/>
        </w:rPr>
        <w:t>Our three product segments each have multiple products that we design, manufacture and market to our customers. Due to a number of factors, our products have varying levels of gross margin. The mix of products we sell in any period is ultimately determined by our customers' needs. Therefore, the mix of products sold in any given period can change significantly from the prior period. As a result, our consolidated gross margin can be significantly impacted in any given period by a change in the mix of products sold in that period.</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- 16 -</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OF FINANCIAL CONDITION AND RESULTS OF OPERATIONS </w:t>
      </w:r>
      <w:r>
        <w:rPr>
          <w:rFonts w:ascii="Arial" w:cs="Arial" w:eastAsia="Arial" w:hAnsi="Arial"/>
          <w:sz w:val="18"/>
          <w:szCs w:val="18"/>
          <w:color w:val="auto"/>
        </w:rPr>
        <w:t>(Continued)</w:t>
      </w:r>
    </w:p>
    <w:p>
      <w:pPr>
        <w:spacing w:after="0" w:line="191" w:lineRule="exact"/>
        <w:rPr>
          <w:sz w:val="20"/>
          <w:szCs w:val="20"/>
          <w:color w:val="auto"/>
        </w:rPr>
      </w:pPr>
    </w:p>
    <w:p>
      <w:pPr>
        <w:ind w:left="540" w:right="120"/>
        <w:spacing w:after="0" w:line="294" w:lineRule="auto"/>
        <w:rPr>
          <w:sz w:val="20"/>
          <w:szCs w:val="20"/>
          <w:color w:val="auto"/>
        </w:rPr>
      </w:pPr>
      <w:r>
        <w:rPr>
          <w:rFonts w:ascii="Arial" w:cs="Arial" w:eastAsia="Arial" w:hAnsi="Arial"/>
          <w:sz w:val="16"/>
          <w:szCs w:val="16"/>
          <w:color w:val="auto"/>
        </w:rPr>
        <w:t>We sell most of our products to semiconductor manufacturers and third-party test and assembly houses (end user sales) and to ATE manufacturers (OEM sales) who ultimately resell our equipment with theirs to semiconductor manufacturers. Our Thermal Products segment also sells into a variety of other markets including the automotive, consumer electronics, defense/aerospace, energy, industrial and telecommunications markets. The mix of customers during any given period will affect our gross margin due to differing sales discounts and commissions. For the quarters ended March 31, 2014 and 2013, our OEM sales as a percentage of net revenues were 16% and 9%, respectively.</w:t>
      </w:r>
    </w:p>
    <w:p>
      <w:pPr>
        <w:spacing w:after="0" w:line="170" w:lineRule="exact"/>
        <w:rPr>
          <w:sz w:val="20"/>
          <w:szCs w:val="20"/>
          <w:color w:val="auto"/>
        </w:rPr>
      </w:pPr>
    </w:p>
    <w:p>
      <w:pPr>
        <w:ind w:left="540" w:right="120"/>
        <w:spacing w:after="0" w:line="255" w:lineRule="auto"/>
        <w:rPr>
          <w:sz w:val="20"/>
          <w:szCs w:val="20"/>
          <w:color w:val="auto"/>
        </w:rPr>
      </w:pPr>
      <w:r>
        <w:rPr>
          <w:rFonts w:ascii="Arial" w:cs="Arial" w:eastAsia="Arial" w:hAnsi="Arial"/>
          <w:sz w:val="18"/>
          <w:szCs w:val="18"/>
          <w:color w:val="auto"/>
        </w:rPr>
        <w:t>OEM sales generally have a lower gross margin than end user sales, as OEM sales historically have had a more significant discount. Our current net operating margins on most OEM sales, however, are only slightly less than margins on end user sales because of the payment of third party sales commissions on most end user sales. We have also continued to experience demands from our OEM customers' supply line managers to reduce our sales prices to them. If we cannot further reduce our manufacturing and operating costs, these pricing pressures will negatively affect our gross and operating margins.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The results of operations for our three product segments are generally affected by the same factors. Separate discussions and analyses for each product</w:t>
      </w:r>
    </w:p>
    <w:p>
      <w:pPr>
        <w:sectPr>
          <w:pgSz w:w="11900" w:h="16870" w:orient="portrait"/>
          <w:cols w:equalWidth="0" w:num="1">
            <w:col w:w="11400"/>
          </w:cols>
          <w:pgMar w:left="240" w:top="131" w:right="259" w:bottom="0" w:gutter="0" w:footer="0" w:header="0"/>
        </w:sectPr>
      </w:pPr>
    </w:p>
    <w:bookmarkStart w:id="15" w:name="page16"/>
    <w:bookmarkEnd w:id="15"/>
    <w:p>
      <w:pPr>
        <w:spacing w:after="0" w:line="32" w:lineRule="exact"/>
        <w:rPr>
          <w:sz w:val="20"/>
          <w:szCs w:val="20"/>
          <w:color w:val="auto"/>
        </w:rPr>
      </w:pPr>
    </w:p>
    <w:p>
      <w:pPr>
        <w:ind w:left="540" w:right="240"/>
        <w:spacing w:after="0" w:line="268" w:lineRule="auto"/>
        <w:rPr>
          <w:sz w:val="20"/>
          <w:szCs w:val="20"/>
          <w:color w:val="auto"/>
        </w:rPr>
      </w:pPr>
      <w:r>
        <w:rPr>
          <w:rFonts w:ascii="Arial" w:cs="Arial" w:eastAsia="Arial" w:hAnsi="Arial"/>
          <w:sz w:val="18"/>
          <w:szCs w:val="18"/>
          <w:color w:val="auto"/>
        </w:rPr>
        <w:t>segment would be repetitive. The discussion and analysis that follows, therefore, is presented on a consolidated basis and includes discussion of factors unique to each product segment where significant to an understanding of that segment.</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Quarter Ended March 31, 2014 Compared to Quarter Ended March 31, 2013</w:t>
      </w:r>
    </w:p>
    <w:p>
      <w:pPr>
        <w:spacing w:after="0" w:line="225" w:lineRule="exact"/>
        <w:rPr>
          <w:sz w:val="20"/>
          <w:szCs w:val="20"/>
          <w:color w:val="auto"/>
        </w:rPr>
      </w:pPr>
    </w:p>
    <w:p>
      <w:pPr>
        <w:ind w:left="540" w:right="140"/>
        <w:spacing w:after="0" w:line="259" w:lineRule="auto"/>
        <w:rPr>
          <w:sz w:val="20"/>
          <w:szCs w:val="20"/>
          <w:color w:val="auto"/>
        </w:rPr>
      </w:pPr>
      <w:r>
        <w:rPr>
          <w:rFonts w:ascii="Arial" w:cs="Arial" w:eastAsia="Arial" w:hAnsi="Arial"/>
          <w:sz w:val="18"/>
          <w:szCs w:val="18"/>
          <w:i w:val="1"/>
          <w:iCs w:val="1"/>
          <w:color w:val="auto"/>
        </w:rPr>
        <w:t xml:space="preserve">Net Revenues. </w:t>
      </w:r>
      <w:r>
        <w:rPr>
          <w:rFonts w:ascii="Arial" w:cs="Arial" w:eastAsia="Arial" w:hAnsi="Arial"/>
          <w:sz w:val="18"/>
          <w:szCs w:val="18"/>
          <w:color w:val="auto"/>
        </w:rPr>
        <w:t>Net revenues were $8.8 million for the quarter ended March 31, 2014 compared to $9.0 million for the same period in 2013, a decrease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$176,000 or 2%. We believe the decrease in our net revenues during the first quarter of 2014 primarily reflects the factors previously discussed in the Overview.</w:t>
      </w:r>
    </w:p>
    <w:p>
      <w:pPr>
        <w:spacing w:after="0" w:line="194" w:lineRule="exact"/>
        <w:rPr>
          <w:sz w:val="20"/>
          <w:szCs w:val="20"/>
          <w:color w:val="auto"/>
        </w:rPr>
      </w:pPr>
    </w:p>
    <w:p>
      <w:pPr>
        <w:ind w:left="540" w:right="40"/>
        <w:spacing w:after="0" w:line="294" w:lineRule="auto"/>
        <w:rPr>
          <w:sz w:val="20"/>
          <w:szCs w:val="20"/>
          <w:color w:val="auto"/>
        </w:rPr>
      </w:pPr>
      <w:r>
        <w:rPr>
          <w:rFonts w:ascii="Arial" w:cs="Arial" w:eastAsia="Arial" w:hAnsi="Arial"/>
          <w:sz w:val="16"/>
          <w:szCs w:val="16"/>
          <w:i w:val="1"/>
          <w:iCs w:val="1"/>
          <w:color w:val="auto"/>
        </w:rPr>
        <w:t xml:space="preserve">Gross Margin. </w:t>
      </w:r>
      <w:r>
        <w:rPr>
          <w:rFonts w:ascii="Arial" w:cs="Arial" w:eastAsia="Arial" w:hAnsi="Arial"/>
          <w:sz w:val="16"/>
          <w:szCs w:val="16"/>
          <w:color w:val="auto"/>
        </w:rPr>
        <w:t>Our consolidated gross margin was 48% for the quarter ended March 31, 2014 compared to 46% for the same period in 2013. The</w:t>
      </w:r>
      <w:r>
        <w:rPr>
          <w:rFonts w:ascii="Arial" w:cs="Arial" w:eastAsia="Arial" w:hAnsi="Arial"/>
          <w:sz w:val="16"/>
          <w:szCs w:val="16"/>
          <w:i w:val="1"/>
          <w:iCs w:val="1"/>
          <w:color w:val="auto"/>
        </w:rPr>
        <w:t xml:space="preserve"> </w:t>
      </w:r>
      <w:r>
        <w:rPr>
          <w:rFonts w:ascii="Arial" w:cs="Arial" w:eastAsia="Arial" w:hAnsi="Arial"/>
          <w:sz w:val="16"/>
          <w:szCs w:val="16"/>
          <w:color w:val="auto"/>
        </w:rPr>
        <w:t>improvement in our gross margin was primarily the result of a reduction in our fixed operating costs combined with lower charges for excess and obsolete inventory during the first quarter of 2014 as compared to the same period in 2013. Our fixed operating costs decreased $99,000, primarily as a result of lower salary and benefits expense in our Thermal Products segment reflecting lower headcount. Our charges for excess and obsolete inventory decreased $75,000, reflecting fewer items falling into our standard excess and obsolete criteria.</w:t>
      </w:r>
    </w:p>
    <w:p>
      <w:pPr>
        <w:spacing w:after="0" w:line="170" w:lineRule="exact"/>
        <w:rPr>
          <w:sz w:val="20"/>
          <w:szCs w:val="20"/>
          <w:color w:val="auto"/>
        </w:rPr>
      </w:pPr>
    </w:p>
    <w:p>
      <w:pPr>
        <w:ind w:left="540" w:right="240"/>
        <w:spacing w:after="0" w:line="259" w:lineRule="auto"/>
        <w:rPr>
          <w:sz w:val="20"/>
          <w:szCs w:val="20"/>
          <w:color w:val="auto"/>
        </w:rPr>
      </w:pPr>
      <w:r>
        <w:rPr>
          <w:rFonts w:ascii="Arial" w:cs="Arial" w:eastAsia="Arial" w:hAnsi="Arial"/>
          <w:sz w:val="18"/>
          <w:szCs w:val="18"/>
          <w:i w:val="1"/>
          <w:iCs w:val="1"/>
          <w:color w:val="auto"/>
        </w:rPr>
        <w:t xml:space="preserve">Selling Expense. </w:t>
      </w:r>
      <w:r>
        <w:rPr>
          <w:rFonts w:ascii="Arial" w:cs="Arial" w:eastAsia="Arial" w:hAnsi="Arial"/>
          <w:sz w:val="18"/>
          <w:szCs w:val="18"/>
          <w:color w:val="auto"/>
        </w:rPr>
        <w:t>Selling expense was $1.3 million for the quarter ended March 31, 2014 compared to $1.2 million for the same period in 2013,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of $137,000 or 12%. The increase primarily reflects higher salaries and benefits expense as a result of an increase in headcount in our Thermal and Electrical Products segments.</w:t>
      </w:r>
    </w:p>
    <w:p>
      <w:pPr>
        <w:spacing w:after="0" w:line="194" w:lineRule="exact"/>
        <w:rPr>
          <w:sz w:val="20"/>
          <w:szCs w:val="20"/>
          <w:color w:val="auto"/>
        </w:rPr>
      </w:pPr>
    </w:p>
    <w:p>
      <w:pPr>
        <w:ind w:left="540" w:right="220"/>
        <w:spacing w:after="0" w:line="259" w:lineRule="auto"/>
        <w:rPr>
          <w:sz w:val="20"/>
          <w:szCs w:val="20"/>
          <w:color w:val="auto"/>
        </w:rPr>
      </w:pPr>
      <w:r>
        <w:rPr>
          <w:rFonts w:ascii="Arial" w:cs="Arial" w:eastAsia="Arial" w:hAnsi="Arial"/>
          <w:sz w:val="18"/>
          <w:szCs w:val="18"/>
          <w:i w:val="1"/>
          <w:iCs w:val="1"/>
          <w:color w:val="auto"/>
        </w:rPr>
        <w:t xml:space="preserve">Engineering and Product Development Expense. </w:t>
      </w:r>
      <w:r>
        <w:rPr>
          <w:rFonts w:ascii="Arial" w:cs="Arial" w:eastAsia="Arial" w:hAnsi="Arial"/>
          <w:sz w:val="18"/>
          <w:szCs w:val="18"/>
          <w:color w:val="auto"/>
        </w:rPr>
        <w:t>Engineering and product development expense was $923,000 for the first quarter of 2014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$996,000 for the same period in 2013, a decrease of $73,000 or 7%. The decrease in engineering and product development expense primarily reflects decreased spending on matters related to our intellectual property.</w:t>
      </w:r>
    </w:p>
    <w:p>
      <w:pPr>
        <w:spacing w:after="0" w:line="194" w:lineRule="exact"/>
        <w:rPr>
          <w:sz w:val="20"/>
          <w:szCs w:val="20"/>
          <w:color w:val="auto"/>
        </w:rPr>
      </w:pPr>
    </w:p>
    <w:p>
      <w:pPr>
        <w:ind w:left="540" w:right="40"/>
        <w:spacing w:after="0" w:line="306" w:lineRule="auto"/>
        <w:rPr>
          <w:sz w:val="20"/>
          <w:szCs w:val="20"/>
          <w:color w:val="auto"/>
        </w:rPr>
      </w:pPr>
      <w:r>
        <w:rPr>
          <w:rFonts w:ascii="Arial" w:cs="Arial" w:eastAsia="Arial" w:hAnsi="Arial"/>
          <w:sz w:val="16"/>
          <w:szCs w:val="16"/>
          <w:i w:val="1"/>
          <w:iCs w:val="1"/>
          <w:color w:val="auto"/>
        </w:rPr>
        <w:t xml:space="preserve">General and Administrative Expense. </w:t>
      </w:r>
      <w:r>
        <w:rPr>
          <w:rFonts w:ascii="Arial" w:cs="Arial" w:eastAsia="Arial" w:hAnsi="Arial"/>
          <w:sz w:val="16"/>
          <w:szCs w:val="16"/>
          <w:color w:val="auto"/>
        </w:rPr>
        <w:t>General and administrative expense was $1.5 million for the first quarter of 2014 compared to $1.6 million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same period in 2013, a decrease of $24,000 or 2%. Decreases in salary and benefits expense and lower levels of amortization of our intangible assets were partially offset by increases in costs related to various third party professional services we utilize.</w:t>
      </w:r>
    </w:p>
    <w:p>
      <w:pPr>
        <w:spacing w:after="0" w:line="161" w:lineRule="exact"/>
        <w:rPr>
          <w:sz w:val="20"/>
          <w:szCs w:val="20"/>
          <w:color w:val="auto"/>
        </w:rPr>
      </w:pPr>
    </w:p>
    <w:p>
      <w:pPr>
        <w:ind w:left="540" w:right="20"/>
        <w:spacing w:after="0" w:line="291" w:lineRule="auto"/>
        <w:rPr>
          <w:sz w:val="20"/>
          <w:szCs w:val="20"/>
          <w:color w:val="auto"/>
        </w:rPr>
      </w:pPr>
      <w:r>
        <w:rPr>
          <w:rFonts w:ascii="Arial" w:cs="Arial" w:eastAsia="Arial" w:hAnsi="Arial"/>
          <w:sz w:val="16"/>
          <w:szCs w:val="16"/>
          <w:i w:val="1"/>
          <w:iCs w:val="1"/>
          <w:color w:val="auto"/>
        </w:rPr>
        <w:t xml:space="preserve">Income Tax Expense. </w:t>
      </w:r>
      <w:r>
        <w:rPr>
          <w:rFonts w:ascii="Arial" w:cs="Arial" w:eastAsia="Arial" w:hAnsi="Arial"/>
          <w:sz w:val="16"/>
          <w:szCs w:val="16"/>
          <w:color w:val="auto"/>
        </w:rPr>
        <w:t>For the quarter ended March 31, 2014, we recorded income tax expense of $125,000 compared to income tax expense of $78,000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same period in 2013. Our effective tax rate for the quarter ended March 31, 2013 was 30% compared to an effective tax rate of 21% for the same period in 2013. On a quarterly basis, we record income tax expense or benefit based on the expected annualized effective tax rate for the various taxing jurisdictions in which we operate our businesses. The increase in our effective tax rate in the first quarter of 2014 as compared to the same period in 2013 primarily reflects the recording of the effect of the reinstatement of certain domestic research and development tax credits in the first quarter of 2013. This change was enacted in January 2013. There was no similar item to record in 2014.</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- 17 -</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OF FINANCIAL CONDITION AND RESULTS OF OPERATIONS </w:t>
      </w:r>
      <w:r>
        <w:rPr>
          <w:rFonts w:ascii="Arial" w:cs="Arial" w:eastAsia="Arial" w:hAnsi="Arial"/>
          <w:sz w:val="18"/>
          <w:szCs w:val="18"/>
          <w:color w:val="auto"/>
        </w:rPr>
        <w:t>(Continued)</w:t>
      </w:r>
    </w:p>
    <w:p>
      <w:pPr>
        <w:spacing w:after="0" w:line="185"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31" w:lineRule="exact"/>
        <w:rPr>
          <w:sz w:val="20"/>
          <w:szCs w:val="20"/>
          <w:color w:val="auto"/>
        </w:rPr>
      </w:pPr>
    </w:p>
    <w:p>
      <w:pPr>
        <w:ind w:left="540" w:right="40"/>
        <w:spacing w:after="0" w:line="259" w:lineRule="auto"/>
        <w:rPr>
          <w:sz w:val="20"/>
          <w:szCs w:val="20"/>
          <w:color w:val="auto"/>
        </w:rPr>
      </w:pPr>
      <w:r>
        <w:rPr>
          <w:rFonts w:ascii="Arial" w:cs="Arial" w:eastAsia="Arial" w:hAnsi="Arial"/>
          <w:sz w:val="18"/>
          <w:szCs w:val="18"/>
          <w:color w:val="auto"/>
        </w:rPr>
        <w:t>As discussed more fully in the Overview, our business and results of operations are substantially dependent upon the demand for ATE by semiconductor manufacturers and companies that specialize in the testing of ICs. The cyclical and volatile nature of demand for ATE makes estimates of future revenues, results of operations and net cash flows difficult.</w:t>
      </w:r>
    </w:p>
    <w:p>
      <w:pPr>
        <w:spacing w:after="0" w:line="194" w:lineRule="exact"/>
        <w:rPr>
          <w:sz w:val="20"/>
          <w:szCs w:val="20"/>
          <w:color w:val="auto"/>
        </w:rPr>
      </w:pPr>
    </w:p>
    <w:p>
      <w:pPr>
        <w:ind w:left="540" w:right="500"/>
        <w:spacing w:after="0" w:line="259" w:lineRule="auto"/>
        <w:rPr>
          <w:sz w:val="20"/>
          <w:szCs w:val="20"/>
          <w:color w:val="auto"/>
        </w:rPr>
      </w:pPr>
      <w:r>
        <w:rPr>
          <w:rFonts w:ascii="Arial" w:cs="Arial" w:eastAsia="Arial" w:hAnsi="Arial"/>
          <w:sz w:val="18"/>
          <w:szCs w:val="18"/>
          <w:color w:val="auto"/>
        </w:rPr>
        <w:t>Our primary historical source of liquidity and capital resources has been cash flow generated by our operations and we manage our businesses to maximize operating cash flows as our primary source of liquidity. We use cash to fund growth in our operating assets, for new product research and development and for acquisitions.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Liquidity</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Our cash and cash equivalents and working capital were as follows:</w:t>
      </w:r>
    </w:p>
    <w:p>
      <w:pPr>
        <w:spacing w:after="0" w:line="248"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10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Mar. 31, 2014</w:t>
            </w:r>
          </w:p>
        </w:tc>
        <w:tc>
          <w:tcPr>
            <w:tcW w:w="760" w:type="dxa"/>
            <w:vAlign w:val="bottom"/>
          </w:tcPr>
          <w:p>
            <w:pPr>
              <w:jc w:val="right"/>
              <w:spacing w:after="0"/>
              <w:rPr>
                <w:sz w:val="20"/>
                <w:szCs w:val="20"/>
                <w:color w:val="auto"/>
              </w:rPr>
            </w:pPr>
            <w:r>
              <w:rPr>
                <w:rFonts w:ascii="Arial" w:cs="Arial" w:eastAsia="Arial" w:hAnsi="Arial"/>
                <w:sz w:val="14"/>
                <w:szCs w:val="14"/>
                <w:b w:val="1"/>
                <w:bCs w:val="1"/>
                <w:i w:val="1"/>
                <w:iCs w:val="1"/>
                <w:color w:val="auto"/>
                <w:w w:val="84"/>
              </w:rPr>
              <w:t>Dec. 31, 2013</w:t>
            </w:r>
          </w:p>
        </w:tc>
      </w:tr>
      <w:tr>
        <w:trPr>
          <w:trHeight w:val="235"/>
        </w:trPr>
        <w:tc>
          <w:tcPr>
            <w:tcW w:w="35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$18,853</w:t>
            </w:r>
          </w:p>
        </w:tc>
        <w:tc>
          <w:tcPr>
            <w:tcW w:w="240" w:type="dxa"/>
            <w:vAlign w:val="bottom"/>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$19,018</w:t>
            </w:r>
          </w:p>
        </w:tc>
      </w:tr>
      <w:tr>
        <w:trPr>
          <w:trHeight w:val="459"/>
        </w:trPr>
        <w:tc>
          <w:tcPr>
            <w:tcW w:w="3500" w:type="dxa"/>
            <w:vAlign w:val="bottom"/>
          </w:tcPr>
          <w:p>
            <w:pPr>
              <w:spacing w:after="0"/>
              <w:rPr>
                <w:sz w:val="20"/>
                <w:szCs w:val="20"/>
                <w:color w:val="auto"/>
              </w:rPr>
            </w:pPr>
            <w:r>
              <w:rPr>
                <w:rFonts w:ascii="Arial" w:cs="Arial" w:eastAsia="Arial" w:hAnsi="Arial"/>
                <w:sz w:val="18"/>
                <w:szCs w:val="18"/>
                <w:color w:val="auto"/>
              </w:rPr>
              <w:t>Working capital</w:t>
            </w:r>
          </w:p>
        </w:tc>
        <w:tc>
          <w:tcPr>
            <w:tcW w:w="760" w:type="dxa"/>
            <w:vAlign w:val="bottom"/>
          </w:tcPr>
          <w:p>
            <w:pPr>
              <w:jc w:val="right"/>
              <w:spacing w:after="0"/>
              <w:rPr>
                <w:sz w:val="20"/>
                <w:szCs w:val="20"/>
                <w:color w:val="auto"/>
              </w:rPr>
            </w:pPr>
            <w:r>
              <w:rPr>
                <w:rFonts w:ascii="Arial" w:cs="Arial" w:eastAsia="Arial" w:hAnsi="Arial"/>
                <w:sz w:val="18"/>
                <w:szCs w:val="18"/>
                <w:color w:val="auto"/>
              </w:rPr>
              <w:t>$25,058</w:t>
            </w: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$24,749</w:t>
            </w:r>
          </w:p>
        </w:tc>
      </w:tr>
    </w:tbl>
    <w:p>
      <w:pPr>
        <w:spacing w:after="0" w:line="200" w:lineRule="exact"/>
        <w:rPr>
          <w:sz w:val="20"/>
          <w:szCs w:val="20"/>
          <w:color w:val="auto"/>
        </w:rPr>
      </w:pPr>
    </w:p>
    <w:p>
      <w:pPr>
        <w:spacing w:after="0" w:line="239" w:lineRule="exact"/>
        <w:rPr>
          <w:sz w:val="20"/>
          <w:szCs w:val="20"/>
          <w:color w:val="auto"/>
        </w:rPr>
      </w:pPr>
    </w:p>
    <w:p>
      <w:pPr>
        <w:ind w:left="540"/>
        <w:spacing w:after="0" w:line="256" w:lineRule="auto"/>
        <w:rPr>
          <w:sz w:val="20"/>
          <w:szCs w:val="20"/>
          <w:color w:val="auto"/>
        </w:rPr>
      </w:pPr>
      <w:r>
        <w:rPr>
          <w:rFonts w:ascii="Arial" w:cs="Arial" w:eastAsia="Arial" w:hAnsi="Arial"/>
          <w:sz w:val="18"/>
          <w:szCs w:val="18"/>
          <w:color w:val="auto"/>
        </w:rPr>
        <w:t>As of March 31, 2014, $3.1 million of our cash and cash equivalents was held by our foreign subsidiaries. When these funds are needed for our operations in the U.S., we may be required to accrue and pay U.S. taxes if we repatriate certain of these funds. We currently plan to repatriate approximately $1.5 million of our cash and cash equivalents held by our German subsidiary during the second quarter of 2014. Our current intent is to indefinitely reinvest the balance of these funds in our foreign operations.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We currently expect our cash and cash equivalents and projected future cash flow to be sufficient to support our short term working capital requirements.</w:t>
      </w:r>
    </w:p>
    <w:p>
      <w:pPr>
        <w:spacing w:after="0" w:line="3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We do not currently have any credit facilities under which we can borrow to help fund our working capital or other requirements.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Cash Flows</w:t>
      </w:r>
    </w:p>
    <w:p>
      <w:pPr>
        <w:spacing w:after="0" w:line="225" w:lineRule="exact"/>
        <w:rPr>
          <w:sz w:val="20"/>
          <w:szCs w:val="20"/>
          <w:color w:val="auto"/>
        </w:rPr>
      </w:pPr>
    </w:p>
    <w:p>
      <w:pPr>
        <w:ind w:left="540" w:right="40"/>
        <w:spacing w:after="0" w:line="318" w:lineRule="auto"/>
        <w:rPr>
          <w:sz w:val="20"/>
          <w:szCs w:val="20"/>
          <w:color w:val="auto"/>
        </w:rPr>
      </w:pPr>
      <w:r>
        <w:rPr>
          <w:rFonts w:ascii="Arial" w:cs="Arial" w:eastAsia="Arial" w:hAnsi="Arial"/>
          <w:sz w:val="15"/>
          <w:szCs w:val="15"/>
          <w:i w:val="1"/>
          <w:iCs w:val="1"/>
          <w:color w:val="auto"/>
        </w:rPr>
        <w:t xml:space="preserve">Operating Activities. </w:t>
      </w:r>
      <w:r>
        <w:rPr>
          <w:rFonts w:ascii="Arial" w:cs="Arial" w:eastAsia="Arial" w:hAnsi="Arial"/>
          <w:sz w:val="15"/>
          <w:szCs w:val="15"/>
          <w:color w:val="auto"/>
        </w:rPr>
        <w:t>Net cash provided by operations for the three months ended March 31, 2014 was $29,000. During the three months ended March 31,</w:t>
      </w:r>
      <w:r>
        <w:rPr>
          <w:rFonts w:ascii="Arial" w:cs="Arial" w:eastAsia="Arial" w:hAnsi="Arial"/>
          <w:sz w:val="15"/>
          <w:szCs w:val="15"/>
          <w:i w:val="1"/>
          <w:iCs w:val="1"/>
          <w:color w:val="auto"/>
        </w:rPr>
        <w:t xml:space="preserve"> </w:t>
      </w:r>
      <w:r>
        <w:rPr>
          <w:rFonts w:ascii="Arial" w:cs="Arial" w:eastAsia="Arial" w:hAnsi="Arial"/>
          <w:sz w:val="15"/>
          <w:szCs w:val="15"/>
          <w:color w:val="auto"/>
        </w:rPr>
        <w:t>2014, we recorded net earnings of $286,000, which included non-cash charges of $217,000 for depreciation and amortization. During the three months ended March 31, 2014, accounts payable and inventories increased $497,000 and $595,000, respectively, compared to the levels at the end of 2013. These increases primarily reflect increased business activity during the first quarter of 2014 as compared to the fourth quarter of 2013. During the three months ended March 31, 2014, accrued wages and benefits decreased $407,000 compared to the level at December 31, 2013 reflecting the payment of profit-</w:t>
      </w:r>
    </w:p>
    <w:p>
      <w:pPr>
        <w:sectPr>
          <w:pgSz w:w="11900" w:h="16870" w:orient="portrait"/>
          <w:cols w:equalWidth="0" w:num="1">
            <w:col w:w="11420"/>
          </w:cols>
          <w:pgMar w:left="240" w:top="131" w:right="239" w:bottom="0" w:gutter="0" w:footer="0" w:header="0"/>
        </w:sectPr>
      </w:pPr>
    </w:p>
    <w:bookmarkStart w:id="16" w:name="page17"/>
    <w:bookmarkEnd w:id="16"/>
    <w:p>
      <w:pPr>
        <w:ind w:left="540"/>
        <w:spacing w:after="0"/>
        <w:rPr>
          <w:sz w:val="20"/>
          <w:szCs w:val="20"/>
          <w:color w:val="auto"/>
        </w:rPr>
      </w:pPr>
      <w:r>
        <w:rPr>
          <w:rFonts w:ascii="Arial" w:cs="Arial" w:eastAsia="Arial" w:hAnsi="Arial"/>
          <w:sz w:val="18"/>
          <w:szCs w:val="18"/>
          <w:color w:val="auto"/>
        </w:rPr>
        <w:t>based bonuses accrued during 2013.</w:t>
      </w:r>
    </w:p>
    <w:p>
      <w:pPr>
        <w:spacing w:after="0" w:line="225" w:lineRule="exact"/>
        <w:rPr>
          <w:sz w:val="20"/>
          <w:szCs w:val="20"/>
          <w:color w:val="auto"/>
        </w:rPr>
      </w:pPr>
    </w:p>
    <w:p>
      <w:pPr>
        <w:ind w:left="540" w:right="40"/>
        <w:spacing w:after="0" w:line="256"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During the three months ended March 31, 2014 purchases of property and equipment were $200,000 which primarily represent</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additions to leased systems in our Thermal and Mechanical Products segments. We have no significant commitments for capital expenditures for the balance of 2014, however, depending upon changes in market demand or manufacturing and sales strategies, we may make such purchases or investments as we deem necessary and appropriate.</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During the three months ended March 31, 2014 there were no cash flows from financing activities.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New or Recently Adopted Accounting Standards</w:t>
      </w:r>
    </w:p>
    <w:p>
      <w:pPr>
        <w:spacing w:after="0" w:line="231" w:lineRule="exact"/>
        <w:rPr>
          <w:sz w:val="20"/>
          <w:szCs w:val="20"/>
          <w:color w:val="auto"/>
        </w:rPr>
      </w:pPr>
    </w:p>
    <w:p>
      <w:pPr>
        <w:ind w:left="540" w:right="180"/>
        <w:spacing w:after="0" w:line="268" w:lineRule="auto"/>
        <w:rPr>
          <w:sz w:val="20"/>
          <w:szCs w:val="20"/>
          <w:color w:val="auto"/>
        </w:rPr>
      </w:pPr>
      <w:r>
        <w:rPr>
          <w:rFonts w:ascii="Arial" w:cs="Arial" w:eastAsia="Arial" w:hAnsi="Arial"/>
          <w:sz w:val="18"/>
          <w:szCs w:val="18"/>
          <w:color w:val="auto"/>
        </w:rPr>
        <w:t>See the Notes to the consolidated financial statements for information concerning the implementation and impact of new or recently adopted accounting standards.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Critical Accounting Policies</w:t>
      </w:r>
    </w:p>
    <w:p>
      <w:pPr>
        <w:spacing w:after="0" w:line="231" w:lineRule="exact"/>
        <w:rPr>
          <w:sz w:val="20"/>
          <w:szCs w:val="20"/>
          <w:color w:val="auto"/>
        </w:rPr>
      </w:pPr>
    </w:p>
    <w:p>
      <w:pPr>
        <w:ind w:left="540" w:right="60"/>
        <w:spacing w:after="0" w:line="259" w:lineRule="auto"/>
        <w:rPr>
          <w:sz w:val="20"/>
          <w:szCs w:val="20"/>
          <w:color w:val="auto"/>
        </w:rPr>
      </w:pPr>
      <w:r>
        <w:rPr>
          <w:rFonts w:ascii="Arial" w:cs="Arial" w:eastAsia="Arial" w:hAnsi="Arial"/>
          <w:sz w:val="18"/>
          <w:szCs w:val="18"/>
          <w:color w:val="auto"/>
        </w:rPr>
        <w:t>The preparation of consolidated financial statements in conformity with accounting principles generally accepted in the United States of America requires us to make estimates and judgments that affect the reported amounts of assets, liabilities, revenues, expenses and related disclosure of contingent assets and liabilities. On an on-going basis, we evaluate our estimates, including</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- 18 -</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OF FINANCIAL CONDITION AND RESULTS OF OPERATIONS </w:t>
      </w:r>
      <w:r>
        <w:rPr>
          <w:rFonts w:ascii="Arial" w:cs="Arial" w:eastAsia="Arial" w:hAnsi="Arial"/>
          <w:sz w:val="18"/>
          <w:szCs w:val="18"/>
          <w:color w:val="auto"/>
        </w:rPr>
        <w:t>(Continued)</w:t>
      </w:r>
    </w:p>
    <w:p>
      <w:pPr>
        <w:spacing w:after="0" w:line="191" w:lineRule="exact"/>
        <w:rPr>
          <w:sz w:val="20"/>
          <w:szCs w:val="20"/>
          <w:color w:val="auto"/>
        </w:rPr>
      </w:pPr>
    </w:p>
    <w:p>
      <w:pPr>
        <w:ind w:left="540" w:right="80"/>
        <w:spacing w:after="0" w:line="290" w:lineRule="auto"/>
        <w:rPr>
          <w:sz w:val="20"/>
          <w:szCs w:val="20"/>
          <w:color w:val="auto"/>
        </w:rPr>
      </w:pPr>
      <w:r>
        <w:rPr>
          <w:rFonts w:ascii="Arial" w:cs="Arial" w:eastAsia="Arial" w:hAnsi="Arial"/>
          <w:sz w:val="16"/>
          <w:szCs w:val="16"/>
          <w:color w:val="auto"/>
        </w:rPr>
        <w:t>those related to inventories, long-lived assets, goodwill, identifiable intangibles, deferred income tax valuation allowances and product warranty reserves. We base our estimates on historical experience and on appropriate and customary assumptions that we believe to be reasonable under the circumstances, the results of which form the basis for making judgments about the carrying values of assets and liabilities that are not readily apparent from other sources. Some of these accounting estimates and assumptions are particularly sensitive because of their significance to our consolidated financial statements and because of the possibility that future events affecting them may differ markedly from what had been assumed when the financial statements were prepared. As of March 31, 2014, there have been no significant changes to the accounting policies that we have deemed critical. These policies are more fully described in our 2013 Form 10-K.</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Off -Balance Sheet Arrangements</w:t>
      </w:r>
    </w:p>
    <w:p>
      <w:pPr>
        <w:spacing w:after="0" w:line="231" w:lineRule="exact"/>
        <w:rPr>
          <w:sz w:val="20"/>
          <w:szCs w:val="20"/>
          <w:color w:val="auto"/>
        </w:rPr>
      </w:pPr>
    </w:p>
    <w:p>
      <w:pPr>
        <w:jc w:val="both"/>
        <w:ind w:left="540" w:right="460"/>
        <w:spacing w:after="0" w:line="259" w:lineRule="auto"/>
        <w:rPr>
          <w:sz w:val="20"/>
          <w:szCs w:val="20"/>
          <w:color w:val="auto"/>
        </w:rPr>
      </w:pPr>
      <w:r>
        <w:rPr>
          <w:rFonts w:ascii="Arial" w:cs="Arial" w:eastAsia="Arial" w:hAnsi="Arial"/>
          <w:sz w:val="18"/>
          <w:szCs w:val="18"/>
          <w:color w:val="auto"/>
        </w:rPr>
        <w:t>There were no off-balance sheet arrangements during the three months ended March 31, 2014 that have or are reasonably likely to have, a current or future effect on our financial condition, changes in financial condition, revenues or expenses, results of operations, liquidity, capital expenditures or capital resources that is material to our interests.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This disclosure is not required for a smaller reporting company.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85" w:lineRule="exact"/>
        <w:rPr>
          <w:sz w:val="20"/>
          <w:szCs w:val="20"/>
          <w:color w:val="auto"/>
        </w:rPr>
      </w:pPr>
    </w:p>
    <w:p>
      <w:pPr>
        <w:ind w:left="540" w:right="160"/>
        <w:spacing w:after="0" w:line="258" w:lineRule="auto"/>
        <w:rPr>
          <w:sz w:val="20"/>
          <w:szCs w:val="20"/>
          <w:color w:val="auto"/>
        </w:rPr>
      </w:pPr>
      <w:r>
        <w:rPr>
          <w:rFonts w:ascii="Arial" w:cs="Arial" w:eastAsia="Arial" w:hAnsi="Arial"/>
          <w:sz w:val="18"/>
          <w:szCs w:val="18"/>
          <w:b w:val="1"/>
          <w:bCs w:val="1"/>
          <w:color w:val="auto"/>
        </w:rPr>
        <w:t>CEO and CFO Certifications</w:t>
      </w:r>
      <w:r>
        <w:rPr>
          <w:rFonts w:ascii="Arial" w:cs="Arial" w:eastAsia="Arial" w:hAnsi="Arial"/>
          <w:sz w:val="18"/>
          <w:szCs w:val="18"/>
          <w:color w:val="auto"/>
        </w:rPr>
        <w:t>. Included with this Quarterly Report as Exhibits 31.1 and 31.2 are two certifications, one by each of our Chief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and our Chief Financial Officer (the "Section 302 Certifications"). This Item 4 contains information concerning the evaluations of our disclosure controls and procedures that are referred to in the Section 302 Certifications. This information should be read in conjunction with the Section 302 Certifications for a more complete understanding of the topics addressed therein.</w:t>
      </w:r>
    </w:p>
    <w:p>
      <w:pPr>
        <w:spacing w:after="0" w:line="190" w:lineRule="exact"/>
        <w:rPr>
          <w:sz w:val="20"/>
          <w:szCs w:val="20"/>
          <w:color w:val="auto"/>
        </w:rPr>
      </w:pPr>
    </w:p>
    <w:p>
      <w:pPr>
        <w:ind w:left="540" w:right="180"/>
        <w:spacing w:after="0" w:line="262" w:lineRule="auto"/>
        <w:rPr>
          <w:sz w:val="20"/>
          <w:szCs w:val="20"/>
          <w:color w:val="auto"/>
        </w:rPr>
      </w:pPr>
      <w:r>
        <w:rPr>
          <w:rFonts w:ascii="Arial" w:cs="Arial" w:eastAsia="Arial" w:hAnsi="Arial"/>
          <w:sz w:val="18"/>
          <w:szCs w:val="18"/>
          <w:b w:val="1"/>
          <w:bCs w:val="1"/>
          <w:color w:val="auto"/>
        </w:rPr>
        <w:t>Evaluation of Our Disclosure Controls and Procedures</w:t>
      </w:r>
      <w:r>
        <w:rPr>
          <w:rFonts w:ascii="Arial" w:cs="Arial" w:eastAsia="Arial" w:hAnsi="Arial"/>
          <w:sz w:val="18"/>
          <w:szCs w:val="18"/>
          <w:color w:val="auto"/>
        </w:rPr>
        <w:t>. The SEC requires that as of the end of the quarter covered by this Report, our CEO and CFO</w:t>
      </w:r>
      <w:r>
        <w:rPr>
          <w:rFonts w:ascii="Arial" w:cs="Arial" w:eastAsia="Arial" w:hAnsi="Arial"/>
          <w:sz w:val="18"/>
          <w:szCs w:val="18"/>
          <w:b w:val="1"/>
          <w:bCs w:val="1"/>
          <w:color w:val="auto"/>
        </w:rPr>
        <w:t xml:space="preserve"> </w:t>
      </w:r>
      <w:r>
        <w:rPr>
          <w:rFonts w:ascii="Arial" w:cs="Arial" w:eastAsia="Arial" w:hAnsi="Arial"/>
          <w:sz w:val="18"/>
          <w:szCs w:val="18"/>
          <w:color w:val="auto"/>
        </w:rPr>
        <w:t>must evaluate the effectiveness of the design and operation of our disclosure controls and procedures and report on the effectiveness of the design and operation of our disclosure controls and procedures.</w:t>
      </w:r>
    </w:p>
    <w:p>
      <w:pPr>
        <w:spacing w:after="0" w:line="192" w:lineRule="exact"/>
        <w:rPr>
          <w:sz w:val="20"/>
          <w:szCs w:val="20"/>
          <w:color w:val="auto"/>
        </w:rPr>
      </w:pPr>
    </w:p>
    <w:p>
      <w:pPr>
        <w:ind w:left="540" w:right="40"/>
        <w:spacing w:after="0" w:line="255" w:lineRule="auto"/>
        <w:rPr>
          <w:sz w:val="20"/>
          <w:szCs w:val="20"/>
          <w:color w:val="auto"/>
        </w:rPr>
      </w:pPr>
      <w:r>
        <w:rPr>
          <w:rFonts w:ascii="Arial" w:cs="Arial" w:eastAsia="Arial" w:hAnsi="Arial"/>
          <w:sz w:val="18"/>
          <w:szCs w:val="18"/>
          <w:color w:val="auto"/>
        </w:rPr>
        <w:t>"Disclosure controls and procedures" mean the controls and other procedures that are designed with the objective of ensuring that information required to be disclosed in our reports filed under the Securities Exchange Act of 1934 (the "Exchange Act"), such as this Report, is recorded, processed, summarized and reported within the time periods specified in the rules and forms promulgated by the SEC. Disclosure controls and procedures are also designed with the objective of ensuring that such information is accumulated and communicated to our management, including the CEO and CFO, as appropriate, to allow timely decisions regarding required disclosure.</w:t>
      </w:r>
    </w:p>
    <w:p>
      <w:pPr>
        <w:spacing w:after="0" w:line="191" w:lineRule="exact"/>
        <w:rPr>
          <w:sz w:val="20"/>
          <w:szCs w:val="20"/>
          <w:color w:val="auto"/>
        </w:rPr>
      </w:pPr>
    </w:p>
    <w:p>
      <w:pPr>
        <w:ind w:left="540"/>
        <w:spacing w:after="0" w:line="286" w:lineRule="auto"/>
        <w:rPr>
          <w:sz w:val="20"/>
          <w:szCs w:val="20"/>
          <w:color w:val="auto"/>
        </w:rPr>
      </w:pPr>
      <w:r>
        <w:rPr>
          <w:rFonts w:ascii="Arial" w:cs="Arial" w:eastAsia="Arial" w:hAnsi="Arial"/>
          <w:sz w:val="16"/>
          <w:szCs w:val="16"/>
          <w:b w:val="1"/>
          <w:bCs w:val="1"/>
          <w:color w:val="auto"/>
        </w:rPr>
        <w:t>Limitations on the Effectiveness of Controls</w:t>
      </w:r>
      <w:r>
        <w:rPr>
          <w:rFonts w:ascii="Arial" w:cs="Arial" w:eastAsia="Arial" w:hAnsi="Arial"/>
          <w:sz w:val="16"/>
          <w:szCs w:val="16"/>
          <w:color w:val="auto"/>
        </w:rPr>
        <w:t>. Our management, including the CEO and CFO, does not expect that our disclosure controls and</w:t>
      </w:r>
      <w:r>
        <w:rPr>
          <w:rFonts w:ascii="Arial" w:cs="Arial" w:eastAsia="Arial" w:hAnsi="Arial"/>
          <w:sz w:val="16"/>
          <w:szCs w:val="16"/>
          <w:b w:val="1"/>
          <w:bCs w:val="1"/>
          <w:color w:val="auto"/>
        </w:rPr>
        <w:t xml:space="preserve"> </w:t>
      </w:r>
      <w:r>
        <w:rPr>
          <w:rFonts w:ascii="Arial" w:cs="Arial" w:eastAsia="Arial" w:hAnsi="Arial"/>
          <w:sz w:val="16"/>
          <w:szCs w:val="16"/>
          <w:color w:val="auto"/>
        </w:rPr>
        <w:t>procedures or our internal control over financial reporting will prevent all error and all fraud. A control system, no matter how well conceived and operated, can provide only reasonable, as opposed to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an entity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a system of controls may become inadequate because of changes in conditions, or the degree of compliance with the policies or procedures may deteriorate. Because of the inherent limitations in a cost-effective control system, misstatements due to error or fraud may occur and not be detected. Accordingly, our management has designed the disclosure controls and procedures to provide reasonable assurance that the objectives of the control system were met.</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- 19 -</w:t>
      </w:r>
    </w:p>
    <w:p>
      <w:pPr>
        <w:sectPr>
          <w:pgSz w:w="11900" w:h="16838" w:orient="portrait"/>
          <w:cols w:equalWidth="0" w:num="1">
            <w:col w:w="11420"/>
          </w:cols>
          <w:pgMar w:left="240" w:top="131" w:right="239" w:bottom="53"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OF FINANCIAL CONDITION AND RESULTS OF OPERATIONS </w:t>
      </w:r>
      <w:r>
        <w:rPr>
          <w:rFonts w:ascii="Arial" w:cs="Arial" w:eastAsia="Arial" w:hAnsi="Arial"/>
          <w:sz w:val="18"/>
          <w:szCs w:val="18"/>
          <w:color w:val="auto"/>
        </w:rPr>
        <w:t>(Continued)</w:t>
      </w:r>
    </w:p>
    <w:p>
      <w:pPr>
        <w:spacing w:after="0" w:line="185" w:lineRule="exact"/>
        <w:rPr>
          <w:sz w:val="20"/>
          <w:szCs w:val="20"/>
          <w:color w:val="auto"/>
        </w:rPr>
      </w:pPr>
    </w:p>
    <w:p>
      <w:pPr>
        <w:jc w:val="both"/>
        <w:ind w:left="540" w:right="240"/>
        <w:spacing w:after="0" w:line="258" w:lineRule="auto"/>
        <w:rPr>
          <w:sz w:val="20"/>
          <w:szCs w:val="20"/>
          <w:color w:val="auto"/>
        </w:rPr>
      </w:pPr>
      <w:r>
        <w:rPr>
          <w:rFonts w:ascii="Arial" w:cs="Arial" w:eastAsia="Arial" w:hAnsi="Arial"/>
          <w:sz w:val="18"/>
          <w:szCs w:val="18"/>
          <w:b w:val="1"/>
          <w:bCs w:val="1"/>
          <w:color w:val="auto"/>
        </w:rPr>
        <w:t>CEO/CFO Conclusions about the Effectiveness of the Disclosure Controls and Procedures</w:t>
      </w:r>
      <w:r>
        <w:rPr>
          <w:rFonts w:ascii="Arial" w:cs="Arial" w:eastAsia="Arial" w:hAnsi="Arial"/>
          <w:sz w:val="18"/>
          <w:szCs w:val="18"/>
          <w:color w:val="auto"/>
        </w:rPr>
        <w:t>. As required by Rule 13a-15(b), inTEST management,</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our CEO and CFO, conducted an evaluation as of the end of the period covered by this Report, of the effectiveness of our disclosure controls and procedures. Based on that evaluation, our CEO and CFO concluded that, as of the end of the period covered by this Report, our disclosure controls and procedures were effective at the reasonable assurance level.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1793240</wp:posOffset>
            </wp:positionH>
            <wp:positionV relativeFrom="paragraph">
              <wp:posOffset>365760</wp:posOffset>
            </wp:positionV>
            <wp:extent cx="367030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7030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91" w:lineRule="exact"/>
        <w:rPr>
          <w:sz w:val="20"/>
          <w:szCs w:val="20"/>
          <w:color w:val="auto"/>
        </w:rPr>
      </w:pPr>
    </w:p>
    <w:p>
      <w:pPr>
        <w:jc w:val="both"/>
        <w:ind w:left="540"/>
        <w:spacing w:after="0" w:line="268" w:lineRule="auto"/>
        <w:rPr>
          <w:sz w:val="20"/>
          <w:szCs w:val="20"/>
          <w:color w:val="auto"/>
        </w:rPr>
      </w:pPr>
      <w:r>
        <w:rPr>
          <w:rFonts w:ascii="Arial" w:cs="Arial" w:eastAsia="Arial" w:hAnsi="Arial"/>
          <w:sz w:val="18"/>
          <w:szCs w:val="18"/>
          <w:color w:val="auto"/>
        </w:rPr>
        <w:t>From time to time we may be a party to legal proceedings occurring in the ordinary course of business. We are not currently involved in any material legal proceedings.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91" w:lineRule="exact"/>
        <w:rPr>
          <w:sz w:val="20"/>
          <w:szCs w:val="20"/>
          <w:color w:val="auto"/>
        </w:rPr>
      </w:pPr>
    </w:p>
    <w:p>
      <w:pPr>
        <w:jc w:val="both"/>
        <w:ind w:left="540"/>
        <w:spacing w:after="0" w:line="259" w:lineRule="auto"/>
        <w:rPr>
          <w:sz w:val="20"/>
          <w:szCs w:val="20"/>
          <w:color w:val="auto"/>
        </w:rPr>
      </w:pPr>
      <w:r>
        <w:rPr>
          <w:rFonts w:ascii="Arial" w:cs="Arial" w:eastAsia="Arial" w:hAnsi="Arial"/>
          <w:sz w:val="18"/>
          <w:szCs w:val="18"/>
          <w:color w:val="auto"/>
        </w:rPr>
        <w:t>Information regarding the primary risks and uncertainties that could materially and adversely affect our future performance or could cause actual results to differ materially from those expressed or implied in our forward-looking statements, appears in Part I, Item 1A -- "Risk Factors" of our Annual Report on Form 10-K for the year ended December 31, 2013.</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None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None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Not applicable.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None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91" w:lineRule="exact"/>
        <w:rPr>
          <w:sz w:val="20"/>
          <w:szCs w:val="20"/>
          <w:color w:val="auto"/>
        </w:rPr>
      </w:pPr>
    </w:p>
    <w:p>
      <w:pPr>
        <w:ind w:left="540" w:right="560"/>
        <w:spacing w:after="0" w:line="268" w:lineRule="auto"/>
        <w:rPr>
          <w:sz w:val="20"/>
          <w:szCs w:val="20"/>
          <w:color w:val="auto"/>
        </w:rPr>
      </w:pPr>
      <w:r>
        <w:rPr>
          <w:rFonts w:ascii="Arial" w:cs="Arial" w:eastAsia="Arial" w:hAnsi="Arial"/>
          <w:sz w:val="18"/>
          <w:szCs w:val="18"/>
          <w:color w:val="auto"/>
        </w:rPr>
        <w:t>A list of the Exhibits which are required by Item 601 of Regulation S-K and filed with this Report is set forth in the Index to Exhibits immediately following the signature page, which Index to Exhibits is incorporated herein by reference.</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1793240</wp:posOffset>
            </wp:positionH>
            <wp:positionV relativeFrom="paragraph">
              <wp:posOffset>384175</wp:posOffset>
            </wp:positionV>
            <wp:extent cx="367030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7030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00" w:lineRule="exact"/>
        <w:rPr>
          <w:sz w:val="20"/>
          <w:szCs w:val="20"/>
          <w:color w:val="auto"/>
        </w:rPr>
      </w:pPr>
    </w:p>
    <w:p>
      <w:pPr>
        <w:spacing w:after="0" w:line="382"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3" w:lineRule="exact"/>
        <w:rPr>
          <w:sz w:val="20"/>
          <w:szCs w:val="20"/>
          <w:color w:val="auto"/>
        </w:rPr>
      </w:pPr>
    </w:p>
    <w:tbl>
      <w:tblPr>
        <w:tblLayout w:type="fixed"/>
        <w:tblInd w:w="220" w:type="dxa"/>
        <w:tblCellMar>
          <w:top w:w="0" w:type="dxa"/>
          <w:left w:w="0" w:type="dxa"/>
          <w:bottom w:w="0" w:type="dxa"/>
          <w:right w:w="0" w:type="dxa"/>
        </w:tblCellMar>
      </w:tblPr>
      <w:tr>
        <w:trPr>
          <w:trHeight w:val="228"/>
        </w:trPr>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880" w:type="dxa"/>
            <w:vAlign w:val="bottom"/>
            <w:gridSpan w:val="4"/>
          </w:tcPr>
          <w:p>
            <w:pPr>
              <w:spacing w:after="0"/>
              <w:rPr>
                <w:sz w:val="20"/>
                <w:szCs w:val="20"/>
                <w:color w:val="auto"/>
              </w:rPr>
            </w:pPr>
            <w:r>
              <w:rPr>
                <w:rFonts w:ascii="Arial" w:cs="Arial" w:eastAsia="Arial" w:hAnsi="Arial"/>
                <w:sz w:val="18"/>
                <w:szCs w:val="18"/>
                <w:b w:val="1"/>
                <w:bCs w:val="1"/>
                <w:color w:val="auto"/>
              </w:rPr>
              <w:t>inTEST Corporation</w:t>
            </w:r>
          </w:p>
        </w:tc>
      </w:tr>
      <w:tr>
        <w:trPr>
          <w:trHeight w:val="637"/>
        </w:trPr>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1100" w:type="dxa"/>
            <w:vAlign w:val="bottom"/>
            <w:gridSpan w:val="2"/>
          </w:tcPr>
          <w:p>
            <w:pPr>
              <w:ind w:left="120"/>
              <w:spacing w:after="0"/>
              <w:rPr>
                <w:sz w:val="20"/>
                <w:szCs w:val="20"/>
                <w:color w:val="auto"/>
              </w:rPr>
            </w:pPr>
            <w:r>
              <w:rPr>
                <w:rFonts w:ascii="Arial" w:cs="Arial" w:eastAsia="Arial" w:hAnsi="Arial"/>
                <w:sz w:val="18"/>
                <w:szCs w:val="18"/>
                <w:color w:val="auto"/>
                <w:w w:val="87"/>
              </w:rPr>
              <w:t>May 14, 2014</w:t>
            </w:r>
          </w:p>
        </w:tc>
        <w:tc>
          <w:tcPr>
            <w:tcW w:w="880" w:type="dxa"/>
            <w:vAlign w:val="bottom"/>
          </w:tcPr>
          <w:p>
            <w:pPr>
              <w:spacing w:after="0"/>
              <w:rPr>
                <w:sz w:val="24"/>
                <w:szCs w:val="24"/>
                <w:color w:val="auto"/>
              </w:rPr>
            </w:pPr>
          </w:p>
        </w:tc>
        <w:tc>
          <w:tcPr>
            <w:tcW w:w="5880" w:type="dxa"/>
            <w:vAlign w:val="bottom"/>
            <w:gridSpan w:val="4"/>
          </w:tcPr>
          <w:p>
            <w:pPr>
              <w:spacing w:after="0"/>
              <w:rPr>
                <w:sz w:val="20"/>
                <w:szCs w:val="20"/>
                <w:color w:val="auto"/>
              </w:rPr>
            </w:pPr>
            <w:r>
              <w:rPr>
                <w:rFonts w:ascii="Arial" w:cs="Arial" w:eastAsia="Arial" w:hAnsi="Arial"/>
                <w:sz w:val="18"/>
                <w:szCs w:val="18"/>
                <w:color w:val="auto"/>
              </w:rPr>
              <w:t>/s/ Robert E. Matthiessen</w:t>
            </w:r>
          </w:p>
        </w:tc>
      </w:tr>
      <w:tr>
        <w:trPr>
          <w:trHeight w:val="228"/>
        </w:trPr>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880" w:type="dxa"/>
            <w:vAlign w:val="bottom"/>
          </w:tcPr>
          <w:p>
            <w:pPr>
              <w:spacing w:after="0"/>
              <w:rPr>
                <w:sz w:val="19"/>
                <w:szCs w:val="19"/>
                <w:color w:val="auto"/>
              </w:rPr>
            </w:pPr>
          </w:p>
        </w:tc>
        <w:tc>
          <w:tcPr>
            <w:tcW w:w="178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w w:val="98"/>
              </w:rPr>
              <w:t>Robert E. Matthiessen</w:t>
            </w:r>
          </w:p>
        </w:tc>
        <w:tc>
          <w:tcPr>
            <w:tcW w:w="4100" w:type="dxa"/>
            <w:vAlign w:val="bottom"/>
          </w:tcPr>
          <w:p>
            <w:pPr>
              <w:spacing w:after="0"/>
              <w:rPr>
                <w:sz w:val="19"/>
                <w:szCs w:val="19"/>
                <w:color w:val="auto"/>
              </w:rPr>
            </w:pPr>
          </w:p>
        </w:tc>
      </w:tr>
      <w:tr>
        <w:trPr>
          <w:trHeight w:val="222"/>
        </w:trPr>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880" w:type="dxa"/>
            <w:vAlign w:val="bottom"/>
            <w:gridSpan w:val="4"/>
          </w:tcPr>
          <w:p>
            <w:pPr>
              <w:spacing w:after="0"/>
              <w:rPr>
                <w:sz w:val="20"/>
                <w:szCs w:val="20"/>
                <w:color w:val="auto"/>
              </w:rPr>
            </w:pPr>
            <w:r>
              <w:rPr>
                <w:rFonts w:ascii="Arial" w:cs="Arial" w:eastAsia="Arial" w:hAnsi="Arial"/>
                <w:sz w:val="18"/>
                <w:szCs w:val="18"/>
                <w:i w:val="1"/>
                <w:iCs w:val="1"/>
                <w:color w:val="auto"/>
              </w:rPr>
              <w:t>President and Chief Executive Officer</w:t>
            </w:r>
          </w:p>
        </w:tc>
      </w:tr>
      <w:tr>
        <w:trPr>
          <w:trHeight w:val="637"/>
        </w:trPr>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1100" w:type="dxa"/>
            <w:vAlign w:val="bottom"/>
            <w:gridSpan w:val="2"/>
          </w:tcPr>
          <w:p>
            <w:pPr>
              <w:ind w:left="120"/>
              <w:spacing w:after="0"/>
              <w:rPr>
                <w:sz w:val="20"/>
                <w:szCs w:val="20"/>
                <w:color w:val="auto"/>
              </w:rPr>
            </w:pPr>
            <w:r>
              <w:rPr>
                <w:rFonts w:ascii="Arial" w:cs="Arial" w:eastAsia="Arial" w:hAnsi="Arial"/>
                <w:sz w:val="18"/>
                <w:szCs w:val="18"/>
                <w:color w:val="auto"/>
                <w:w w:val="87"/>
              </w:rPr>
              <w:t>May 14, 2014</w:t>
            </w:r>
          </w:p>
        </w:tc>
        <w:tc>
          <w:tcPr>
            <w:tcW w:w="880" w:type="dxa"/>
            <w:vAlign w:val="bottom"/>
          </w:tcPr>
          <w:p>
            <w:pPr>
              <w:spacing w:after="0"/>
              <w:rPr>
                <w:sz w:val="24"/>
                <w:szCs w:val="24"/>
                <w:color w:val="auto"/>
              </w:rPr>
            </w:pPr>
          </w:p>
        </w:tc>
        <w:tc>
          <w:tcPr>
            <w:tcW w:w="5880" w:type="dxa"/>
            <w:vAlign w:val="bottom"/>
            <w:gridSpan w:val="4"/>
          </w:tcPr>
          <w:p>
            <w:pPr>
              <w:spacing w:after="0"/>
              <w:rPr>
                <w:sz w:val="20"/>
                <w:szCs w:val="20"/>
                <w:color w:val="auto"/>
              </w:rPr>
            </w:pPr>
            <w:r>
              <w:rPr>
                <w:rFonts w:ascii="Arial" w:cs="Arial" w:eastAsia="Arial" w:hAnsi="Arial"/>
                <w:sz w:val="18"/>
                <w:szCs w:val="18"/>
                <w:color w:val="auto"/>
              </w:rPr>
              <w:t>/s/ Hugh T. Regan, Jr.</w:t>
            </w:r>
          </w:p>
        </w:tc>
      </w:tr>
      <w:tr>
        <w:trPr>
          <w:trHeight w:val="228"/>
        </w:trPr>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880" w:type="dxa"/>
            <w:vAlign w:val="bottom"/>
          </w:tcPr>
          <w:p>
            <w:pPr>
              <w:spacing w:after="0"/>
              <w:rPr>
                <w:sz w:val="19"/>
                <w:szCs w:val="19"/>
                <w:color w:val="auto"/>
              </w:rPr>
            </w:pPr>
          </w:p>
        </w:tc>
        <w:tc>
          <w:tcPr>
            <w:tcW w:w="15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8"/>
              </w:rPr>
              <w:t>Hugh T. Regan, Jr.</w:t>
            </w:r>
          </w:p>
        </w:tc>
        <w:tc>
          <w:tcPr>
            <w:tcW w:w="4360" w:type="dxa"/>
            <w:vAlign w:val="bottom"/>
            <w:gridSpan w:val="2"/>
          </w:tcPr>
          <w:p>
            <w:pPr>
              <w:spacing w:after="0"/>
              <w:rPr>
                <w:sz w:val="19"/>
                <w:szCs w:val="19"/>
                <w:color w:val="auto"/>
              </w:rPr>
            </w:pPr>
          </w:p>
        </w:tc>
      </w:tr>
      <w:tr>
        <w:trPr>
          <w:trHeight w:val="222"/>
        </w:trPr>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880" w:type="dxa"/>
            <w:vAlign w:val="bottom"/>
            <w:gridSpan w:val="4"/>
          </w:tcPr>
          <w:p>
            <w:pPr>
              <w:spacing w:after="0"/>
              <w:rPr>
                <w:sz w:val="20"/>
                <w:szCs w:val="20"/>
                <w:color w:val="auto"/>
              </w:rPr>
            </w:pPr>
            <w:r>
              <w:rPr>
                <w:rFonts w:ascii="Arial" w:cs="Arial" w:eastAsia="Arial" w:hAnsi="Arial"/>
                <w:sz w:val="18"/>
                <w:szCs w:val="18"/>
                <w:i w:val="1"/>
                <w:iCs w:val="1"/>
                <w:color w:val="auto"/>
              </w:rPr>
              <w:t>Secretary, Treasurer and Chief Financial Officer</w:t>
            </w:r>
          </w:p>
        </w:tc>
      </w:tr>
      <w:tr>
        <w:trPr>
          <w:trHeight w:val="630"/>
        </w:trPr>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5429250</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1793240</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00"/>
          </w:cols>
          <w:pgMar w:left="240" w:top="125" w:right="259" w:bottom="130" w:gutter="0" w:footer="0" w:header="0"/>
        </w:sectPr>
      </w:pPr>
    </w:p>
    <w:bookmarkStart w:id="18" w:name="page19"/>
    <w:bookmarkEnd w:id="18"/>
    <w:p>
      <w:pPr>
        <w:jc w:val="right"/>
        <w:ind w:right="3859"/>
        <w:spacing w:after="0"/>
        <w:rPr>
          <w:sz w:val="20"/>
          <w:szCs w:val="20"/>
          <w:color w:val="auto"/>
        </w:rPr>
      </w:pPr>
      <w:r>
        <w:rPr>
          <w:rFonts w:ascii="Arial" w:cs="Arial" w:eastAsia="Arial" w:hAnsi="Arial"/>
          <w:sz w:val="18"/>
          <w:szCs w:val="18"/>
          <w:b w:val="1"/>
          <w:bCs w:val="1"/>
          <w:u w:val="single" w:color="auto"/>
          <w:color w:val="auto"/>
        </w:rPr>
        <w:t>Index to Exhibits</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31.1  Certification of Chief Executive Officer pursuant to Rule 13a-14(a).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31.2  Certification of Chief Financial Officer pursuant to Rule 13a-14(a).</w:t>
      </w:r>
    </w:p>
    <w:p>
      <w:pPr>
        <w:spacing w:after="0" w:line="225" w:lineRule="exact"/>
        <w:rPr>
          <w:sz w:val="20"/>
          <w:szCs w:val="20"/>
          <w:color w:val="auto"/>
        </w:rPr>
      </w:pPr>
    </w:p>
    <w:p>
      <w:pPr>
        <w:ind w:left="440" w:right="4199" w:hanging="438"/>
        <w:spacing w:after="0" w:line="332" w:lineRule="auto"/>
        <w:rPr>
          <w:sz w:val="20"/>
          <w:szCs w:val="20"/>
          <w:color w:val="auto"/>
        </w:rPr>
      </w:pPr>
      <w:r>
        <w:rPr>
          <w:rFonts w:ascii="Arial" w:cs="Arial" w:eastAsia="Arial" w:hAnsi="Arial"/>
          <w:sz w:val="16"/>
          <w:szCs w:val="16"/>
          <w:color w:val="auto"/>
        </w:rPr>
        <w:t>32.1 Certification of Chief Executive Officer pursuant to 18 U.S.C. Section 1350, as adopted pursuant to Section 906 of the Sarbanes-Oxley Act of 2002.</w:t>
      </w:r>
    </w:p>
    <w:p>
      <w:pPr>
        <w:spacing w:after="0" w:line="139" w:lineRule="exact"/>
        <w:rPr>
          <w:sz w:val="20"/>
          <w:szCs w:val="20"/>
          <w:color w:val="auto"/>
        </w:rPr>
      </w:pPr>
    </w:p>
    <w:p>
      <w:pPr>
        <w:ind w:left="440" w:right="4259" w:hanging="438"/>
        <w:spacing w:after="0" w:line="332" w:lineRule="auto"/>
        <w:rPr>
          <w:sz w:val="20"/>
          <w:szCs w:val="20"/>
          <w:color w:val="auto"/>
        </w:rPr>
      </w:pPr>
      <w:r>
        <w:rPr>
          <w:rFonts w:ascii="Arial" w:cs="Arial" w:eastAsia="Arial" w:hAnsi="Arial"/>
          <w:sz w:val="16"/>
          <w:szCs w:val="16"/>
          <w:color w:val="auto"/>
        </w:rPr>
        <w:t>32.2 Certification of Chief Financial Officer pursuant to 18 U.S.C. Section 1350, as adopted pursuant to Section 906 of the Sarbanes-Oxley Act of 2002.</w:t>
      </w:r>
    </w:p>
    <w:p>
      <w:pPr>
        <w:spacing w:after="0" w:line="200" w:lineRule="exact"/>
        <w:rPr>
          <w:sz w:val="20"/>
          <w:szCs w:val="20"/>
          <w:color w:val="auto"/>
        </w:rPr>
      </w:pPr>
    </w:p>
    <w:p>
      <w:pPr>
        <w:spacing w:after="0" w:line="290"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- 21 -</w:t>
      </w:r>
    </w:p>
    <w:p>
      <w:pPr>
        <w:sectPr>
          <w:pgSz w:w="11900" w:h="16838" w:orient="portrait"/>
          <w:cols w:equalWidth="0" w:num="1">
            <w:col w:w="10219"/>
          </w:cols>
          <w:pgMar w:left="240" w:top="125" w:right="1440" w:bottom="1440" w:gutter="0" w:footer="0" w:header="0"/>
        </w:sectPr>
      </w:pPr>
    </w:p>
    <w:bookmarkStart w:id="19" w:name="page20"/>
    <w:bookmarkEnd w:id="19"/>
    <w:p>
      <w:pPr>
        <w:jc w:val="right"/>
        <w:spacing w:after="0"/>
        <w:rPr>
          <w:sz w:val="20"/>
          <w:szCs w:val="20"/>
          <w:color w:val="auto"/>
        </w:rPr>
      </w:pPr>
      <w:r>
        <w:rPr>
          <w:rFonts w:ascii="Arial" w:cs="Arial" w:eastAsia="Arial" w:hAnsi="Arial"/>
          <w:sz w:val="22"/>
          <w:szCs w:val="22"/>
          <w:b w:val="1"/>
          <w:bCs w:val="1"/>
          <w:u w:val="single" w:color="auto"/>
          <w:color w:val="auto"/>
        </w:rPr>
        <w:t>EXHIBIT 31.1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00" w:lineRule="exact"/>
        <w:rPr>
          <w:sz w:val="20"/>
          <w:szCs w:val="20"/>
          <w:color w:val="auto"/>
        </w:rPr>
      </w:pPr>
    </w:p>
    <w:p>
      <w:pPr>
        <w:spacing w:after="0" w:line="3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Robert E. Matthiessen, certify that:</w:t>
      </w:r>
    </w:p>
    <w:p>
      <w:pPr>
        <w:spacing w:after="0" w:line="185" w:lineRule="exact"/>
        <w:rPr>
          <w:sz w:val="20"/>
          <w:szCs w:val="20"/>
          <w:color w:val="auto"/>
        </w:rPr>
      </w:pPr>
    </w:p>
    <w:p>
      <w:pPr>
        <w:ind w:left="760" w:hanging="313"/>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inTEST Corporation;</w:t>
      </w:r>
    </w:p>
    <w:p>
      <w:pPr>
        <w:spacing w:after="0" w:line="184" w:lineRule="exact"/>
        <w:rPr>
          <w:rFonts w:ascii="Arial" w:cs="Arial" w:eastAsia="Arial" w:hAnsi="Arial"/>
          <w:sz w:val="18"/>
          <w:szCs w:val="18"/>
          <w:color w:val="auto"/>
        </w:rPr>
      </w:pPr>
    </w:p>
    <w:p>
      <w:pPr>
        <w:ind w:right="460" w:firstLine="447"/>
        <w:spacing w:after="0" w:line="370" w:lineRule="auto"/>
        <w:tabs>
          <w:tab w:leader="none" w:pos="746" w:val="left"/>
        </w:tabs>
        <w:numPr>
          <w:ilvl w:val="0"/>
          <w:numId w:val="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5"/>
          <w:szCs w:val="15"/>
          <w:color w:val="auto"/>
        </w:rPr>
      </w:pPr>
    </w:p>
    <w:p>
      <w:pPr>
        <w:ind w:right="420" w:firstLine="447"/>
        <w:spacing w:after="0" w:line="332" w:lineRule="auto"/>
        <w:tabs>
          <w:tab w:leader="none" w:pos="746" w:val="left"/>
        </w:tabs>
        <w:numPr>
          <w:ilvl w:val="0"/>
          <w:numId w:val="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8" w:lineRule="exact"/>
        <w:rPr>
          <w:rFonts w:ascii="Arial" w:cs="Arial" w:eastAsia="Arial" w:hAnsi="Arial"/>
          <w:sz w:val="16"/>
          <w:szCs w:val="16"/>
          <w:color w:val="auto"/>
        </w:rPr>
      </w:pPr>
    </w:p>
    <w:p>
      <w:pPr>
        <w:ind w:right="280" w:firstLine="447"/>
        <w:spacing w:after="0" w:line="259" w:lineRule="auto"/>
        <w:tabs>
          <w:tab w:leader="none" w:pos="743"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3" w:lineRule="exact"/>
        <w:rPr>
          <w:rFonts w:ascii="Arial" w:cs="Arial" w:eastAsia="Arial" w:hAnsi="Arial"/>
          <w:sz w:val="18"/>
          <w:szCs w:val="18"/>
          <w:color w:val="auto"/>
        </w:rPr>
      </w:pPr>
    </w:p>
    <w:p>
      <w:pPr>
        <w:ind w:left="540" w:right="280" w:firstLine="359"/>
        <w:spacing w:after="0" w:line="259" w:lineRule="auto"/>
        <w:tabs>
          <w:tab w:leader="none" w:pos="1174"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3" w:lineRule="exact"/>
        <w:rPr>
          <w:rFonts w:ascii="Arial" w:cs="Arial" w:eastAsia="Arial" w:hAnsi="Arial"/>
          <w:sz w:val="18"/>
          <w:szCs w:val="18"/>
          <w:color w:val="auto"/>
        </w:rPr>
      </w:pPr>
    </w:p>
    <w:p>
      <w:pPr>
        <w:jc w:val="both"/>
        <w:ind w:left="540" w:right="600" w:firstLine="359"/>
        <w:spacing w:after="0" w:line="259" w:lineRule="auto"/>
        <w:tabs>
          <w:tab w:leader="none" w:pos="1184"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3" w:lineRule="exact"/>
        <w:rPr>
          <w:rFonts w:ascii="Arial" w:cs="Arial" w:eastAsia="Arial" w:hAnsi="Arial"/>
          <w:sz w:val="18"/>
          <w:szCs w:val="18"/>
          <w:color w:val="auto"/>
        </w:rPr>
      </w:pPr>
    </w:p>
    <w:p>
      <w:pPr>
        <w:ind w:left="540" w:right="780" w:firstLine="359"/>
        <w:spacing w:after="0" w:line="332" w:lineRule="auto"/>
        <w:tabs>
          <w:tab w:leader="none" w:pos="1174" w:val="left"/>
        </w:tabs>
        <w:numPr>
          <w:ilvl w:val="1"/>
          <w:numId w:val="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8" w:lineRule="exact"/>
        <w:rPr>
          <w:rFonts w:ascii="Arial" w:cs="Arial" w:eastAsia="Arial" w:hAnsi="Arial"/>
          <w:sz w:val="16"/>
          <w:szCs w:val="16"/>
          <w:color w:val="auto"/>
        </w:rPr>
      </w:pPr>
    </w:p>
    <w:p>
      <w:pPr>
        <w:ind w:left="540" w:right="160" w:firstLine="359"/>
        <w:spacing w:after="0" w:line="259" w:lineRule="auto"/>
        <w:tabs>
          <w:tab w:leader="none" w:pos="1184"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3" w:lineRule="exact"/>
        <w:rPr>
          <w:rFonts w:ascii="Arial" w:cs="Arial" w:eastAsia="Arial" w:hAnsi="Arial"/>
          <w:sz w:val="18"/>
          <w:szCs w:val="18"/>
          <w:color w:val="auto"/>
        </w:rPr>
      </w:pPr>
    </w:p>
    <w:p>
      <w:pPr>
        <w:ind w:right="360" w:firstLine="447"/>
        <w:spacing w:after="0" w:line="332" w:lineRule="auto"/>
        <w:tabs>
          <w:tab w:leader="none" w:pos="743"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8" w:lineRule="exact"/>
        <w:rPr>
          <w:rFonts w:ascii="Arial" w:cs="Arial" w:eastAsia="Arial" w:hAnsi="Arial"/>
          <w:sz w:val="16"/>
          <w:szCs w:val="16"/>
          <w:color w:val="auto"/>
        </w:rPr>
      </w:pPr>
    </w:p>
    <w:p>
      <w:pPr>
        <w:ind w:left="540" w:right="180" w:firstLine="359"/>
        <w:spacing w:after="0" w:line="268" w:lineRule="auto"/>
        <w:tabs>
          <w:tab w:leader="none" w:pos="1164" w:val="left"/>
        </w:tabs>
        <w:numPr>
          <w:ilvl w:val="1"/>
          <w:numId w:val="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18"/>
          <w:szCs w:val="18"/>
          <w:color w:val="auto"/>
        </w:rPr>
      </w:pPr>
    </w:p>
    <w:p>
      <w:pPr>
        <w:ind w:left="540" w:right="160" w:firstLine="359"/>
        <w:spacing w:after="0" w:line="268" w:lineRule="auto"/>
        <w:tabs>
          <w:tab w:leader="none" w:pos="1174"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May 14, 2014</w:t>
      </w:r>
    </w:p>
    <w:p>
      <w:pPr>
        <w:spacing w:after="0" w:line="185" w:lineRule="exact"/>
        <w:rPr>
          <w:sz w:val="20"/>
          <w:szCs w:val="20"/>
          <w:color w:val="auto"/>
        </w:rPr>
      </w:pPr>
    </w:p>
    <w:p>
      <w:pPr>
        <w:ind w:left="3240"/>
        <w:spacing w:after="0"/>
        <w:rPr>
          <w:sz w:val="20"/>
          <w:szCs w:val="20"/>
          <w:color w:val="auto"/>
        </w:rPr>
      </w:pPr>
      <w:r>
        <w:rPr>
          <w:rFonts w:ascii="Arial" w:cs="Arial" w:eastAsia="Arial" w:hAnsi="Arial"/>
          <w:sz w:val="18"/>
          <w:szCs w:val="18"/>
          <w:u w:val="single" w:color="auto"/>
          <w:color w:val="auto"/>
        </w:rPr>
        <w:t>/s/ Robert E. Matthiessen</w:t>
      </w:r>
    </w:p>
    <w:p>
      <w:pPr>
        <w:spacing w:after="0" w:line="1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Robert E. Matthiessen</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11" w:right="239" w:bottom="1440" w:gutter="0" w:footer="0" w:header="0"/>
        </w:sectPr>
      </w:pPr>
    </w:p>
    <w:bookmarkStart w:id="20" w:name="page21"/>
    <w:bookmarkEnd w:id="20"/>
    <w:p>
      <w:pPr>
        <w:jc w:val="right"/>
        <w:spacing w:after="0"/>
        <w:rPr>
          <w:sz w:val="20"/>
          <w:szCs w:val="20"/>
          <w:color w:val="auto"/>
        </w:rPr>
      </w:pPr>
      <w:r>
        <w:rPr>
          <w:rFonts w:ascii="Arial" w:cs="Arial" w:eastAsia="Arial" w:hAnsi="Arial"/>
          <w:sz w:val="22"/>
          <w:szCs w:val="22"/>
          <w:b w:val="1"/>
          <w:bCs w:val="1"/>
          <w:u w:val="single" w:color="auto"/>
          <w:color w:val="auto"/>
        </w:rPr>
        <w:t>EXHIBIT 31.2</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00" w:lineRule="exact"/>
        <w:rPr>
          <w:sz w:val="20"/>
          <w:szCs w:val="20"/>
          <w:color w:val="auto"/>
        </w:rPr>
      </w:pPr>
    </w:p>
    <w:p>
      <w:pPr>
        <w:spacing w:after="0" w:line="3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Hugh T. Regan, Jr., certify that:</w:t>
      </w:r>
    </w:p>
    <w:p>
      <w:pPr>
        <w:spacing w:after="0" w:line="185" w:lineRule="exact"/>
        <w:rPr>
          <w:sz w:val="20"/>
          <w:szCs w:val="20"/>
          <w:color w:val="auto"/>
        </w:rPr>
      </w:pPr>
    </w:p>
    <w:p>
      <w:pPr>
        <w:ind w:left="760" w:hanging="313"/>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inTEST Corporation;</w:t>
      </w:r>
    </w:p>
    <w:p>
      <w:pPr>
        <w:spacing w:after="0" w:line="184" w:lineRule="exact"/>
        <w:rPr>
          <w:rFonts w:ascii="Arial" w:cs="Arial" w:eastAsia="Arial" w:hAnsi="Arial"/>
          <w:sz w:val="18"/>
          <w:szCs w:val="18"/>
          <w:color w:val="auto"/>
        </w:rPr>
      </w:pPr>
    </w:p>
    <w:p>
      <w:pPr>
        <w:ind w:right="460" w:firstLine="447"/>
        <w:spacing w:after="0" w:line="370" w:lineRule="auto"/>
        <w:tabs>
          <w:tab w:leader="none" w:pos="746" w:val="left"/>
        </w:tabs>
        <w:numPr>
          <w:ilvl w:val="0"/>
          <w:numId w:val="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5"/>
          <w:szCs w:val="15"/>
          <w:color w:val="auto"/>
        </w:rPr>
      </w:pPr>
    </w:p>
    <w:p>
      <w:pPr>
        <w:ind w:right="420" w:firstLine="447"/>
        <w:spacing w:after="0" w:line="332" w:lineRule="auto"/>
        <w:tabs>
          <w:tab w:leader="none" w:pos="746"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8" w:lineRule="exact"/>
        <w:rPr>
          <w:rFonts w:ascii="Arial" w:cs="Arial" w:eastAsia="Arial" w:hAnsi="Arial"/>
          <w:sz w:val="16"/>
          <w:szCs w:val="16"/>
          <w:color w:val="auto"/>
        </w:rPr>
      </w:pPr>
    </w:p>
    <w:p>
      <w:pPr>
        <w:ind w:right="280" w:firstLine="447"/>
        <w:spacing w:after="0" w:line="259" w:lineRule="auto"/>
        <w:tabs>
          <w:tab w:leader="none" w:pos="743"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3" w:lineRule="exact"/>
        <w:rPr>
          <w:rFonts w:ascii="Arial" w:cs="Arial" w:eastAsia="Arial" w:hAnsi="Arial"/>
          <w:sz w:val="18"/>
          <w:szCs w:val="18"/>
          <w:color w:val="auto"/>
        </w:rPr>
      </w:pPr>
    </w:p>
    <w:p>
      <w:pPr>
        <w:ind w:left="540" w:right="280" w:firstLine="359"/>
        <w:spacing w:after="0" w:line="259" w:lineRule="auto"/>
        <w:tabs>
          <w:tab w:leader="none" w:pos="1174"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3" w:lineRule="exact"/>
        <w:rPr>
          <w:rFonts w:ascii="Arial" w:cs="Arial" w:eastAsia="Arial" w:hAnsi="Arial"/>
          <w:sz w:val="18"/>
          <w:szCs w:val="18"/>
          <w:color w:val="auto"/>
        </w:rPr>
      </w:pPr>
    </w:p>
    <w:p>
      <w:pPr>
        <w:jc w:val="both"/>
        <w:ind w:left="540" w:right="600" w:firstLine="359"/>
        <w:spacing w:after="0" w:line="259" w:lineRule="auto"/>
        <w:tabs>
          <w:tab w:leader="none" w:pos="1184"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3" w:lineRule="exact"/>
        <w:rPr>
          <w:rFonts w:ascii="Arial" w:cs="Arial" w:eastAsia="Arial" w:hAnsi="Arial"/>
          <w:sz w:val="18"/>
          <w:szCs w:val="18"/>
          <w:color w:val="auto"/>
        </w:rPr>
      </w:pPr>
    </w:p>
    <w:p>
      <w:pPr>
        <w:ind w:left="540" w:right="780" w:firstLine="359"/>
        <w:spacing w:after="0" w:line="332" w:lineRule="auto"/>
        <w:tabs>
          <w:tab w:leader="none" w:pos="1174"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8" w:lineRule="exact"/>
        <w:rPr>
          <w:rFonts w:ascii="Arial" w:cs="Arial" w:eastAsia="Arial" w:hAnsi="Arial"/>
          <w:sz w:val="16"/>
          <w:szCs w:val="16"/>
          <w:color w:val="auto"/>
        </w:rPr>
      </w:pPr>
    </w:p>
    <w:p>
      <w:pPr>
        <w:ind w:left="540" w:right="160" w:firstLine="359"/>
        <w:spacing w:after="0" w:line="259" w:lineRule="auto"/>
        <w:tabs>
          <w:tab w:leader="none" w:pos="1184"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3" w:lineRule="exact"/>
        <w:rPr>
          <w:rFonts w:ascii="Arial" w:cs="Arial" w:eastAsia="Arial" w:hAnsi="Arial"/>
          <w:sz w:val="18"/>
          <w:szCs w:val="18"/>
          <w:color w:val="auto"/>
        </w:rPr>
      </w:pPr>
    </w:p>
    <w:p>
      <w:pPr>
        <w:ind w:right="360" w:firstLine="447"/>
        <w:spacing w:after="0" w:line="332" w:lineRule="auto"/>
        <w:tabs>
          <w:tab w:leader="none" w:pos="743"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8" w:lineRule="exact"/>
        <w:rPr>
          <w:rFonts w:ascii="Arial" w:cs="Arial" w:eastAsia="Arial" w:hAnsi="Arial"/>
          <w:sz w:val="16"/>
          <w:szCs w:val="16"/>
          <w:color w:val="auto"/>
        </w:rPr>
      </w:pPr>
    </w:p>
    <w:p>
      <w:pPr>
        <w:ind w:left="540" w:right="180" w:firstLine="359"/>
        <w:spacing w:after="0" w:line="268" w:lineRule="auto"/>
        <w:tabs>
          <w:tab w:leader="none" w:pos="1164"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18"/>
          <w:szCs w:val="18"/>
          <w:color w:val="auto"/>
        </w:rPr>
      </w:pPr>
    </w:p>
    <w:p>
      <w:pPr>
        <w:ind w:left="540" w:right="160" w:firstLine="359"/>
        <w:spacing w:after="0" w:line="268" w:lineRule="auto"/>
        <w:tabs>
          <w:tab w:leader="none" w:pos="1174"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May 14, 2014</w:t>
      </w:r>
    </w:p>
    <w:p>
      <w:pPr>
        <w:spacing w:after="0" w:line="185" w:lineRule="exact"/>
        <w:rPr>
          <w:sz w:val="20"/>
          <w:szCs w:val="20"/>
          <w:color w:val="auto"/>
        </w:rPr>
      </w:pPr>
    </w:p>
    <w:p>
      <w:pPr>
        <w:ind w:left="3240"/>
        <w:spacing w:after="0"/>
        <w:rPr>
          <w:sz w:val="20"/>
          <w:szCs w:val="20"/>
          <w:color w:val="auto"/>
        </w:rPr>
      </w:pPr>
      <w:r>
        <w:rPr>
          <w:rFonts w:ascii="Arial" w:cs="Arial" w:eastAsia="Arial" w:hAnsi="Arial"/>
          <w:sz w:val="18"/>
          <w:szCs w:val="18"/>
          <w:u w:val="single" w:color="auto"/>
          <w:color w:val="auto"/>
        </w:rPr>
        <w:t>/s/ Hugh T. Regan, Jr.</w:t>
      </w:r>
    </w:p>
    <w:p>
      <w:pPr>
        <w:spacing w:after="0" w:line="1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Hugh T. Regan, Jr.</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Secretary, Treasurer and Chief Financial Officer</w:t>
      </w:r>
    </w:p>
    <w:p>
      <w:pPr>
        <w:sectPr>
          <w:pgSz w:w="11900" w:h="16838" w:orient="portrait"/>
          <w:cols w:equalWidth="0" w:num="1">
            <w:col w:w="11420"/>
          </w:cols>
          <w:pgMar w:left="240" w:top="111"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24"/>
          <w:szCs w:val="24"/>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inTEST CORPORATION</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CERTIFICATION PURSUANT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right="40"/>
        <w:spacing w:after="0" w:line="270" w:lineRule="auto"/>
        <w:rPr>
          <w:sz w:val="20"/>
          <w:szCs w:val="20"/>
          <w:color w:val="auto"/>
        </w:rPr>
      </w:pPr>
      <w:r>
        <w:rPr>
          <w:rFonts w:ascii="Arial" w:cs="Arial" w:eastAsia="Arial" w:hAnsi="Arial"/>
          <w:sz w:val="23"/>
          <w:szCs w:val="23"/>
          <w:color w:val="auto"/>
        </w:rPr>
        <w:t>In connection with the Quarterly Report of inTEST Corporation (the "Company") on Form 10-Q for the period ending March 31, 2014 as filed with the Securities and Exchange Commission on the date hereof (the "Report"), I, Robert E. Matthiessen, President and Chief Executive Officer of the Company, certify, pursuant to 18 U.S.C. Section 1350, as adopted pursuant to Section 906 of the Sarbanes-Oxley Act of 2002, that:</w:t>
      </w:r>
    </w:p>
    <w:p>
      <w:pPr>
        <w:spacing w:after="0" w:line="228" w:lineRule="exact"/>
        <w:rPr>
          <w:sz w:val="20"/>
          <w:szCs w:val="20"/>
          <w:color w:val="auto"/>
        </w:rPr>
      </w:pPr>
    </w:p>
    <w:p>
      <w:pPr>
        <w:ind w:right="520" w:firstLine="8"/>
        <w:spacing w:after="0" w:line="275" w:lineRule="auto"/>
        <w:tabs>
          <w:tab w:leader="none" w:pos="344" w:val="left"/>
        </w:tabs>
        <w:numPr>
          <w:ilvl w:val="0"/>
          <w:numId w:val="7"/>
        </w:numPr>
        <w:rPr>
          <w:rFonts w:ascii="Arial" w:cs="Arial" w:eastAsia="Arial" w:hAnsi="Arial"/>
          <w:sz w:val="24"/>
          <w:szCs w:val="24"/>
          <w:color w:val="auto"/>
        </w:rPr>
      </w:pPr>
      <w:r>
        <w:rPr>
          <w:rFonts w:ascii="Arial" w:cs="Arial" w:eastAsia="Arial" w:hAnsi="Arial"/>
          <w:sz w:val="24"/>
          <w:szCs w:val="24"/>
          <w:color w:val="auto"/>
        </w:rPr>
        <w:t>The Report fully complies with the requirements of Section 13(a) or 15(d) of the Securities Exchange Act of 1934; and</w:t>
      </w:r>
    </w:p>
    <w:p>
      <w:pPr>
        <w:spacing w:after="0" w:line="218" w:lineRule="exact"/>
        <w:rPr>
          <w:rFonts w:ascii="Arial" w:cs="Arial" w:eastAsia="Arial" w:hAnsi="Arial"/>
          <w:sz w:val="24"/>
          <w:szCs w:val="24"/>
          <w:color w:val="auto"/>
        </w:rPr>
      </w:pPr>
    </w:p>
    <w:p>
      <w:pPr>
        <w:ind w:right="660" w:firstLine="8"/>
        <w:spacing w:after="0" w:line="275" w:lineRule="auto"/>
        <w:tabs>
          <w:tab w:leader="none" w:pos="344" w:val="left"/>
        </w:tabs>
        <w:numPr>
          <w:ilvl w:val="0"/>
          <w:numId w:val="7"/>
        </w:numPr>
        <w:rPr>
          <w:rFonts w:ascii="Arial" w:cs="Arial" w:eastAsia="Arial" w:hAnsi="Arial"/>
          <w:sz w:val="24"/>
          <w:szCs w:val="24"/>
          <w:color w:val="auto"/>
        </w:rPr>
      </w:pPr>
      <w:r>
        <w:rPr>
          <w:rFonts w:ascii="Arial" w:cs="Arial" w:eastAsia="Arial" w:hAnsi="Arial"/>
          <w:sz w:val="24"/>
          <w:szCs w:val="2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4"/>
          <w:szCs w:val="24"/>
          <w:color w:val="auto"/>
        </w:rPr>
        <w:t>Date: May 14, 2014</w:t>
      </w:r>
    </w:p>
    <w:p>
      <w:pPr>
        <w:spacing w:after="0" w:line="251" w:lineRule="exact"/>
        <w:rPr>
          <w:sz w:val="20"/>
          <w:szCs w:val="20"/>
          <w:color w:val="auto"/>
        </w:rPr>
      </w:pPr>
    </w:p>
    <w:p>
      <w:pPr>
        <w:ind w:left="4880"/>
        <w:spacing w:after="0"/>
        <w:rPr>
          <w:sz w:val="20"/>
          <w:szCs w:val="20"/>
          <w:color w:val="auto"/>
        </w:rPr>
      </w:pPr>
      <w:r>
        <w:rPr>
          <w:rFonts w:ascii="Arial" w:cs="Arial" w:eastAsia="Arial" w:hAnsi="Arial"/>
          <w:sz w:val="24"/>
          <w:szCs w:val="24"/>
          <w:u w:val="single" w:color="auto"/>
          <w:color w:val="auto"/>
        </w:rPr>
        <w:t>/s/ Robert E. Matthiessen</w:t>
      </w:r>
    </w:p>
    <w:p>
      <w:pPr>
        <w:spacing w:after="0" w:line="28" w:lineRule="exact"/>
        <w:rPr>
          <w:sz w:val="20"/>
          <w:szCs w:val="20"/>
          <w:color w:val="auto"/>
        </w:rPr>
      </w:pPr>
    </w:p>
    <w:p>
      <w:pPr>
        <w:ind w:left="4880"/>
        <w:spacing w:after="0"/>
        <w:rPr>
          <w:sz w:val="20"/>
          <w:szCs w:val="20"/>
          <w:color w:val="auto"/>
        </w:rPr>
      </w:pPr>
      <w:r>
        <w:rPr>
          <w:rFonts w:ascii="Arial" w:cs="Arial" w:eastAsia="Arial" w:hAnsi="Arial"/>
          <w:sz w:val="24"/>
          <w:szCs w:val="24"/>
          <w:color w:val="auto"/>
        </w:rPr>
        <w:t>Robert E. Matthiessen</w:t>
      </w:r>
    </w:p>
    <w:p>
      <w:pPr>
        <w:spacing w:after="0" w:line="8" w:lineRule="exact"/>
        <w:rPr>
          <w:sz w:val="20"/>
          <w:szCs w:val="20"/>
          <w:color w:val="auto"/>
        </w:rPr>
      </w:pPr>
    </w:p>
    <w:p>
      <w:pPr>
        <w:ind w:left="4880"/>
        <w:spacing w:after="0"/>
        <w:rPr>
          <w:sz w:val="20"/>
          <w:szCs w:val="20"/>
          <w:color w:val="auto"/>
        </w:rPr>
      </w:pPr>
      <w:r>
        <w:rPr>
          <w:rFonts w:ascii="Arial" w:cs="Arial" w:eastAsia="Arial" w:hAnsi="Arial"/>
          <w:sz w:val="24"/>
          <w:szCs w:val="24"/>
          <w:color w:val="auto"/>
        </w:rPr>
        <w:t>President and Chief Executive Officer</w:t>
      </w:r>
    </w:p>
    <w:p>
      <w:pPr>
        <w:sectPr>
          <w:pgSz w:w="11900" w:h="16838" w:orient="portrait"/>
          <w:cols w:equalWidth="0" w:num="1">
            <w:col w:w="11420"/>
          </w:cols>
          <w:pgMar w:left="240" w:top="111"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24"/>
          <w:szCs w:val="24"/>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inTEST CORPORATION</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CERTIFICATION PURSUANT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right="200"/>
        <w:spacing w:after="0" w:line="286" w:lineRule="auto"/>
        <w:rPr>
          <w:sz w:val="20"/>
          <w:szCs w:val="20"/>
          <w:color w:val="auto"/>
        </w:rPr>
      </w:pPr>
      <w:r>
        <w:rPr>
          <w:rFonts w:ascii="Arial" w:cs="Arial" w:eastAsia="Arial" w:hAnsi="Arial"/>
          <w:sz w:val="22"/>
          <w:szCs w:val="22"/>
          <w:color w:val="auto"/>
        </w:rPr>
        <w:t>In connection with the Quarterly Report of inTEST Corporation (the "Company") on Form 10-Q for the period ending March 31, 2014 as filed with the Securities and Exchange Commission on the date hereof (the "Report"), I, Hugh T. Regan, Jr., Secretary, Treasurer and Chief Financial Officer of the Company, certify, pursuant to 18 U.S.C. Section 1350, as adopted pursuant to Section 906 of the Sarbanes-Oxley Act of 2002, that:</w:t>
      </w:r>
    </w:p>
    <w:p>
      <w:pPr>
        <w:spacing w:after="0" w:line="212" w:lineRule="exact"/>
        <w:rPr>
          <w:sz w:val="20"/>
          <w:szCs w:val="20"/>
          <w:color w:val="auto"/>
        </w:rPr>
      </w:pPr>
    </w:p>
    <w:p>
      <w:pPr>
        <w:ind w:right="520" w:firstLine="8"/>
        <w:spacing w:after="0" w:line="275" w:lineRule="auto"/>
        <w:tabs>
          <w:tab w:leader="none" w:pos="344" w:val="left"/>
        </w:tabs>
        <w:numPr>
          <w:ilvl w:val="0"/>
          <w:numId w:val="8"/>
        </w:numPr>
        <w:rPr>
          <w:rFonts w:ascii="Arial" w:cs="Arial" w:eastAsia="Arial" w:hAnsi="Arial"/>
          <w:sz w:val="24"/>
          <w:szCs w:val="24"/>
          <w:color w:val="auto"/>
        </w:rPr>
      </w:pPr>
      <w:r>
        <w:rPr>
          <w:rFonts w:ascii="Arial" w:cs="Arial" w:eastAsia="Arial" w:hAnsi="Arial"/>
          <w:sz w:val="24"/>
          <w:szCs w:val="24"/>
          <w:color w:val="auto"/>
        </w:rPr>
        <w:t>The Report fully complies with the requirements of Section 13(a) or 15(d) of the Securities Exchange Act of 1934; and</w:t>
      </w:r>
    </w:p>
    <w:p>
      <w:pPr>
        <w:spacing w:after="0" w:line="218" w:lineRule="exact"/>
        <w:rPr>
          <w:rFonts w:ascii="Arial" w:cs="Arial" w:eastAsia="Arial" w:hAnsi="Arial"/>
          <w:sz w:val="24"/>
          <w:szCs w:val="24"/>
          <w:color w:val="auto"/>
        </w:rPr>
      </w:pPr>
    </w:p>
    <w:p>
      <w:pPr>
        <w:ind w:right="660" w:firstLine="8"/>
        <w:spacing w:after="0" w:line="275" w:lineRule="auto"/>
        <w:tabs>
          <w:tab w:leader="none" w:pos="344" w:val="left"/>
        </w:tabs>
        <w:numPr>
          <w:ilvl w:val="0"/>
          <w:numId w:val="8"/>
        </w:numPr>
        <w:rPr>
          <w:rFonts w:ascii="Arial" w:cs="Arial" w:eastAsia="Arial" w:hAnsi="Arial"/>
          <w:sz w:val="24"/>
          <w:szCs w:val="24"/>
          <w:color w:val="auto"/>
        </w:rPr>
      </w:pPr>
      <w:r>
        <w:rPr>
          <w:rFonts w:ascii="Arial" w:cs="Arial" w:eastAsia="Arial" w:hAnsi="Arial"/>
          <w:sz w:val="24"/>
          <w:szCs w:val="2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4"/>
          <w:szCs w:val="24"/>
          <w:color w:val="auto"/>
        </w:rPr>
        <w:t>Date: May 14, 2014</w:t>
      </w:r>
    </w:p>
    <w:p>
      <w:pPr>
        <w:spacing w:after="0" w:line="251" w:lineRule="exact"/>
        <w:rPr>
          <w:sz w:val="20"/>
          <w:szCs w:val="20"/>
          <w:color w:val="auto"/>
        </w:rPr>
      </w:pPr>
    </w:p>
    <w:p>
      <w:pPr>
        <w:ind w:left="4880"/>
        <w:spacing w:after="0"/>
        <w:rPr>
          <w:sz w:val="20"/>
          <w:szCs w:val="20"/>
          <w:color w:val="auto"/>
        </w:rPr>
      </w:pPr>
      <w:r>
        <w:rPr>
          <w:rFonts w:ascii="Arial" w:cs="Arial" w:eastAsia="Arial" w:hAnsi="Arial"/>
          <w:sz w:val="24"/>
          <w:szCs w:val="24"/>
          <w:u w:val="single" w:color="auto"/>
          <w:color w:val="auto"/>
        </w:rPr>
        <w:t>/s/ Hugh T. Regan, Jr.</w:t>
      </w:r>
    </w:p>
    <w:p>
      <w:pPr>
        <w:spacing w:after="0" w:line="28" w:lineRule="exact"/>
        <w:rPr>
          <w:sz w:val="20"/>
          <w:szCs w:val="20"/>
          <w:color w:val="auto"/>
        </w:rPr>
      </w:pPr>
    </w:p>
    <w:p>
      <w:pPr>
        <w:ind w:left="4880"/>
        <w:spacing w:after="0"/>
        <w:rPr>
          <w:sz w:val="20"/>
          <w:szCs w:val="20"/>
          <w:color w:val="auto"/>
        </w:rPr>
      </w:pPr>
      <w:r>
        <w:rPr>
          <w:rFonts w:ascii="Arial" w:cs="Arial" w:eastAsia="Arial" w:hAnsi="Arial"/>
          <w:sz w:val="24"/>
          <w:szCs w:val="24"/>
          <w:color w:val="auto"/>
        </w:rPr>
        <w:t>Hugh T. Regan, Jr.</w:t>
      </w:r>
    </w:p>
    <w:p>
      <w:pPr>
        <w:spacing w:after="0" w:line="8" w:lineRule="exact"/>
        <w:rPr>
          <w:sz w:val="20"/>
          <w:szCs w:val="20"/>
          <w:color w:val="auto"/>
        </w:rPr>
      </w:pPr>
    </w:p>
    <w:p>
      <w:pPr>
        <w:ind w:left="4880"/>
        <w:spacing w:after="0"/>
        <w:rPr>
          <w:sz w:val="20"/>
          <w:szCs w:val="20"/>
          <w:color w:val="auto"/>
        </w:rPr>
      </w:pPr>
      <w:r>
        <w:rPr>
          <w:rFonts w:ascii="Arial" w:cs="Arial" w:eastAsia="Arial" w:hAnsi="Arial"/>
          <w:sz w:val="24"/>
          <w:szCs w:val="24"/>
          <w:color w:val="auto"/>
        </w:rPr>
        <w:t>Secretary, Treasurer and Chief Financial Officer</w:t>
      </w:r>
    </w:p>
    <w:sectPr>
      <w:pgSz w:w="11900" w:h="16838" w:orient="portrait"/>
      <w:cols w:equalWidth="0" w:num="1">
        <w:col w:w="11420"/>
      </w:cols>
      <w:pgMar w:left="240" w:top="1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2"/>
    </w:lvl>
  </w:abstractNum>
  <w:abstractNum w:abstractNumId="3">
    <w:nsid w:val="507ED7AB"/>
    <w:multiLevelType w:val="hybridMultilevel"/>
    <w:lvl w:ilvl="0">
      <w:lvlJc w:val="left"/>
      <w:lvlText w:val="(%1)"/>
      <w:numFmt w:val="decimal"/>
      <w:start w:val="3"/>
    </w:lvl>
  </w:abstractNum>
  <w:abstractNum w:abstractNumId="4">
    <w:nsid w:val="2EB141F2"/>
    <w:multiLevelType w:val="hybridMultilevel"/>
    <w:lvl w:ilvl="0">
      <w:lvlJc w:val="left"/>
      <w:lvlText w:val="%1."/>
      <w:numFmt w:val="decimal"/>
      <w:start w:val="1"/>
    </w:lvl>
    <w:lvl w:ilvl="1">
      <w:lvlJc w:val="left"/>
      <w:lvlText w:val="(%2)"/>
      <w:numFmt w:val="lowerLetter"/>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2019-12-06T16:30:08Z</dcterms:created>
  <dcterms:modified xsi:type="dcterms:W3CDTF">2019-12-06T16:30:08Z</dcterms:modified>
</cp:coreProperties>
</file>