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ind w:left="5140"/>
        <w:spacing w:after="0"/>
        <w:rPr>
          <w:sz w:val="20"/>
          <w:szCs w:val="20"/>
          <w:color w:val="auto"/>
        </w:rPr>
      </w:pPr>
      <w:r>
        <w:rPr>
          <w:rFonts w:ascii="Arial" w:cs="Arial" w:eastAsia="Arial" w:hAnsi="Arial"/>
          <w:sz w:val="18"/>
          <w:szCs w:val="18"/>
          <w:color w:val="auto"/>
        </w:rPr>
        <w:t>_____________</w:t>
      </w:r>
    </w:p>
    <w:p>
      <w:pPr>
        <w:spacing w:after="0" w:line="20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0000FF"/>
        </w:rPr>
        <w:t>FORM 10-Q</w:t>
      </w:r>
    </w:p>
    <w:p>
      <w:pPr>
        <w:spacing w:after="0" w:line="23"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_____________</w:t>
      </w: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i w:val="1"/>
          <w:iCs w:val="1"/>
          <w:color w:val="auto"/>
        </w:rPr>
        <w:t>(Mark One)</w:t>
      </w:r>
    </w:p>
    <w:p>
      <w:pPr>
        <w:spacing w:after="0" w:line="4" w:lineRule="exact"/>
        <w:rPr>
          <w:sz w:val="24"/>
          <w:szCs w:val="24"/>
          <w:color w:val="auto"/>
        </w:rPr>
      </w:pPr>
    </w:p>
    <w:p>
      <w:pPr>
        <w:ind w:left="2160" w:right="2060" w:hanging="2152"/>
        <w:spacing w:after="0" w:line="489" w:lineRule="auto"/>
        <w:tabs>
          <w:tab w:leader="none" w:pos="28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FF0000"/>
        </w:rPr>
        <w:t>September 30, 2016</w:t>
      </w:r>
      <w:r>
        <w:rPr>
          <w:rFonts w:ascii="Arial" w:cs="Arial" w:eastAsia="Arial" w:hAnsi="Arial"/>
          <w:sz w:val="18"/>
          <w:szCs w:val="18"/>
          <w:color w:val="auto"/>
        </w:rPr>
        <w:t xml:space="preserve"> or</w:t>
      </w:r>
    </w:p>
    <w:p>
      <w:pPr>
        <w:spacing w:after="0" w:line="1" w:lineRule="exact"/>
        <w:rPr>
          <w:sz w:val="24"/>
          <w:szCs w:val="24"/>
          <w:color w:val="auto"/>
        </w:rPr>
      </w:pPr>
    </w:p>
    <w:p>
      <w:pPr>
        <w:ind w:left="2160" w:right="2040" w:hanging="2152"/>
        <w:spacing w:after="0" w:line="478" w:lineRule="auto"/>
        <w:tabs>
          <w:tab w:leader="none" w:pos="189"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__________________ to ___________________</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1-36117</w:t>
      </w:r>
    </w:p>
    <w:p>
      <w:pPr>
        <w:spacing w:after="0" w:line="15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0000FF"/>
        </w:rPr>
        <w:t>inTEST Corporation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(Exact Name of Registrant as Specified in its Charter)</w:t>
      </w:r>
    </w:p>
    <w:p>
      <w:pPr>
        <w:spacing w:after="0" w:line="188" w:lineRule="exact"/>
        <w:rPr>
          <w:sz w:val="24"/>
          <w:szCs w:val="24"/>
          <w:color w:val="auto"/>
        </w:rPr>
      </w:pPr>
    </w:p>
    <w:tbl>
      <w:tblPr>
        <w:tblLayout w:type="fixed"/>
        <w:tblInd w:w="190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2900" w:type="dxa"/>
            <w:vAlign w:val="bottom"/>
            <w:gridSpan w:val="2"/>
          </w:tcPr>
          <w:p>
            <w:pPr>
              <w:jc w:val="center"/>
              <w:ind w:right="2200"/>
              <w:spacing w:after="0"/>
              <w:rPr>
                <w:sz w:val="20"/>
                <w:szCs w:val="20"/>
                <w:color w:val="auto"/>
              </w:rPr>
            </w:pPr>
            <w:r>
              <w:rPr>
                <w:rFonts w:ascii="Arial" w:cs="Arial" w:eastAsia="Arial" w:hAnsi="Arial"/>
                <w:sz w:val="18"/>
                <w:szCs w:val="18"/>
                <w:b w:val="1"/>
                <w:bCs w:val="1"/>
                <w:color w:val="auto"/>
                <w:w w:val="88"/>
              </w:rPr>
              <w:t>Delaware</w:t>
            </w:r>
          </w:p>
        </w:tc>
        <w:tc>
          <w:tcPr>
            <w:tcW w:w="314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22-2370659</w:t>
            </w: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4160" w:type="dxa"/>
            <w:vAlign w:val="bottom"/>
            <w:gridSpan w:val="3"/>
          </w:tcPr>
          <w:p>
            <w:pPr>
              <w:jc w:val="center"/>
              <w:ind w:right="940"/>
              <w:spacing w:after="0"/>
              <w:rPr>
                <w:sz w:val="20"/>
                <w:szCs w:val="20"/>
                <w:color w:val="auto"/>
              </w:rPr>
            </w:pPr>
            <w:r>
              <w:rPr>
                <w:rFonts w:ascii="Arial" w:cs="Arial" w:eastAsia="Arial" w:hAnsi="Arial"/>
                <w:sz w:val="14"/>
                <w:szCs w:val="14"/>
                <w:color w:val="auto"/>
                <w:w w:val="89"/>
              </w:rPr>
              <w:t>(State or other jurisdiction of incorporation or organization)</w:t>
            </w:r>
          </w:p>
        </w:tc>
        <w:tc>
          <w:tcPr>
            <w:tcW w:w="3140" w:type="dxa"/>
            <w:vAlign w:val="bottom"/>
            <w:gridSpan w:val="3"/>
          </w:tcPr>
          <w:p>
            <w:pPr>
              <w:jc w:val="center"/>
              <w:ind w:left="862"/>
              <w:spacing w:after="0"/>
              <w:rPr>
                <w:sz w:val="20"/>
                <w:szCs w:val="20"/>
                <w:color w:val="auto"/>
              </w:rPr>
            </w:pPr>
            <w:r>
              <w:rPr>
                <w:rFonts w:ascii="Arial" w:cs="Arial" w:eastAsia="Arial" w:hAnsi="Arial"/>
                <w:sz w:val="14"/>
                <w:szCs w:val="14"/>
                <w:color w:val="auto"/>
                <w:w w:val="90"/>
              </w:rPr>
              <w:t>(I.R.S. Employer Identification Number)</w:t>
            </w:r>
          </w:p>
        </w:tc>
      </w:tr>
    </w:tbl>
    <w:p>
      <w:pPr>
        <w:spacing w:after="0" w:line="20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804 East Gate Drive, Suite 200</w:t>
      </w:r>
    </w:p>
    <w:p>
      <w:pPr>
        <w:spacing w:after="0" w:line="21" w:lineRule="exact"/>
        <w:rPr>
          <w:sz w:val="24"/>
          <w:szCs w:val="24"/>
          <w:color w:val="auto"/>
        </w:rPr>
      </w:pPr>
    </w:p>
    <w:p>
      <w:pPr>
        <w:ind w:left="4600"/>
        <w:spacing w:after="0"/>
        <w:rPr>
          <w:sz w:val="20"/>
          <w:szCs w:val="20"/>
          <w:color w:val="auto"/>
        </w:rPr>
      </w:pPr>
      <w:r>
        <w:rPr>
          <w:rFonts w:ascii="Arial" w:cs="Arial" w:eastAsia="Arial" w:hAnsi="Arial"/>
          <w:sz w:val="18"/>
          <w:szCs w:val="18"/>
          <w:b w:val="1"/>
          <w:bCs w:val="1"/>
          <w:u w:val="single" w:color="auto"/>
          <w:color w:val="auto"/>
        </w:rPr>
        <w:t>Mt. Laurel, New Jersey 08054</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2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(856) 505-8800</w:t>
      </w:r>
    </w:p>
    <w:p>
      <w:pPr>
        <w:spacing w:after="0" w:line="17"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(Registrant's Telephone Number, including Area Code)</w:t>
      </w:r>
    </w:p>
    <w:p>
      <w:pPr>
        <w:ind w:left="4960"/>
        <w:spacing w:after="0"/>
        <w:rPr>
          <w:sz w:val="20"/>
          <w:szCs w:val="20"/>
          <w:color w:val="auto"/>
        </w:rPr>
      </w:pPr>
      <w:r>
        <w:rPr>
          <w:rFonts w:ascii="Arial" w:cs="Arial" w:eastAsia="Arial" w:hAnsi="Arial"/>
          <w:sz w:val="18"/>
          <w:szCs w:val="18"/>
          <w:color w:val="auto"/>
        </w:rPr>
        <w:t>_________________</w:t>
      </w:r>
    </w:p>
    <w:p>
      <w:pPr>
        <w:spacing w:after="0" w:line="211" w:lineRule="exact"/>
        <w:rPr>
          <w:sz w:val="24"/>
          <w:szCs w:val="24"/>
          <w:color w:val="auto"/>
        </w:rPr>
      </w:pPr>
    </w:p>
    <w:p>
      <w:pPr>
        <w:jc w:val="both"/>
        <w:ind w:right="6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(SS 232.405 of this chapter) during the preceding 12 months (or for such shorter period that the registrant was required to submit and post such files).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ind w:right="2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93" w:lineRule="exact"/>
        <w:rPr>
          <w:sz w:val="24"/>
          <w:szCs w:val="24"/>
          <w:color w:val="auto"/>
        </w:rPr>
      </w:pPr>
    </w:p>
    <w:tbl>
      <w:tblPr>
        <w:tblLayout w:type="fixed"/>
        <w:tblInd w:w="100" w:type="dxa"/>
        <w:tblCellMar>
          <w:top w:w="0" w:type="dxa"/>
          <w:left w:w="0" w:type="dxa"/>
          <w:bottom w:w="0" w:type="dxa"/>
          <w:right w:w="0" w:type="dxa"/>
        </w:tblCellMar>
      </w:tblPr>
      <w:tr>
        <w:trPr>
          <w:trHeight w:val="222"/>
        </w:trPr>
        <w:tc>
          <w:tcPr>
            <w:tcW w:w="1600" w:type="dxa"/>
            <w:vAlign w:val="bottom"/>
          </w:tcPr>
          <w:p>
            <w:pPr>
              <w:spacing w:after="0"/>
              <w:rPr>
                <w:sz w:val="20"/>
                <w:szCs w:val="20"/>
                <w:color w:val="auto"/>
              </w:rPr>
            </w:pPr>
            <w:r>
              <w:rPr>
                <w:rFonts w:ascii="Arial" w:cs="Arial" w:eastAsia="Arial" w:hAnsi="Arial"/>
                <w:sz w:val="18"/>
                <w:szCs w:val="18"/>
                <w:color w:val="auto"/>
                <w:w w:val="88"/>
              </w:rPr>
              <w:t>Large accelerated filer</w:t>
            </w:r>
          </w:p>
        </w:tc>
        <w:tc>
          <w:tcPr>
            <w:tcW w:w="3420" w:type="dxa"/>
            <w:vAlign w:val="bottom"/>
          </w:tcPr>
          <w:p>
            <w:pPr>
              <w:jc w:val="right"/>
              <w:ind w:right="3012"/>
              <w:spacing w:after="0"/>
              <w:rPr>
                <w:sz w:val="20"/>
                <w:szCs w:val="20"/>
                <w:color w:val="auto"/>
              </w:rPr>
            </w:pPr>
            <w:r>
              <w:rPr>
                <w:rFonts w:ascii="Arial" w:cs="Arial" w:eastAsia="Arial" w:hAnsi="Arial"/>
                <w:sz w:val="18"/>
                <w:szCs w:val="18"/>
                <w:color w:val="auto"/>
                <w:w w:val="99"/>
              </w:rPr>
              <w:t>___</w:t>
            </w:r>
          </w:p>
        </w:tc>
        <w:tc>
          <w:tcPr>
            <w:tcW w:w="2820" w:type="dxa"/>
            <w:vAlign w:val="bottom"/>
            <w:gridSpan w:val="2"/>
          </w:tcPr>
          <w:p>
            <w:pPr>
              <w:ind w:left="600"/>
              <w:spacing w:after="0"/>
              <w:rPr>
                <w:sz w:val="20"/>
                <w:szCs w:val="20"/>
                <w:color w:val="auto"/>
              </w:rPr>
            </w:pPr>
            <w:r>
              <w:rPr>
                <w:rFonts w:ascii="Arial" w:cs="Arial" w:eastAsia="Arial" w:hAnsi="Arial"/>
                <w:sz w:val="18"/>
                <w:szCs w:val="18"/>
                <w:color w:val="auto"/>
              </w:rPr>
              <w:t>Accelerated filer ___</w:t>
            </w:r>
          </w:p>
        </w:tc>
      </w:tr>
      <w:tr>
        <w:trPr>
          <w:trHeight w:val="367"/>
        </w:trPr>
        <w:tc>
          <w:tcPr>
            <w:tcW w:w="1600" w:type="dxa"/>
            <w:vAlign w:val="bottom"/>
          </w:tcPr>
          <w:p>
            <w:pPr>
              <w:spacing w:after="0"/>
              <w:rPr>
                <w:sz w:val="20"/>
                <w:szCs w:val="20"/>
                <w:color w:val="auto"/>
              </w:rPr>
            </w:pPr>
            <w:r>
              <w:rPr>
                <w:rFonts w:ascii="Arial" w:cs="Arial" w:eastAsia="Arial" w:hAnsi="Arial"/>
                <w:sz w:val="18"/>
                <w:szCs w:val="18"/>
                <w:color w:val="auto"/>
                <w:w w:val="95"/>
              </w:rPr>
              <w:t>Non-accelerated filer</w:t>
            </w:r>
          </w:p>
        </w:tc>
        <w:tc>
          <w:tcPr>
            <w:tcW w:w="3420" w:type="dxa"/>
            <w:vAlign w:val="bottom"/>
          </w:tcPr>
          <w:p>
            <w:pPr>
              <w:jc w:val="right"/>
              <w:ind w:right="492"/>
              <w:spacing w:after="0"/>
              <w:rPr>
                <w:sz w:val="20"/>
                <w:szCs w:val="20"/>
                <w:color w:val="auto"/>
              </w:rPr>
            </w:pPr>
            <w:r>
              <w:rPr>
                <w:rFonts w:ascii="Arial" w:cs="Arial" w:eastAsia="Arial" w:hAnsi="Arial"/>
                <w:sz w:val="18"/>
                <w:szCs w:val="18"/>
                <w:color w:val="auto"/>
                <w:w w:val="94"/>
              </w:rPr>
              <w:t xml:space="preserve">___ </w:t>
            </w:r>
            <w:r>
              <w:rPr>
                <w:rFonts w:ascii="Arial" w:cs="Arial" w:eastAsia="Arial" w:hAnsi="Arial"/>
                <w:sz w:val="13"/>
                <w:szCs w:val="13"/>
                <w:color w:val="auto"/>
                <w:w w:val="94"/>
              </w:rPr>
              <w:t>(Do not check if a smaller reporting company)</w:t>
            </w:r>
          </w:p>
        </w:tc>
        <w:tc>
          <w:tcPr>
            <w:tcW w:w="2820" w:type="dxa"/>
            <w:vAlign w:val="bottom"/>
            <w:gridSpan w:val="2"/>
          </w:tcPr>
          <w:p>
            <w:pPr>
              <w:ind w:left="600"/>
              <w:spacing w:after="0"/>
              <w:rPr>
                <w:sz w:val="20"/>
                <w:szCs w:val="20"/>
                <w:color w:val="auto"/>
              </w:rPr>
            </w:pPr>
            <w:r>
              <w:rPr>
                <w:rFonts w:ascii="Arial" w:cs="Arial" w:eastAsia="Arial" w:hAnsi="Arial"/>
                <w:sz w:val="18"/>
                <w:szCs w:val="18"/>
                <w:color w:val="auto"/>
                <w:w w:val="94"/>
              </w:rPr>
              <w:t>Smaller reporting company X</w:t>
            </w:r>
          </w:p>
        </w:tc>
      </w:tr>
      <w:tr>
        <w:trPr>
          <w:trHeight w:val="20"/>
        </w:trPr>
        <w:tc>
          <w:tcPr>
            <w:tcW w:w="16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bl>
    <w:p>
      <w:pPr>
        <w:spacing w:after="0" w:line="28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color w:val="auto"/>
        </w:rPr>
        <w:t>YES ___</w:t>
        <w:tab/>
        <w:t xml:space="preserve">NO </w:t>
      </w:r>
      <w:r>
        <w:rPr>
          <w:rFonts w:ascii="Arial" w:cs="Arial" w:eastAsia="Arial" w:hAnsi="Arial"/>
          <w:sz w:val="18"/>
          <w:szCs w:val="18"/>
          <w:u w:val="single" w:color="auto"/>
          <w:color w:val="auto"/>
        </w:rPr>
        <w:t>X</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$.01 par value, outstanding as of the close of business on October 31, 2016:</w:t>
      </w:r>
    </w:p>
    <w:p>
      <w:pPr>
        <w:spacing w:after="0" w:line="18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10,376,770</w:t>
      </w:r>
    </w:p>
    <w:p>
      <w:pPr>
        <w:spacing w:after="0" w:line="185"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____________________________</w:t>
      </w:r>
    </w:p>
    <w:p>
      <w:pPr>
        <w:spacing w:after="0" w:line="200" w:lineRule="exact"/>
        <w:rPr>
          <w:sz w:val="24"/>
          <w:szCs w:val="24"/>
          <w:color w:val="auto"/>
        </w:rPr>
      </w:pPr>
    </w:p>
    <w:p>
      <w:pPr>
        <w:spacing w:after="0" w:line="37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inTEST CORPORATION</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PART I.  FINANCIAL INFORMATION</w:t>
      </w:r>
    </w:p>
    <w:p>
      <w:pPr>
        <w:spacing w:after="0" w:line="25"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020" w:type="dxa"/>
            <w:vAlign w:val="bottom"/>
            <w:gridSpan w:val="2"/>
          </w:tcPr>
          <w:p>
            <w:pPr>
              <w:jc w:val="center"/>
              <w:ind w:left="659"/>
              <w:spacing w:after="0"/>
              <w:rPr>
                <w:sz w:val="20"/>
                <w:szCs w:val="20"/>
                <w:color w:val="auto"/>
              </w:rPr>
            </w:pPr>
            <w:r>
              <w:rPr>
                <w:rFonts w:ascii="Arial" w:cs="Arial" w:eastAsia="Arial" w:hAnsi="Arial"/>
                <w:sz w:val="14"/>
                <w:szCs w:val="14"/>
                <w:b w:val="1"/>
                <w:bCs w:val="1"/>
                <w:color w:val="auto"/>
                <w:w w:val="83"/>
              </w:rPr>
              <w:t>Page</w:t>
            </w:r>
          </w:p>
        </w:tc>
      </w:tr>
      <w:tr>
        <w:trPr>
          <w:trHeight w:val="302"/>
        </w:trPr>
        <w:tc>
          <w:tcPr>
            <w:tcW w:w="8140" w:type="dxa"/>
            <w:vAlign w:val="bottom"/>
          </w:tcPr>
          <w:p>
            <w:pPr>
              <w:spacing w:after="0"/>
              <w:rPr>
                <w:sz w:val="20"/>
                <w:szCs w:val="20"/>
                <w:color w:val="auto"/>
              </w:rPr>
            </w:pPr>
            <w:r>
              <w:rPr>
                <w:rFonts w:ascii="Arial" w:cs="Arial" w:eastAsia="Arial" w:hAnsi="Arial"/>
                <w:sz w:val="18"/>
                <w:szCs w:val="18"/>
                <w:b w:val="1"/>
                <w:bCs w:val="1"/>
                <w:i w:val="1"/>
                <w:iCs w:val="1"/>
                <w:color w:val="auto"/>
              </w:rPr>
              <w:t>Item 1.   Financial Statements</w:t>
            </w:r>
          </w:p>
        </w:tc>
        <w:tc>
          <w:tcPr>
            <w:tcW w:w="7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r>
      <w:tr>
        <w:trPr>
          <w:trHeight w:val="486"/>
        </w:trPr>
        <w:tc>
          <w:tcPr>
            <w:tcW w:w="8140" w:type="dxa"/>
            <w:vAlign w:val="bottom"/>
          </w:tcPr>
          <w:p>
            <w:pPr>
              <w:ind w:left="760"/>
              <w:spacing w:after="0"/>
              <w:rPr>
                <w:sz w:val="20"/>
                <w:szCs w:val="20"/>
                <w:color w:val="auto"/>
              </w:rPr>
            </w:pPr>
            <w:r>
              <w:rPr>
                <w:rFonts w:ascii="Arial" w:cs="Arial" w:eastAsia="Arial" w:hAnsi="Arial"/>
                <w:sz w:val="18"/>
                <w:szCs w:val="18"/>
                <w:color w:val="auto"/>
                <w:w w:val="98"/>
              </w:rPr>
              <w:t>Consolidated Balance Sheets as of September 30, 2016 (Unaudited) and December 31, 2015</w:t>
            </w:r>
          </w:p>
        </w:tc>
        <w:tc>
          <w:tcPr>
            <w:tcW w:w="1020" w:type="dxa"/>
            <w:vAlign w:val="bottom"/>
            <w:gridSpan w:val="2"/>
          </w:tcPr>
          <w:p>
            <w:pPr>
              <w:jc w:val="center"/>
              <w:ind w:left="659"/>
              <w:spacing w:after="0"/>
              <w:rPr>
                <w:sz w:val="20"/>
                <w:szCs w:val="20"/>
                <w:color w:val="auto"/>
              </w:rPr>
            </w:pPr>
            <w:r>
              <w:rPr>
                <w:rFonts w:ascii="Arial" w:cs="Arial" w:eastAsia="Arial" w:hAnsi="Arial"/>
                <w:sz w:val="18"/>
                <w:szCs w:val="18"/>
                <w:color w:val="auto"/>
                <w:w w:val="79"/>
              </w:rPr>
              <w:t>1</w:t>
            </w:r>
          </w:p>
        </w:tc>
      </w:tr>
      <w:tr>
        <w:trPr>
          <w:trHeight w:val="237"/>
        </w:trPr>
        <w:tc>
          <w:tcPr>
            <w:tcW w:w="8140" w:type="dxa"/>
            <w:vAlign w:val="bottom"/>
          </w:tcPr>
          <w:p>
            <w:pPr>
              <w:ind w:left="760"/>
              <w:spacing w:after="0"/>
              <w:rPr>
                <w:sz w:val="20"/>
                <w:szCs w:val="20"/>
                <w:color w:val="auto"/>
              </w:rPr>
            </w:pPr>
            <w:r>
              <w:rPr>
                <w:rFonts w:ascii="Arial" w:cs="Arial" w:eastAsia="Arial" w:hAnsi="Arial"/>
                <w:sz w:val="18"/>
                <w:szCs w:val="18"/>
                <w:color w:val="auto"/>
                <w:w w:val="96"/>
              </w:rPr>
              <w:t>Unaudited Consolidated Statements of Operations for the three months and nine months ended</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22"/>
        </w:trPr>
        <w:tc>
          <w:tcPr>
            <w:tcW w:w="8140" w:type="dxa"/>
            <w:vAlign w:val="bottom"/>
          </w:tcPr>
          <w:p>
            <w:pPr>
              <w:ind w:left="880"/>
              <w:spacing w:after="0"/>
              <w:rPr>
                <w:sz w:val="20"/>
                <w:szCs w:val="20"/>
                <w:color w:val="auto"/>
              </w:rPr>
            </w:pPr>
            <w:r>
              <w:rPr>
                <w:rFonts w:ascii="Arial" w:cs="Arial" w:eastAsia="Arial" w:hAnsi="Arial"/>
                <w:sz w:val="18"/>
                <w:szCs w:val="18"/>
                <w:color w:val="auto"/>
              </w:rPr>
              <w:t>September 30, 2016 and 2015</w:t>
            </w:r>
          </w:p>
        </w:tc>
        <w:tc>
          <w:tcPr>
            <w:tcW w:w="1020" w:type="dxa"/>
            <w:vAlign w:val="bottom"/>
            <w:gridSpan w:val="2"/>
          </w:tcPr>
          <w:p>
            <w:pPr>
              <w:jc w:val="center"/>
              <w:ind w:left="659"/>
              <w:spacing w:after="0"/>
              <w:rPr>
                <w:sz w:val="20"/>
                <w:szCs w:val="20"/>
                <w:color w:val="auto"/>
              </w:rPr>
            </w:pPr>
            <w:r>
              <w:rPr>
                <w:rFonts w:ascii="Arial" w:cs="Arial" w:eastAsia="Arial" w:hAnsi="Arial"/>
                <w:sz w:val="18"/>
                <w:szCs w:val="18"/>
                <w:color w:val="auto"/>
                <w:w w:val="79"/>
              </w:rPr>
              <w:t>2</w:t>
            </w:r>
          </w:p>
        </w:tc>
      </w:tr>
    </w:tbl>
    <w:p>
      <w:pPr>
        <w:sectPr>
          <w:pgSz w:w="11900" w:h="16838" w:orient="portrait"/>
          <w:cols w:equalWidth="0" w:num="1">
            <w:col w:w="11280"/>
          </w:cols>
          <w:pgMar w:left="240" w:top="239" w:right="379" w:bottom="0" w:gutter="0" w:footer="0" w:header="0"/>
        </w:sectPr>
      </w:pPr>
    </w:p>
    <w:bookmarkStart w:id="1" w:name="page2"/>
    <w:bookmarkEnd w:id="1"/>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7640" w:type="dxa"/>
            <w:vAlign w:val="bottom"/>
          </w:tcPr>
          <w:p>
            <w:pPr>
              <w:ind w:left="40"/>
              <w:spacing w:after="0"/>
              <w:rPr>
                <w:sz w:val="20"/>
                <w:szCs w:val="20"/>
                <w:color w:val="auto"/>
              </w:rPr>
            </w:pPr>
            <w:r>
              <w:rPr>
                <w:rFonts w:ascii="Arial" w:cs="Arial" w:eastAsia="Arial" w:hAnsi="Arial"/>
                <w:sz w:val="18"/>
                <w:szCs w:val="18"/>
                <w:color w:val="auto"/>
                <w:w w:val="92"/>
              </w:rPr>
              <w:t>Unaudited Consolidated Statements of Comprehensive Earnings for the three months and nine months</w:t>
            </w:r>
          </w:p>
        </w:tc>
        <w:tc>
          <w:tcPr>
            <w:tcW w:w="900" w:type="dxa"/>
            <w:vAlign w:val="bottom"/>
          </w:tcPr>
          <w:p>
            <w:pPr>
              <w:spacing w:after="0"/>
              <w:rPr>
                <w:sz w:val="18"/>
                <w:szCs w:val="18"/>
                <w:color w:val="auto"/>
              </w:rPr>
            </w:pPr>
          </w:p>
        </w:tc>
      </w:tr>
      <w:tr>
        <w:trPr>
          <w:trHeight w:val="222"/>
        </w:trPr>
        <w:tc>
          <w:tcPr>
            <w:tcW w:w="720" w:type="dxa"/>
            <w:vAlign w:val="bottom"/>
          </w:tcPr>
          <w:p>
            <w:pPr>
              <w:spacing w:after="0"/>
              <w:rPr>
                <w:sz w:val="19"/>
                <w:szCs w:val="19"/>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ended September 30, 2016 and 2015</w:t>
            </w:r>
          </w:p>
        </w:tc>
        <w:tc>
          <w:tcPr>
            <w:tcW w:w="900" w:type="dxa"/>
            <w:vAlign w:val="bottom"/>
          </w:tcPr>
          <w:p>
            <w:pPr>
              <w:jc w:val="center"/>
              <w:ind w:left="332"/>
              <w:spacing w:after="0"/>
              <w:rPr>
                <w:sz w:val="20"/>
                <w:szCs w:val="20"/>
                <w:color w:val="auto"/>
              </w:rPr>
            </w:pPr>
            <w:r>
              <w:rPr>
                <w:rFonts w:ascii="Arial" w:cs="Arial" w:eastAsia="Arial" w:hAnsi="Arial"/>
                <w:sz w:val="18"/>
                <w:szCs w:val="18"/>
                <w:color w:val="auto"/>
                <w:w w:val="79"/>
              </w:rPr>
              <w:t>3</w:t>
            </w:r>
          </w:p>
        </w:tc>
      </w:tr>
      <w:tr>
        <w:trPr>
          <w:trHeight w:val="237"/>
        </w:trPr>
        <w:tc>
          <w:tcPr>
            <w:tcW w:w="720" w:type="dxa"/>
            <w:vAlign w:val="bottom"/>
          </w:tcPr>
          <w:p>
            <w:pPr>
              <w:spacing w:after="0"/>
              <w:rPr>
                <w:sz w:val="20"/>
                <w:szCs w:val="20"/>
                <w:color w:val="auto"/>
              </w:rPr>
            </w:pPr>
          </w:p>
        </w:tc>
        <w:tc>
          <w:tcPr>
            <w:tcW w:w="7640" w:type="dxa"/>
            <w:vAlign w:val="bottom"/>
          </w:tcPr>
          <w:p>
            <w:pPr>
              <w:ind w:left="40"/>
              <w:spacing w:after="0"/>
              <w:rPr>
                <w:sz w:val="20"/>
                <w:szCs w:val="20"/>
                <w:color w:val="auto"/>
              </w:rPr>
            </w:pPr>
            <w:r>
              <w:rPr>
                <w:rFonts w:ascii="Arial" w:cs="Arial" w:eastAsia="Arial" w:hAnsi="Arial"/>
                <w:sz w:val="18"/>
                <w:szCs w:val="18"/>
                <w:color w:val="auto"/>
              </w:rPr>
              <w:t>Unaudited Consolidated Statement of Stockholders' Equity for the nine months ended</w:t>
            </w:r>
          </w:p>
        </w:tc>
        <w:tc>
          <w:tcPr>
            <w:tcW w:w="900" w:type="dxa"/>
            <w:vAlign w:val="bottom"/>
          </w:tcPr>
          <w:p>
            <w:pPr>
              <w:jc w:val="center"/>
              <w:ind w:left="332"/>
              <w:spacing w:after="0"/>
              <w:rPr>
                <w:sz w:val="20"/>
                <w:szCs w:val="20"/>
                <w:color w:val="auto"/>
              </w:rPr>
            </w:pPr>
            <w:r>
              <w:rPr>
                <w:rFonts w:ascii="Arial" w:cs="Arial" w:eastAsia="Arial" w:hAnsi="Arial"/>
                <w:sz w:val="18"/>
                <w:szCs w:val="18"/>
                <w:color w:val="auto"/>
                <w:w w:val="79"/>
              </w:rPr>
              <w:t>3</w:t>
            </w:r>
          </w:p>
        </w:tc>
      </w:tr>
      <w:tr>
        <w:trPr>
          <w:trHeight w:val="222"/>
        </w:trPr>
        <w:tc>
          <w:tcPr>
            <w:tcW w:w="720" w:type="dxa"/>
            <w:vAlign w:val="bottom"/>
          </w:tcPr>
          <w:p>
            <w:pPr>
              <w:spacing w:after="0"/>
              <w:rPr>
                <w:sz w:val="19"/>
                <w:szCs w:val="19"/>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September 30, 2016</w:t>
            </w:r>
          </w:p>
        </w:tc>
        <w:tc>
          <w:tcPr>
            <w:tcW w:w="900" w:type="dxa"/>
            <w:vAlign w:val="bottom"/>
          </w:tcPr>
          <w:p>
            <w:pPr>
              <w:spacing w:after="0"/>
              <w:rPr>
                <w:sz w:val="19"/>
                <w:szCs w:val="19"/>
                <w:color w:val="auto"/>
              </w:rPr>
            </w:pPr>
          </w:p>
        </w:tc>
      </w:tr>
      <w:tr>
        <w:trPr>
          <w:trHeight w:val="237"/>
        </w:trPr>
        <w:tc>
          <w:tcPr>
            <w:tcW w:w="720" w:type="dxa"/>
            <w:vAlign w:val="bottom"/>
          </w:tcPr>
          <w:p>
            <w:pPr>
              <w:spacing w:after="0"/>
              <w:rPr>
                <w:sz w:val="20"/>
                <w:szCs w:val="20"/>
                <w:color w:val="auto"/>
              </w:rPr>
            </w:pPr>
          </w:p>
        </w:tc>
        <w:tc>
          <w:tcPr>
            <w:tcW w:w="7640" w:type="dxa"/>
            <w:vAlign w:val="bottom"/>
          </w:tcPr>
          <w:p>
            <w:pPr>
              <w:ind w:left="40"/>
              <w:spacing w:after="0"/>
              <w:rPr>
                <w:sz w:val="20"/>
                <w:szCs w:val="20"/>
                <w:color w:val="auto"/>
              </w:rPr>
            </w:pPr>
            <w:r>
              <w:rPr>
                <w:rFonts w:ascii="Arial" w:cs="Arial" w:eastAsia="Arial" w:hAnsi="Arial"/>
                <w:sz w:val="18"/>
                <w:szCs w:val="18"/>
                <w:color w:val="auto"/>
              </w:rPr>
              <w:t>Unaudited Consolidated Statements of Cash Flows for the nine months ended</w:t>
            </w:r>
          </w:p>
        </w:tc>
        <w:tc>
          <w:tcPr>
            <w:tcW w:w="900" w:type="dxa"/>
            <w:vAlign w:val="bottom"/>
          </w:tcPr>
          <w:p>
            <w:pPr>
              <w:jc w:val="center"/>
              <w:ind w:left="332"/>
              <w:spacing w:after="0"/>
              <w:rPr>
                <w:sz w:val="20"/>
                <w:szCs w:val="20"/>
                <w:color w:val="auto"/>
              </w:rPr>
            </w:pPr>
            <w:r>
              <w:rPr>
                <w:rFonts w:ascii="Arial" w:cs="Arial" w:eastAsia="Arial" w:hAnsi="Arial"/>
                <w:sz w:val="18"/>
                <w:szCs w:val="18"/>
                <w:color w:val="auto"/>
                <w:w w:val="79"/>
              </w:rPr>
              <w:t>4</w:t>
            </w:r>
          </w:p>
        </w:tc>
      </w:tr>
      <w:tr>
        <w:trPr>
          <w:trHeight w:val="222"/>
        </w:trPr>
        <w:tc>
          <w:tcPr>
            <w:tcW w:w="720" w:type="dxa"/>
            <w:vAlign w:val="bottom"/>
          </w:tcPr>
          <w:p>
            <w:pPr>
              <w:spacing w:after="0"/>
              <w:rPr>
                <w:sz w:val="19"/>
                <w:szCs w:val="19"/>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September 30, 2016 and 2015</w:t>
            </w:r>
          </w:p>
        </w:tc>
        <w:tc>
          <w:tcPr>
            <w:tcW w:w="900" w:type="dxa"/>
            <w:vAlign w:val="bottom"/>
          </w:tcPr>
          <w:p>
            <w:pPr>
              <w:spacing w:after="0"/>
              <w:rPr>
                <w:sz w:val="19"/>
                <w:szCs w:val="19"/>
                <w:color w:val="auto"/>
              </w:rPr>
            </w:pPr>
          </w:p>
        </w:tc>
      </w:tr>
      <w:tr>
        <w:trPr>
          <w:trHeight w:val="243"/>
        </w:trPr>
        <w:tc>
          <w:tcPr>
            <w:tcW w:w="720" w:type="dxa"/>
            <w:vAlign w:val="bottom"/>
          </w:tcPr>
          <w:p>
            <w:pPr>
              <w:spacing w:after="0"/>
              <w:rPr>
                <w:sz w:val="21"/>
                <w:szCs w:val="21"/>
                <w:color w:val="auto"/>
              </w:rPr>
            </w:pPr>
          </w:p>
        </w:tc>
        <w:tc>
          <w:tcPr>
            <w:tcW w:w="7640" w:type="dxa"/>
            <w:vAlign w:val="bottom"/>
          </w:tcPr>
          <w:p>
            <w:pPr>
              <w:ind w:left="40"/>
              <w:spacing w:after="0"/>
              <w:rPr>
                <w:sz w:val="20"/>
                <w:szCs w:val="20"/>
                <w:color w:val="auto"/>
              </w:rPr>
            </w:pPr>
            <w:r>
              <w:rPr>
                <w:rFonts w:ascii="Arial" w:cs="Arial" w:eastAsia="Arial" w:hAnsi="Arial"/>
                <w:sz w:val="18"/>
                <w:szCs w:val="18"/>
                <w:color w:val="auto"/>
              </w:rPr>
              <w:t>Notes to Consolidated Financial Statements</w:t>
            </w:r>
          </w:p>
        </w:tc>
        <w:tc>
          <w:tcPr>
            <w:tcW w:w="900" w:type="dxa"/>
            <w:vAlign w:val="bottom"/>
          </w:tcPr>
          <w:p>
            <w:pPr>
              <w:jc w:val="center"/>
              <w:ind w:left="332"/>
              <w:spacing w:after="0"/>
              <w:rPr>
                <w:sz w:val="20"/>
                <w:szCs w:val="20"/>
                <w:color w:val="auto"/>
              </w:rPr>
            </w:pPr>
            <w:r>
              <w:rPr>
                <w:rFonts w:ascii="Arial" w:cs="Arial" w:eastAsia="Arial" w:hAnsi="Arial"/>
                <w:sz w:val="18"/>
                <w:szCs w:val="18"/>
                <w:color w:val="auto"/>
                <w:w w:val="86"/>
              </w:rPr>
              <w:t>5 - 14</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64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9"/>
              </w:rPr>
              <w:t>Management's Discussion and Analysis of Financial Condition and Results of Operations</w:t>
            </w:r>
          </w:p>
        </w:tc>
        <w:tc>
          <w:tcPr>
            <w:tcW w:w="900" w:type="dxa"/>
            <w:vAlign w:val="bottom"/>
          </w:tcPr>
          <w:p>
            <w:pPr>
              <w:jc w:val="center"/>
              <w:ind w:left="312"/>
              <w:spacing w:after="0"/>
              <w:rPr>
                <w:sz w:val="20"/>
                <w:szCs w:val="20"/>
                <w:color w:val="auto"/>
              </w:rPr>
            </w:pPr>
            <w:r>
              <w:rPr>
                <w:rFonts w:ascii="Arial" w:cs="Arial" w:eastAsia="Arial" w:hAnsi="Arial"/>
                <w:sz w:val="18"/>
                <w:szCs w:val="18"/>
                <w:color w:val="auto"/>
                <w:w w:val="89"/>
              </w:rPr>
              <w:t>15 - 22</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6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tc>
        <w:tc>
          <w:tcPr>
            <w:tcW w:w="900" w:type="dxa"/>
            <w:vAlign w:val="bottom"/>
          </w:tcPr>
          <w:p>
            <w:pPr>
              <w:jc w:val="center"/>
              <w:ind w:left="312"/>
              <w:spacing w:after="0"/>
              <w:rPr>
                <w:sz w:val="20"/>
                <w:szCs w:val="20"/>
                <w:color w:val="auto"/>
              </w:rPr>
            </w:pPr>
            <w:r>
              <w:rPr>
                <w:rFonts w:ascii="Arial" w:cs="Arial" w:eastAsia="Arial" w:hAnsi="Arial"/>
                <w:sz w:val="18"/>
                <w:szCs w:val="18"/>
                <w:color w:val="auto"/>
                <w:w w:val="89"/>
              </w:rPr>
              <w:t>22</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6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Controls and Procedures</w:t>
            </w:r>
          </w:p>
        </w:tc>
        <w:tc>
          <w:tcPr>
            <w:tcW w:w="900" w:type="dxa"/>
            <w:vAlign w:val="bottom"/>
          </w:tcPr>
          <w:p>
            <w:pPr>
              <w:jc w:val="center"/>
              <w:ind w:left="312"/>
              <w:spacing w:after="0"/>
              <w:rPr>
                <w:sz w:val="20"/>
                <w:szCs w:val="20"/>
                <w:color w:val="auto"/>
              </w:rPr>
            </w:pPr>
            <w:r>
              <w:rPr>
                <w:rFonts w:ascii="Arial" w:cs="Arial" w:eastAsia="Arial" w:hAnsi="Arial"/>
                <w:sz w:val="18"/>
                <w:szCs w:val="18"/>
                <w:color w:val="auto"/>
                <w:w w:val="89"/>
              </w:rPr>
              <w:t>22 - 23</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640" w:type="dxa"/>
            <w:vAlign w:val="bottom"/>
          </w:tcPr>
          <w:p>
            <w:pPr>
              <w:ind w:left="40"/>
              <w:spacing w:after="0"/>
              <w:rPr>
                <w:sz w:val="20"/>
                <w:szCs w:val="20"/>
                <w:color w:val="auto"/>
              </w:rPr>
            </w:pPr>
            <w:r>
              <w:rPr>
                <w:rFonts w:ascii="Arial" w:cs="Arial" w:eastAsia="Arial" w:hAnsi="Arial"/>
                <w:sz w:val="18"/>
                <w:szCs w:val="18"/>
                <w:b w:val="1"/>
                <w:bCs w:val="1"/>
                <w:color w:val="auto"/>
              </w:rPr>
              <w:t>OTHER INFORMATION</w:t>
            </w:r>
          </w:p>
        </w:tc>
        <w:tc>
          <w:tcPr>
            <w:tcW w:w="900" w:type="dxa"/>
            <w:vAlign w:val="bottom"/>
          </w:tcPr>
          <w:p>
            <w:pPr>
              <w:spacing w:after="0"/>
              <w:rPr>
                <w:sz w:val="24"/>
                <w:szCs w:val="24"/>
                <w:color w:val="auto"/>
              </w:rPr>
            </w:pPr>
          </w:p>
        </w:tc>
      </w:tr>
      <w:tr>
        <w:trPr>
          <w:trHeight w:val="540"/>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1.</w:t>
            </w:r>
          </w:p>
        </w:tc>
        <w:tc>
          <w:tcPr>
            <w:tcW w:w="76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Legal Proceedings</w:t>
            </w:r>
          </w:p>
        </w:tc>
        <w:tc>
          <w:tcPr>
            <w:tcW w:w="900" w:type="dxa"/>
            <w:vAlign w:val="bottom"/>
          </w:tcPr>
          <w:p>
            <w:pPr>
              <w:jc w:val="center"/>
              <w:ind w:left="312"/>
              <w:spacing w:after="0"/>
              <w:rPr>
                <w:sz w:val="20"/>
                <w:szCs w:val="20"/>
                <w:color w:val="auto"/>
              </w:rPr>
            </w:pPr>
            <w:r>
              <w:rPr>
                <w:rFonts w:ascii="Arial" w:cs="Arial" w:eastAsia="Arial" w:hAnsi="Arial"/>
                <w:sz w:val="18"/>
                <w:szCs w:val="18"/>
                <w:color w:val="auto"/>
                <w:w w:val="89"/>
              </w:rPr>
              <w:t>23</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w w:val="99"/>
              </w:rPr>
              <w:t>Item 1A.</w:t>
            </w:r>
          </w:p>
        </w:tc>
        <w:tc>
          <w:tcPr>
            <w:tcW w:w="76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Risk Factors</w:t>
            </w:r>
          </w:p>
        </w:tc>
        <w:tc>
          <w:tcPr>
            <w:tcW w:w="900" w:type="dxa"/>
            <w:vAlign w:val="bottom"/>
          </w:tcPr>
          <w:p>
            <w:pPr>
              <w:jc w:val="center"/>
              <w:ind w:left="312"/>
              <w:spacing w:after="0"/>
              <w:rPr>
                <w:sz w:val="20"/>
                <w:szCs w:val="20"/>
                <w:color w:val="auto"/>
              </w:rPr>
            </w:pPr>
            <w:r>
              <w:rPr>
                <w:rFonts w:ascii="Arial" w:cs="Arial" w:eastAsia="Arial" w:hAnsi="Arial"/>
                <w:sz w:val="18"/>
                <w:szCs w:val="18"/>
                <w:color w:val="auto"/>
                <w:w w:val="89"/>
              </w:rPr>
              <w:t>23</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6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Unregistered Sales of Equity Securities and Use of Proceeds</w:t>
            </w:r>
          </w:p>
        </w:tc>
        <w:tc>
          <w:tcPr>
            <w:tcW w:w="900" w:type="dxa"/>
            <w:vAlign w:val="bottom"/>
          </w:tcPr>
          <w:p>
            <w:pPr>
              <w:jc w:val="center"/>
              <w:ind w:left="312"/>
              <w:spacing w:after="0"/>
              <w:rPr>
                <w:sz w:val="20"/>
                <w:szCs w:val="20"/>
                <w:color w:val="auto"/>
              </w:rPr>
            </w:pPr>
            <w:r>
              <w:rPr>
                <w:rFonts w:ascii="Arial" w:cs="Arial" w:eastAsia="Arial" w:hAnsi="Arial"/>
                <w:sz w:val="18"/>
                <w:szCs w:val="18"/>
                <w:color w:val="auto"/>
                <w:w w:val="89"/>
              </w:rPr>
              <w:t>23 - 24</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6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Defaults Upon Senior Securities</w:t>
            </w:r>
          </w:p>
        </w:tc>
        <w:tc>
          <w:tcPr>
            <w:tcW w:w="900" w:type="dxa"/>
            <w:vAlign w:val="bottom"/>
          </w:tcPr>
          <w:p>
            <w:pPr>
              <w:jc w:val="center"/>
              <w:ind w:left="312"/>
              <w:spacing w:after="0"/>
              <w:rPr>
                <w:sz w:val="20"/>
                <w:szCs w:val="20"/>
                <w:color w:val="auto"/>
              </w:rPr>
            </w:pPr>
            <w:r>
              <w:rPr>
                <w:rFonts w:ascii="Arial" w:cs="Arial" w:eastAsia="Arial" w:hAnsi="Arial"/>
                <w:sz w:val="18"/>
                <w:szCs w:val="18"/>
                <w:color w:val="auto"/>
                <w:w w:val="89"/>
              </w:rPr>
              <w:t>24</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6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Mine Safety Disclosures</w:t>
            </w:r>
          </w:p>
        </w:tc>
        <w:tc>
          <w:tcPr>
            <w:tcW w:w="900" w:type="dxa"/>
            <w:vAlign w:val="bottom"/>
          </w:tcPr>
          <w:p>
            <w:pPr>
              <w:jc w:val="center"/>
              <w:ind w:left="312"/>
              <w:spacing w:after="0"/>
              <w:rPr>
                <w:sz w:val="20"/>
                <w:szCs w:val="20"/>
                <w:color w:val="auto"/>
              </w:rPr>
            </w:pPr>
            <w:r>
              <w:rPr>
                <w:rFonts w:ascii="Arial" w:cs="Arial" w:eastAsia="Arial" w:hAnsi="Arial"/>
                <w:sz w:val="18"/>
                <w:szCs w:val="18"/>
                <w:color w:val="auto"/>
                <w:w w:val="89"/>
              </w:rPr>
              <w:t>24</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5.</w:t>
            </w:r>
          </w:p>
        </w:tc>
        <w:tc>
          <w:tcPr>
            <w:tcW w:w="76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Other Information</w:t>
            </w:r>
          </w:p>
        </w:tc>
        <w:tc>
          <w:tcPr>
            <w:tcW w:w="900" w:type="dxa"/>
            <w:vAlign w:val="bottom"/>
          </w:tcPr>
          <w:p>
            <w:pPr>
              <w:jc w:val="center"/>
              <w:ind w:left="312"/>
              <w:spacing w:after="0"/>
              <w:rPr>
                <w:sz w:val="20"/>
                <w:szCs w:val="20"/>
                <w:color w:val="auto"/>
              </w:rPr>
            </w:pPr>
            <w:r>
              <w:rPr>
                <w:rFonts w:ascii="Arial" w:cs="Arial" w:eastAsia="Arial" w:hAnsi="Arial"/>
                <w:sz w:val="18"/>
                <w:szCs w:val="18"/>
                <w:color w:val="auto"/>
                <w:w w:val="89"/>
              </w:rPr>
              <w:t>24</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6.</w:t>
            </w:r>
          </w:p>
        </w:tc>
        <w:tc>
          <w:tcPr>
            <w:tcW w:w="76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Exhibits</w:t>
            </w:r>
          </w:p>
        </w:tc>
        <w:tc>
          <w:tcPr>
            <w:tcW w:w="900" w:type="dxa"/>
            <w:vAlign w:val="bottom"/>
          </w:tcPr>
          <w:p>
            <w:pPr>
              <w:jc w:val="center"/>
              <w:ind w:left="312"/>
              <w:spacing w:after="0"/>
              <w:rPr>
                <w:sz w:val="20"/>
                <w:szCs w:val="20"/>
                <w:color w:val="auto"/>
              </w:rPr>
            </w:pPr>
            <w:r>
              <w:rPr>
                <w:rFonts w:ascii="Arial" w:cs="Arial" w:eastAsia="Arial" w:hAnsi="Arial"/>
                <w:sz w:val="18"/>
                <w:szCs w:val="18"/>
                <w:color w:val="auto"/>
                <w:w w:val="89"/>
              </w:rPr>
              <w:t>24</w:t>
            </w:r>
          </w:p>
        </w:tc>
      </w:tr>
      <w:tr>
        <w:trPr>
          <w:trHeight w:val="513"/>
        </w:trPr>
        <w:tc>
          <w:tcPr>
            <w:tcW w:w="8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Signatures</w:t>
            </w:r>
          </w:p>
        </w:tc>
        <w:tc>
          <w:tcPr>
            <w:tcW w:w="900" w:type="dxa"/>
            <w:vAlign w:val="bottom"/>
          </w:tcPr>
          <w:p>
            <w:pPr>
              <w:jc w:val="center"/>
              <w:ind w:left="312"/>
              <w:spacing w:after="0"/>
              <w:rPr>
                <w:sz w:val="20"/>
                <w:szCs w:val="20"/>
                <w:color w:val="auto"/>
              </w:rPr>
            </w:pPr>
            <w:r>
              <w:rPr>
                <w:rFonts w:ascii="Arial" w:cs="Arial" w:eastAsia="Arial" w:hAnsi="Arial"/>
                <w:sz w:val="18"/>
                <w:szCs w:val="18"/>
                <w:color w:val="auto"/>
                <w:w w:val="89"/>
              </w:rPr>
              <w:t>24</w:t>
            </w:r>
          </w:p>
        </w:tc>
      </w:tr>
      <w:tr>
        <w:trPr>
          <w:trHeight w:val="513"/>
        </w:trPr>
        <w:tc>
          <w:tcPr>
            <w:tcW w:w="8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Index to Exhibits</w:t>
            </w:r>
          </w:p>
        </w:tc>
        <w:tc>
          <w:tcPr>
            <w:tcW w:w="900" w:type="dxa"/>
            <w:vAlign w:val="bottom"/>
          </w:tcPr>
          <w:p>
            <w:pPr>
              <w:jc w:val="center"/>
              <w:ind w:left="312"/>
              <w:spacing w:after="0"/>
              <w:rPr>
                <w:sz w:val="20"/>
                <w:szCs w:val="20"/>
                <w:color w:val="auto"/>
              </w:rPr>
            </w:pPr>
            <w:r>
              <w:rPr>
                <w:rFonts w:ascii="Arial" w:cs="Arial" w:eastAsia="Arial" w:hAnsi="Arial"/>
                <w:sz w:val="18"/>
                <w:szCs w:val="18"/>
                <w:color w:val="auto"/>
                <w:w w:val="89"/>
              </w:rPr>
              <w:t>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gridSpan w:val="4"/>
          </w:tcPr>
          <w:p>
            <w:pPr>
              <w:jc w:val="center"/>
              <w:ind w:left="2992"/>
              <w:spacing w:after="0"/>
              <w:rPr>
                <w:sz w:val="20"/>
                <w:szCs w:val="20"/>
                <w:color w:val="auto"/>
              </w:rPr>
            </w:pPr>
            <w:r>
              <w:rPr>
                <w:rFonts w:ascii="Arial" w:cs="Arial" w:eastAsia="Arial" w:hAnsi="Arial"/>
                <w:sz w:val="18"/>
                <w:szCs w:val="18"/>
                <w:b w:val="1"/>
                <w:bCs w:val="1"/>
                <w:color w:val="auto"/>
                <w:w w:val="99"/>
              </w:rPr>
              <w:t>PART I. FINANCIAL INFORMATION</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2"/>
        </w:trPr>
        <w:tc>
          <w:tcPr>
            <w:tcW w:w="68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9"/>
        </w:trPr>
        <w:tc>
          <w:tcPr>
            <w:tcW w:w="6880" w:type="dxa"/>
            <w:vAlign w:val="bottom"/>
          </w:tcPr>
          <w:p>
            <w:pPr>
              <w:jc w:val="center"/>
              <w:ind w:left="4472"/>
              <w:spacing w:after="0"/>
              <w:rPr>
                <w:sz w:val="20"/>
                <w:szCs w:val="20"/>
                <w:color w:val="auto"/>
              </w:rPr>
            </w:pPr>
            <w:r>
              <w:rPr>
                <w:rFonts w:ascii="Arial" w:cs="Arial" w:eastAsia="Arial" w:hAnsi="Arial"/>
                <w:sz w:val="18"/>
                <w:szCs w:val="18"/>
                <w:b w:val="1"/>
                <w:bCs w:val="1"/>
                <w:color w:val="auto"/>
                <w:w w:val="96"/>
              </w:rPr>
              <w:t>inTEST CORPORATION</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8340" w:type="dxa"/>
            <w:vAlign w:val="bottom"/>
            <w:gridSpan w:val="4"/>
          </w:tcPr>
          <w:p>
            <w:pPr>
              <w:jc w:val="center"/>
              <w:ind w:left="301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8340" w:type="dxa"/>
            <w:vAlign w:val="bottom"/>
            <w:gridSpan w:val="4"/>
          </w:tcPr>
          <w:p>
            <w:pPr>
              <w:jc w:val="center"/>
              <w:ind w:left="3012"/>
              <w:spacing w:after="0"/>
              <w:rPr>
                <w:sz w:val="20"/>
                <w:szCs w:val="20"/>
                <w:color w:val="auto"/>
              </w:rPr>
            </w:pPr>
            <w:r>
              <w:rPr>
                <w:rFonts w:ascii="Arial" w:cs="Arial" w:eastAsia="Arial" w:hAnsi="Arial"/>
                <w:sz w:val="18"/>
                <w:szCs w:val="18"/>
                <w:color w:val="auto"/>
                <w:w w:val="85"/>
              </w:rPr>
              <w:t>(In thousands, except share and per share data)</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8"/>
        </w:trPr>
        <w:tc>
          <w:tcPr>
            <w:tcW w:w="688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6"/>
              </w:rPr>
              <w:t>Sept. 30,</w:t>
            </w:r>
          </w:p>
        </w:tc>
        <w:tc>
          <w:tcPr>
            <w:tcW w:w="9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6880" w:type="dxa"/>
            <w:vAlign w:val="bottom"/>
          </w:tcPr>
          <w:p>
            <w:pPr>
              <w:spacing w:after="0"/>
              <w:rPr>
                <w:sz w:val="17"/>
                <w:szCs w:val="17"/>
                <w:color w:val="auto"/>
              </w:rPr>
            </w:pPr>
          </w:p>
        </w:tc>
        <w:tc>
          <w:tcPr>
            <w:tcW w:w="11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2016</w:t>
            </w:r>
          </w:p>
        </w:tc>
        <w:tc>
          <w:tcPr>
            <w:tcW w:w="320" w:type="dxa"/>
            <w:vAlign w:val="bottom"/>
          </w:tcPr>
          <w:p>
            <w:pPr>
              <w:spacing w:after="0"/>
              <w:rPr>
                <w:sz w:val="17"/>
                <w:szCs w:val="17"/>
                <w:color w:val="auto"/>
              </w:rPr>
            </w:pPr>
          </w:p>
        </w:tc>
        <w:tc>
          <w:tcPr>
            <w:tcW w:w="8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2015</w:t>
            </w:r>
          </w:p>
        </w:tc>
        <w:tc>
          <w:tcPr>
            <w:tcW w:w="100" w:type="dxa"/>
            <w:vAlign w:val="bottom"/>
          </w:tcPr>
          <w:p>
            <w:pPr>
              <w:spacing w:after="0"/>
              <w:rPr>
                <w:sz w:val="17"/>
                <w:szCs w:val="17"/>
                <w:color w:val="auto"/>
              </w:rPr>
            </w:pPr>
          </w:p>
        </w:tc>
      </w:tr>
      <w:tr>
        <w:trPr>
          <w:trHeight w:val="203"/>
        </w:trPr>
        <w:tc>
          <w:tcPr>
            <w:tcW w:w="6880" w:type="dxa"/>
            <w:vAlign w:val="bottom"/>
          </w:tcPr>
          <w:p>
            <w:pPr>
              <w:spacing w:after="0"/>
              <w:rPr>
                <w:sz w:val="17"/>
                <w:szCs w:val="17"/>
                <w:color w:val="auto"/>
              </w:rPr>
            </w:pPr>
          </w:p>
        </w:tc>
        <w:tc>
          <w:tcPr>
            <w:tcW w:w="14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4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$26,345</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$25,710</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 accounts receivable, net of allowance for doubtful</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of $146 and $146, respectively</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6,663</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4,395</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3,397</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3,520</w:t>
            </w:r>
          </w:p>
        </w:tc>
        <w:tc>
          <w:tcPr>
            <w:tcW w:w="100" w:type="dxa"/>
            <w:vAlign w:val="bottom"/>
          </w:tcPr>
          <w:p>
            <w:pPr>
              <w:spacing w:after="0"/>
              <w:rPr>
                <w:sz w:val="17"/>
                <w:szCs w:val="17"/>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Prepaid expenses and other current assets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457</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639</w:t>
            </w:r>
          </w:p>
        </w:tc>
        <w:tc>
          <w:tcPr>
            <w:tcW w:w="100" w:type="dxa"/>
            <w:vAlign w:val="bottom"/>
          </w:tcPr>
          <w:p>
            <w:pPr>
              <w:spacing w:after="0"/>
              <w:rPr>
                <w:sz w:val="14"/>
                <w:szCs w:val="14"/>
                <w:color w:val="auto"/>
              </w:rPr>
            </w:pPr>
          </w:p>
        </w:tc>
      </w:tr>
      <w:tr>
        <w:trPr>
          <w:trHeight w:val="183"/>
        </w:trPr>
        <w:tc>
          <w:tcPr>
            <w:tcW w:w="68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assets</w:t>
            </w:r>
          </w:p>
        </w:tc>
        <w:tc>
          <w:tcPr>
            <w:tcW w:w="114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36,862</w:t>
            </w:r>
          </w:p>
        </w:tc>
        <w:tc>
          <w:tcPr>
            <w:tcW w:w="320" w:type="dxa"/>
            <w:vAlign w:val="bottom"/>
          </w:tcPr>
          <w:p>
            <w:pPr>
              <w:spacing w:after="0"/>
              <w:rPr>
                <w:sz w:val="15"/>
                <w:szCs w:val="15"/>
                <w:color w:val="auto"/>
              </w:rPr>
            </w:pPr>
          </w:p>
        </w:tc>
        <w:tc>
          <w:tcPr>
            <w:tcW w:w="94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34,264</w:t>
            </w:r>
          </w:p>
        </w:tc>
      </w:tr>
      <w:tr>
        <w:trPr>
          <w:trHeight w:val="221"/>
        </w:trPr>
        <w:tc>
          <w:tcPr>
            <w:tcW w:w="6880" w:type="dxa"/>
            <w:vAlign w:val="bottom"/>
          </w:tcPr>
          <w:p>
            <w:pPr>
              <w:spacing w:after="0"/>
              <w:rPr>
                <w:sz w:val="20"/>
                <w:szCs w:val="20"/>
                <w:color w:val="auto"/>
              </w:rPr>
            </w:pPr>
            <w:r>
              <w:rPr>
                <w:rFonts w:ascii="Courier New" w:cs="Courier New" w:eastAsia="Courier New" w:hAnsi="Courier New"/>
                <w:sz w:val="18"/>
                <w:szCs w:val="18"/>
                <w:color w:val="auto"/>
              </w:rPr>
              <w:t>Property and equipment:</w:t>
            </w: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4,411</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4,377</w:t>
            </w:r>
          </w:p>
        </w:tc>
        <w:tc>
          <w:tcPr>
            <w:tcW w:w="100" w:type="dxa"/>
            <w:vAlign w:val="bottom"/>
          </w:tcPr>
          <w:p>
            <w:pPr>
              <w:spacing w:after="0"/>
              <w:rPr>
                <w:sz w:val="17"/>
                <w:szCs w:val="17"/>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Leasehold improvements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604</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603</w:t>
            </w:r>
          </w:p>
        </w:tc>
        <w:tc>
          <w:tcPr>
            <w:tcW w:w="100" w:type="dxa"/>
            <w:vAlign w:val="bottom"/>
          </w:tcPr>
          <w:p>
            <w:pPr>
              <w:spacing w:after="0"/>
              <w:rPr>
                <w:sz w:val="14"/>
                <w:szCs w:val="14"/>
                <w:color w:val="auto"/>
              </w:rPr>
            </w:pPr>
          </w:p>
        </w:tc>
      </w:tr>
      <w:tr>
        <w:trPr>
          <w:trHeight w:val="221"/>
        </w:trPr>
        <w:tc>
          <w:tcPr>
            <w:tcW w:w="6880" w:type="dxa"/>
            <w:vAlign w:val="bottom"/>
          </w:tcPr>
          <w:p>
            <w:pPr>
              <w:ind w:left="540"/>
              <w:spacing w:after="0"/>
              <w:rPr>
                <w:sz w:val="20"/>
                <w:szCs w:val="20"/>
                <w:color w:val="auto"/>
              </w:rPr>
            </w:pPr>
            <w:r>
              <w:rPr>
                <w:rFonts w:ascii="Courier New" w:cs="Courier New" w:eastAsia="Courier New" w:hAnsi="Courier New"/>
                <w:sz w:val="18"/>
                <w:szCs w:val="18"/>
                <w:color w:val="auto"/>
              </w:rPr>
              <w:t>Gross property and equipment</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5,015</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4,980</w:t>
            </w:r>
          </w:p>
        </w:tc>
        <w:tc>
          <w:tcPr>
            <w:tcW w:w="100" w:type="dxa"/>
            <w:vAlign w:val="bottom"/>
          </w:tcPr>
          <w:p>
            <w:pPr>
              <w:spacing w:after="0"/>
              <w:rPr>
                <w:sz w:val="19"/>
                <w:szCs w:val="19"/>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Less: accumulated depreciation</w:t>
            </w:r>
          </w:p>
        </w:tc>
        <w:tc>
          <w:tcPr>
            <w:tcW w:w="400" w:type="dxa"/>
            <w:vAlign w:val="bottom"/>
          </w:tcPr>
          <w:p>
            <w:pPr>
              <w:spacing w:after="0"/>
              <w:rPr>
                <w:sz w:val="14"/>
                <w:szCs w:val="14"/>
                <w:color w:val="auto"/>
              </w:rPr>
            </w:pPr>
          </w:p>
        </w:tc>
        <w:tc>
          <w:tcPr>
            <w:tcW w:w="1060" w:type="dxa"/>
            <w:vAlign w:val="bottom"/>
            <w:gridSpan w:val="2"/>
          </w:tcPr>
          <w:p>
            <w:pPr>
              <w:jc w:val="right"/>
              <w:ind w:right="220"/>
              <w:spacing w:after="0" w:line="164" w:lineRule="exact"/>
              <w:rPr>
                <w:sz w:val="20"/>
                <w:szCs w:val="20"/>
                <w:color w:val="auto"/>
              </w:rPr>
            </w:pPr>
            <w:r>
              <w:rPr>
                <w:rFonts w:ascii="Courier New" w:cs="Courier New" w:eastAsia="Courier New" w:hAnsi="Courier New"/>
                <w:sz w:val="18"/>
                <w:szCs w:val="18"/>
                <w:color w:val="auto"/>
              </w:rPr>
              <w:t>(4,020)</w:t>
            </w:r>
          </w:p>
        </w:tc>
        <w:tc>
          <w:tcPr>
            <w:tcW w:w="94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(3,868)</w:t>
            </w:r>
          </w:p>
        </w:tc>
      </w:tr>
      <w:tr>
        <w:trPr>
          <w:trHeight w:val="183"/>
        </w:trPr>
        <w:tc>
          <w:tcPr>
            <w:tcW w:w="68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Net property and equipment</w:t>
            </w:r>
          </w:p>
        </w:tc>
        <w:tc>
          <w:tcPr>
            <w:tcW w:w="4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995</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1,112</w:t>
            </w:r>
          </w:p>
        </w:tc>
        <w:tc>
          <w:tcPr>
            <w:tcW w:w="100" w:type="dxa"/>
            <w:vAlign w:val="bottom"/>
          </w:tcPr>
          <w:p>
            <w:pPr>
              <w:spacing w:after="0"/>
              <w:rPr>
                <w:sz w:val="15"/>
                <w:szCs w:val="15"/>
                <w:color w:val="auto"/>
              </w:rPr>
            </w:pPr>
          </w:p>
        </w:tc>
      </w:tr>
      <w:tr>
        <w:trPr>
          <w:trHeight w:val="221"/>
        </w:trPr>
        <w:tc>
          <w:tcPr>
            <w:tcW w:w="6880" w:type="dxa"/>
            <w:vAlign w:val="bottom"/>
          </w:tcPr>
          <w:p>
            <w:pPr>
              <w:spacing w:after="0"/>
              <w:rPr>
                <w:sz w:val="20"/>
                <w:szCs w:val="20"/>
                <w:color w:val="auto"/>
              </w:rPr>
            </w:pPr>
            <w:r>
              <w:rPr>
                <w:rFonts w:ascii="Courier New" w:cs="Courier New" w:eastAsia="Courier New" w:hAnsi="Courier New"/>
                <w:sz w:val="18"/>
                <w:szCs w:val="18"/>
                <w:color w:val="auto"/>
              </w:rPr>
              <w:t>Deferred tax assets</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1,104</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1,245</w:t>
            </w:r>
          </w:p>
        </w:tc>
        <w:tc>
          <w:tcPr>
            <w:tcW w:w="100" w:type="dxa"/>
            <w:vAlign w:val="bottom"/>
          </w:tcPr>
          <w:p>
            <w:pPr>
              <w:spacing w:after="0"/>
              <w:rPr>
                <w:sz w:val="19"/>
                <w:szCs w:val="19"/>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931</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1,104</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certificates of deposit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225</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350</w:t>
            </w:r>
          </w:p>
        </w:tc>
        <w:tc>
          <w:tcPr>
            <w:tcW w:w="100" w:type="dxa"/>
            <w:vAlign w:val="bottom"/>
          </w:tcPr>
          <w:p>
            <w:pPr>
              <w:spacing w:after="0"/>
              <w:rPr>
                <w:sz w:val="17"/>
                <w:szCs w:val="17"/>
                <w:color w:val="auto"/>
              </w:rPr>
            </w:pPr>
          </w:p>
        </w:tc>
      </w:tr>
      <w:tr>
        <w:trPr>
          <w:trHeight w:val="164"/>
        </w:trPr>
        <w:tc>
          <w:tcPr>
            <w:tcW w:w="6880" w:type="dxa"/>
            <w:vAlign w:val="bottom"/>
          </w:tcPr>
          <w:p>
            <w:pPr>
              <w:spacing w:after="0" w:line="164" w:lineRule="exact"/>
              <w:rPr>
                <w:sz w:val="20"/>
                <w:szCs w:val="20"/>
                <w:color w:val="auto"/>
              </w:rPr>
            </w:pPr>
            <w:r>
              <w:rPr>
                <w:rFonts w:ascii="Courier New" w:cs="Courier New" w:eastAsia="Courier New" w:hAnsi="Courier New"/>
                <w:sz w:val="18"/>
                <w:szCs w:val="18"/>
                <w:color w:val="auto"/>
              </w:rPr>
              <w:t>Other assets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209</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203</w:t>
            </w:r>
          </w:p>
        </w:tc>
        <w:tc>
          <w:tcPr>
            <w:tcW w:w="100" w:type="dxa"/>
            <w:vAlign w:val="bottom"/>
          </w:tcPr>
          <w:p>
            <w:pPr>
              <w:spacing w:after="0"/>
              <w:rPr>
                <w:sz w:val="14"/>
                <w:szCs w:val="14"/>
                <w:color w:val="auto"/>
              </w:rPr>
            </w:pPr>
          </w:p>
        </w:tc>
      </w:tr>
      <w:tr>
        <w:trPr>
          <w:trHeight w:val="221"/>
        </w:trPr>
        <w:tc>
          <w:tcPr>
            <w:tcW w:w="6880" w:type="dxa"/>
            <w:vAlign w:val="bottom"/>
          </w:tcPr>
          <w:p>
            <w:pPr>
              <w:ind w:left="540"/>
              <w:spacing w:after="0"/>
              <w:rPr>
                <w:sz w:val="20"/>
                <w:szCs w:val="20"/>
                <w:color w:val="auto"/>
              </w:rPr>
            </w:pPr>
            <w:r>
              <w:rPr>
                <w:rFonts w:ascii="Courier New" w:cs="Courier New" w:eastAsia="Courier New" w:hAnsi="Courier New"/>
                <w:sz w:val="18"/>
                <w:szCs w:val="18"/>
                <w:color w:val="auto"/>
              </w:rPr>
              <w:t>Total assets</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$42,032</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$39,984</w:t>
            </w:r>
          </w:p>
        </w:tc>
        <w:tc>
          <w:tcPr>
            <w:tcW w:w="100" w:type="dxa"/>
            <w:vAlign w:val="bottom"/>
          </w:tcPr>
          <w:p>
            <w:pPr>
              <w:spacing w:after="0"/>
              <w:rPr>
                <w:sz w:val="19"/>
                <w:szCs w:val="19"/>
                <w:color w:val="auto"/>
              </w:rPr>
            </w:pPr>
          </w:p>
        </w:tc>
      </w:tr>
      <w:tr>
        <w:trPr>
          <w:trHeight w:val="203"/>
        </w:trPr>
        <w:tc>
          <w:tcPr>
            <w:tcW w:w="6880" w:type="dxa"/>
            <w:vAlign w:val="bottom"/>
          </w:tcPr>
          <w:p>
            <w:pPr>
              <w:spacing w:after="0"/>
              <w:rPr>
                <w:sz w:val="17"/>
                <w:szCs w:val="17"/>
                <w:color w:val="auto"/>
              </w:rPr>
            </w:pP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405"/>
        </w:trPr>
        <w:tc>
          <w:tcPr>
            <w:tcW w:w="688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$ 1,252</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909</w:t>
            </w:r>
          </w:p>
        </w:tc>
        <w:tc>
          <w:tcPr>
            <w:tcW w:w="100" w:type="dxa"/>
            <w:vAlign w:val="bottom"/>
          </w:tcPr>
          <w:p>
            <w:pPr>
              <w:spacing w:after="0"/>
              <w:rPr>
                <w:sz w:val="17"/>
                <w:szCs w:val="17"/>
                <w:color w:val="auto"/>
              </w:rPr>
            </w:pPr>
          </w:p>
        </w:tc>
      </w:tr>
    </w:tbl>
    <w:p>
      <w:pPr>
        <w:sectPr>
          <w:pgSz w:w="11900" w:h="16838" w:orient="portrait"/>
          <w:cols w:equalWidth="0" w:num="1">
            <w:col w:w="10219"/>
          </w:cols>
          <w:pgMar w:left="240" w:top="131"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60" w:type="dxa"/>
            <w:vAlign w:val="bottom"/>
          </w:tcPr>
          <w:p>
            <w:pPr>
              <w:ind w:left="220"/>
              <w:spacing w:after="0"/>
              <w:rPr>
                <w:sz w:val="20"/>
                <w:szCs w:val="20"/>
                <w:color w:val="auto"/>
              </w:rPr>
            </w:pPr>
            <w:r>
              <w:rPr>
                <w:rFonts w:ascii="Courier New" w:cs="Courier New" w:eastAsia="Courier New" w:hAnsi="Courier New"/>
                <w:sz w:val="18"/>
                <w:szCs w:val="18"/>
                <w:color w:val="auto"/>
              </w:rPr>
              <w:t>Accrued wages and benefits</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1,522</w:t>
            </w:r>
          </w:p>
        </w:tc>
        <w:tc>
          <w:tcPr>
            <w:tcW w:w="2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1,466</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rent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557</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657</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professional fees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427</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363</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sales commissions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371</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297</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Domestic and foreign income taxes payable</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549</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w:t>
            </w:r>
          </w:p>
        </w:tc>
        <w:tc>
          <w:tcPr>
            <w:tcW w:w="100" w:type="dxa"/>
            <w:vAlign w:val="bottom"/>
          </w:tcPr>
          <w:p>
            <w:pPr>
              <w:spacing w:after="0"/>
              <w:rPr>
                <w:sz w:val="17"/>
                <w:szCs w:val="17"/>
                <w:color w:val="auto"/>
              </w:rPr>
            </w:pPr>
          </w:p>
        </w:tc>
      </w:tr>
      <w:tr>
        <w:trPr>
          <w:trHeight w:val="164"/>
        </w:trPr>
        <w:tc>
          <w:tcPr>
            <w:tcW w:w="70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Other current liabilities</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356</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341</w:t>
            </w:r>
          </w:p>
        </w:tc>
        <w:tc>
          <w:tcPr>
            <w:tcW w:w="100" w:type="dxa"/>
            <w:vAlign w:val="bottom"/>
          </w:tcPr>
          <w:p>
            <w:pPr>
              <w:spacing w:after="0"/>
              <w:rPr>
                <w:sz w:val="14"/>
                <w:szCs w:val="14"/>
                <w:color w:val="auto"/>
              </w:rPr>
            </w:pPr>
          </w:p>
        </w:tc>
      </w:tr>
      <w:tr>
        <w:trPr>
          <w:trHeight w:val="183"/>
        </w:trPr>
        <w:tc>
          <w:tcPr>
            <w:tcW w:w="70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liabilities</w:t>
            </w:r>
          </w:p>
        </w:tc>
        <w:tc>
          <w:tcPr>
            <w:tcW w:w="96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5,034</w:t>
            </w:r>
          </w:p>
        </w:tc>
        <w:tc>
          <w:tcPr>
            <w:tcW w:w="260" w:type="dxa"/>
            <w:vAlign w:val="bottom"/>
          </w:tcPr>
          <w:p>
            <w:pPr>
              <w:spacing w:after="0"/>
              <w:rPr>
                <w:sz w:val="15"/>
                <w:szCs w:val="15"/>
                <w:color w:val="auto"/>
              </w:rPr>
            </w:pPr>
          </w:p>
        </w:tc>
        <w:tc>
          <w:tcPr>
            <w:tcW w:w="100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4,059</w:t>
            </w:r>
          </w:p>
        </w:tc>
      </w:tr>
      <w:tr>
        <w:trPr>
          <w:trHeight w:val="424"/>
        </w:trPr>
        <w:tc>
          <w:tcPr>
            <w:tcW w:w="706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$0.01 par value; 5,000,000 shares authorized;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 shares issued or outstanding</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 value; 20,000,000 shares authorized;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10,426,552 and 10,549,423 shares issued, respectively</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104</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25,668</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26,286</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10,670</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9,013</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earnings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760</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725</w:t>
            </w:r>
          </w:p>
        </w:tc>
        <w:tc>
          <w:tcPr>
            <w:tcW w:w="100" w:type="dxa"/>
            <w:vAlign w:val="bottom"/>
          </w:tcPr>
          <w:p>
            <w:pPr>
              <w:spacing w:after="0"/>
              <w:rPr>
                <w:sz w:val="17"/>
                <w:szCs w:val="17"/>
                <w:color w:val="auto"/>
              </w:rPr>
            </w:pPr>
          </w:p>
        </w:tc>
      </w:tr>
      <w:tr>
        <w:trPr>
          <w:trHeight w:val="164"/>
        </w:trPr>
        <w:tc>
          <w:tcPr>
            <w:tcW w:w="70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Treasury stock, at cost; 33,077 and 33,077 shares, respectively</w:t>
            </w:r>
          </w:p>
        </w:tc>
        <w:tc>
          <w:tcPr>
            <w:tcW w:w="220" w:type="dxa"/>
            <w:vAlign w:val="bottom"/>
          </w:tcPr>
          <w:p>
            <w:pPr>
              <w:spacing w:after="0"/>
              <w:rPr>
                <w:sz w:val="14"/>
                <w:szCs w:val="14"/>
                <w:color w:val="auto"/>
              </w:rPr>
            </w:pPr>
          </w:p>
        </w:tc>
        <w:tc>
          <w:tcPr>
            <w:tcW w:w="1000" w:type="dxa"/>
            <w:vAlign w:val="bottom"/>
            <w:gridSpan w:val="2"/>
          </w:tcPr>
          <w:p>
            <w:pPr>
              <w:jc w:val="right"/>
              <w:ind w:right="160"/>
              <w:spacing w:after="0" w:line="164" w:lineRule="exact"/>
              <w:rPr>
                <w:sz w:val="20"/>
                <w:szCs w:val="20"/>
                <w:color w:val="auto"/>
              </w:rPr>
            </w:pPr>
            <w:r>
              <w:rPr>
                <w:rFonts w:ascii="Courier New" w:cs="Courier New" w:eastAsia="Courier New" w:hAnsi="Courier New"/>
                <w:sz w:val="18"/>
                <w:szCs w:val="18"/>
                <w:color w:val="auto"/>
              </w:rPr>
              <w:t>(204)</w:t>
            </w:r>
          </w:p>
        </w:tc>
        <w:tc>
          <w:tcPr>
            <w:tcW w:w="100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(204)</w:t>
            </w:r>
          </w:p>
        </w:tc>
      </w:tr>
      <w:tr>
        <w:trPr>
          <w:trHeight w:val="183"/>
        </w:trPr>
        <w:tc>
          <w:tcPr>
            <w:tcW w:w="70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stockholders' equity</w:t>
            </w:r>
          </w:p>
        </w:tc>
        <w:tc>
          <w:tcPr>
            <w:tcW w:w="22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36,998</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35,925</w:t>
            </w:r>
          </w:p>
        </w:tc>
        <w:tc>
          <w:tcPr>
            <w:tcW w:w="100" w:type="dxa"/>
            <w:vAlign w:val="bottom"/>
          </w:tcPr>
          <w:p>
            <w:pPr>
              <w:spacing w:after="0"/>
              <w:rPr>
                <w:sz w:val="15"/>
                <w:szCs w:val="15"/>
                <w:color w:val="auto"/>
              </w:rPr>
            </w:pPr>
          </w:p>
        </w:tc>
      </w:tr>
      <w:tr>
        <w:trPr>
          <w:trHeight w:val="221"/>
        </w:trPr>
        <w:tc>
          <w:tcPr>
            <w:tcW w:w="7060" w:type="dxa"/>
            <w:vAlign w:val="bottom"/>
          </w:tcPr>
          <w:p>
            <w:pPr>
              <w:ind w:left="54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$42,032</w:t>
            </w: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$39,984</w:t>
            </w:r>
          </w:p>
        </w:tc>
        <w:tc>
          <w:tcPr>
            <w:tcW w:w="100" w:type="dxa"/>
            <w:vAlign w:val="bottom"/>
          </w:tcPr>
          <w:p>
            <w:pPr>
              <w:spacing w:after="0"/>
              <w:rPr>
                <w:sz w:val="19"/>
                <w:szCs w:val="19"/>
                <w:color w:val="auto"/>
              </w:rPr>
            </w:pPr>
          </w:p>
        </w:tc>
      </w:tr>
      <w:tr>
        <w:trPr>
          <w:trHeight w:val="203"/>
        </w:trPr>
        <w:tc>
          <w:tcPr>
            <w:tcW w:w="706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bl>
    <w:p>
      <w:pPr>
        <w:spacing w:after="0" w:line="16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- 1 -</w:t>
      </w:r>
    </w:p>
    <w:p>
      <w:pPr>
        <w:spacing w:after="0" w:line="200" w:lineRule="exact"/>
        <w:rPr>
          <w:sz w:val="20"/>
          <w:szCs w:val="20"/>
          <w:color w:val="auto"/>
        </w:rPr>
      </w:pPr>
    </w:p>
    <w:p>
      <w:pPr>
        <w:spacing w:after="0" w:line="37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25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Three Months Ended</w:t>
            </w:r>
          </w:p>
        </w:tc>
        <w:tc>
          <w:tcPr>
            <w:tcW w:w="21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4480" w:type="dxa"/>
            <w:vAlign w:val="bottom"/>
          </w:tcPr>
          <w:p>
            <w:pPr>
              <w:spacing w:after="0"/>
              <w:rPr>
                <w:sz w:val="17"/>
                <w:szCs w:val="17"/>
                <w:color w:val="auto"/>
              </w:rPr>
            </w:pPr>
          </w:p>
        </w:tc>
        <w:tc>
          <w:tcPr>
            <w:tcW w:w="25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Sept. 30,</w:t>
            </w:r>
          </w:p>
        </w:tc>
        <w:tc>
          <w:tcPr>
            <w:tcW w:w="21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Sept. 30,</w:t>
            </w:r>
          </w:p>
        </w:tc>
      </w:tr>
      <w:tr>
        <w:trPr>
          <w:trHeight w:val="203"/>
        </w:trPr>
        <w:tc>
          <w:tcPr>
            <w:tcW w:w="4480" w:type="dxa"/>
            <w:vAlign w:val="bottom"/>
          </w:tcPr>
          <w:p>
            <w:pPr>
              <w:spacing w:after="0"/>
              <w:rPr>
                <w:sz w:val="17"/>
                <w:szCs w:val="17"/>
                <w:color w:val="auto"/>
              </w:rPr>
            </w:pPr>
          </w:p>
        </w:tc>
        <w:tc>
          <w:tcPr>
            <w:tcW w:w="2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2016</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2015</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2016</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2015</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$10,823</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$ 9,203</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$29,955</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$30,950</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revenues</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5,246</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4,880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14,982</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15,863</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Gross margin</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5,577</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4,323</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14,973</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15,087</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expense</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1,394</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1,370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4,449</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Engineering and product development</w:t>
            </w: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expense</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905</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1,041</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2,878</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3,030</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and administrative expense</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1,574</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1,511</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5,364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4,887</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3,873</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3,922</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12,442</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12,366</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1,704</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401</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2,531</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2,721</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Earnings before income tax expense</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1,721</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407</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2,594</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2,737</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expense</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631</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97</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937</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909</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earnings</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$ 1,090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310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$ 1,657</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$ 1,828</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basic</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$0.11</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$0.03</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$0.16</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$0.17</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w:t>
            </w: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 - basic</w:t>
            </w:r>
          </w:p>
        </w:tc>
        <w:tc>
          <w:tcPr>
            <w:tcW w:w="47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10,295,447 10,473,928 10,327,095 10,470,410</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diluted</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$0.11</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$0.03</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$0.16</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$0.17</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and common</w:t>
            </w: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 equivalents outstanding - diluted</w:t>
            </w:r>
          </w:p>
        </w:tc>
        <w:tc>
          <w:tcPr>
            <w:tcW w:w="47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10,318,715 10,498,911 10,344,747 10,492,317</w:t>
            </w:r>
          </w:p>
        </w:tc>
      </w:tr>
    </w:tbl>
    <w:p>
      <w:pPr>
        <w:sectPr>
          <w:pgSz w:w="11900" w:h="16838" w:orient="portrait"/>
          <w:cols w:equalWidth="0" w:num="1">
            <w:col w:w="10219"/>
          </w:cols>
          <w:pgMar w:left="240" w:top="136" w:right="1440" w:bottom="740" w:gutter="0" w:footer="0" w:header="0"/>
        </w:sectPr>
      </w:pPr>
    </w:p>
    <w:bookmarkStart w:id="3" w:name="page4"/>
    <w:bookmarkEnd w:id="3"/>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540" w:type="dxa"/>
            <w:vAlign w:val="bottom"/>
            <w:gridSpan w:val="6"/>
          </w:tcPr>
          <w:p>
            <w:pPr>
              <w:jc w:val="center"/>
              <w:ind w:left="2812"/>
              <w:spacing w:after="0"/>
              <w:rPr>
                <w:sz w:val="20"/>
                <w:szCs w:val="20"/>
                <w:color w:val="auto"/>
              </w:rPr>
            </w:pPr>
            <w:r>
              <w:rPr>
                <w:rFonts w:ascii="Arial" w:cs="Arial" w:eastAsia="Arial" w:hAnsi="Arial"/>
                <w:sz w:val="18"/>
                <w:szCs w:val="18"/>
                <w:color w:val="auto"/>
                <w:w w:val="87"/>
              </w:rPr>
              <w:t>See accompanying Notes to Consolidated Financial Statements.</w:t>
            </w:r>
          </w:p>
        </w:tc>
      </w:tr>
      <w:tr>
        <w:trPr>
          <w:trHeight w:val="432"/>
        </w:trPr>
        <w:tc>
          <w:tcPr>
            <w:tcW w:w="4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3"/>
              </w:rPr>
              <w:t>- 2 -</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771"/>
        </w:trPr>
        <w:tc>
          <w:tcPr>
            <w:tcW w:w="4320" w:type="dxa"/>
            <w:vAlign w:val="bottom"/>
          </w:tcPr>
          <w:p>
            <w:pPr>
              <w:spacing w:after="0"/>
              <w:rPr>
                <w:sz w:val="24"/>
                <w:szCs w:val="24"/>
                <w:color w:val="auto"/>
              </w:rPr>
            </w:pPr>
          </w:p>
        </w:tc>
        <w:tc>
          <w:tcPr>
            <w:tcW w:w="3220" w:type="dxa"/>
            <w:vAlign w:val="bottom"/>
            <w:gridSpan w:val="4"/>
          </w:tcPr>
          <w:p>
            <w:pPr>
              <w:jc w:val="center"/>
              <w:ind w:right="332"/>
              <w:spacing w:after="0"/>
              <w:rPr>
                <w:sz w:val="20"/>
                <w:szCs w:val="20"/>
                <w:color w:val="auto"/>
              </w:rPr>
            </w:pPr>
            <w:r>
              <w:rPr>
                <w:rFonts w:ascii="Arial" w:cs="Arial" w:eastAsia="Arial" w:hAnsi="Arial"/>
                <w:sz w:val="18"/>
                <w:szCs w:val="18"/>
                <w:b w:val="1"/>
                <w:bCs w:val="1"/>
                <w:color w:val="auto"/>
                <w:w w:val="96"/>
              </w:rPr>
              <w:t>inTEST CORPORATION</w:t>
            </w:r>
          </w:p>
        </w:tc>
        <w:tc>
          <w:tcPr>
            <w:tcW w:w="1000" w:type="dxa"/>
            <w:vAlign w:val="bottom"/>
          </w:tcPr>
          <w:p>
            <w:pPr>
              <w:spacing w:after="0"/>
              <w:rPr>
                <w:sz w:val="24"/>
                <w:szCs w:val="24"/>
                <w:color w:val="auto"/>
              </w:rPr>
            </w:pPr>
          </w:p>
        </w:tc>
      </w:tr>
      <w:tr>
        <w:trPr>
          <w:trHeight w:val="222"/>
        </w:trPr>
        <w:tc>
          <w:tcPr>
            <w:tcW w:w="8540" w:type="dxa"/>
            <w:vAlign w:val="bottom"/>
            <w:gridSpan w:val="6"/>
          </w:tcPr>
          <w:p>
            <w:pPr>
              <w:jc w:val="center"/>
              <w:ind w:left="2792"/>
              <w:spacing w:after="0"/>
              <w:rPr>
                <w:sz w:val="20"/>
                <w:szCs w:val="20"/>
                <w:color w:val="auto"/>
              </w:rPr>
            </w:pPr>
            <w:r>
              <w:rPr>
                <w:rFonts w:ascii="Arial" w:cs="Arial" w:eastAsia="Arial" w:hAnsi="Arial"/>
                <w:sz w:val="18"/>
                <w:szCs w:val="18"/>
                <w:b w:val="1"/>
                <w:bCs w:val="1"/>
                <w:color w:val="auto"/>
                <w:w w:val="97"/>
              </w:rPr>
              <w:t>CONSOLIDATED STATEMENTS OF COMPREHENSIVE EARNINGS</w:t>
            </w:r>
          </w:p>
        </w:tc>
      </w:tr>
      <w:tr>
        <w:trPr>
          <w:trHeight w:val="216"/>
        </w:trPr>
        <w:tc>
          <w:tcPr>
            <w:tcW w:w="4320" w:type="dxa"/>
            <w:vAlign w:val="bottom"/>
          </w:tcPr>
          <w:p>
            <w:pPr>
              <w:spacing w:after="0"/>
              <w:rPr>
                <w:sz w:val="18"/>
                <w:szCs w:val="18"/>
                <w:color w:val="auto"/>
              </w:rPr>
            </w:pPr>
          </w:p>
        </w:tc>
        <w:tc>
          <w:tcPr>
            <w:tcW w:w="2160" w:type="dxa"/>
            <w:vAlign w:val="bottom"/>
            <w:gridSpan w:val="3"/>
          </w:tcPr>
          <w:p>
            <w:pPr>
              <w:jc w:val="center"/>
              <w:ind w:left="532"/>
              <w:spacing w:after="0"/>
              <w:rPr>
                <w:sz w:val="20"/>
                <w:szCs w:val="20"/>
                <w:color w:val="auto"/>
              </w:rPr>
            </w:pPr>
            <w:r>
              <w:rPr>
                <w:rFonts w:ascii="Arial" w:cs="Arial" w:eastAsia="Arial" w:hAnsi="Arial"/>
                <w:sz w:val="18"/>
                <w:szCs w:val="18"/>
                <w:color w:val="auto"/>
                <w:w w:val="88"/>
              </w:rPr>
              <w:t>(In thousands)</w:t>
            </w: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2"/>
        </w:trPr>
        <w:tc>
          <w:tcPr>
            <w:tcW w:w="4320" w:type="dxa"/>
            <w:vAlign w:val="bottom"/>
          </w:tcPr>
          <w:p>
            <w:pPr>
              <w:spacing w:after="0"/>
              <w:rPr>
                <w:sz w:val="19"/>
                <w:szCs w:val="19"/>
                <w:color w:val="auto"/>
              </w:rPr>
            </w:pPr>
          </w:p>
        </w:tc>
        <w:tc>
          <w:tcPr>
            <w:tcW w:w="2160" w:type="dxa"/>
            <w:vAlign w:val="bottom"/>
            <w:gridSpan w:val="3"/>
          </w:tcPr>
          <w:p>
            <w:pPr>
              <w:jc w:val="center"/>
              <w:ind w:left="532"/>
              <w:spacing w:after="0"/>
              <w:rPr>
                <w:sz w:val="20"/>
                <w:szCs w:val="20"/>
                <w:color w:val="auto"/>
              </w:rPr>
            </w:pPr>
            <w:r>
              <w:rPr>
                <w:rFonts w:ascii="Arial" w:cs="Arial" w:eastAsia="Arial" w:hAnsi="Arial"/>
                <w:sz w:val="18"/>
                <w:szCs w:val="18"/>
                <w:color w:val="auto"/>
                <w:w w:val="91"/>
              </w:rPr>
              <w:t>(Unaudited)</w:t>
            </w:r>
          </w:p>
        </w:tc>
        <w:tc>
          <w:tcPr>
            <w:tcW w:w="10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783"/>
        </w:trPr>
        <w:tc>
          <w:tcPr>
            <w:tcW w:w="4320" w:type="dxa"/>
            <w:vAlign w:val="bottom"/>
          </w:tcPr>
          <w:p>
            <w:pPr>
              <w:spacing w:after="0"/>
              <w:rPr>
                <w:sz w:val="24"/>
                <w:szCs w:val="24"/>
                <w:color w:val="auto"/>
              </w:rPr>
            </w:pPr>
          </w:p>
        </w:tc>
        <w:tc>
          <w:tcPr>
            <w:tcW w:w="2160" w:type="dxa"/>
            <w:vAlign w:val="bottom"/>
            <w:gridSpan w:val="3"/>
          </w:tcPr>
          <w:p>
            <w:pPr>
              <w:jc w:val="right"/>
              <w:ind w:right="72"/>
              <w:spacing w:after="0"/>
              <w:rPr>
                <w:sz w:val="20"/>
                <w:szCs w:val="20"/>
                <w:color w:val="auto"/>
              </w:rPr>
            </w:pPr>
            <w:r>
              <w:rPr>
                <w:rFonts w:ascii="Courier New" w:cs="Courier New" w:eastAsia="Courier New" w:hAnsi="Courier New"/>
                <w:sz w:val="18"/>
                <w:szCs w:val="18"/>
                <w:color w:val="auto"/>
              </w:rPr>
              <w:t>Three Months Ended</w:t>
            </w:r>
          </w:p>
        </w:tc>
        <w:tc>
          <w:tcPr>
            <w:tcW w:w="20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432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Sept. 30,</w:t>
            </w:r>
          </w:p>
        </w:tc>
        <w:tc>
          <w:tcPr>
            <w:tcW w:w="520" w:type="dxa"/>
            <w:vAlign w:val="bottom"/>
          </w:tcPr>
          <w:p>
            <w:pPr>
              <w:spacing w:after="0"/>
              <w:rPr>
                <w:sz w:val="17"/>
                <w:szCs w:val="17"/>
                <w:color w:val="auto"/>
              </w:rPr>
            </w:pPr>
          </w:p>
        </w:tc>
        <w:tc>
          <w:tcPr>
            <w:tcW w:w="20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Sept. 30,</w:t>
            </w:r>
          </w:p>
        </w:tc>
      </w:tr>
      <w:tr>
        <w:trPr>
          <w:trHeight w:val="203"/>
        </w:trPr>
        <w:tc>
          <w:tcPr>
            <w:tcW w:w="4320" w:type="dxa"/>
            <w:vAlign w:val="bottom"/>
          </w:tcPr>
          <w:p>
            <w:pPr>
              <w:spacing w:after="0"/>
              <w:rPr>
                <w:sz w:val="17"/>
                <w:szCs w:val="17"/>
                <w:color w:val="auto"/>
              </w:rPr>
            </w:pPr>
          </w:p>
        </w:tc>
        <w:tc>
          <w:tcPr>
            <w:tcW w:w="216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2016</w:t>
            </w:r>
          </w:p>
        </w:tc>
        <w:tc>
          <w:tcPr>
            <w:tcW w:w="10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2015</w:t>
            </w: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2016</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2015</w:t>
            </w:r>
          </w:p>
        </w:tc>
      </w:tr>
      <w:tr>
        <w:trPr>
          <w:trHeight w:val="203"/>
        </w:trPr>
        <w:tc>
          <w:tcPr>
            <w:tcW w:w="43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Net earnings</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$ 1,090</w:t>
            </w:r>
          </w:p>
        </w:tc>
        <w:tc>
          <w:tcPr>
            <w:tcW w:w="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310</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$ 1,657</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$ 1,828</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w w:val="99"/>
              </w:rPr>
              <w:t>Foreign currency translation adjustments</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w:t>
            </w:r>
          </w:p>
        </w:tc>
        <w:tc>
          <w:tcPr>
            <w:tcW w:w="480" w:type="dxa"/>
            <w:vAlign w:val="bottom"/>
          </w:tcPr>
          <w:p>
            <w:pPr>
              <w:spacing w:after="0"/>
              <w:rPr>
                <w:sz w:val="24"/>
                <w:szCs w:val="24"/>
                <w:color w:val="auto"/>
              </w:rPr>
            </w:pPr>
          </w:p>
        </w:tc>
        <w:tc>
          <w:tcPr>
            <w:tcW w:w="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35</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(211)</w:t>
            </w:r>
          </w:p>
        </w:tc>
      </w:tr>
      <w:tr>
        <w:trPr>
          <w:trHeight w:val="203"/>
        </w:trPr>
        <w:tc>
          <w:tcPr>
            <w:tcW w:w="43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Comprehensive earnings</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$ 1,084</w:t>
            </w:r>
          </w:p>
        </w:tc>
        <w:tc>
          <w:tcPr>
            <w:tcW w:w="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324</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$ 1,692</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$ 1,617</w:t>
            </w:r>
          </w:p>
        </w:tc>
      </w:tr>
      <w:tr>
        <w:trPr>
          <w:trHeight w:val="203"/>
        </w:trPr>
        <w:tc>
          <w:tcPr>
            <w:tcW w:w="43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385"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40" w:type="dxa"/>
            <w:vAlign w:val="bottom"/>
            <w:gridSpan w:val="4"/>
          </w:tcPr>
          <w:p>
            <w:pPr>
              <w:jc w:val="center"/>
              <w:ind w:left="435"/>
              <w:spacing w:after="0"/>
              <w:rPr>
                <w:sz w:val="20"/>
                <w:szCs w:val="20"/>
                <w:color w:val="auto"/>
              </w:rPr>
            </w:pPr>
            <w:r>
              <w:rPr>
                <w:rFonts w:ascii="Arial" w:cs="Arial" w:eastAsia="Arial" w:hAnsi="Arial"/>
                <w:sz w:val="18"/>
                <w:szCs w:val="18"/>
                <w:b w:val="1"/>
                <w:bCs w:val="1"/>
                <w:color w:val="auto"/>
                <w:w w:val="96"/>
              </w:rPr>
              <w:t>inTEST CORPORATION</w:t>
            </w:r>
          </w:p>
        </w:tc>
        <w:tc>
          <w:tcPr>
            <w:tcW w:w="1540" w:type="dxa"/>
            <w:vAlign w:val="bottom"/>
          </w:tcPr>
          <w:p>
            <w:pPr>
              <w:spacing w:after="0"/>
              <w:rPr>
                <w:sz w:val="18"/>
                <w:szCs w:val="18"/>
                <w:color w:val="auto"/>
              </w:rPr>
            </w:pPr>
          </w:p>
        </w:tc>
      </w:tr>
      <w:tr>
        <w:trPr>
          <w:trHeight w:val="222"/>
        </w:trPr>
        <w:tc>
          <w:tcPr>
            <w:tcW w:w="2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360" w:type="dxa"/>
            <w:vAlign w:val="bottom"/>
            <w:gridSpan w:val="7"/>
          </w:tcPr>
          <w:p>
            <w:pPr>
              <w:jc w:val="center"/>
              <w:ind w:left="177"/>
              <w:spacing w:after="0"/>
              <w:rPr>
                <w:sz w:val="20"/>
                <w:szCs w:val="20"/>
                <w:color w:val="auto"/>
              </w:rPr>
            </w:pPr>
            <w:r>
              <w:rPr>
                <w:rFonts w:ascii="Arial" w:cs="Arial" w:eastAsia="Arial" w:hAnsi="Arial"/>
                <w:sz w:val="18"/>
                <w:szCs w:val="18"/>
                <w:b w:val="1"/>
                <w:bCs w:val="1"/>
                <w:color w:val="auto"/>
                <w:w w:val="98"/>
              </w:rPr>
              <w:t>CONSOLIDATED STATEMENT OF STOCKHOLDERS' EQUITY</w:t>
            </w:r>
          </w:p>
        </w:tc>
      </w:tr>
      <w:tr>
        <w:trPr>
          <w:trHeight w:val="216"/>
        </w:trPr>
        <w:tc>
          <w:tcPr>
            <w:tcW w:w="2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80" w:type="dxa"/>
            <w:vAlign w:val="bottom"/>
            <w:gridSpan w:val="5"/>
          </w:tcPr>
          <w:p>
            <w:pPr>
              <w:jc w:val="center"/>
              <w:ind w:right="999"/>
              <w:spacing w:after="0"/>
              <w:rPr>
                <w:sz w:val="20"/>
                <w:szCs w:val="20"/>
                <w:color w:val="auto"/>
              </w:rPr>
            </w:pPr>
            <w:r>
              <w:rPr>
                <w:rFonts w:ascii="Arial" w:cs="Arial" w:eastAsia="Arial" w:hAnsi="Arial"/>
                <w:sz w:val="18"/>
                <w:szCs w:val="18"/>
                <w:color w:val="auto"/>
                <w:w w:val="85"/>
              </w:rPr>
              <w:t>(In thousands, except share data)</w:t>
            </w:r>
          </w:p>
        </w:tc>
      </w:tr>
      <w:tr>
        <w:trPr>
          <w:trHeight w:val="222"/>
        </w:trPr>
        <w:tc>
          <w:tcPr>
            <w:tcW w:w="2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jc w:val="center"/>
              <w:ind w:right="539"/>
              <w:spacing w:after="0"/>
              <w:rPr>
                <w:sz w:val="20"/>
                <w:szCs w:val="20"/>
                <w:color w:val="auto"/>
              </w:rPr>
            </w:pPr>
            <w:r>
              <w:rPr>
                <w:rFonts w:ascii="Arial" w:cs="Arial" w:eastAsia="Arial" w:hAnsi="Arial"/>
                <w:sz w:val="18"/>
                <w:szCs w:val="18"/>
                <w:color w:val="auto"/>
                <w:w w:val="91"/>
              </w:rPr>
              <w:t>(Unaudited)</w:t>
            </w:r>
          </w:p>
        </w:tc>
        <w:tc>
          <w:tcPr>
            <w:tcW w:w="1540" w:type="dxa"/>
            <w:vAlign w:val="bottom"/>
          </w:tcPr>
          <w:p>
            <w:pPr>
              <w:spacing w:after="0"/>
              <w:rPr>
                <w:sz w:val="19"/>
                <w:szCs w:val="19"/>
                <w:color w:val="auto"/>
              </w:rPr>
            </w:pPr>
          </w:p>
        </w:tc>
      </w:tr>
      <w:tr>
        <w:trPr>
          <w:trHeight w:val="509"/>
        </w:trPr>
        <w:tc>
          <w:tcPr>
            <w:tcW w:w="2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gridSpan w:val="2"/>
          </w:tcPr>
          <w:p>
            <w:pPr>
              <w:jc w:val="right"/>
              <w:ind w:right="56"/>
              <w:spacing w:after="0"/>
              <w:rPr>
                <w:sz w:val="20"/>
                <w:szCs w:val="20"/>
                <w:color w:val="auto"/>
              </w:rPr>
            </w:pPr>
            <w:r>
              <w:rPr>
                <w:rFonts w:ascii="Courier New" w:cs="Courier New" w:eastAsia="Courier New" w:hAnsi="Courier New"/>
                <w:sz w:val="12"/>
                <w:szCs w:val="12"/>
                <w:color w:val="auto"/>
              </w:rPr>
              <w:t>Accumulated</w:t>
            </w:r>
          </w:p>
        </w:tc>
        <w:tc>
          <w:tcPr>
            <w:tcW w:w="8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35"/>
        </w:trPr>
        <w:tc>
          <w:tcPr>
            <w:tcW w:w="2060" w:type="dxa"/>
            <w:vAlign w:val="bottom"/>
          </w:tcPr>
          <w:p>
            <w:pPr>
              <w:spacing w:after="0"/>
              <w:rPr>
                <w:sz w:val="11"/>
                <w:szCs w:val="11"/>
                <w:color w:val="auto"/>
              </w:rPr>
            </w:pPr>
          </w:p>
        </w:tc>
        <w:tc>
          <w:tcPr>
            <w:tcW w:w="1380" w:type="dxa"/>
            <w:vAlign w:val="bottom"/>
            <w:gridSpan w:val="2"/>
          </w:tcPr>
          <w:p>
            <w:pPr>
              <w:jc w:val="right"/>
              <w:ind w:right="157"/>
              <w:spacing w:after="0"/>
              <w:rPr>
                <w:sz w:val="20"/>
                <w:szCs w:val="20"/>
                <w:color w:val="auto"/>
              </w:rPr>
            </w:pPr>
            <w:r>
              <w:rPr>
                <w:rFonts w:ascii="Courier New" w:cs="Courier New" w:eastAsia="Courier New" w:hAnsi="Courier New"/>
                <w:sz w:val="12"/>
                <w:szCs w:val="12"/>
                <w:color w:val="auto"/>
              </w:rPr>
              <w:t>Common Stock</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w w:val="97"/>
              </w:rPr>
              <w:t>Additional</w:t>
            </w:r>
          </w:p>
        </w:tc>
        <w:tc>
          <w:tcPr>
            <w:tcW w:w="700" w:type="dxa"/>
            <w:vAlign w:val="bottom"/>
          </w:tcPr>
          <w:p>
            <w:pPr>
              <w:spacing w:after="0"/>
              <w:rPr>
                <w:sz w:val="11"/>
                <w:szCs w:val="11"/>
                <w:color w:val="auto"/>
              </w:rPr>
            </w:pPr>
          </w:p>
        </w:tc>
        <w:tc>
          <w:tcPr>
            <w:tcW w:w="980" w:type="dxa"/>
            <w:vAlign w:val="bottom"/>
            <w:gridSpan w:val="2"/>
          </w:tcPr>
          <w:p>
            <w:pPr>
              <w:jc w:val="right"/>
              <w:ind w:right="336"/>
              <w:spacing w:after="0"/>
              <w:rPr>
                <w:sz w:val="20"/>
                <w:szCs w:val="20"/>
                <w:color w:val="auto"/>
              </w:rPr>
            </w:pPr>
            <w:r>
              <w:rPr>
                <w:rFonts w:ascii="Courier New" w:cs="Courier New" w:eastAsia="Courier New" w:hAnsi="Courier New"/>
                <w:sz w:val="12"/>
                <w:szCs w:val="12"/>
                <w:color w:val="auto"/>
              </w:rPr>
              <w:t>Other</w:t>
            </w:r>
          </w:p>
        </w:tc>
        <w:tc>
          <w:tcPr>
            <w:tcW w:w="860" w:type="dxa"/>
            <w:vAlign w:val="bottom"/>
          </w:tcPr>
          <w:p>
            <w:pPr>
              <w:spacing w:after="0"/>
              <w:rPr>
                <w:sz w:val="11"/>
                <w:szCs w:val="11"/>
                <w:color w:val="auto"/>
              </w:rPr>
            </w:pPr>
          </w:p>
        </w:tc>
        <w:tc>
          <w:tcPr>
            <w:tcW w:w="1540" w:type="dxa"/>
            <w:vAlign w:val="bottom"/>
          </w:tcPr>
          <w:p>
            <w:pPr>
              <w:ind w:left="60"/>
              <w:spacing w:after="0"/>
              <w:rPr>
                <w:sz w:val="20"/>
                <w:szCs w:val="20"/>
                <w:color w:val="auto"/>
              </w:rPr>
            </w:pPr>
            <w:r>
              <w:rPr>
                <w:rFonts w:ascii="Courier New" w:cs="Courier New" w:eastAsia="Courier New" w:hAnsi="Courier New"/>
                <w:sz w:val="12"/>
                <w:szCs w:val="12"/>
                <w:color w:val="auto"/>
              </w:rPr>
              <w:t>Total</w:t>
            </w:r>
          </w:p>
        </w:tc>
      </w:tr>
      <w:tr>
        <w:trPr>
          <w:trHeight w:val="135"/>
        </w:trPr>
        <w:tc>
          <w:tcPr>
            <w:tcW w:w="2060" w:type="dxa"/>
            <w:vAlign w:val="bottom"/>
          </w:tcPr>
          <w:p>
            <w:pPr>
              <w:spacing w:after="0"/>
              <w:rPr>
                <w:sz w:val="11"/>
                <w:szCs w:val="11"/>
                <w:color w:val="auto"/>
              </w:rPr>
            </w:pPr>
          </w:p>
        </w:tc>
        <w:tc>
          <w:tcPr>
            <w:tcW w:w="1380" w:type="dxa"/>
            <w:vAlign w:val="bottom"/>
            <w:gridSpan w:val="2"/>
          </w:tcPr>
          <w:p>
            <w:pPr>
              <w:jc w:val="right"/>
              <w:ind w:right="17"/>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Paid-In</w:t>
            </w:r>
          </w:p>
        </w:tc>
        <w:tc>
          <w:tcPr>
            <w:tcW w:w="4080" w:type="dxa"/>
            <w:vAlign w:val="bottom"/>
            <w:gridSpan w:val="5"/>
          </w:tcPr>
          <w:p>
            <w:pPr>
              <w:jc w:val="right"/>
              <w:ind w:right="699"/>
              <w:spacing w:after="0"/>
              <w:rPr>
                <w:sz w:val="20"/>
                <w:szCs w:val="20"/>
                <w:color w:val="auto"/>
              </w:rPr>
            </w:pPr>
            <w:r>
              <w:rPr>
                <w:rFonts w:ascii="Courier New" w:cs="Courier New" w:eastAsia="Courier New" w:hAnsi="Courier New"/>
                <w:sz w:val="12"/>
                <w:szCs w:val="12"/>
                <w:color w:val="auto"/>
              </w:rPr>
              <w:t>Retained Comprehensive Treasury Stockholders'</w:t>
            </w:r>
          </w:p>
        </w:tc>
      </w:tr>
      <w:tr>
        <w:trPr>
          <w:trHeight w:val="135"/>
        </w:trPr>
        <w:tc>
          <w:tcPr>
            <w:tcW w:w="2060" w:type="dxa"/>
            <w:vAlign w:val="bottom"/>
          </w:tcPr>
          <w:p>
            <w:pPr>
              <w:spacing w:after="0"/>
              <w:rPr>
                <w:sz w:val="11"/>
                <w:szCs w:val="11"/>
                <w:color w:val="auto"/>
              </w:rPr>
            </w:pPr>
          </w:p>
        </w:tc>
        <w:tc>
          <w:tcPr>
            <w:tcW w:w="8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Shares</w:t>
            </w:r>
          </w:p>
        </w:tc>
        <w:tc>
          <w:tcPr>
            <w:tcW w:w="520" w:type="dxa"/>
            <w:vAlign w:val="bottom"/>
          </w:tcPr>
          <w:p>
            <w:pPr>
              <w:jc w:val="right"/>
              <w:ind w:right="17"/>
              <w:spacing w:after="0"/>
              <w:rPr>
                <w:sz w:val="20"/>
                <w:szCs w:val="20"/>
                <w:color w:val="auto"/>
              </w:rPr>
            </w:pPr>
            <w:r>
              <w:rPr>
                <w:rFonts w:ascii="Courier New" w:cs="Courier New" w:eastAsia="Courier New" w:hAnsi="Courier New"/>
                <w:sz w:val="12"/>
                <w:szCs w:val="12"/>
                <w:color w:val="auto"/>
                <w:w w:val="97"/>
              </w:rPr>
              <w:t>Amount</w:t>
            </w: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Capital</w:t>
            </w:r>
          </w:p>
        </w:tc>
        <w:tc>
          <w:tcPr>
            <w:tcW w:w="700" w:type="dxa"/>
            <w:vAlign w:val="bottom"/>
          </w:tcPr>
          <w:p>
            <w:pPr>
              <w:jc w:val="right"/>
              <w:ind w:right="15"/>
              <w:spacing w:after="0"/>
              <w:rPr>
                <w:sz w:val="20"/>
                <w:szCs w:val="20"/>
                <w:color w:val="auto"/>
              </w:rPr>
            </w:pPr>
            <w:r>
              <w:rPr>
                <w:rFonts w:ascii="Courier New" w:cs="Courier New" w:eastAsia="Courier New" w:hAnsi="Courier New"/>
                <w:sz w:val="12"/>
                <w:szCs w:val="12"/>
                <w:color w:val="auto"/>
              </w:rPr>
              <w:t>Earnings</w:t>
            </w:r>
          </w:p>
        </w:tc>
        <w:tc>
          <w:tcPr>
            <w:tcW w:w="980" w:type="dxa"/>
            <w:vAlign w:val="bottom"/>
            <w:gridSpan w:val="2"/>
          </w:tcPr>
          <w:p>
            <w:pPr>
              <w:jc w:val="right"/>
              <w:ind w:right="196"/>
              <w:spacing w:after="0"/>
              <w:rPr>
                <w:sz w:val="20"/>
                <w:szCs w:val="20"/>
                <w:color w:val="auto"/>
              </w:rPr>
            </w:pPr>
            <w:r>
              <w:rPr>
                <w:rFonts w:ascii="Courier New" w:cs="Courier New" w:eastAsia="Courier New" w:hAnsi="Courier New"/>
                <w:sz w:val="12"/>
                <w:szCs w:val="12"/>
                <w:color w:val="auto"/>
              </w:rPr>
              <w:t>Earnings</w:t>
            </w:r>
          </w:p>
        </w:tc>
        <w:tc>
          <w:tcPr>
            <w:tcW w:w="8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Stock</w:t>
            </w:r>
          </w:p>
        </w:tc>
        <w:tc>
          <w:tcPr>
            <w:tcW w:w="1540" w:type="dxa"/>
            <w:vAlign w:val="bottom"/>
          </w:tcPr>
          <w:p>
            <w:pPr>
              <w:ind w:left="60"/>
              <w:spacing w:after="0"/>
              <w:rPr>
                <w:sz w:val="20"/>
                <w:szCs w:val="20"/>
                <w:color w:val="auto"/>
              </w:rPr>
            </w:pPr>
            <w:r>
              <w:rPr>
                <w:rFonts w:ascii="Courier New" w:cs="Courier New" w:eastAsia="Courier New" w:hAnsi="Courier New"/>
                <w:sz w:val="12"/>
                <w:szCs w:val="12"/>
                <w:color w:val="auto"/>
              </w:rPr>
              <w:t>Equity</w:t>
            </w:r>
          </w:p>
        </w:tc>
      </w:tr>
      <w:tr>
        <w:trPr>
          <w:trHeight w:val="137"/>
        </w:trPr>
        <w:tc>
          <w:tcPr>
            <w:tcW w:w="2060" w:type="dxa"/>
            <w:vAlign w:val="bottom"/>
          </w:tcPr>
          <w:p>
            <w:pPr>
              <w:spacing w:after="0"/>
              <w:rPr>
                <w:sz w:val="11"/>
                <w:szCs w:val="11"/>
                <w:color w:val="auto"/>
              </w:rPr>
            </w:pPr>
          </w:p>
        </w:tc>
        <w:tc>
          <w:tcPr>
            <w:tcW w:w="1380" w:type="dxa"/>
            <w:vAlign w:val="bottom"/>
            <w:gridSpan w:val="2"/>
          </w:tcPr>
          <w:p>
            <w:pPr>
              <w:jc w:val="right"/>
              <w:ind w:right="17"/>
              <w:spacing w:after="0"/>
              <w:rPr>
                <w:sz w:val="20"/>
                <w:szCs w:val="20"/>
                <w:color w:val="auto"/>
              </w:rPr>
            </w:pPr>
            <w:r>
              <w:rPr>
                <w:rFonts w:ascii="Courier New" w:cs="Courier New" w:eastAsia="Courier New" w:hAnsi="Courier New"/>
                <w:sz w:val="12"/>
                <w:szCs w:val="12"/>
                <w:color w:val="auto"/>
              </w:rPr>
              <w:t>---------- ------</w:t>
            </w:r>
          </w:p>
        </w:tc>
        <w:tc>
          <w:tcPr>
            <w:tcW w:w="4840" w:type="dxa"/>
            <w:vAlign w:val="bottom"/>
            <w:gridSpan w:val="6"/>
          </w:tcPr>
          <w:p>
            <w:pPr>
              <w:jc w:val="right"/>
              <w:ind w:right="699"/>
              <w:spacing w:after="0"/>
              <w:rPr>
                <w:sz w:val="20"/>
                <w:szCs w:val="20"/>
                <w:color w:val="auto"/>
              </w:rPr>
            </w:pPr>
            <w:r>
              <w:rPr>
                <w:rFonts w:ascii="Courier New" w:cs="Courier New" w:eastAsia="Courier New" w:hAnsi="Courier New"/>
                <w:sz w:val="12"/>
                <w:szCs w:val="12"/>
                <w:color w:val="auto"/>
              </w:rPr>
              <w:t>---------- -------- ------------- -------- -------------</w:t>
            </w:r>
          </w:p>
        </w:tc>
      </w:tr>
      <w:tr>
        <w:trPr>
          <w:trHeight w:val="270"/>
        </w:trPr>
        <w:tc>
          <w:tcPr>
            <w:tcW w:w="2060" w:type="dxa"/>
            <w:vAlign w:val="bottom"/>
          </w:tcPr>
          <w:p>
            <w:pPr>
              <w:spacing w:after="0"/>
              <w:rPr>
                <w:sz w:val="20"/>
                <w:szCs w:val="20"/>
                <w:color w:val="auto"/>
              </w:rPr>
            </w:pPr>
            <w:r>
              <w:rPr>
                <w:rFonts w:ascii="Courier New" w:cs="Courier New" w:eastAsia="Courier New" w:hAnsi="Courier New"/>
                <w:sz w:val="12"/>
                <w:szCs w:val="12"/>
                <w:color w:val="auto"/>
              </w:rPr>
              <w:t>Balance, January 1, 2016</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10,549,423</w:t>
            </w:r>
          </w:p>
        </w:tc>
        <w:tc>
          <w:tcPr>
            <w:tcW w:w="520" w:type="dxa"/>
            <w:vAlign w:val="bottom"/>
          </w:tcPr>
          <w:p>
            <w:pPr>
              <w:jc w:val="right"/>
              <w:ind w:right="17"/>
              <w:spacing w:after="0"/>
              <w:rPr>
                <w:sz w:val="20"/>
                <w:szCs w:val="20"/>
                <w:color w:val="auto"/>
              </w:rPr>
            </w:pPr>
            <w:r>
              <w:rPr>
                <w:rFonts w:ascii="Courier New" w:cs="Courier New" w:eastAsia="Courier New" w:hAnsi="Courier New"/>
                <w:sz w:val="12"/>
                <w:szCs w:val="12"/>
                <w:color w:val="auto"/>
              </w:rPr>
              <w:t>$ 105</w:t>
            </w:r>
          </w:p>
        </w:tc>
        <w:tc>
          <w:tcPr>
            <w:tcW w:w="7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$26,286</w:t>
            </w:r>
          </w:p>
        </w:tc>
        <w:tc>
          <w:tcPr>
            <w:tcW w:w="700" w:type="dxa"/>
            <w:vAlign w:val="bottom"/>
          </w:tcPr>
          <w:p>
            <w:pPr>
              <w:jc w:val="right"/>
              <w:ind w:right="15"/>
              <w:spacing w:after="0"/>
              <w:rPr>
                <w:sz w:val="20"/>
                <w:szCs w:val="20"/>
                <w:color w:val="auto"/>
              </w:rPr>
            </w:pPr>
            <w:r>
              <w:rPr>
                <w:rFonts w:ascii="Courier New" w:cs="Courier New" w:eastAsia="Courier New" w:hAnsi="Courier New"/>
                <w:sz w:val="12"/>
                <w:szCs w:val="12"/>
                <w:color w:val="auto"/>
              </w:rPr>
              <w:t>$ 9,013</w:t>
            </w:r>
          </w:p>
        </w:tc>
        <w:tc>
          <w:tcPr>
            <w:tcW w:w="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196"/>
              <w:spacing w:after="0"/>
              <w:rPr>
                <w:sz w:val="20"/>
                <w:szCs w:val="20"/>
                <w:color w:val="auto"/>
              </w:rPr>
            </w:pPr>
            <w:r>
              <w:rPr>
                <w:rFonts w:ascii="Courier New" w:cs="Courier New" w:eastAsia="Courier New" w:hAnsi="Courier New"/>
                <w:sz w:val="12"/>
                <w:szCs w:val="12"/>
                <w:color w:val="auto"/>
              </w:rPr>
              <w:t>725</w:t>
            </w:r>
          </w:p>
        </w:tc>
        <w:tc>
          <w:tcPr>
            <w:tcW w:w="8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$(204)</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$35,925</w:t>
            </w:r>
          </w:p>
        </w:tc>
      </w:tr>
      <w:tr>
        <w:trPr>
          <w:trHeight w:val="270"/>
        </w:trPr>
        <w:tc>
          <w:tcPr>
            <w:tcW w:w="206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7"/>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5"/>
              <w:spacing w:after="0"/>
              <w:rPr>
                <w:sz w:val="20"/>
                <w:szCs w:val="20"/>
                <w:color w:val="auto"/>
              </w:rPr>
            </w:pPr>
            <w:r>
              <w:rPr>
                <w:rFonts w:ascii="Courier New" w:cs="Courier New" w:eastAsia="Courier New" w:hAnsi="Courier New"/>
                <w:sz w:val="12"/>
                <w:szCs w:val="12"/>
                <w:color w:val="auto"/>
              </w:rPr>
              <w:t>1,657</w:t>
            </w:r>
          </w:p>
        </w:tc>
        <w:tc>
          <w:tcPr>
            <w:tcW w:w="380" w:type="dxa"/>
            <w:vAlign w:val="bottom"/>
          </w:tcPr>
          <w:p>
            <w:pPr>
              <w:spacing w:after="0"/>
              <w:rPr>
                <w:sz w:val="23"/>
                <w:szCs w:val="23"/>
                <w:color w:val="auto"/>
              </w:rPr>
            </w:pPr>
          </w:p>
        </w:tc>
        <w:tc>
          <w:tcPr>
            <w:tcW w:w="600" w:type="dxa"/>
            <w:vAlign w:val="bottom"/>
          </w:tcPr>
          <w:p>
            <w:pPr>
              <w:jc w:val="right"/>
              <w:ind w:right="196"/>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1,657</w:t>
            </w:r>
          </w:p>
        </w:tc>
      </w:tr>
      <w:tr>
        <w:trPr>
          <w:trHeight w:val="270"/>
        </w:trPr>
        <w:tc>
          <w:tcPr>
            <w:tcW w:w="2060" w:type="dxa"/>
            <w:vAlign w:val="bottom"/>
          </w:tcPr>
          <w:p>
            <w:pPr>
              <w:spacing w:after="0"/>
              <w:rPr>
                <w:sz w:val="20"/>
                <w:szCs w:val="20"/>
                <w:color w:val="auto"/>
              </w:rPr>
            </w:pPr>
            <w:r>
              <w:rPr>
                <w:rFonts w:ascii="Courier New" w:cs="Courier New" w:eastAsia="Courier New" w:hAnsi="Courier New"/>
                <w:sz w:val="12"/>
                <w:szCs w:val="12"/>
                <w:color w:val="auto"/>
              </w:rPr>
              <w:t>Other comprehensive income</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7"/>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5"/>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spacing w:after="0"/>
              <w:rPr>
                <w:sz w:val="23"/>
                <w:szCs w:val="23"/>
                <w:color w:val="auto"/>
              </w:rPr>
            </w:pPr>
          </w:p>
        </w:tc>
        <w:tc>
          <w:tcPr>
            <w:tcW w:w="600" w:type="dxa"/>
            <w:vAlign w:val="bottom"/>
          </w:tcPr>
          <w:p>
            <w:pPr>
              <w:jc w:val="right"/>
              <w:ind w:right="196"/>
              <w:spacing w:after="0"/>
              <w:rPr>
                <w:sz w:val="20"/>
                <w:szCs w:val="20"/>
                <w:color w:val="auto"/>
              </w:rPr>
            </w:pPr>
            <w:r>
              <w:rPr>
                <w:rFonts w:ascii="Courier New" w:cs="Courier New" w:eastAsia="Courier New" w:hAnsi="Courier New"/>
                <w:sz w:val="12"/>
                <w:szCs w:val="12"/>
                <w:color w:val="auto"/>
              </w:rPr>
              <w:t>35</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35</w:t>
            </w:r>
          </w:p>
        </w:tc>
      </w:tr>
      <w:tr>
        <w:trPr>
          <w:trHeight w:val="268"/>
        </w:trPr>
        <w:tc>
          <w:tcPr>
            <w:tcW w:w="2060" w:type="dxa"/>
            <w:vAlign w:val="bottom"/>
          </w:tcPr>
          <w:p>
            <w:pPr>
              <w:spacing w:after="0"/>
              <w:rPr>
                <w:sz w:val="20"/>
                <w:szCs w:val="20"/>
                <w:color w:val="auto"/>
              </w:rPr>
            </w:pPr>
            <w:r>
              <w:rPr>
                <w:rFonts w:ascii="Courier New" w:cs="Courier New" w:eastAsia="Courier New" w:hAnsi="Courier New"/>
                <w:sz w:val="12"/>
                <w:szCs w:val="12"/>
                <w:color w:val="auto"/>
              </w:rPr>
              <w:t>Amortization of deferred</w:t>
            </w:r>
          </w:p>
        </w:tc>
        <w:tc>
          <w:tcPr>
            <w:tcW w:w="8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135"/>
        </w:trPr>
        <w:tc>
          <w:tcPr>
            <w:tcW w:w="2060" w:type="dxa"/>
            <w:vAlign w:val="bottom"/>
          </w:tcPr>
          <w:p>
            <w:pPr>
              <w:ind w:left="160"/>
              <w:spacing w:after="0"/>
              <w:rPr>
                <w:sz w:val="20"/>
                <w:szCs w:val="20"/>
                <w:color w:val="auto"/>
              </w:rPr>
            </w:pPr>
            <w:r>
              <w:rPr>
                <w:rFonts w:ascii="Courier New" w:cs="Courier New" w:eastAsia="Courier New" w:hAnsi="Courier New"/>
                <w:sz w:val="12"/>
                <w:szCs w:val="12"/>
                <w:color w:val="auto"/>
              </w:rPr>
              <w:t>compensation related to</w:t>
            </w: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137"/>
        </w:trPr>
        <w:tc>
          <w:tcPr>
            <w:tcW w:w="2060" w:type="dxa"/>
            <w:vAlign w:val="bottom"/>
          </w:tcPr>
          <w:p>
            <w:pPr>
              <w:ind w:left="160"/>
              <w:spacing w:after="0"/>
              <w:rPr>
                <w:sz w:val="20"/>
                <w:szCs w:val="20"/>
                <w:color w:val="auto"/>
              </w:rPr>
            </w:pPr>
            <w:r>
              <w:rPr>
                <w:rFonts w:ascii="Courier New" w:cs="Courier New" w:eastAsia="Courier New" w:hAnsi="Courier New"/>
                <w:sz w:val="12"/>
                <w:szCs w:val="12"/>
                <w:color w:val="auto"/>
              </w:rPr>
              <w:t>stock-based awards</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7"/>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222</w:t>
            </w:r>
          </w:p>
        </w:tc>
        <w:tc>
          <w:tcPr>
            <w:tcW w:w="700" w:type="dxa"/>
            <w:vAlign w:val="bottom"/>
          </w:tcPr>
          <w:p>
            <w:pPr>
              <w:jc w:val="right"/>
              <w:ind w:right="15"/>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spacing w:after="0"/>
              <w:rPr>
                <w:sz w:val="11"/>
                <w:szCs w:val="11"/>
                <w:color w:val="auto"/>
              </w:rPr>
            </w:pPr>
          </w:p>
        </w:tc>
        <w:tc>
          <w:tcPr>
            <w:tcW w:w="600" w:type="dxa"/>
            <w:vAlign w:val="bottom"/>
          </w:tcPr>
          <w:p>
            <w:pPr>
              <w:jc w:val="right"/>
              <w:ind w:right="196"/>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222</w:t>
            </w:r>
          </w:p>
        </w:tc>
      </w:tr>
      <w:tr>
        <w:trPr>
          <w:trHeight w:val="268"/>
        </w:trPr>
        <w:tc>
          <w:tcPr>
            <w:tcW w:w="2060" w:type="dxa"/>
            <w:vAlign w:val="bottom"/>
          </w:tcPr>
          <w:p>
            <w:pPr>
              <w:spacing w:after="0"/>
              <w:rPr>
                <w:sz w:val="20"/>
                <w:szCs w:val="20"/>
                <w:color w:val="auto"/>
              </w:rPr>
            </w:pPr>
            <w:r>
              <w:rPr>
                <w:rFonts w:ascii="Courier New" w:cs="Courier New" w:eastAsia="Courier New" w:hAnsi="Courier New"/>
                <w:sz w:val="12"/>
                <w:szCs w:val="12"/>
                <w:color w:val="auto"/>
              </w:rPr>
              <w:t>Issuance of unvested shares</w:t>
            </w:r>
          </w:p>
        </w:tc>
        <w:tc>
          <w:tcPr>
            <w:tcW w:w="8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137"/>
        </w:trPr>
        <w:tc>
          <w:tcPr>
            <w:tcW w:w="2060" w:type="dxa"/>
            <w:vAlign w:val="bottom"/>
          </w:tcPr>
          <w:p>
            <w:pPr>
              <w:ind w:left="160"/>
              <w:spacing w:after="0"/>
              <w:rPr>
                <w:sz w:val="20"/>
                <w:szCs w:val="20"/>
                <w:color w:val="auto"/>
              </w:rPr>
            </w:pPr>
            <w:r>
              <w:rPr>
                <w:rFonts w:ascii="Courier New" w:cs="Courier New" w:eastAsia="Courier New" w:hAnsi="Courier New"/>
                <w:sz w:val="12"/>
                <w:szCs w:val="12"/>
                <w:color w:val="auto"/>
              </w:rPr>
              <w:t>of restricted stock</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86,400</w:t>
            </w:r>
          </w:p>
        </w:tc>
        <w:tc>
          <w:tcPr>
            <w:tcW w:w="520" w:type="dxa"/>
            <w:vAlign w:val="bottom"/>
          </w:tcPr>
          <w:p>
            <w:pPr>
              <w:jc w:val="right"/>
              <w:ind w:right="17"/>
              <w:spacing w:after="0"/>
              <w:rPr>
                <w:sz w:val="20"/>
                <w:szCs w:val="20"/>
                <w:color w:val="auto"/>
              </w:rPr>
            </w:pPr>
            <w:r>
              <w:rPr>
                <w:rFonts w:ascii="Courier New" w:cs="Courier New" w:eastAsia="Courier New" w:hAnsi="Courier New"/>
                <w:sz w:val="12"/>
                <w:szCs w:val="12"/>
                <w:color w:val="auto"/>
              </w:rPr>
              <w:t>1</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(1)</w:t>
            </w:r>
          </w:p>
        </w:tc>
        <w:tc>
          <w:tcPr>
            <w:tcW w:w="700" w:type="dxa"/>
            <w:vAlign w:val="bottom"/>
          </w:tcPr>
          <w:p>
            <w:pPr>
              <w:jc w:val="right"/>
              <w:ind w:right="15"/>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spacing w:after="0"/>
              <w:rPr>
                <w:sz w:val="11"/>
                <w:szCs w:val="11"/>
                <w:color w:val="auto"/>
              </w:rPr>
            </w:pPr>
          </w:p>
        </w:tc>
        <w:tc>
          <w:tcPr>
            <w:tcW w:w="600" w:type="dxa"/>
            <w:vAlign w:val="bottom"/>
          </w:tcPr>
          <w:p>
            <w:pPr>
              <w:jc w:val="right"/>
              <w:ind w:right="196"/>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w:t>
            </w:r>
          </w:p>
        </w:tc>
      </w:tr>
      <w:tr>
        <w:trPr>
          <w:trHeight w:val="268"/>
        </w:trPr>
        <w:tc>
          <w:tcPr>
            <w:tcW w:w="2060" w:type="dxa"/>
            <w:vAlign w:val="bottom"/>
          </w:tcPr>
          <w:p>
            <w:pPr>
              <w:spacing w:after="0"/>
              <w:rPr>
                <w:sz w:val="20"/>
                <w:szCs w:val="20"/>
                <w:color w:val="auto"/>
              </w:rPr>
            </w:pPr>
            <w:r>
              <w:rPr>
                <w:rFonts w:ascii="Courier New" w:cs="Courier New" w:eastAsia="Courier New" w:hAnsi="Courier New"/>
                <w:sz w:val="12"/>
                <w:szCs w:val="12"/>
                <w:color w:val="auto"/>
              </w:rPr>
              <w:t>Repurchase and retirement</w:t>
            </w:r>
          </w:p>
        </w:tc>
        <w:tc>
          <w:tcPr>
            <w:tcW w:w="8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135"/>
        </w:trPr>
        <w:tc>
          <w:tcPr>
            <w:tcW w:w="2060" w:type="dxa"/>
            <w:vAlign w:val="bottom"/>
          </w:tcPr>
          <w:p>
            <w:pPr>
              <w:ind w:left="160"/>
              <w:spacing w:after="0"/>
              <w:rPr>
                <w:sz w:val="20"/>
                <w:szCs w:val="20"/>
                <w:color w:val="auto"/>
              </w:rPr>
            </w:pPr>
            <w:r>
              <w:rPr>
                <w:rFonts w:ascii="Courier New" w:cs="Courier New" w:eastAsia="Courier New" w:hAnsi="Courier New"/>
                <w:sz w:val="12"/>
                <w:szCs w:val="12"/>
                <w:color w:val="auto"/>
              </w:rPr>
              <w:t>of common stock</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(209,271)</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(2)</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(839)</w:t>
            </w:r>
          </w:p>
        </w:tc>
        <w:tc>
          <w:tcPr>
            <w:tcW w:w="700" w:type="dxa"/>
            <w:vAlign w:val="bottom"/>
          </w:tcPr>
          <w:p>
            <w:pPr>
              <w:jc w:val="right"/>
              <w:ind w:right="15"/>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spacing w:after="0"/>
              <w:rPr>
                <w:sz w:val="11"/>
                <w:szCs w:val="11"/>
                <w:color w:val="auto"/>
              </w:rPr>
            </w:pPr>
          </w:p>
        </w:tc>
        <w:tc>
          <w:tcPr>
            <w:tcW w:w="600" w:type="dxa"/>
            <w:vAlign w:val="bottom"/>
          </w:tcPr>
          <w:p>
            <w:pPr>
              <w:jc w:val="right"/>
              <w:ind w:right="196"/>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839"/>
              <w:spacing w:after="0"/>
              <w:rPr>
                <w:sz w:val="20"/>
                <w:szCs w:val="20"/>
                <w:color w:val="auto"/>
              </w:rPr>
            </w:pPr>
            <w:r>
              <w:rPr>
                <w:rFonts w:ascii="Courier New" w:cs="Courier New" w:eastAsia="Courier New" w:hAnsi="Courier New"/>
                <w:sz w:val="12"/>
                <w:szCs w:val="12"/>
                <w:color w:val="auto"/>
              </w:rPr>
              <w:t>(841)</w:t>
            </w:r>
          </w:p>
        </w:tc>
      </w:tr>
      <w:tr>
        <w:trPr>
          <w:trHeight w:val="137"/>
        </w:trPr>
        <w:tc>
          <w:tcPr>
            <w:tcW w:w="20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7"/>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5"/>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96"/>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w:t>
            </w:r>
          </w:p>
        </w:tc>
      </w:tr>
      <w:tr>
        <w:trPr>
          <w:trHeight w:val="268"/>
        </w:trPr>
        <w:tc>
          <w:tcPr>
            <w:tcW w:w="2060" w:type="dxa"/>
            <w:vAlign w:val="bottom"/>
          </w:tcPr>
          <w:p>
            <w:pPr>
              <w:spacing w:after="0"/>
              <w:rPr>
                <w:sz w:val="20"/>
                <w:szCs w:val="20"/>
                <w:color w:val="auto"/>
              </w:rPr>
            </w:pPr>
            <w:r>
              <w:rPr>
                <w:rFonts w:ascii="Courier New" w:cs="Courier New" w:eastAsia="Courier New" w:hAnsi="Courier New"/>
                <w:sz w:val="12"/>
                <w:szCs w:val="12"/>
                <w:color w:val="auto"/>
              </w:rPr>
              <w:t>Balance, Sept. 30, 2016</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10,426,552</w:t>
            </w:r>
          </w:p>
        </w:tc>
        <w:tc>
          <w:tcPr>
            <w:tcW w:w="520" w:type="dxa"/>
            <w:vAlign w:val="bottom"/>
          </w:tcPr>
          <w:p>
            <w:pPr>
              <w:jc w:val="right"/>
              <w:ind w:right="17"/>
              <w:spacing w:after="0"/>
              <w:rPr>
                <w:sz w:val="20"/>
                <w:szCs w:val="20"/>
                <w:color w:val="auto"/>
              </w:rPr>
            </w:pPr>
            <w:r>
              <w:rPr>
                <w:rFonts w:ascii="Courier New" w:cs="Courier New" w:eastAsia="Courier New" w:hAnsi="Courier New"/>
                <w:sz w:val="12"/>
                <w:szCs w:val="12"/>
                <w:color w:val="auto"/>
              </w:rPr>
              <w:t>$ 104</w:t>
            </w:r>
          </w:p>
        </w:tc>
        <w:tc>
          <w:tcPr>
            <w:tcW w:w="7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$25,668</w:t>
            </w:r>
          </w:p>
        </w:tc>
        <w:tc>
          <w:tcPr>
            <w:tcW w:w="700" w:type="dxa"/>
            <w:vAlign w:val="bottom"/>
          </w:tcPr>
          <w:p>
            <w:pPr>
              <w:jc w:val="right"/>
              <w:ind w:right="15"/>
              <w:spacing w:after="0"/>
              <w:rPr>
                <w:sz w:val="20"/>
                <w:szCs w:val="20"/>
                <w:color w:val="auto"/>
              </w:rPr>
            </w:pPr>
            <w:r>
              <w:rPr>
                <w:rFonts w:ascii="Courier New" w:cs="Courier New" w:eastAsia="Courier New" w:hAnsi="Courier New"/>
                <w:sz w:val="12"/>
                <w:szCs w:val="12"/>
                <w:color w:val="auto"/>
              </w:rPr>
              <w:t>$10,670</w:t>
            </w:r>
          </w:p>
        </w:tc>
        <w:tc>
          <w:tcPr>
            <w:tcW w:w="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196"/>
              <w:spacing w:after="0"/>
              <w:rPr>
                <w:sz w:val="20"/>
                <w:szCs w:val="20"/>
                <w:color w:val="auto"/>
              </w:rPr>
            </w:pPr>
            <w:r>
              <w:rPr>
                <w:rFonts w:ascii="Courier New" w:cs="Courier New" w:eastAsia="Courier New" w:hAnsi="Courier New"/>
                <w:sz w:val="12"/>
                <w:szCs w:val="12"/>
                <w:color w:val="auto"/>
              </w:rPr>
              <w:t>760</w:t>
            </w:r>
          </w:p>
        </w:tc>
        <w:tc>
          <w:tcPr>
            <w:tcW w:w="8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$(204)</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$36,998</w:t>
            </w:r>
          </w:p>
        </w:tc>
      </w:tr>
      <w:tr>
        <w:trPr>
          <w:trHeight w:val="137"/>
        </w:trPr>
        <w:tc>
          <w:tcPr>
            <w:tcW w:w="20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7"/>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5"/>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96"/>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w:t>
            </w:r>
          </w:p>
        </w:tc>
      </w:tr>
    </w:tbl>
    <w:p>
      <w:pPr>
        <w:spacing w:after="0" w:line="38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180" w:type="dxa"/>
            <w:vAlign w:val="bottom"/>
          </w:tcPr>
          <w:p>
            <w:pPr>
              <w:spacing w:after="0"/>
              <w:rPr>
                <w:sz w:val="11"/>
                <w:szCs w:val="11"/>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Nine Months Ended</w:t>
            </w: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204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Sept. 30,</w:t>
            </w: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4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2016</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2015</w:t>
            </w:r>
          </w:p>
        </w:tc>
        <w:tc>
          <w:tcPr>
            <w:tcW w:w="0" w:type="dxa"/>
            <w:vAlign w:val="bottom"/>
          </w:tcPr>
          <w:p>
            <w:pPr>
              <w:spacing w:after="0"/>
              <w:rPr>
                <w:sz w:val="1"/>
                <w:szCs w:val="1"/>
                <w:color w:val="auto"/>
              </w:rPr>
            </w:pPr>
          </w:p>
        </w:tc>
      </w:tr>
      <w:tr>
        <w:trPr>
          <w:trHeight w:val="137"/>
        </w:trPr>
        <w:tc>
          <w:tcPr>
            <w:tcW w:w="518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OPERATING ACTIVITIES</w:t>
            </w:r>
          </w:p>
        </w:tc>
        <w:tc>
          <w:tcPr>
            <w:tcW w:w="140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18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1400" w:type="dxa"/>
            <w:vAlign w:val="bottom"/>
          </w:tcPr>
          <w:p>
            <w:pPr>
              <w:jc w:val="right"/>
              <w:ind w:right="99"/>
              <w:spacing w:after="0"/>
              <w:rPr>
                <w:sz w:val="20"/>
                <w:szCs w:val="20"/>
                <w:color w:val="auto"/>
              </w:rPr>
            </w:pPr>
            <w:r>
              <w:rPr>
                <w:rFonts w:ascii="Courier New" w:cs="Courier New" w:eastAsia="Courier New" w:hAnsi="Courier New"/>
                <w:sz w:val="12"/>
                <w:szCs w:val="12"/>
                <w:color w:val="auto"/>
              </w:rPr>
              <w:t>$ 1,657</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$ 1,828</w:t>
            </w:r>
          </w:p>
        </w:tc>
        <w:tc>
          <w:tcPr>
            <w:tcW w:w="0" w:type="dxa"/>
            <w:vAlign w:val="bottom"/>
          </w:tcPr>
          <w:p>
            <w:pPr>
              <w:spacing w:after="0"/>
              <w:rPr>
                <w:sz w:val="1"/>
                <w:szCs w:val="1"/>
                <w:color w:val="auto"/>
              </w:rPr>
            </w:pPr>
          </w:p>
        </w:tc>
      </w:tr>
      <w:tr>
        <w:trPr>
          <w:trHeight w:val="137"/>
        </w:trPr>
        <w:tc>
          <w:tcPr>
            <w:tcW w:w="5180" w:type="dxa"/>
            <w:vAlign w:val="bottom"/>
          </w:tcPr>
          <w:p>
            <w:pPr>
              <w:spacing w:after="0"/>
              <w:rPr>
                <w:sz w:val="20"/>
                <w:szCs w:val="20"/>
                <w:color w:val="auto"/>
              </w:rPr>
            </w:pPr>
            <w:r>
              <w:rPr>
                <w:rFonts w:ascii="Courier New" w:cs="Courier New" w:eastAsia="Courier New" w:hAnsi="Courier New"/>
                <w:sz w:val="12"/>
                <w:szCs w:val="12"/>
                <w:color w:val="auto"/>
              </w:rPr>
              <w:t>Adjustments to reconcile net earnings to net cash provided by</w:t>
            </w:r>
          </w:p>
        </w:tc>
        <w:tc>
          <w:tcPr>
            <w:tcW w:w="1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93" w:orient="portrait"/>
          <w:cols w:equalWidth="0" w:num="1">
            <w:col w:w="10219"/>
          </w:cols>
          <w:pgMar w:left="240" w:top="523" w:right="1440" w:bottom="0" w:gutter="0" w:footer="0" w:header="0"/>
        </w:sectPr>
      </w:pPr>
    </w:p>
    <w:bookmarkStart w:id="4" w:name="page5"/>
    <w:bookmarkEnd w:id="4"/>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480" w:type="dxa"/>
            <w:vAlign w:val="bottom"/>
          </w:tcPr>
          <w:p>
            <w:pPr>
              <w:ind w:left="80"/>
              <w:spacing w:after="0"/>
              <w:rPr>
                <w:sz w:val="20"/>
                <w:szCs w:val="20"/>
                <w:color w:val="auto"/>
              </w:rPr>
            </w:pPr>
            <w:r>
              <w:rPr>
                <w:rFonts w:ascii="Courier New" w:cs="Courier New" w:eastAsia="Courier New" w:hAnsi="Courier New"/>
                <w:sz w:val="12"/>
                <w:szCs w:val="12"/>
                <w:color w:val="auto"/>
              </w:rPr>
              <w:t>operating activities:</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5480" w:type="dxa"/>
            <w:vAlign w:val="bottom"/>
          </w:tcPr>
          <w:p>
            <w:pPr>
              <w:ind w:left="160"/>
              <w:spacing w:after="0"/>
              <w:rPr>
                <w:sz w:val="20"/>
                <w:szCs w:val="20"/>
                <w:color w:val="auto"/>
              </w:rPr>
            </w:pPr>
            <w:r>
              <w:rPr>
                <w:rFonts w:ascii="Courier New" w:cs="Courier New" w:eastAsia="Courier New" w:hAnsi="Courier New"/>
                <w:sz w:val="12"/>
                <w:szCs w:val="12"/>
                <w:color w:val="auto"/>
              </w:rPr>
              <w:t>Depreciation and amortization</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451</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575</w:t>
            </w:r>
          </w:p>
        </w:tc>
      </w:tr>
      <w:tr>
        <w:trPr>
          <w:trHeight w:val="135"/>
        </w:trPr>
        <w:tc>
          <w:tcPr>
            <w:tcW w:w="5480" w:type="dxa"/>
            <w:vAlign w:val="bottom"/>
          </w:tcPr>
          <w:p>
            <w:pPr>
              <w:ind w:left="160"/>
              <w:spacing w:after="0"/>
              <w:rPr>
                <w:sz w:val="20"/>
                <w:szCs w:val="20"/>
                <w:color w:val="auto"/>
              </w:rPr>
            </w:pPr>
            <w:r>
              <w:rPr>
                <w:rFonts w:ascii="Courier New" w:cs="Courier New" w:eastAsia="Courier New" w:hAnsi="Courier New"/>
                <w:sz w:val="12"/>
                <w:szCs w:val="12"/>
                <w:color w:val="auto"/>
              </w:rPr>
              <w:t>Provision for excess and obsolete inventory</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184</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232</w:t>
            </w:r>
          </w:p>
        </w:tc>
      </w:tr>
      <w:tr>
        <w:trPr>
          <w:trHeight w:val="135"/>
        </w:trPr>
        <w:tc>
          <w:tcPr>
            <w:tcW w:w="5480" w:type="dxa"/>
            <w:vAlign w:val="bottom"/>
          </w:tcPr>
          <w:p>
            <w:pPr>
              <w:ind w:left="160"/>
              <w:spacing w:after="0"/>
              <w:rPr>
                <w:sz w:val="20"/>
                <w:szCs w:val="20"/>
                <w:color w:val="auto"/>
              </w:rPr>
            </w:pPr>
            <w:r>
              <w:rPr>
                <w:rFonts w:ascii="Courier New" w:cs="Courier New" w:eastAsia="Courier New" w:hAnsi="Courier New"/>
                <w:sz w:val="12"/>
                <w:szCs w:val="12"/>
                <w:color w:val="auto"/>
              </w:rPr>
              <w:t>Foreign exchange (gain) loss</w:t>
            </w:r>
          </w:p>
        </w:tc>
        <w:tc>
          <w:tcPr>
            <w:tcW w:w="50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(7)</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21</w:t>
            </w:r>
          </w:p>
        </w:tc>
      </w:tr>
      <w:tr>
        <w:trPr>
          <w:trHeight w:val="135"/>
        </w:trPr>
        <w:tc>
          <w:tcPr>
            <w:tcW w:w="5480" w:type="dxa"/>
            <w:vAlign w:val="bottom"/>
          </w:tcPr>
          <w:p>
            <w:pPr>
              <w:ind w:left="160"/>
              <w:spacing w:after="0"/>
              <w:rPr>
                <w:sz w:val="20"/>
                <w:szCs w:val="20"/>
                <w:color w:val="auto"/>
              </w:rPr>
            </w:pPr>
            <w:r>
              <w:rPr>
                <w:rFonts w:ascii="Courier New" w:cs="Courier New" w:eastAsia="Courier New" w:hAnsi="Courier New"/>
                <w:sz w:val="12"/>
                <w:szCs w:val="12"/>
                <w:color w:val="auto"/>
              </w:rPr>
              <w:t>Amortization of deferred compensation related to stock-based awards</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222</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91</w:t>
            </w:r>
          </w:p>
        </w:tc>
      </w:tr>
      <w:tr>
        <w:trPr>
          <w:trHeight w:val="135"/>
        </w:trPr>
        <w:tc>
          <w:tcPr>
            <w:tcW w:w="5480" w:type="dxa"/>
            <w:vAlign w:val="bottom"/>
          </w:tcPr>
          <w:p>
            <w:pPr>
              <w:ind w:left="160"/>
              <w:spacing w:after="0"/>
              <w:rPr>
                <w:sz w:val="20"/>
                <w:szCs w:val="20"/>
                <w:color w:val="auto"/>
              </w:rPr>
            </w:pPr>
            <w:r>
              <w:rPr>
                <w:rFonts w:ascii="Courier New" w:cs="Courier New" w:eastAsia="Courier New" w:hAnsi="Courier New"/>
                <w:sz w:val="12"/>
                <w:szCs w:val="12"/>
                <w:color w:val="auto"/>
              </w:rPr>
              <w:t>Loss on sale of property and equipment</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13</w:t>
            </w:r>
          </w:p>
        </w:tc>
      </w:tr>
      <w:tr>
        <w:trPr>
          <w:trHeight w:val="135"/>
        </w:trPr>
        <w:tc>
          <w:tcPr>
            <w:tcW w:w="5480" w:type="dxa"/>
            <w:vAlign w:val="bottom"/>
          </w:tcPr>
          <w:p>
            <w:pPr>
              <w:ind w:left="160"/>
              <w:spacing w:after="0"/>
              <w:rPr>
                <w:sz w:val="20"/>
                <w:szCs w:val="20"/>
                <w:color w:val="auto"/>
              </w:rPr>
            </w:pPr>
            <w:r>
              <w:rPr>
                <w:rFonts w:ascii="Courier New" w:cs="Courier New" w:eastAsia="Courier New" w:hAnsi="Courier New"/>
                <w:sz w:val="12"/>
                <w:szCs w:val="12"/>
                <w:color w:val="auto"/>
              </w:rPr>
              <w:t>Proceeds from sale of demonstration equipment, net of gain</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128</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208</w:t>
            </w:r>
          </w:p>
        </w:tc>
      </w:tr>
      <w:tr>
        <w:trPr>
          <w:trHeight w:val="135"/>
        </w:trPr>
        <w:tc>
          <w:tcPr>
            <w:tcW w:w="5480" w:type="dxa"/>
            <w:vAlign w:val="bottom"/>
          </w:tcPr>
          <w:p>
            <w:pPr>
              <w:ind w:left="160"/>
              <w:spacing w:after="0"/>
              <w:rPr>
                <w:sz w:val="20"/>
                <w:szCs w:val="20"/>
                <w:color w:val="auto"/>
              </w:rPr>
            </w:pPr>
            <w:r>
              <w:rPr>
                <w:rFonts w:ascii="Courier New" w:cs="Courier New" w:eastAsia="Courier New" w:hAnsi="Courier New"/>
                <w:sz w:val="12"/>
                <w:szCs w:val="12"/>
                <w:color w:val="auto"/>
              </w:rPr>
              <w:t>Deferred income tax expense</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141</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169</w:t>
            </w:r>
          </w:p>
        </w:tc>
      </w:tr>
      <w:tr>
        <w:trPr>
          <w:trHeight w:val="135"/>
        </w:trPr>
        <w:tc>
          <w:tcPr>
            <w:tcW w:w="5480" w:type="dxa"/>
            <w:vAlign w:val="bottom"/>
          </w:tcPr>
          <w:p>
            <w:pPr>
              <w:ind w:left="160"/>
              <w:spacing w:after="0"/>
              <w:rPr>
                <w:sz w:val="20"/>
                <w:szCs w:val="20"/>
                <w:color w:val="auto"/>
              </w:rPr>
            </w:pPr>
            <w:r>
              <w:rPr>
                <w:rFonts w:ascii="Courier New" w:cs="Courier New" w:eastAsia="Courier New" w:hAnsi="Courier New"/>
                <w:sz w:val="12"/>
                <w:szCs w:val="12"/>
                <w:color w:val="auto"/>
              </w:rPr>
              <w:t>Changes in assets and liabilities:</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5480" w:type="dxa"/>
            <w:vAlign w:val="bottom"/>
          </w:tcPr>
          <w:p>
            <w:pPr>
              <w:ind w:left="300"/>
              <w:spacing w:after="0"/>
              <w:rPr>
                <w:sz w:val="20"/>
                <w:szCs w:val="20"/>
                <w:color w:val="auto"/>
              </w:rPr>
            </w:pPr>
            <w:r>
              <w:rPr>
                <w:rFonts w:ascii="Courier New" w:cs="Courier New" w:eastAsia="Courier New" w:hAnsi="Courier New"/>
                <w:sz w:val="12"/>
                <w:szCs w:val="12"/>
                <w:color w:val="auto"/>
              </w:rPr>
              <w:t>Trade accounts receivable</w:t>
            </w:r>
          </w:p>
        </w:tc>
        <w:tc>
          <w:tcPr>
            <w:tcW w:w="50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(2,252)</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(553)</w:t>
            </w:r>
          </w:p>
        </w:tc>
      </w:tr>
      <w:tr>
        <w:trPr>
          <w:trHeight w:val="135"/>
        </w:trPr>
        <w:tc>
          <w:tcPr>
            <w:tcW w:w="5480" w:type="dxa"/>
            <w:vAlign w:val="bottom"/>
          </w:tcPr>
          <w:p>
            <w:pPr>
              <w:ind w:left="300"/>
              <w:spacing w:after="0"/>
              <w:rPr>
                <w:sz w:val="20"/>
                <w:szCs w:val="20"/>
                <w:color w:val="auto"/>
              </w:rPr>
            </w:pPr>
            <w:r>
              <w:rPr>
                <w:rFonts w:ascii="Courier New" w:cs="Courier New" w:eastAsia="Courier New" w:hAnsi="Courier New"/>
                <w:sz w:val="12"/>
                <w:szCs w:val="12"/>
                <w:color w:val="auto"/>
              </w:rPr>
              <w:t>Inventories</w:t>
            </w:r>
          </w:p>
        </w:tc>
        <w:tc>
          <w:tcPr>
            <w:tcW w:w="50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(57)</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(282)</w:t>
            </w:r>
          </w:p>
        </w:tc>
      </w:tr>
      <w:tr>
        <w:trPr>
          <w:trHeight w:val="135"/>
        </w:trPr>
        <w:tc>
          <w:tcPr>
            <w:tcW w:w="5480" w:type="dxa"/>
            <w:vAlign w:val="bottom"/>
          </w:tcPr>
          <w:p>
            <w:pPr>
              <w:ind w:left="300"/>
              <w:spacing w:after="0"/>
              <w:rPr>
                <w:sz w:val="20"/>
                <w:szCs w:val="20"/>
                <w:color w:val="auto"/>
              </w:rPr>
            </w:pPr>
            <w:r>
              <w:rPr>
                <w:rFonts w:ascii="Courier New" w:cs="Courier New" w:eastAsia="Courier New" w:hAnsi="Courier New"/>
                <w:sz w:val="12"/>
                <w:szCs w:val="12"/>
                <w:color w:val="auto"/>
              </w:rPr>
              <w:t>Prepaid expenses and other current assets</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183</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67</w:t>
            </w:r>
          </w:p>
        </w:tc>
      </w:tr>
      <w:tr>
        <w:trPr>
          <w:trHeight w:val="135"/>
        </w:trPr>
        <w:tc>
          <w:tcPr>
            <w:tcW w:w="5480" w:type="dxa"/>
            <w:vAlign w:val="bottom"/>
          </w:tcPr>
          <w:p>
            <w:pPr>
              <w:ind w:left="300"/>
              <w:spacing w:after="0"/>
              <w:rPr>
                <w:sz w:val="20"/>
                <w:szCs w:val="20"/>
                <w:color w:val="auto"/>
              </w:rPr>
            </w:pPr>
            <w:r>
              <w:rPr>
                <w:rFonts w:ascii="Courier New" w:cs="Courier New" w:eastAsia="Courier New" w:hAnsi="Courier New"/>
                <w:sz w:val="12"/>
                <w:szCs w:val="12"/>
                <w:color w:val="auto"/>
              </w:rPr>
              <w:t>Restricted certificates of deposit</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125</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480" w:type="dxa"/>
            <w:vAlign w:val="bottom"/>
          </w:tcPr>
          <w:p>
            <w:pPr>
              <w:ind w:left="300"/>
              <w:spacing w:after="0"/>
              <w:rPr>
                <w:sz w:val="20"/>
                <w:szCs w:val="20"/>
                <w:color w:val="auto"/>
              </w:rPr>
            </w:pPr>
            <w:r>
              <w:rPr>
                <w:rFonts w:ascii="Courier New" w:cs="Courier New" w:eastAsia="Courier New" w:hAnsi="Courier New"/>
                <w:sz w:val="12"/>
                <w:szCs w:val="12"/>
                <w:color w:val="auto"/>
              </w:rPr>
              <w:t>Accounts payable</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343</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312</w:t>
            </w:r>
          </w:p>
        </w:tc>
      </w:tr>
      <w:tr>
        <w:trPr>
          <w:trHeight w:val="135"/>
        </w:trPr>
        <w:tc>
          <w:tcPr>
            <w:tcW w:w="5480" w:type="dxa"/>
            <w:vAlign w:val="bottom"/>
          </w:tcPr>
          <w:p>
            <w:pPr>
              <w:ind w:left="300"/>
              <w:spacing w:after="0"/>
              <w:rPr>
                <w:sz w:val="20"/>
                <w:szCs w:val="20"/>
                <w:color w:val="auto"/>
              </w:rPr>
            </w:pPr>
            <w:r>
              <w:rPr>
                <w:rFonts w:ascii="Courier New" w:cs="Courier New" w:eastAsia="Courier New" w:hAnsi="Courier New"/>
                <w:sz w:val="12"/>
                <w:szCs w:val="12"/>
                <w:color w:val="auto"/>
              </w:rPr>
              <w:t>Accrued wages and benefits</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47</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101</w:t>
            </w:r>
          </w:p>
        </w:tc>
      </w:tr>
      <w:tr>
        <w:trPr>
          <w:trHeight w:val="135"/>
        </w:trPr>
        <w:tc>
          <w:tcPr>
            <w:tcW w:w="5480" w:type="dxa"/>
            <w:vAlign w:val="bottom"/>
          </w:tcPr>
          <w:p>
            <w:pPr>
              <w:ind w:left="300"/>
              <w:spacing w:after="0"/>
              <w:rPr>
                <w:sz w:val="20"/>
                <w:szCs w:val="20"/>
                <w:color w:val="auto"/>
              </w:rPr>
            </w:pPr>
            <w:r>
              <w:rPr>
                <w:rFonts w:ascii="Courier New" w:cs="Courier New" w:eastAsia="Courier New" w:hAnsi="Courier New"/>
                <w:sz w:val="12"/>
                <w:szCs w:val="12"/>
                <w:color w:val="auto"/>
              </w:rPr>
              <w:t>Accrued rent</w:t>
            </w:r>
          </w:p>
        </w:tc>
        <w:tc>
          <w:tcPr>
            <w:tcW w:w="50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(100)</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(10)</w:t>
            </w:r>
          </w:p>
        </w:tc>
      </w:tr>
      <w:tr>
        <w:trPr>
          <w:trHeight w:val="135"/>
        </w:trPr>
        <w:tc>
          <w:tcPr>
            <w:tcW w:w="5480" w:type="dxa"/>
            <w:vAlign w:val="bottom"/>
          </w:tcPr>
          <w:p>
            <w:pPr>
              <w:ind w:left="300"/>
              <w:spacing w:after="0"/>
              <w:rPr>
                <w:sz w:val="20"/>
                <w:szCs w:val="20"/>
                <w:color w:val="auto"/>
              </w:rPr>
            </w:pPr>
            <w:r>
              <w:rPr>
                <w:rFonts w:ascii="Courier New" w:cs="Courier New" w:eastAsia="Courier New" w:hAnsi="Courier New"/>
                <w:sz w:val="12"/>
                <w:szCs w:val="12"/>
                <w:color w:val="auto"/>
              </w:rPr>
              <w:t>Accrued professional fees</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64</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(11)</w:t>
            </w:r>
          </w:p>
        </w:tc>
      </w:tr>
      <w:tr>
        <w:trPr>
          <w:trHeight w:val="135"/>
        </w:trPr>
        <w:tc>
          <w:tcPr>
            <w:tcW w:w="5480" w:type="dxa"/>
            <w:vAlign w:val="bottom"/>
          </w:tcPr>
          <w:p>
            <w:pPr>
              <w:ind w:left="300"/>
              <w:spacing w:after="0"/>
              <w:rPr>
                <w:sz w:val="20"/>
                <w:szCs w:val="20"/>
                <w:color w:val="auto"/>
              </w:rPr>
            </w:pPr>
            <w:r>
              <w:rPr>
                <w:rFonts w:ascii="Courier New" w:cs="Courier New" w:eastAsia="Courier New" w:hAnsi="Courier New"/>
                <w:sz w:val="12"/>
                <w:szCs w:val="12"/>
                <w:color w:val="auto"/>
              </w:rPr>
              <w:t>Accrued sales commissions</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74</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26</w:t>
            </w:r>
          </w:p>
        </w:tc>
      </w:tr>
      <w:tr>
        <w:trPr>
          <w:trHeight w:val="135"/>
        </w:trPr>
        <w:tc>
          <w:tcPr>
            <w:tcW w:w="5480" w:type="dxa"/>
            <w:vAlign w:val="bottom"/>
          </w:tcPr>
          <w:p>
            <w:pPr>
              <w:ind w:left="300"/>
              <w:spacing w:after="0"/>
              <w:rPr>
                <w:sz w:val="20"/>
                <w:szCs w:val="20"/>
                <w:color w:val="auto"/>
              </w:rPr>
            </w:pPr>
            <w:r>
              <w:rPr>
                <w:rFonts w:ascii="Courier New" w:cs="Courier New" w:eastAsia="Courier New" w:hAnsi="Courier New"/>
                <w:sz w:val="12"/>
                <w:szCs w:val="12"/>
                <w:color w:val="auto"/>
              </w:rPr>
              <w:t>Domestic and foreign income taxes payable</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523</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(10)</w:t>
            </w:r>
          </w:p>
        </w:tc>
      </w:tr>
      <w:tr>
        <w:trPr>
          <w:trHeight w:val="135"/>
        </w:trPr>
        <w:tc>
          <w:tcPr>
            <w:tcW w:w="5480" w:type="dxa"/>
            <w:vAlign w:val="bottom"/>
          </w:tcPr>
          <w:p>
            <w:pPr>
              <w:ind w:left="300"/>
              <w:spacing w:after="0"/>
              <w:rPr>
                <w:sz w:val="20"/>
                <w:szCs w:val="20"/>
                <w:color w:val="auto"/>
              </w:rPr>
            </w:pPr>
            <w:r>
              <w:rPr>
                <w:rFonts w:ascii="Courier New" w:cs="Courier New" w:eastAsia="Courier New" w:hAnsi="Courier New"/>
                <w:sz w:val="12"/>
                <w:szCs w:val="12"/>
                <w:color w:val="auto"/>
              </w:rPr>
              <w:t>Other current liabilities</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12</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142</w:t>
            </w:r>
          </w:p>
        </w:tc>
      </w:tr>
      <w:tr>
        <w:trPr>
          <w:trHeight w:val="135"/>
        </w:trPr>
        <w:tc>
          <w:tcPr>
            <w:tcW w:w="5480" w:type="dxa"/>
            <w:vAlign w:val="bottom"/>
          </w:tcPr>
          <w:p>
            <w:pPr>
              <w:spacing w:after="0"/>
              <w:rPr>
                <w:sz w:val="11"/>
                <w:szCs w:val="11"/>
                <w:color w:val="auto"/>
              </w:rPr>
            </w:pP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480" w:type="dxa"/>
            <w:vAlign w:val="bottom"/>
          </w:tcPr>
          <w:p>
            <w:pPr>
              <w:spacing w:after="0"/>
              <w:rPr>
                <w:sz w:val="20"/>
                <w:szCs w:val="20"/>
                <w:color w:val="auto"/>
              </w:rPr>
            </w:pPr>
            <w:r>
              <w:rPr>
                <w:rFonts w:ascii="Courier New" w:cs="Courier New" w:eastAsia="Courier New" w:hAnsi="Courier New"/>
                <w:sz w:val="12"/>
                <w:szCs w:val="12"/>
                <w:color w:val="auto"/>
              </w:rPr>
              <w:t>Net cash provided by operating activities</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1,741</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2,919</w:t>
            </w:r>
          </w:p>
        </w:tc>
      </w:tr>
      <w:tr>
        <w:trPr>
          <w:trHeight w:val="137"/>
        </w:trPr>
        <w:tc>
          <w:tcPr>
            <w:tcW w:w="5480" w:type="dxa"/>
            <w:vAlign w:val="bottom"/>
          </w:tcPr>
          <w:p>
            <w:pPr>
              <w:spacing w:after="0"/>
              <w:rPr>
                <w:sz w:val="11"/>
                <w:szCs w:val="11"/>
                <w:color w:val="auto"/>
              </w:rPr>
            </w:pP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480" w:type="dxa"/>
            <w:vAlign w:val="bottom"/>
          </w:tcPr>
          <w:p>
            <w:pPr>
              <w:spacing w:after="0"/>
              <w:rPr>
                <w:sz w:val="20"/>
                <w:szCs w:val="20"/>
                <w:color w:val="auto"/>
              </w:rPr>
            </w:pPr>
            <w:r>
              <w:rPr>
                <w:rFonts w:ascii="Courier New" w:cs="Courier New" w:eastAsia="Courier New" w:hAnsi="Courier New"/>
                <w:sz w:val="12"/>
                <w:szCs w:val="12"/>
                <w:color w:val="auto"/>
              </w:rPr>
              <w:t>CASH FLOWS FROM INVESTING ACTIVITIES</w:t>
            </w: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135"/>
        </w:trPr>
        <w:tc>
          <w:tcPr>
            <w:tcW w:w="5480" w:type="dxa"/>
            <w:vAlign w:val="bottom"/>
          </w:tcPr>
          <w:p>
            <w:pPr>
              <w:spacing w:after="0"/>
              <w:rPr>
                <w:sz w:val="20"/>
                <w:szCs w:val="20"/>
                <w:color w:val="auto"/>
              </w:rPr>
            </w:pPr>
            <w:r>
              <w:rPr>
                <w:rFonts w:ascii="Courier New" w:cs="Courier New" w:eastAsia="Courier New" w:hAnsi="Courier New"/>
                <w:sz w:val="12"/>
                <w:szCs w:val="12"/>
                <w:color w:val="auto"/>
              </w:rPr>
              <w:t>Purchase of property and equipment</w:t>
            </w:r>
          </w:p>
        </w:tc>
        <w:tc>
          <w:tcPr>
            <w:tcW w:w="50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(282)</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(545)</w:t>
            </w:r>
          </w:p>
        </w:tc>
      </w:tr>
      <w:tr>
        <w:trPr>
          <w:trHeight w:val="135"/>
        </w:trPr>
        <w:tc>
          <w:tcPr>
            <w:tcW w:w="5480" w:type="dxa"/>
            <w:vAlign w:val="bottom"/>
          </w:tcPr>
          <w:p>
            <w:pPr>
              <w:spacing w:after="0"/>
              <w:rPr>
                <w:sz w:val="11"/>
                <w:szCs w:val="11"/>
                <w:color w:val="auto"/>
              </w:rPr>
            </w:pP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480" w:type="dxa"/>
            <w:vAlign w:val="bottom"/>
          </w:tcPr>
          <w:p>
            <w:pPr>
              <w:spacing w:after="0"/>
              <w:rPr>
                <w:sz w:val="20"/>
                <w:szCs w:val="20"/>
                <w:color w:val="auto"/>
              </w:rPr>
            </w:pPr>
            <w:r>
              <w:rPr>
                <w:rFonts w:ascii="Courier New" w:cs="Courier New" w:eastAsia="Courier New" w:hAnsi="Courier New"/>
                <w:sz w:val="12"/>
                <w:szCs w:val="12"/>
                <w:color w:val="auto"/>
              </w:rPr>
              <w:t>Net cash used in investing activities</w:t>
            </w:r>
          </w:p>
        </w:tc>
        <w:tc>
          <w:tcPr>
            <w:tcW w:w="50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(282)</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(545)</w:t>
            </w:r>
          </w:p>
        </w:tc>
      </w:tr>
      <w:tr>
        <w:trPr>
          <w:trHeight w:val="137"/>
        </w:trPr>
        <w:tc>
          <w:tcPr>
            <w:tcW w:w="5480" w:type="dxa"/>
            <w:vAlign w:val="bottom"/>
          </w:tcPr>
          <w:p>
            <w:pPr>
              <w:spacing w:after="0"/>
              <w:rPr>
                <w:sz w:val="11"/>
                <w:szCs w:val="11"/>
                <w:color w:val="auto"/>
              </w:rPr>
            </w:pP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480" w:type="dxa"/>
            <w:vAlign w:val="bottom"/>
          </w:tcPr>
          <w:p>
            <w:pPr>
              <w:spacing w:after="0"/>
              <w:rPr>
                <w:sz w:val="20"/>
                <w:szCs w:val="20"/>
                <w:color w:val="auto"/>
              </w:rPr>
            </w:pPr>
            <w:r>
              <w:rPr>
                <w:rFonts w:ascii="Courier New" w:cs="Courier New" w:eastAsia="Courier New" w:hAnsi="Courier New"/>
                <w:sz w:val="12"/>
                <w:szCs w:val="12"/>
                <w:color w:val="auto"/>
              </w:rPr>
              <w:t>CASH FLOWS FROM FINANCING ACTIVITIES</w:t>
            </w: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135"/>
        </w:trPr>
        <w:tc>
          <w:tcPr>
            <w:tcW w:w="5480" w:type="dxa"/>
            <w:vAlign w:val="bottom"/>
          </w:tcPr>
          <w:p>
            <w:pPr>
              <w:spacing w:after="0"/>
              <w:rPr>
                <w:sz w:val="20"/>
                <w:szCs w:val="20"/>
                <w:color w:val="auto"/>
              </w:rPr>
            </w:pPr>
            <w:r>
              <w:rPr>
                <w:rFonts w:ascii="Courier New" w:cs="Courier New" w:eastAsia="Courier New" w:hAnsi="Courier New"/>
                <w:sz w:val="12"/>
                <w:szCs w:val="12"/>
                <w:color w:val="auto"/>
              </w:rPr>
              <w:t>Repurchases of common stock</w:t>
            </w:r>
          </w:p>
        </w:tc>
        <w:tc>
          <w:tcPr>
            <w:tcW w:w="50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(841)</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480" w:type="dxa"/>
            <w:vAlign w:val="bottom"/>
          </w:tcPr>
          <w:p>
            <w:pPr>
              <w:spacing w:after="0"/>
              <w:rPr>
                <w:sz w:val="11"/>
                <w:szCs w:val="11"/>
                <w:color w:val="auto"/>
              </w:rPr>
            </w:pP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480" w:type="dxa"/>
            <w:vAlign w:val="bottom"/>
          </w:tcPr>
          <w:p>
            <w:pPr>
              <w:spacing w:after="0"/>
              <w:rPr>
                <w:sz w:val="20"/>
                <w:szCs w:val="20"/>
                <w:color w:val="auto"/>
              </w:rPr>
            </w:pPr>
            <w:r>
              <w:rPr>
                <w:rFonts w:ascii="Courier New" w:cs="Courier New" w:eastAsia="Courier New" w:hAnsi="Courier New"/>
                <w:sz w:val="12"/>
                <w:szCs w:val="12"/>
                <w:color w:val="auto"/>
              </w:rPr>
              <w:t>Net cash used in financing activities</w:t>
            </w:r>
          </w:p>
        </w:tc>
        <w:tc>
          <w:tcPr>
            <w:tcW w:w="50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(841)</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7"/>
        </w:trPr>
        <w:tc>
          <w:tcPr>
            <w:tcW w:w="5480" w:type="dxa"/>
            <w:vAlign w:val="bottom"/>
          </w:tcPr>
          <w:p>
            <w:pPr>
              <w:spacing w:after="0"/>
              <w:rPr>
                <w:sz w:val="11"/>
                <w:szCs w:val="11"/>
                <w:color w:val="auto"/>
              </w:rPr>
            </w:pP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480" w:type="dxa"/>
            <w:vAlign w:val="bottom"/>
          </w:tcPr>
          <w:p>
            <w:pPr>
              <w:spacing w:after="0"/>
              <w:rPr>
                <w:sz w:val="20"/>
                <w:szCs w:val="20"/>
                <w:color w:val="auto"/>
              </w:rPr>
            </w:pPr>
            <w:r>
              <w:rPr>
                <w:rFonts w:ascii="Courier New" w:cs="Courier New" w:eastAsia="Courier New" w:hAnsi="Courier New"/>
                <w:sz w:val="12"/>
                <w:szCs w:val="12"/>
                <w:color w:val="auto"/>
              </w:rPr>
              <w:t>Effects of exchange rates on cash</w:t>
            </w:r>
          </w:p>
        </w:tc>
        <w:tc>
          <w:tcPr>
            <w:tcW w:w="500" w:type="dxa"/>
            <w:vAlign w:val="bottom"/>
          </w:tcPr>
          <w:p>
            <w:pPr>
              <w:spacing w:after="0"/>
              <w:rPr>
                <w:sz w:val="23"/>
                <w:szCs w:val="23"/>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17</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(117)</w:t>
            </w:r>
          </w:p>
        </w:tc>
      </w:tr>
      <w:tr>
        <w:trPr>
          <w:trHeight w:val="137"/>
        </w:trPr>
        <w:tc>
          <w:tcPr>
            <w:tcW w:w="5480" w:type="dxa"/>
            <w:vAlign w:val="bottom"/>
          </w:tcPr>
          <w:p>
            <w:pPr>
              <w:spacing w:after="0"/>
              <w:rPr>
                <w:sz w:val="11"/>
                <w:szCs w:val="11"/>
                <w:color w:val="auto"/>
              </w:rPr>
            </w:pP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480" w:type="dxa"/>
            <w:vAlign w:val="bottom"/>
          </w:tcPr>
          <w:p>
            <w:pPr>
              <w:spacing w:after="0"/>
              <w:rPr>
                <w:sz w:val="20"/>
                <w:szCs w:val="20"/>
                <w:color w:val="auto"/>
              </w:rPr>
            </w:pPr>
            <w:r>
              <w:rPr>
                <w:rFonts w:ascii="Courier New" w:cs="Courier New" w:eastAsia="Courier New" w:hAnsi="Courier New"/>
                <w:sz w:val="12"/>
                <w:szCs w:val="12"/>
                <w:color w:val="auto"/>
              </w:rPr>
              <w:t>Net cash provided by all activities</w:t>
            </w:r>
          </w:p>
        </w:tc>
        <w:tc>
          <w:tcPr>
            <w:tcW w:w="500" w:type="dxa"/>
            <w:vAlign w:val="bottom"/>
          </w:tcPr>
          <w:p>
            <w:pPr>
              <w:spacing w:after="0"/>
              <w:rPr>
                <w:sz w:val="23"/>
                <w:szCs w:val="23"/>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635</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2,257</w:t>
            </w:r>
          </w:p>
        </w:tc>
      </w:tr>
      <w:tr>
        <w:trPr>
          <w:trHeight w:val="135"/>
        </w:trPr>
        <w:tc>
          <w:tcPr>
            <w:tcW w:w="548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beginning of period</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w w:val="97"/>
              </w:rPr>
              <w:t>25,710</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23,126</w:t>
            </w:r>
          </w:p>
        </w:tc>
      </w:tr>
      <w:tr>
        <w:trPr>
          <w:trHeight w:val="135"/>
        </w:trPr>
        <w:tc>
          <w:tcPr>
            <w:tcW w:w="5480" w:type="dxa"/>
            <w:vAlign w:val="bottom"/>
          </w:tcPr>
          <w:p>
            <w:pPr>
              <w:spacing w:after="0"/>
              <w:rPr>
                <w:sz w:val="11"/>
                <w:szCs w:val="11"/>
                <w:color w:val="auto"/>
              </w:rPr>
            </w:pP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48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end of period</w:t>
            </w: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$26,345</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$25,383</w:t>
            </w:r>
          </w:p>
        </w:tc>
      </w:tr>
      <w:tr>
        <w:trPr>
          <w:trHeight w:val="137"/>
        </w:trPr>
        <w:tc>
          <w:tcPr>
            <w:tcW w:w="5480" w:type="dxa"/>
            <w:vAlign w:val="bottom"/>
          </w:tcPr>
          <w:p>
            <w:pPr>
              <w:spacing w:after="0"/>
              <w:rPr>
                <w:sz w:val="11"/>
                <w:szCs w:val="11"/>
                <w:color w:val="auto"/>
              </w:rPr>
            </w:pP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480" w:type="dxa"/>
            <w:vAlign w:val="bottom"/>
          </w:tcPr>
          <w:p>
            <w:pPr>
              <w:spacing w:after="0"/>
              <w:rPr>
                <w:sz w:val="20"/>
                <w:szCs w:val="20"/>
                <w:color w:val="auto"/>
              </w:rPr>
            </w:pPr>
            <w:r>
              <w:rPr>
                <w:rFonts w:ascii="Courier New" w:cs="Courier New" w:eastAsia="Courier New" w:hAnsi="Courier New"/>
                <w:sz w:val="12"/>
                <w:szCs w:val="12"/>
                <w:color w:val="auto"/>
              </w:rPr>
              <w:t>Cash payments for:</w:t>
            </w: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137"/>
        </w:trPr>
        <w:tc>
          <w:tcPr>
            <w:tcW w:w="5480" w:type="dxa"/>
            <w:vAlign w:val="bottom"/>
          </w:tcPr>
          <w:p>
            <w:pPr>
              <w:ind w:left="160"/>
              <w:spacing w:after="0"/>
              <w:rPr>
                <w:sz w:val="20"/>
                <w:szCs w:val="20"/>
                <w:color w:val="auto"/>
              </w:rPr>
            </w:pPr>
            <w:r>
              <w:rPr>
                <w:rFonts w:ascii="Courier New" w:cs="Courier New" w:eastAsia="Courier New" w:hAnsi="Courier New"/>
                <w:sz w:val="12"/>
                <w:szCs w:val="12"/>
                <w:color w:val="auto"/>
              </w:rPr>
              <w:t>Domestic and foreign income taxes</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25</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   749</w:t>
            </w:r>
          </w:p>
        </w:tc>
      </w:tr>
    </w:tbl>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91" w:lineRule="exact"/>
        <w:rPr>
          <w:sz w:val="20"/>
          <w:szCs w:val="20"/>
          <w:color w:val="auto"/>
        </w:rPr>
      </w:pPr>
    </w:p>
    <w:p>
      <w:pPr>
        <w:ind w:left="540" w:right="60"/>
        <w:spacing w:after="0" w:line="256" w:lineRule="auto"/>
        <w:rPr>
          <w:sz w:val="20"/>
          <w:szCs w:val="20"/>
          <w:color w:val="auto"/>
        </w:rPr>
      </w:pPr>
      <w:r>
        <w:rPr>
          <w:rFonts w:ascii="Arial" w:cs="Arial" w:eastAsia="Arial" w:hAnsi="Arial"/>
          <w:sz w:val="18"/>
          <w:szCs w:val="18"/>
          <w:color w:val="auto"/>
        </w:rPr>
        <w:t>We are an independent designer, manufacturer and marketer of thermal, mechanical and electrical products that are primarily used by semiconductor manufacturers in conjunction with automatic test equipment ("ATE") in the testing of integrated circuits ("ICs" or "semiconductors"). We also market our thermal products in markets outside the ATE market, such as the automotive, consumer electronics, defense/aerospace, energy, industrial and telecommunications markets.</w:t>
      </w:r>
    </w:p>
    <w:p>
      <w:pPr>
        <w:spacing w:after="0" w:line="197"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The consolidated entity is comprised of inTEST Corporation (parent) and our wholly-owned subsidiaries. We have three reportable segments, which are also our reporting units: Thermal Products, Mechanical Products and Electrical Products. We manufacture our products in the U.S. Marketing and support activities are conducted worldwide from our facilities in the U.S., Germany and Singapore.</w:t>
      </w:r>
    </w:p>
    <w:p>
      <w:pPr>
        <w:spacing w:after="0" w:line="194"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The semiconductor market in which we operate is characterized by rapid technological change, competitive pricing pressures and cyclical as well as seasonal market patterns. This market is subject to significant economic downturns at various times. Our financial results are affected by a wide variety of factors, including, but not limited to, general economic conditions worldwide and in the markets in which we operate, economic conditions specific to the semiconductor market and the other markets we serve,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markets that we serve. In January 2016, we implemented a workforce reduction, as discussed further in Note 3, which is a key element in restructuring our Mechanical Products segment with the goal of returning this segment to profitability. These efforts could cause us to incur substantial costs and may not be successful. We also continue to implement an acquisition strategy that may cause us to incur substantial expense in reviewing and evaluating potential transactions. We may or may not be successful in locating suitable businesses to acquire. In addition, if we are able to complete an acquisition, we may not be able to successfully integrate the acquired business with our existing business and we may not be able to operate the acquired business profitably. As a result of these or other factors, we may experience significant period-to-period fluctuations in future operating results.</w:t>
      </w:r>
    </w:p>
    <w:p>
      <w:pPr>
        <w:spacing w:after="0" w:line="348" w:lineRule="exact"/>
        <w:rPr>
          <w:sz w:val="20"/>
          <w:szCs w:val="20"/>
          <w:color w:val="auto"/>
        </w:rPr>
      </w:pPr>
    </w:p>
    <w:p>
      <w:pPr>
        <w:ind w:left="540" w:right="6500" w:hanging="532"/>
        <w:spacing w:after="0" w:line="541" w:lineRule="auto"/>
        <w:tabs>
          <w:tab w:leader="none" w:pos="292"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u w:val="single" w:color="auto"/>
          <w:color w:val="auto"/>
        </w:rPr>
        <w:t>Basis of Presentation and Use of Estimates</w:t>
      </w:r>
    </w:p>
    <w:p>
      <w:pPr>
        <w:ind w:left="540" w:right="360"/>
        <w:spacing w:after="0" w:line="332" w:lineRule="auto"/>
        <w:rPr>
          <w:sz w:val="20"/>
          <w:szCs w:val="20"/>
          <w:color w:val="auto"/>
        </w:rPr>
      </w:pPr>
      <w:r>
        <w:rPr>
          <w:rFonts w:ascii="Arial" w:cs="Arial" w:eastAsia="Arial" w:hAnsi="Arial"/>
          <w:sz w:val="16"/>
          <w:szCs w:val="16"/>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w:t>
      </w:r>
    </w:p>
    <w:p>
      <w:pPr>
        <w:sectPr>
          <w:pgSz w:w="11900" w:h="16952" w:orient="portrait"/>
          <w:cols w:equalWidth="0" w:num="1">
            <w:col w:w="11380"/>
          </w:cols>
          <w:pgMar w:left="240" w:top="132" w:right="279" w:bottom="0" w:gutter="0" w:footer="0" w:header="0"/>
        </w:sectPr>
      </w:pPr>
    </w:p>
    <w:bookmarkStart w:id="5" w:name="page6"/>
    <w:bookmarkEnd w:id="5"/>
    <w:p>
      <w:pPr>
        <w:jc w:val="both"/>
        <w:ind w:left="540" w:right="260"/>
        <w:spacing w:after="0" w:line="298" w:lineRule="auto"/>
        <w:rPr>
          <w:sz w:val="20"/>
          <w:szCs w:val="20"/>
          <w:color w:val="auto"/>
        </w:rPr>
      </w:pPr>
      <w:r>
        <w:rPr>
          <w:rFonts w:ascii="Arial" w:cs="Arial" w:eastAsia="Arial" w:hAnsi="Arial"/>
          <w:sz w:val="16"/>
          <w:szCs w:val="16"/>
          <w:color w:val="auto"/>
        </w:rPr>
        <w:t>generally accepted in the United States of America ("U.S.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and deferred tax assets and liabilities are particularly impacted by estimates.</w:t>
      </w:r>
    </w:p>
    <w:p>
      <w:pPr>
        <w:spacing w:after="0" w:line="167" w:lineRule="exact"/>
        <w:rPr>
          <w:sz w:val="20"/>
          <w:szCs w:val="20"/>
          <w:color w:val="auto"/>
        </w:rPr>
      </w:pPr>
    </w:p>
    <w:p>
      <w:pPr>
        <w:ind w:left="540" w:right="20"/>
        <w:spacing w:after="0" w:line="294" w:lineRule="auto"/>
        <w:rPr>
          <w:sz w:val="20"/>
          <w:szCs w:val="20"/>
          <w:color w:val="auto"/>
        </w:rPr>
      </w:pPr>
      <w:r>
        <w:rPr>
          <w:rFonts w:ascii="Arial" w:cs="Arial" w:eastAsia="Arial" w:hAnsi="Arial"/>
          <w:sz w:val="16"/>
          <w:szCs w:val="16"/>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Annual Report on Form 10-K for the year ended December 31, 2015 filed with the Securities and Exchange Commission on March 29, 2016 (the "2015 Form 10-K").</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Certain prior period amounts have been reclassified to be comparable with the current period's presentation.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ind w:left="540" w:right="80"/>
        <w:spacing w:after="0" w:line="290" w:lineRule="auto"/>
        <w:rPr>
          <w:sz w:val="20"/>
          <w:szCs w:val="20"/>
          <w:color w:val="auto"/>
        </w:rPr>
      </w:pPr>
      <w:r>
        <w:rPr>
          <w:rFonts w:ascii="Arial" w:cs="Arial" w:eastAsia="Arial" w:hAnsi="Arial"/>
          <w:sz w:val="16"/>
          <w:szCs w:val="16"/>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We incurred excess and obsolete inventory charges of $184 and $232 for the nine months ended September 30, 2016 and 2015, respectively.</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We account for goodwill and intangible assets in accordance with Accounting Standards Codification ("ASC") 350 (Intangibles - Goodwill and Other). Finite-lived intangible assets are amortized over their estimated useful economic life and are carried at cost less accumulated amortization. Goodwill is assessed for impairment annually in the fourth quarter on a reporting unit basis, or more frequently when events and circumstances occur indicating that the recorded goodwill may be impaired. As a part of the goodwill impairment assessment, we have the option to perform a qualitative assessment to determine whether it is more-likely-than-not that the fair value of a reporting unit is less than its carrying amount. If we determine this is the case, we are required to perform a two-step goodwill impairment test to identify potential goodwill impairment and measure the amount of goodwill impairment loss to be recognized. The two-step test is discussed below. If we determine that it is more-likely-than-not that the fair value of the reporting unit is greater than its carrying amounts, the two-step goodwill impairment test is not required.</w:t>
      </w:r>
    </w:p>
    <w:p>
      <w:pPr>
        <w:spacing w:after="0" w:line="172" w:lineRule="exact"/>
        <w:rPr>
          <w:sz w:val="20"/>
          <w:szCs w:val="20"/>
          <w:color w:val="auto"/>
        </w:rPr>
      </w:pPr>
    </w:p>
    <w:p>
      <w:pPr>
        <w:ind w:left="540" w:right="20"/>
        <w:spacing w:after="0" w:line="286" w:lineRule="auto"/>
        <w:rPr>
          <w:sz w:val="20"/>
          <w:szCs w:val="20"/>
          <w:color w:val="auto"/>
        </w:rPr>
      </w:pPr>
      <w:r>
        <w:rPr>
          <w:rFonts w:ascii="Arial" w:cs="Arial" w:eastAsia="Arial" w:hAnsi="Arial"/>
          <w:sz w:val="16"/>
          <w:szCs w:val="16"/>
          <w:color w:val="auto"/>
        </w:rPr>
        <w:t>If we determine it is more-likely-than-not that the fair value of a reporting unit is less than its carrying amount as a result of our qualitative assessment, we will perform a quantitative two-step goodwill impairment test. In the Step I test, the fair value of a reporting unit is computed and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The two-step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81" w:lineRule="exact"/>
        <w:rPr>
          <w:sz w:val="20"/>
          <w:szCs w:val="20"/>
          <w:color w:val="auto"/>
        </w:rPr>
      </w:pPr>
    </w:p>
    <w:p>
      <w:pPr>
        <w:ind w:left="540" w:right="60"/>
        <w:spacing w:after="0" w:line="314" w:lineRule="auto"/>
        <w:rPr>
          <w:sz w:val="20"/>
          <w:szCs w:val="20"/>
          <w:color w:val="auto"/>
        </w:rPr>
      </w:pPr>
      <w:r>
        <w:rPr>
          <w:rFonts w:ascii="Arial" w:cs="Arial" w:eastAsia="Arial" w:hAnsi="Arial"/>
          <w:sz w:val="15"/>
          <w:szCs w:val="15"/>
          <w:color w:val="auto"/>
        </w:rPr>
        <w:t>Indefinite-lived intangible assets are assessed for impairment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ectPr>
          <w:pgSz w:w="11900" w:h="16838" w:orient="portrait"/>
          <w:cols w:equalWidth="0" w:num="1">
            <w:col w:w="11420"/>
          </w:cols>
          <w:pgMar w:left="240" w:top="131" w:right="239" w:bottom="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ind w:left="540" w:right="120"/>
        <w:spacing w:after="0" w:line="294" w:lineRule="auto"/>
        <w:rPr>
          <w:sz w:val="20"/>
          <w:szCs w:val="20"/>
          <w:color w:val="auto"/>
        </w:rPr>
      </w:pPr>
      <w:r>
        <w:rPr>
          <w:rFonts w:ascii="Arial" w:cs="Arial" w:eastAsia="Arial" w:hAnsi="Arial"/>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ind w:left="540" w:right="40"/>
        <w:spacing w:after="0" w:line="256" w:lineRule="auto"/>
        <w:rPr>
          <w:sz w:val="20"/>
          <w:szCs w:val="20"/>
          <w:color w:val="auto"/>
        </w:rPr>
      </w:pPr>
      <w:r>
        <w:rPr>
          <w:rFonts w:ascii="Arial" w:cs="Arial" w:eastAsia="Arial" w:hAnsi="Arial"/>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granted, which is then amortized to expense over the service periods. See further disclosures related to our stock-based compensation plan in Note 8.</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We have made an assessment of our operations and determined that there were no material subsequent events requiring adjustment to, or disclosure in, our consolidated financial statements for the nine months ended September 30, 2016.</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left="540" w:right="80"/>
        <w:spacing w:after="0" w:line="290" w:lineRule="auto"/>
        <w:rPr>
          <w:sz w:val="20"/>
          <w:szCs w:val="20"/>
          <w:color w:val="auto"/>
        </w:rPr>
      </w:pPr>
      <w:r>
        <w:rPr>
          <w:rFonts w:ascii="Arial" w:cs="Arial" w:eastAsia="Arial" w:hAnsi="Arial"/>
          <w:sz w:val="16"/>
          <w:szCs w:val="16"/>
          <w:color w:val="auto"/>
        </w:rPr>
        <w:t>We recognize revenue when persuasive evidence of an arrangement exists, delivery has occurred or services have been rendered, the price is fixed or determinable, and collection of the related receivable is reasonably assured. Sales of our products are made through our sales employees, third-party sales representatives and distributors. There are no differences in revenue recognition policies based on the sales channel. We do not provide our customers with rights of return or exchanges. Revenue is generally recognized upon product shipment. Our customers' purchase orders do not typically contain any customer-specific acceptance criteria, other than that the product performs within the agreed upon specifications. We test all products manufactured as part of our quality assurance process to determine that they comply with specifications prior to shipment to a customer. To the extent that any customer purchase order contains customer-specific acceptance criteria, revenue recognition is deferred until customer acceptance.</w:t>
      </w:r>
    </w:p>
    <w:p>
      <w:pPr>
        <w:spacing w:after="0" w:line="172" w:lineRule="exact"/>
        <w:rPr>
          <w:sz w:val="20"/>
          <w:szCs w:val="20"/>
          <w:color w:val="auto"/>
        </w:rPr>
      </w:pPr>
    </w:p>
    <w:p>
      <w:pPr>
        <w:ind w:left="540" w:right="540"/>
        <w:spacing w:after="0" w:line="332" w:lineRule="auto"/>
        <w:rPr>
          <w:sz w:val="20"/>
          <w:szCs w:val="20"/>
          <w:color w:val="auto"/>
        </w:rPr>
      </w:pPr>
      <w:r>
        <w:rPr>
          <w:rFonts w:ascii="Arial" w:cs="Arial" w:eastAsia="Arial" w:hAnsi="Arial"/>
          <w:sz w:val="16"/>
          <w:szCs w:val="16"/>
          <w:color w:val="auto"/>
        </w:rPr>
        <w:t>In addition, in our Thermal Products segment, we lease certain of our equipment to customers under non-cancellable operating leases. These leases generally have an initial term of six months. We recognize revenue for these leases on a straight-line basis over the term of the lease.</w:t>
      </w:r>
    </w:p>
    <w:p>
      <w:pPr>
        <w:spacing w:after="0" w:line="139" w:lineRule="exact"/>
        <w:rPr>
          <w:sz w:val="20"/>
          <w:szCs w:val="20"/>
          <w:color w:val="auto"/>
        </w:rPr>
      </w:pPr>
    </w:p>
    <w:p>
      <w:pPr>
        <w:ind w:left="540" w:right="300"/>
        <w:spacing w:after="0" w:line="332" w:lineRule="auto"/>
        <w:rPr>
          <w:sz w:val="20"/>
          <w:szCs w:val="20"/>
          <w:color w:val="auto"/>
        </w:rPr>
      </w:pPr>
      <w:r>
        <w:rPr>
          <w:rFonts w:ascii="Arial" w:cs="Arial" w:eastAsia="Arial" w:hAnsi="Arial"/>
          <w:sz w:val="16"/>
          <w:szCs w:val="16"/>
          <w:color w:val="auto"/>
        </w:rPr>
        <w:t>With respect to sales tax collected from customers and remitted to governmental authorities, we use a net presentation in our consolidated statement of operations. As a result, there are no amounts included in either our net revenues or cost of revenues related to sales tax.</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Product Warranties</w:t>
      </w:r>
    </w:p>
    <w:p>
      <w:pPr>
        <w:spacing w:after="0" w:line="225" w:lineRule="exact"/>
        <w:rPr>
          <w:sz w:val="20"/>
          <w:szCs w:val="20"/>
          <w:color w:val="auto"/>
        </w:rPr>
      </w:pPr>
    </w:p>
    <w:p>
      <w:pPr>
        <w:ind w:left="540" w:right="360"/>
        <w:spacing w:after="0" w:line="268" w:lineRule="auto"/>
        <w:rPr>
          <w:sz w:val="20"/>
          <w:szCs w:val="20"/>
          <w:color w:val="auto"/>
        </w:rPr>
      </w:pPr>
      <w:r>
        <w:rPr>
          <w:rFonts w:ascii="Arial" w:cs="Arial" w:eastAsia="Arial" w:hAnsi="Arial"/>
          <w:sz w:val="18"/>
          <w:szCs w:val="18"/>
          <w:color w:val="auto"/>
        </w:rPr>
        <w:t>We generally provide product warranties and record estimated warranty expense at the time of sale based upon historical claims experience. Warranty expense is included in selling expense in our consolidated financial statements.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Net Earnings Per Common Share</w:t>
      </w:r>
    </w:p>
    <w:p>
      <w:pPr>
        <w:spacing w:after="0" w:line="225" w:lineRule="exact"/>
        <w:rPr>
          <w:sz w:val="20"/>
          <w:szCs w:val="20"/>
          <w:color w:val="auto"/>
        </w:rPr>
      </w:pPr>
    </w:p>
    <w:p>
      <w:pPr>
        <w:ind w:left="540" w:right="100"/>
        <w:spacing w:after="0" w:line="298" w:lineRule="auto"/>
        <w:rPr>
          <w:sz w:val="20"/>
          <w:szCs w:val="20"/>
          <w:color w:val="auto"/>
        </w:rPr>
      </w:pPr>
      <w:r>
        <w:rPr>
          <w:rFonts w:ascii="Arial" w:cs="Arial" w:eastAsia="Arial" w:hAnsi="Arial"/>
          <w:sz w:val="16"/>
          <w:szCs w:val="16"/>
          <w:color w:val="auto"/>
        </w:rPr>
        <w:t>Net earnings per common share - basic is computed by dividing net earnings by the weighted average number of common shares outstanding during each period. Net earnings per common share - diluted is computed by dividing net earnings by the weighted average number of common shares and common share equivalents outstanding during each period. Common share equivalents represent unvested shares of restricted stock and stock options and are calculated using the treasury stock method. Common share equivalents are excluded from the calculation if their effect is anti-dilutive.</w:t>
      </w:r>
    </w:p>
    <w:p>
      <w:pPr>
        <w:spacing w:after="0" w:line="167"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pacing w:after="0" w:line="193" w:lineRule="exact"/>
        <w:rPr>
          <w:sz w:val="20"/>
          <w:szCs w:val="20"/>
          <w:color w:val="auto"/>
        </w:rPr>
      </w:pPr>
    </w:p>
    <w:tbl>
      <w:tblPr>
        <w:tblLayout w:type="fixed"/>
        <w:tblInd w:w="6560" w:type="dxa"/>
        <w:tblCellMar>
          <w:top w:w="0" w:type="dxa"/>
          <w:left w:w="0" w:type="dxa"/>
          <w:bottom w:w="0" w:type="dxa"/>
          <w:right w:w="0" w:type="dxa"/>
        </w:tblCellMar>
      </w:tblPr>
      <w:tr>
        <w:trPr>
          <w:trHeight w:val="161"/>
        </w:trPr>
        <w:tc>
          <w:tcPr>
            <w:tcW w:w="1200" w:type="dxa"/>
            <w:vAlign w:val="bottom"/>
            <w:gridSpan w:val="5"/>
          </w:tcPr>
          <w:p>
            <w:pPr>
              <w:spacing w:after="0"/>
              <w:rPr>
                <w:sz w:val="20"/>
                <w:szCs w:val="20"/>
                <w:color w:val="auto"/>
              </w:rPr>
            </w:pPr>
            <w:r>
              <w:rPr>
                <w:rFonts w:ascii="Arial" w:cs="Arial" w:eastAsia="Arial" w:hAnsi="Arial"/>
                <w:sz w:val="14"/>
                <w:szCs w:val="14"/>
                <w:b w:val="1"/>
                <w:bCs w:val="1"/>
                <w:i w:val="1"/>
                <w:iCs w:val="1"/>
                <w:color w:val="auto"/>
                <w:w w:val="85"/>
              </w:rPr>
              <w:t>Three Months Ended</w:t>
            </w:r>
          </w:p>
        </w:tc>
        <w:tc>
          <w:tcPr>
            <w:tcW w:w="660" w:type="dxa"/>
            <w:vAlign w:val="bottom"/>
          </w:tcPr>
          <w:p>
            <w:pPr>
              <w:spacing w:after="0"/>
              <w:rPr>
                <w:sz w:val="13"/>
                <w:szCs w:val="13"/>
                <w:color w:val="auto"/>
              </w:rPr>
            </w:pPr>
          </w:p>
        </w:tc>
        <w:tc>
          <w:tcPr>
            <w:tcW w:w="1200" w:type="dxa"/>
            <w:vAlign w:val="bottom"/>
            <w:gridSpan w:val="6"/>
          </w:tcPr>
          <w:p>
            <w:pPr>
              <w:jc w:val="center"/>
              <w:spacing w:after="0"/>
              <w:rPr>
                <w:sz w:val="20"/>
                <w:szCs w:val="20"/>
                <w:color w:val="auto"/>
              </w:rPr>
            </w:pPr>
            <w:r>
              <w:rPr>
                <w:rFonts w:ascii="Arial" w:cs="Arial" w:eastAsia="Arial" w:hAnsi="Arial"/>
                <w:sz w:val="14"/>
                <w:szCs w:val="14"/>
                <w:b w:val="1"/>
                <w:bCs w:val="1"/>
                <w:i w:val="1"/>
                <w:iCs w:val="1"/>
                <w:color w:val="auto"/>
                <w:w w:val="85"/>
              </w:rPr>
              <w:t>Nine Months Ended</w:t>
            </w:r>
          </w:p>
        </w:tc>
      </w:tr>
      <w:tr>
        <w:trPr>
          <w:trHeight w:val="146"/>
        </w:trPr>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ind w:left="80"/>
              <w:spacing w:after="0" w:line="146" w:lineRule="exact"/>
              <w:rPr>
                <w:sz w:val="20"/>
                <w:szCs w:val="20"/>
                <w:color w:val="auto"/>
              </w:rPr>
            </w:pPr>
            <w:r>
              <w:rPr>
                <w:rFonts w:ascii="Arial" w:cs="Arial" w:eastAsia="Arial" w:hAnsi="Arial"/>
                <w:sz w:val="14"/>
                <w:szCs w:val="14"/>
                <w:b w:val="1"/>
                <w:bCs w:val="1"/>
                <w:i w:val="1"/>
                <w:iCs w:val="1"/>
                <w:color w:val="auto"/>
              </w:rPr>
              <w:t>Sept. 30,</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center"/>
              <w:ind w:right="232"/>
              <w:spacing w:after="0" w:line="146" w:lineRule="exact"/>
              <w:rPr>
                <w:sz w:val="20"/>
                <w:szCs w:val="20"/>
                <w:color w:val="auto"/>
              </w:rPr>
            </w:pPr>
            <w:r>
              <w:rPr>
                <w:rFonts w:ascii="Arial" w:cs="Arial" w:eastAsia="Arial" w:hAnsi="Arial"/>
                <w:sz w:val="14"/>
                <w:szCs w:val="14"/>
                <w:b w:val="1"/>
                <w:bCs w:val="1"/>
                <w:i w:val="1"/>
                <w:iCs w:val="1"/>
                <w:color w:val="auto"/>
                <w:w w:val="83"/>
              </w:rPr>
              <w:t>Sept. 30,</w:t>
            </w:r>
          </w:p>
        </w:tc>
        <w:tc>
          <w:tcPr>
            <w:tcW w:w="40" w:type="dxa"/>
            <w:vAlign w:val="bottom"/>
          </w:tcPr>
          <w:p>
            <w:pPr>
              <w:spacing w:after="0"/>
              <w:rPr>
                <w:sz w:val="12"/>
                <w:szCs w:val="12"/>
                <w:color w:val="auto"/>
              </w:rPr>
            </w:pPr>
          </w:p>
        </w:tc>
      </w:tr>
      <w:tr>
        <w:trPr>
          <w:trHeight w:val="156"/>
        </w:trPr>
        <w:tc>
          <w:tcPr>
            <w:tcW w:w="2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i w:val="1"/>
                <w:iCs w:val="1"/>
                <w:color w:val="auto"/>
                <w:w w:val="76"/>
              </w:rPr>
              <w:t>2016</w:t>
            </w:r>
          </w:p>
        </w:tc>
        <w:tc>
          <w:tcPr>
            <w:tcW w:w="660" w:type="dxa"/>
            <w:vAlign w:val="bottom"/>
          </w:tcPr>
          <w:p>
            <w:pPr>
              <w:spacing w:after="0"/>
              <w:rPr>
                <w:sz w:val="13"/>
                <w:szCs w:val="13"/>
                <w:color w:val="auto"/>
              </w:rPr>
            </w:pPr>
          </w:p>
        </w:tc>
        <w:tc>
          <w:tcPr>
            <w:tcW w:w="2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2015</w:t>
            </w:r>
          </w:p>
        </w:tc>
        <w:tc>
          <w:tcPr>
            <w:tcW w:w="660" w:type="dxa"/>
            <w:vAlign w:val="bottom"/>
          </w:tcPr>
          <w:p>
            <w:pPr>
              <w:spacing w:after="0"/>
              <w:rPr>
                <w:sz w:val="13"/>
                <w:szCs w:val="13"/>
                <w:color w:val="auto"/>
              </w:rPr>
            </w:pPr>
          </w:p>
        </w:tc>
        <w:tc>
          <w:tcPr>
            <w:tcW w:w="2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2016</w:t>
            </w: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2015</w:t>
            </w:r>
          </w:p>
        </w:tc>
      </w:tr>
    </w:tbl>
    <w:p>
      <w:pPr>
        <w:spacing w:after="0" w:line="19" w:lineRule="exact"/>
        <w:rPr>
          <w:sz w:val="20"/>
          <w:szCs w:val="20"/>
          <w:color w:val="auto"/>
        </w:rPr>
      </w:pPr>
    </w:p>
    <w:p>
      <w:pPr>
        <w:sectPr>
          <w:pgSz w:w="11900" w:h="16838" w:orient="portrait"/>
          <w:cols w:equalWidth="0" w:num="1">
            <w:col w:w="11420"/>
          </w:cols>
          <w:pgMar w:left="240" w:top="341" w:right="239" w:bottom="0" w:gutter="0" w:footer="0" w:header="0"/>
        </w:sectPr>
      </w:pPr>
    </w:p>
    <w:p>
      <w:pPr>
        <w:ind w:left="1500"/>
        <w:spacing w:after="0"/>
        <w:tabs>
          <w:tab w:leader="none" w:pos="6340" w:val="left"/>
          <w:tab w:leader="none" w:pos="7260" w:val="left"/>
          <w:tab w:leader="none" w:pos="8200" w:val="left"/>
        </w:tabs>
        <w:rPr>
          <w:sz w:val="20"/>
          <w:szCs w:val="20"/>
          <w:color w:val="auto"/>
        </w:rPr>
      </w:pPr>
      <w:r>
        <w:rPr>
          <w:rFonts w:ascii="Arial" w:cs="Arial" w:eastAsia="Arial" w:hAnsi="Arial"/>
          <w:sz w:val="18"/>
          <w:szCs w:val="18"/>
          <w:color w:val="auto"/>
        </w:rPr>
        <w:t>Weighted average common shares outstanding - basic</w:t>
      </w:r>
      <w:r>
        <w:rPr>
          <w:sz w:val="20"/>
          <w:szCs w:val="20"/>
          <w:color w:val="auto"/>
        </w:rPr>
        <w:tab/>
      </w:r>
      <w:r>
        <w:rPr>
          <w:rFonts w:ascii="Arial" w:cs="Arial" w:eastAsia="Arial" w:hAnsi="Arial"/>
          <w:sz w:val="18"/>
          <w:szCs w:val="18"/>
          <w:color w:val="auto"/>
        </w:rPr>
        <w:t>10,295,447</w:t>
        <w:tab/>
        <w:t>10,473,928</w:t>
      </w:r>
      <w:r>
        <w:rPr>
          <w:sz w:val="20"/>
          <w:szCs w:val="20"/>
          <w:color w:val="auto"/>
        </w:rPr>
        <w:tab/>
      </w:r>
      <w:r>
        <w:rPr>
          <w:rFonts w:ascii="Arial" w:cs="Arial" w:eastAsia="Arial" w:hAnsi="Arial"/>
          <w:sz w:val="16"/>
          <w:szCs w:val="16"/>
          <w:color w:val="auto"/>
        </w:rPr>
        <w:t>10,327,095  10,470,410</w:t>
      </w:r>
    </w:p>
    <w:p>
      <w:pPr>
        <w:sectPr>
          <w:pgSz w:w="11900" w:h="16838" w:orient="portrait"/>
          <w:cols w:equalWidth="0" w:num="1">
            <w:col w:w="11420"/>
          </w:cols>
          <w:pgMar w:left="240" w:top="341" w:right="239" w:bottom="0" w:gutter="0" w:footer="0" w:header="0"/>
          <w:type w:val="continuous"/>
        </w:sectPr>
      </w:pPr>
    </w:p>
    <w:bookmarkStart w:id="7" w:name="page8"/>
    <w:bookmarkEnd w:id="7"/>
    <w:tbl>
      <w:tblPr>
        <w:tblLayout w:type="fixed"/>
        <w:tblInd w:w="1500" w:type="dxa"/>
        <w:tblCellMar>
          <w:top w:w="0" w:type="dxa"/>
          <w:left w:w="0" w:type="dxa"/>
          <w:bottom w:w="0" w:type="dxa"/>
          <w:right w:w="0" w:type="dxa"/>
        </w:tblCellMar>
      </w:tblP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72"/>
        </w:trPr>
        <w:tc>
          <w:tcPr>
            <w:tcW w:w="4480" w:type="dxa"/>
            <w:vAlign w:val="bottom"/>
          </w:tcPr>
          <w:p>
            <w:pPr>
              <w:ind w:left="220"/>
              <w:spacing w:after="0"/>
              <w:rPr>
                <w:sz w:val="20"/>
                <w:szCs w:val="20"/>
                <w:color w:val="auto"/>
              </w:rPr>
            </w:pPr>
            <w:r>
              <w:rPr>
                <w:rFonts w:ascii="Arial" w:cs="Arial" w:eastAsia="Arial" w:hAnsi="Arial"/>
                <w:sz w:val="18"/>
                <w:szCs w:val="18"/>
                <w:color w:val="auto"/>
                <w:w w:val="99"/>
              </w:rPr>
              <w:t>Unvested shares of restricted stock and stock options</w:t>
            </w:r>
          </w:p>
        </w:tc>
        <w:tc>
          <w:tcPr>
            <w:tcW w:w="1240" w:type="dxa"/>
            <w:vAlign w:val="bottom"/>
            <w:gridSpan w:val="4"/>
          </w:tcPr>
          <w:p>
            <w:pPr>
              <w:jc w:val="right"/>
              <w:ind w:right="80"/>
              <w:spacing w:after="0"/>
              <w:rPr>
                <w:sz w:val="20"/>
                <w:szCs w:val="20"/>
                <w:color w:val="auto"/>
              </w:rPr>
            </w:pPr>
            <w:r>
              <w:rPr>
                <w:rFonts w:ascii="Arial" w:cs="Arial" w:eastAsia="Arial" w:hAnsi="Arial"/>
                <w:sz w:val="18"/>
                <w:szCs w:val="18"/>
                <w:color w:val="auto"/>
              </w:rPr>
              <w:t>23,268</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24,983</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17,652</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21,907</w:t>
            </w:r>
          </w:p>
        </w:tc>
      </w:tr>
      <w:tr>
        <w:trPr>
          <w:trHeight w:val="255"/>
        </w:trPr>
        <w:tc>
          <w:tcPr>
            <w:tcW w:w="4480" w:type="dxa"/>
            <w:vAlign w:val="bottom"/>
          </w:tcPr>
          <w:p>
            <w:pPr>
              <w:spacing w:after="0"/>
              <w:rPr>
                <w:sz w:val="20"/>
                <w:szCs w:val="20"/>
                <w:color w:val="auto"/>
              </w:rPr>
            </w:pPr>
            <w:r>
              <w:rPr>
                <w:rFonts w:ascii="Arial" w:cs="Arial" w:eastAsia="Arial" w:hAnsi="Arial"/>
                <w:sz w:val="18"/>
                <w:szCs w:val="18"/>
                <w:color w:val="auto"/>
              </w:rPr>
              <w:t>Weighted average common shares and common share</w:t>
            </w: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r>
      <w:tr>
        <w:trPr>
          <w:trHeight w:val="184"/>
        </w:trPr>
        <w:tc>
          <w:tcPr>
            <w:tcW w:w="4480" w:type="dxa"/>
            <w:vAlign w:val="bottom"/>
          </w:tcPr>
          <w:p>
            <w:pPr>
              <w:ind w:left="80"/>
              <w:spacing w:after="0" w:line="184" w:lineRule="exact"/>
              <w:rPr>
                <w:sz w:val="20"/>
                <w:szCs w:val="20"/>
                <w:color w:val="auto"/>
              </w:rPr>
            </w:pPr>
            <w:r>
              <w:rPr>
                <w:rFonts w:ascii="Arial" w:cs="Arial" w:eastAsia="Arial" w:hAnsi="Arial"/>
                <w:sz w:val="18"/>
                <w:szCs w:val="18"/>
                <w:color w:val="auto"/>
              </w:rPr>
              <w:t>equivalents outstanding - diluted</w:t>
            </w:r>
          </w:p>
        </w:tc>
        <w:tc>
          <w:tcPr>
            <w:tcW w:w="1240" w:type="dxa"/>
            <w:vAlign w:val="bottom"/>
            <w:gridSpan w:val="4"/>
          </w:tcPr>
          <w:p>
            <w:pPr>
              <w:jc w:val="right"/>
              <w:ind w:right="80"/>
              <w:spacing w:after="0" w:line="184" w:lineRule="exact"/>
              <w:rPr>
                <w:sz w:val="20"/>
                <w:szCs w:val="20"/>
                <w:color w:val="auto"/>
              </w:rPr>
            </w:pPr>
            <w:r>
              <w:rPr>
                <w:rFonts w:ascii="Arial" w:cs="Arial" w:eastAsia="Arial" w:hAnsi="Arial"/>
                <w:sz w:val="18"/>
                <w:szCs w:val="18"/>
                <w:color w:val="auto"/>
              </w:rPr>
              <w:t>10,318,715</w:t>
            </w:r>
          </w:p>
        </w:tc>
        <w:tc>
          <w:tcPr>
            <w:tcW w:w="860" w:type="dxa"/>
            <w:vAlign w:val="bottom"/>
            <w:gridSpan w:val="3"/>
          </w:tcPr>
          <w:p>
            <w:pPr>
              <w:jc w:val="right"/>
              <w:spacing w:after="0" w:line="184" w:lineRule="exact"/>
              <w:rPr>
                <w:sz w:val="20"/>
                <w:szCs w:val="20"/>
                <w:color w:val="auto"/>
              </w:rPr>
            </w:pPr>
            <w:r>
              <w:rPr>
                <w:rFonts w:ascii="Arial" w:cs="Arial" w:eastAsia="Arial" w:hAnsi="Arial"/>
                <w:sz w:val="18"/>
                <w:szCs w:val="18"/>
                <w:color w:val="auto"/>
                <w:w w:val="93"/>
              </w:rPr>
              <w:t>10,498,911</w:t>
            </w:r>
          </w:p>
        </w:tc>
        <w:tc>
          <w:tcPr>
            <w:tcW w:w="920" w:type="dxa"/>
            <w:vAlign w:val="bottom"/>
            <w:gridSpan w:val="3"/>
          </w:tcPr>
          <w:p>
            <w:pPr>
              <w:jc w:val="right"/>
              <w:spacing w:after="0" w:line="184" w:lineRule="exact"/>
              <w:rPr>
                <w:sz w:val="20"/>
                <w:szCs w:val="20"/>
                <w:color w:val="auto"/>
              </w:rPr>
            </w:pPr>
            <w:r>
              <w:rPr>
                <w:rFonts w:ascii="Arial" w:cs="Arial" w:eastAsia="Arial" w:hAnsi="Arial"/>
                <w:sz w:val="18"/>
                <w:szCs w:val="18"/>
                <w:color w:val="auto"/>
                <w:w w:val="99"/>
              </w:rPr>
              <w:t>10,344,747</w:t>
            </w:r>
          </w:p>
        </w:tc>
        <w:tc>
          <w:tcPr>
            <w:tcW w:w="920" w:type="dxa"/>
            <w:vAlign w:val="bottom"/>
            <w:gridSpan w:val="3"/>
          </w:tcPr>
          <w:p>
            <w:pPr>
              <w:jc w:val="right"/>
              <w:spacing w:after="0" w:line="184" w:lineRule="exact"/>
              <w:rPr>
                <w:sz w:val="20"/>
                <w:szCs w:val="20"/>
                <w:color w:val="auto"/>
              </w:rPr>
            </w:pPr>
            <w:r>
              <w:rPr>
                <w:rFonts w:ascii="Arial" w:cs="Arial" w:eastAsia="Arial" w:hAnsi="Arial"/>
                <w:sz w:val="18"/>
                <w:szCs w:val="18"/>
                <w:color w:val="auto"/>
                <w:w w:val="99"/>
              </w:rPr>
              <w:t>10,492,317</w:t>
            </w:r>
          </w:p>
        </w:tc>
      </w:tr>
      <w:tr>
        <w:trPr>
          <w:trHeight w:val="498"/>
        </w:trPr>
        <w:tc>
          <w:tcPr>
            <w:tcW w:w="4480" w:type="dxa"/>
            <w:vAlign w:val="bottom"/>
          </w:tcPr>
          <w:p>
            <w:pPr>
              <w:spacing w:after="0"/>
              <w:rPr>
                <w:sz w:val="20"/>
                <w:szCs w:val="20"/>
                <w:color w:val="auto"/>
              </w:rPr>
            </w:pPr>
            <w:r>
              <w:rPr>
                <w:rFonts w:ascii="Arial" w:cs="Arial" w:eastAsia="Arial" w:hAnsi="Arial"/>
                <w:sz w:val="18"/>
                <w:szCs w:val="18"/>
                <w:color w:val="auto"/>
                <w:w w:val="97"/>
              </w:rPr>
              <w:t>Average number of potentially dilutive securities excluded</w:t>
            </w:r>
          </w:p>
        </w:tc>
        <w:tc>
          <w:tcPr>
            <w:tcW w:w="3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r>
        <w:trPr>
          <w:trHeight w:val="222"/>
        </w:trPr>
        <w:tc>
          <w:tcPr>
            <w:tcW w:w="4480" w:type="dxa"/>
            <w:vAlign w:val="bottom"/>
          </w:tcPr>
          <w:p>
            <w:pPr>
              <w:ind w:left="140"/>
              <w:spacing w:after="0"/>
              <w:rPr>
                <w:sz w:val="20"/>
                <w:szCs w:val="20"/>
                <w:color w:val="auto"/>
              </w:rPr>
            </w:pPr>
            <w:r>
              <w:rPr>
                <w:rFonts w:ascii="Arial" w:cs="Arial" w:eastAsia="Arial" w:hAnsi="Arial"/>
                <w:sz w:val="18"/>
                <w:szCs w:val="18"/>
                <w:color w:val="auto"/>
              </w:rPr>
              <w:t>from calculation</w:t>
            </w:r>
          </w:p>
        </w:tc>
        <w:tc>
          <w:tcPr>
            <w:tcW w:w="1240" w:type="dxa"/>
            <w:vAlign w:val="bottom"/>
            <w:gridSpan w:val="4"/>
          </w:tcPr>
          <w:p>
            <w:pPr>
              <w:jc w:val="right"/>
              <w:ind w:right="80"/>
              <w:spacing w:after="0"/>
              <w:rPr>
                <w:sz w:val="20"/>
                <w:szCs w:val="20"/>
                <w:color w:val="auto"/>
              </w:rPr>
            </w:pPr>
            <w:r>
              <w:rPr>
                <w:rFonts w:ascii="Arial" w:cs="Arial" w:eastAsia="Arial" w:hAnsi="Arial"/>
                <w:sz w:val="18"/>
                <w:szCs w:val="18"/>
                <w:color w:val="auto"/>
              </w:rPr>
              <w:t>19,800</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18,277</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r>
    </w:tbl>
    <w:p>
      <w:pPr>
        <w:spacing w:after="0" w:line="223"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Effect of Recently Adopted Amendments to Authoritative Accounting Guidance</w:t>
      </w:r>
    </w:p>
    <w:p>
      <w:pPr>
        <w:spacing w:after="0" w:line="225" w:lineRule="exact"/>
        <w:rPr>
          <w:sz w:val="20"/>
          <w:szCs w:val="20"/>
          <w:color w:val="auto"/>
        </w:rPr>
      </w:pPr>
    </w:p>
    <w:p>
      <w:pPr>
        <w:ind w:left="540" w:right="60"/>
        <w:spacing w:after="0" w:line="289" w:lineRule="auto"/>
        <w:rPr>
          <w:sz w:val="20"/>
          <w:szCs w:val="20"/>
          <w:color w:val="auto"/>
        </w:rPr>
      </w:pPr>
      <w:r>
        <w:rPr>
          <w:rFonts w:ascii="Arial" w:cs="Arial" w:eastAsia="Arial" w:hAnsi="Arial"/>
          <w:sz w:val="16"/>
          <w:szCs w:val="16"/>
          <w:color w:val="auto"/>
        </w:rPr>
        <w:t>In November 2015, the Financial Accounting Standards Board ("FASB") issued amendments to update the current guidance on the balance sheet classification of deferred taxes which is presented in ASC Topic 740 (Income Taxes). The purpose of the amendments is to simplify the presentation of deferred tax assets. This guidance requires deferred tax assets and liabilities, along with related valuation allowances, to be classified as noncurrent on the balance sheet. As a result, each tax jurisdiction will now only have one net noncurrent deferred tax asset or liability. The new guidance does not change the existing requirement that prohibits offsetting deferred tax liabilities from one jurisdiction against deferred tax assets of another jurisdiction. The amendments are effective for us as of January 1, 2017. Early application is permitted. We elected early application of this guidance effective January 1, 2016. The implementation of these amendments did not have a material impact on our consolidated financial statements. Prior period amounts have been reclassified to be consistent with the current period presentation.</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Effect of Recently Issued Amendments to Authoritative Accounting Guidance</w:t>
      </w:r>
    </w:p>
    <w:p>
      <w:pPr>
        <w:spacing w:after="0" w:line="225" w:lineRule="exact"/>
        <w:rPr>
          <w:sz w:val="20"/>
          <w:szCs w:val="20"/>
          <w:color w:val="auto"/>
        </w:rPr>
      </w:pPr>
    </w:p>
    <w:p>
      <w:pPr>
        <w:ind w:left="540" w:right="100"/>
        <w:spacing w:after="0" w:line="294" w:lineRule="auto"/>
        <w:rPr>
          <w:sz w:val="20"/>
          <w:szCs w:val="20"/>
          <w:color w:val="auto"/>
        </w:rPr>
      </w:pPr>
      <w:r>
        <w:rPr>
          <w:rFonts w:ascii="Arial" w:cs="Arial" w:eastAsia="Arial" w:hAnsi="Arial"/>
          <w:sz w:val="16"/>
          <w:szCs w:val="16"/>
          <w:color w:val="auto"/>
        </w:rPr>
        <w:t>In March 2016, the FASB issued amendments to the current guidance on accounting for stock-based compensation issued to employees which is contained in ASC Topic 718 (Compensation - Stock Compensation). The new guidance simplifies several aspects of the accounting for share-based payment transactions, including the income tax consequences, classification of awards as either equity or liabilities, and classification on the statement of cash flows. The amendments are effective for us as of January 1, 2017. Early adoption is permitted. We do not expect the implementation of these amendments to have a material impact on our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ind w:left="540" w:right="140"/>
        <w:spacing w:after="0" w:line="310" w:lineRule="auto"/>
        <w:rPr>
          <w:sz w:val="20"/>
          <w:szCs w:val="20"/>
          <w:color w:val="auto"/>
        </w:rPr>
      </w:pPr>
      <w:r>
        <w:rPr>
          <w:rFonts w:ascii="Arial" w:cs="Arial" w:eastAsia="Arial" w:hAnsi="Arial"/>
          <w:sz w:val="15"/>
          <w:szCs w:val="15"/>
          <w:color w:val="auto"/>
        </w:rPr>
        <w:t>In February 2016, the FASB issued amendments to the current guidance on accounting for lease transactions, which is presented in ASC Topic 842 (Leases). The intent of the updated guidance is to increase transparency and comparability among organizations by requiring lessees to recognize assets and liabilities on the balance sheet for the rights and obligations created by leases and to disclose key information about leasing arrangements. Under the new guidance, a lessee will be required to record a right-of-use asset and a lease liability on the balance sheet for all leases with terms longer than 12 months. Leases will be classified as either finance or operating, with classification affecting the pattern of expense recognition in the income statement. The amendments are effective for us as of January 1, 2019. A modified retrospective transition approach is required for lessees for capital and operating leases existing at, or entered into after, the beginning of the earliest comparative period presented in the financial statements, with certain practical expedients available. We are currently evaluating the impact of the implementation of these amendments on our consolidated financial statements.</w:t>
      </w:r>
    </w:p>
    <w:p>
      <w:pPr>
        <w:spacing w:after="0" w:line="162" w:lineRule="exact"/>
        <w:rPr>
          <w:sz w:val="20"/>
          <w:szCs w:val="20"/>
          <w:color w:val="auto"/>
        </w:rPr>
      </w:pPr>
    </w:p>
    <w:p>
      <w:pPr>
        <w:ind w:left="540" w:right="60"/>
        <w:spacing w:after="0" w:line="289" w:lineRule="auto"/>
        <w:rPr>
          <w:sz w:val="20"/>
          <w:szCs w:val="20"/>
          <w:color w:val="auto"/>
        </w:rPr>
      </w:pPr>
      <w:r>
        <w:rPr>
          <w:rFonts w:ascii="Arial" w:cs="Arial" w:eastAsia="Arial" w:hAnsi="Arial"/>
          <w:sz w:val="16"/>
          <w:szCs w:val="16"/>
          <w:color w:val="auto"/>
        </w:rPr>
        <w:t>In July 2015, the FASB issued amendments to update the current guidance on the subsequent measurement of inventory, which is presented in ASC Topic 330 (Inventory). The purpose of the amendments is to simplify the subsequent measurement of inventory and reduce the number of potential outcomes. It applies to all inventory other than inventory measured using last-in, first-out or the retail inventory method. Current guidance requires an entity to measure inventory at the lower of cost or market. Market could be replacement cost, net realizable value, or net realizable value less a normal profit margin. The updated guidance amends this to require that an entity measure inventory within the scope of the updated guidance at the lower of cost and net realizable value. Net realizable value is the estimated selling price in the ordinary course of business, less reasonably predictable costs of completion, disposal, and transportation. The amendments are effective for us as of January 1, 2017. We do not expect the implementation of these amendments to have a material impact on our consolidated financial statements.</w:t>
      </w:r>
    </w:p>
    <w:p>
      <w:pPr>
        <w:spacing w:after="0" w:line="172"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In May 2014, the FASB issued new guidance on the recognition of revenue from contracts with customers. Subsequent to May, 2014, the FASB has issued additional clarifying guidance on certain aspects of this new guidance. This guidance is presented in ASC Topic 606 (Revenue from Contracts with Customers). This new guidance will replace most existing revenue recognition guidance in U.S. GAAP when it becomes effective. Companies can use either the retrospective or cumulative effect transition method. In August 2015, the FASB deferred the effective date of this new guidance for one additional year. As a result, this new guidance is effective for us on January 1, 2018. Early application is only permitted as of the prior effective date, which in our case would be as of January 1, 2017. We have not yet selected a transition method and we are still evaluating the effect that this guidance will have on our consolidated financial statements and related disclosures.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 CHARGES</w:t>
      </w:r>
    </w:p>
    <w:p>
      <w:pPr>
        <w:spacing w:after="0" w:line="191" w:lineRule="exact"/>
        <w:rPr>
          <w:sz w:val="20"/>
          <w:szCs w:val="20"/>
          <w:color w:val="auto"/>
        </w:rPr>
      </w:pPr>
    </w:p>
    <w:p>
      <w:pPr>
        <w:ind w:left="540" w:right="120"/>
        <w:spacing w:after="0" w:line="306" w:lineRule="auto"/>
        <w:rPr>
          <w:sz w:val="20"/>
          <w:szCs w:val="20"/>
          <w:color w:val="auto"/>
        </w:rPr>
      </w:pPr>
      <w:r>
        <w:rPr>
          <w:rFonts w:ascii="Arial" w:cs="Arial" w:eastAsia="Arial" w:hAnsi="Arial"/>
          <w:sz w:val="16"/>
          <w:szCs w:val="16"/>
          <w:color w:val="auto"/>
        </w:rPr>
        <w:t>In recent years, our Mechanical Products segment has experienced significant operating losses. We have undertaken actions at various times over the last few years to address these losses. On January 4, 2016, we implemented a workforce reduction which resulted in our recording a restructuring charge of $99 in the first quarter of 2016. This entire amount was paid out in the first quarter of 2016.</w:t>
      </w:r>
    </w:p>
    <w:p>
      <w:pPr>
        <w:sectPr>
          <w:pgSz w:w="11900" w:h="16838" w:orient="portrait"/>
          <w:cols w:equalWidth="0" w:num="1">
            <w:col w:w="11420"/>
          </w:cols>
          <w:pgMar w:left="240" w:top="64" w:right="239" w:bottom="0" w:gutter="0" w:footer="0" w:header="0"/>
        </w:sect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GOODWILL AND INTANGIBLE ASSETS</w:t>
      </w:r>
    </w:p>
    <w:p>
      <w:pPr>
        <w:sectPr>
          <w:pgSz w:w="11900" w:h="16838" w:orient="portrait"/>
          <w:cols w:equalWidth="0" w:num="1">
            <w:col w:w="11420"/>
          </w:cols>
          <w:pgMar w:left="240" w:top="64" w:right="239" w:bottom="0" w:gutter="0" w:footer="0" w:header="0"/>
          <w:type w:val="continuous"/>
        </w:sectPr>
      </w:pPr>
    </w:p>
    <w:bookmarkStart w:id="8" w:name="page9"/>
    <w:bookmarkEnd w:id="8"/>
    <w:p>
      <w:pPr>
        <w:ind w:left="532" w:right="740"/>
        <w:spacing w:after="0" w:line="268" w:lineRule="auto"/>
        <w:rPr>
          <w:sz w:val="20"/>
          <w:szCs w:val="20"/>
          <w:color w:val="auto"/>
        </w:rPr>
      </w:pPr>
      <w:r>
        <w:rPr>
          <w:rFonts w:ascii="Arial" w:cs="Arial" w:eastAsia="Arial" w:hAnsi="Arial"/>
          <w:sz w:val="18"/>
          <w:szCs w:val="18"/>
          <w:color w:val="auto"/>
        </w:rPr>
        <w:t>Goodwill and intangible assets on our balance sheets are the result of our acquisitions of Sigma Systems Corp. ("Sigma") in October 2008 and Thermonics, Inc. ("Thermonics"), a division of Test Enterprises, Inc., in January 2012.</w:t>
      </w:r>
    </w:p>
    <w:p>
      <w:pPr>
        <w:spacing w:after="0" w:line="186"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Goodwill</w:t>
      </w:r>
    </w:p>
    <w:p>
      <w:pPr>
        <w:spacing w:after="0" w:line="225" w:lineRule="exact"/>
        <w:rPr>
          <w:sz w:val="20"/>
          <w:szCs w:val="20"/>
          <w:color w:val="auto"/>
        </w:rPr>
      </w:pPr>
    </w:p>
    <w:p>
      <w:pPr>
        <w:ind w:left="532" w:right="360"/>
        <w:spacing w:after="0" w:line="268" w:lineRule="auto"/>
        <w:rPr>
          <w:sz w:val="20"/>
          <w:szCs w:val="20"/>
          <w:color w:val="auto"/>
        </w:rPr>
      </w:pPr>
      <w:r>
        <w:rPr>
          <w:rFonts w:ascii="Arial" w:cs="Arial" w:eastAsia="Arial" w:hAnsi="Arial"/>
          <w:sz w:val="18"/>
          <w:szCs w:val="18"/>
          <w:color w:val="auto"/>
        </w:rPr>
        <w:t>All of our goodwill is allocated to our Thermal Products segment. There was no change in the amount of the carrying value of goodwill for the nine months ended September 30, 2016.</w:t>
      </w:r>
    </w:p>
    <w:p>
      <w:pPr>
        <w:spacing w:after="0" w:line="362"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- 9 -</w:t>
      </w:r>
    </w:p>
    <w:p>
      <w:pPr>
        <w:spacing w:after="0" w:line="200" w:lineRule="exact"/>
        <w:rPr>
          <w:sz w:val="20"/>
          <w:szCs w:val="20"/>
          <w:color w:val="auto"/>
        </w:rPr>
      </w:pPr>
    </w:p>
    <w:p>
      <w:pPr>
        <w:spacing w:after="0" w:line="370" w:lineRule="exact"/>
        <w:rPr>
          <w:sz w:val="20"/>
          <w:szCs w:val="20"/>
          <w:color w:val="auto"/>
        </w:rPr>
      </w:pPr>
    </w:p>
    <w:p>
      <w:pPr>
        <w:jc w:val="center"/>
        <w:ind w:right="-13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3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ind w:left="292" w:hanging="292"/>
        <w:spacing w:after="0"/>
        <w:tabs>
          <w:tab w:leader="none" w:pos="29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Intangible Assets</w:t>
      </w:r>
    </w:p>
    <w:p>
      <w:pPr>
        <w:spacing w:after="0" w:line="225"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provide further detail about our intangible assets as of September 30, 2016 and December 31, 2015:</w:t>
      </w:r>
    </w:p>
    <w:p>
      <w:pPr>
        <w:spacing w:after="0" w:line="221" w:lineRule="exact"/>
        <w:rPr>
          <w:sz w:val="20"/>
          <w:szCs w:val="20"/>
          <w:color w:val="auto"/>
        </w:rPr>
      </w:pPr>
    </w:p>
    <w:tbl>
      <w:tblPr>
        <w:tblLayout w:type="fixed"/>
        <w:tblInd w:w="1812"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i w:val="1"/>
                <w:iCs w:val="1"/>
                <w:color w:val="auto"/>
                <w:w w:val="84"/>
              </w:rPr>
              <w:t>Sept. 30, 2016</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8"/>
        </w:trPr>
        <w:tc>
          <w:tcPr>
            <w:tcW w:w="3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60" w:type="dxa"/>
            <w:vAlign w:val="bottom"/>
            <w:gridSpan w:val="3"/>
          </w:tcPr>
          <w:p>
            <w:pPr>
              <w:jc w:val="center"/>
              <w:ind w:right="52"/>
              <w:spacing w:after="0" w:line="158" w:lineRule="exact"/>
              <w:rPr>
                <w:sz w:val="20"/>
                <w:szCs w:val="20"/>
                <w:color w:val="auto"/>
              </w:rPr>
            </w:pPr>
            <w:r>
              <w:rPr>
                <w:rFonts w:ascii="Arial" w:cs="Arial" w:eastAsia="Arial" w:hAnsi="Arial"/>
                <w:sz w:val="14"/>
                <w:szCs w:val="14"/>
                <w:b w:val="1"/>
                <w:bCs w:val="1"/>
                <w:i w:val="1"/>
                <w:iCs w:val="1"/>
                <w:color w:val="auto"/>
                <w:w w:val="78"/>
              </w:rPr>
              <w:t>Gross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jc w:val="center"/>
              <w:spacing w:after="0" w:line="158" w:lineRule="exact"/>
              <w:rPr>
                <w:sz w:val="20"/>
                <w:szCs w:val="20"/>
                <w:color w:val="auto"/>
              </w:rPr>
            </w:pPr>
            <w:r>
              <w:rPr>
                <w:rFonts w:ascii="Arial" w:cs="Arial" w:eastAsia="Arial" w:hAnsi="Arial"/>
                <w:sz w:val="14"/>
                <w:szCs w:val="14"/>
                <w:b w:val="1"/>
                <w:bCs w:val="1"/>
                <w:i w:val="1"/>
                <w:iCs w:val="1"/>
                <w:color w:val="auto"/>
                <w:w w:val="88"/>
              </w:rPr>
              <w:t>Net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9"/>
        </w:trPr>
        <w:tc>
          <w:tcPr>
            <w:tcW w:w="3940" w:type="dxa"/>
            <w:vAlign w:val="bottom"/>
          </w:tcPr>
          <w:p>
            <w:pPr>
              <w:spacing w:after="0"/>
              <w:rPr>
                <w:sz w:val="12"/>
                <w:szCs w:val="12"/>
                <w:color w:val="auto"/>
              </w:rPr>
            </w:pPr>
          </w:p>
        </w:tc>
        <w:tc>
          <w:tcPr>
            <w:tcW w:w="2140" w:type="dxa"/>
            <w:vAlign w:val="bottom"/>
            <w:gridSpan w:val="4"/>
          </w:tcPr>
          <w:p>
            <w:pPr>
              <w:jc w:val="center"/>
              <w:ind w:left="1398"/>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c>
          <w:tcPr>
            <w:tcW w:w="1080" w:type="dxa"/>
            <w:vAlign w:val="bottom"/>
            <w:gridSpan w:val="6"/>
          </w:tcPr>
          <w:p>
            <w:pPr>
              <w:ind w:left="120"/>
              <w:spacing w:after="0" w:line="149" w:lineRule="exact"/>
              <w:rPr>
                <w:sz w:val="20"/>
                <w:szCs w:val="20"/>
                <w:color w:val="auto"/>
              </w:rPr>
            </w:pPr>
            <w:r>
              <w:rPr>
                <w:rFonts w:ascii="Arial" w:cs="Arial" w:eastAsia="Arial" w:hAnsi="Arial"/>
                <w:sz w:val="14"/>
                <w:szCs w:val="14"/>
                <w:b w:val="1"/>
                <w:bCs w:val="1"/>
                <w:i w:val="1"/>
                <w:iCs w:val="1"/>
                <w:color w:val="auto"/>
              </w:rPr>
              <w:t>Accumulated</w:t>
            </w:r>
          </w:p>
        </w:tc>
        <w:tc>
          <w:tcPr>
            <w:tcW w:w="640" w:type="dxa"/>
            <w:vAlign w:val="bottom"/>
            <w:gridSpan w:val="8"/>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90"/>
              </w:rPr>
              <w:t>Carrying</w:t>
            </w:r>
          </w:p>
        </w:tc>
      </w:tr>
      <w:tr>
        <w:trPr>
          <w:trHeight w:val="146"/>
        </w:trPr>
        <w:tc>
          <w:tcPr>
            <w:tcW w:w="3940" w:type="dxa"/>
            <w:vAlign w:val="bottom"/>
          </w:tcPr>
          <w:p>
            <w:pPr>
              <w:spacing w:after="0"/>
              <w:rPr>
                <w:sz w:val="12"/>
                <w:szCs w:val="12"/>
                <w:color w:val="auto"/>
              </w:rPr>
            </w:pPr>
          </w:p>
        </w:tc>
        <w:tc>
          <w:tcPr>
            <w:tcW w:w="2140" w:type="dxa"/>
            <w:vAlign w:val="bottom"/>
            <w:gridSpan w:val="4"/>
          </w:tcPr>
          <w:p>
            <w:pPr>
              <w:jc w:val="center"/>
              <w:ind w:left="1378"/>
              <w:spacing w:after="0" w:line="146" w:lineRule="exact"/>
              <w:rPr>
                <w:sz w:val="20"/>
                <w:szCs w:val="20"/>
                <w:color w:val="auto"/>
              </w:rPr>
            </w:pPr>
            <w:r>
              <w:rPr>
                <w:rFonts w:ascii="Arial" w:cs="Arial" w:eastAsia="Arial" w:hAnsi="Arial"/>
                <w:sz w:val="14"/>
                <w:szCs w:val="14"/>
                <w:b w:val="1"/>
                <w:bCs w:val="1"/>
                <w:i w:val="1"/>
                <w:iCs w:val="1"/>
                <w:color w:val="auto"/>
                <w:w w:val="83"/>
              </w:rPr>
              <w:t>Amount</w:t>
            </w:r>
          </w:p>
        </w:tc>
        <w:tc>
          <w:tcPr>
            <w:tcW w:w="1080" w:type="dxa"/>
            <w:vAlign w:val="bottom"/>
            <w:gridSpan w:val="6"/>
          </w:tcPr>
          <w:p>
            <w:pPr>
              <w:ind w:left="120"/>
              <w:spacing w:after="0" w:line="146" w:lineRule="exact"/>
              <w:rPr>
                <w:sz w:val="20"/>
                <w:szCs w:val="20"/>
                <w:color w:val="auto"/>
              </w:rPr>
            </w:pPr>
            <w:r>
              <w:rPr>
                <w:rFonts w:ascii="Arial" w:cs="Arial" w:eastAsia="Arial" w:hAnsi="Arial"/>
                <w:sz w:val="14"/>
                <w:szCs w:val="14"/>
                <w:b w:val="1"/>
                <w:bCs w:val="1"/>
                <w:i w:val="1"/>
                <w:iCs w:val="1"/>
                <w:color w:val="auto"/>
              </w:rPr>
              <w:t>Amortization</w:t>
            </w:r>
          </w:p>
        </w:tc>
        <w:tc>
          <w:tcPr>
            <w:tcW w:w="40" w:type="dxa"/>
            <w:vAlign w:val="bottom"/>
          </w:tcPr>
          <w:p>
            <w:pPr>
              <w:spacing w:after="0"/>
              <w:rPr>
                <w:sz w:val="12"/>
                <w:szCs w:val="12"/>
                <w:color w:val="auto"/>
              </w:rPr>
            </w:pPr>
          </w:p>
        </w:tc>
        <w:tc>
          <w:tcPr>
            <w:tcW w:w="600" w:type="dxa"/>
            <w:vAlign w:val="bottom"/>
            <w:gridSpan w:val="7"/>
          </w:tcPr>
          <w:p>
            <w:pPr>
              <w:jc w:val="center"/>
              <w:ind w:right="160"/>
              <w:spacing w:after="0" w:line="146" w:lineRule="exact"/>
              <w:rPr>
                <w:sz w:val="20"/>
                <w:szCs w:val="20"/>
                <w:color w:val="auto"/>
              </w:rPr>
            </w:pPr>
            <w:r>
              <w:rPr>
                <w:rFonts w:ascii="Arial" w:cs="Arial" w:eastAsia="Arial" w:hAnsi="Arial"/>
                <w:sz w:val="14"/>
                <w:szCs w:val="14"/>
                <w:b w:val="1"/>
                <w:bCs w:val="1"/>
                <w:i w:val="1"/>
                <w:iCs w:val="1"/>
                <w:color w:val="auto"/>
                <w:w w:val="83"/>
              </w:rPr>
              <w:t>Amount</w:t>
            </w:r>
          </w:p>
        </w:tc>
      </w:tr>
      <w:tr>
        <w:trPr>
          <w:trHeight w:val="235"/>
        </w:trPr>
        <w:tc>
          <w:tcPr>
            <w:tcW w:w="394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15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394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2140" w:type="dxa"/>
            <w:vAlign w:val="bottom"/>
            <w:gridSpan w:val="4"/>
          </w:tcPr>
          <w:p>
            <w:pPr>
              <w:jc w:val="right"/>
              <w:spacing w:after="0"/>
              <w:rPr>
                <w:sz w:val="20"/>
                <w:szCs w:val="20"/>
                <w:color w:val="auto"/>
              </w:rPr>
            </w:pPr>
            <w:r>
              <w:rPr>
                <w:rFonts w:ascii="Arial" w:cs="Arial" w:eastAsia="Arial" w:hAnsi="Arial"/>
                <w:sz w:val="18"/>
                <w:szCs w:val="18"/>
                <w:color w:val="auto"/>
              </w:rPr>
              <w:t>$1,480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$1,288</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gridSpan w:val="5"/>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w w:val="86"/>
              </w:rPr>
              <w:t>192</w:t>
            </w:r>
          </w:p>
        </w:tc>
      </w:tr>
      <w:tr>
        <w:trPr>
          <w:trHeight w:val="243"/>
        </w:trPr>
        <w:tc>
          <w:tcPr>
            <w:tcW w:w="3940" w:type="dxa"/>
            <w:vAlign w:val="bottom"/>
          </w:tcPr>
          <w:p>
            <w:pPr>
              <w:ind w:left="120"/>
              <w:spacing w:after="0"/>
              <w:rPr>
                <w:sz w:val="20"/>
                <w:szCs w:val="20"/>
                <w:color w:val="auto"/>
              </w:rPr>
            </w:pPr>
            <w:r>
              <w:rPr>
                <w:rFonts w:ascii="Arial" w:cs="Arial" w:eastAsia="Arial" w:hAnsi="Arial"/>
                <w:sz w:val="18"/>
                <w:szCs w:val="18"/>
                <w:color w:val="auto"/>
              </w:rPr>
              <w:t>Patented technology</w:t>
            </w:r>
          </w:p>
        </w:tc>
        <w:tc>
          <w:tcPr>
            <w:tcW w:w="2140" w:type="dxa"/>
            <w:vAlign w:val="bottom"/>
            <w:gridSpan w:val="4"/>
          </w:tcPr>
          <w:p>
            <w:pPr>
              <w:jc w:val="right"/>
              <w:spacing w:after="0"/>
              <w:rPr>
                <w:sz w:val="20"/>
                <w:szCs w:val="20"/>
                <w:color w:val="auto"/>
              </w:rPr>
            </w:pPr>
            <w:r>
              <w:rPr>
                <w:rFonts w:ascii="Arial" w:cs="Arial" w:eastAsia="Arial" w:hAnsi="Arial"/>
                <w:sz w:val="18"/>
                <w:szCs w:val="18"/>
                <w:color w:val="auto"/>
              </w:rPr>
              <w:t>590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415</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w w:val="86"/>
              </w:rPr>
              <w:t>175</w:t>
            </w:r>
          </w:p>
        </w:tc>
      </w:tr>
      <w:tr>
        <w:trPr>
          <w:trHeight w:val="243"/>
        </w:trPr>
        <w:tc>
          <w:tcPr>
            <w:tcW w:w="3940" w:type="dxa"/>
            <w:vAlign w:val="bottom"/>
          </w:tcPr>
          <w:p>
            <w:pPr>
              <w:ind w:left="120"/>
              <w:spacing w:after="0"/>
              <w:rPr>
                <w:sz w:val="20"/>
                <w:szCs w:val="20"/>
                <w:color w:val="auto"/>
              </w:rPr>
            </w:pPr>
            <w:r>
              <w:rPr>
                <w:rFonts w:ascii="Arial" w:cs="Arial" w:eastAsia="Arial" w:hAnsi="Arial"/>
                <w:sz w:val="18"/>
                <w:szCs w:val="18"/>
                <w:color w:val="auto"/>
              </w:rPr>
              <w:t>Software</w:t>
            </w:r>
          </w:p>
        </w:tc>
        <w:tc>
          <w:tcPr>
            <w:tcW w:w="2140" w:type="dxa"/>
            <w:vAlign w:val="bottom"/>
            <w:gridSpan w:val="4"/>
          </w:tcPr>
          <w:p>
            <w:pPr>
              <w:jc w:val="right"/>
              <w:spacing w:after="0"/>
              <w:rPr>
                <w:sz w:val="20"/>
                <w:szCs w:val="20"/>
                <w:color w:val="auto"/>
              </w:rPr>
            </w:pPr>
            <w:r>
              <w:rPr>
                <w:rFonts w:ascii="Arial" w:cs="Arial" w:eastAsia="Arial" w:hAnsi="Arial"/>
                <w:sz w:val="18"/>
                <w:szCs w:val="18"/>
                <w:color w:val="auto"/>
              </w:rPr>
              <w:t>270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216</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54</w:t>
            </w:r>
          </w:p>
        </w:tc>
      </w:tr>
      <w:tr>
        <w:trPr>
          <w:trHeight w:val="205"/>
        </w:trPr>
        <w:tc>
          <w:tcPr>
            <w:tcW w:w="3940" w:type="dxa"/>
            <w:vAlign w:val="bottom"/>
          </w:tcPr>
          <w:p>
            <w:pPr>
              <w:ind w:left="120"/>
              <w:spacing w:after="0" w:line="205" w:lineRule="exact"/>
              <w:rPr>
                <w:sz w:val="20"/>
                <w:szCs w:val="20"/>
                <w:color w:val="auto"/>
              </w:rPr>
            </w:pPr>
            <w:r>
              <w:rPr>
                <w:rFonts w:ascii="Arial" w:cs="Arial" w:eastAsia="Arial" w:hAnsi="Arial"/>
                <w:sz w:val="18"/>
                <w:szCs w:val="18"/>
                <w:color w:val="auto"/>
              </w:rPr>
              <w:t>Trade name</w:t>
            </w:r>
          </w:p>
        </w:tc>
        <w:tc>
          <w:tcPr>
            <w:tcW w:w="1680" w:type="dxa"/>
            <w:vAlign w:val="bottom"/>
            <w:gridSpan w:val="2"/>
          </w:tcPr>
          <w:p>
            <w:pPr>
              <w:spacing w:after="0"/>
              <w:rPr>
                <w:sz w:val="17"/>
                <w:szCs w:val="17"/>
                <w:color w:val="auto"/>
              </w:rPr>
            </w:pPr>
          </w:p>
        </w:tc>
        <w:tc>
          <w:tcPr>
            <w:tcW w:w="46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140</w:t>
            </w:r>
          </w:p>
        </w:tc>
        <w:tc>
          <w:tcPr>
            <w:tcW w:w="360" w:type="dxa"/>
            <w:vAlign w:val="bottom"/>
            <w:gridSpan w:val="3"/>
          </w:tcPr>
          <w:p>
            <w:pPr>
              <w:spacing w:after="0"/>
              <w:rPr>
                <w:sz w:val="17"/>
                <w:szCs w:val="17"/>
                <w:color w:val="auto"/>
              </w:rPr>
            </w:pPr>
          </w:p>
        </w:tc>
        <w:tc>
          <w:tcPr>
            <w:tcW w:w="4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140</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w:t>
            </w: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140" w:type="dxa"/>
            <w:vAlign w:val="bottom"/>
            <w:gridSpan w:val="4"/>
          </w:tcPr>
          <w:p>
            <w:pPr>
              <w:jc w:val="right"/>
              <w:spacing w:after="0"/>
              <w:rPr>
                <w:sz w:val="20"/>
                <w:szCs w:val="20"/>
                <w:color w:val="auto"/>
              </w:rPr>
            </w:pPr>
            <w:r>
              <w:rPr>
                <w:rFonts w:ascii="Arial" w:cs="Arial" w:eastAsia="Arial" w:hAnsi="Arial"/>
                <w:sz w:val="18"/>
                <w:szCs w:val="18"/>
                <w:color w:val="auto"/>
              </w:rPr>
              <w:t>2,480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2,059</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w w:val="86"/>
              </w:rPr>
              <w:t>421</w:t>
            </w:r>
          </w:p>
        </w:tc>
      </w:tr>
      <w:tr>
        <w:trPr>
          <w:trHeight w:val="262"/>
        </w:trPr>
        <w:tc>
          <w:tcPr>
            <w:tcW w:w="394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r>
      <w:tr>
        <w:trPr>
          <w:trHeight w:val="205"/>
        </w:trPr>
        <w:tc>
          <w:tcPr>
            <w:tcW w:w="3940" w:type="dxa"/>
            <w:vAlign w:val="bottom"/>
          </w:tcPr>
          <w:p>
            <w:pPr>
              <w:ind w:left="120"/>
              <w:spacing w:after="0" w:line="205" w:lineRule="exact"/>
              <w:rPr>
                <w:sz w:val="20"/>
                <w:szCs w:val="20"/>
                <w:color w:val="auto"/>
              </w:rPr>
            </w:pPr>
            <w:r>
              <w:rPr>
                <w:rFonts w:ascii="Arial" w:cs="Arial" w:eastAsia="Arial" w:hAnsi="Arial"/>
                <w:sz w:val="18"/>
                <w:szCs w:val="18"/>
                <w:color w:val="auto"/>
              </w:rPr>
              <w:t>Sigma trademark</w:t>
            </w:r>
          </w:p>
        </w:tc>
        <w:tc>
          <w:tcPr>
            <w:tcW w:w="1680" w:type="dxa"/>
            <w:vAlign w:val="bottom"/>
            <w:gridSpan w:val="2"/>
          </w:tcPr>
          <w:p>
            <w:pPr>
              <w:spacing w:after="0"/>
              <w:rPr>
                <w:sz w:val="17"/>
                <w:szCs w:val="17"/>
                <w:color w:val="auto"/>
              </w:rPr>
            </w:pPr>
          </w:p>
        </w:tc>
        <w:tc>
          <w:tcPr>
            <w:tcW w:w="46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510</w:t>
            </w:r>
          </w:p>
        </w:tc>
        <w:tc>
          <w:tcPr>
            <w:tcW w:w="300" w:type="dxa"/>
            <w:vAlign w:val="bottom"/>
            <w:gridSpan w:val="2"/>
          </w:tcPr>
          <w:p>
            <w:pPr>
              <w:spacing w:after="0"/>
              <w:rPr>
                <w:sz w:val="17"/>
                <w:szCs w:val="17"/>
                <w:color w:val="auto"/>
              </w:rPr>
            </w:pPr>
          </w:p>
        </w:tc>
        <w:tc>
          <w:tcPr>
            <w:tcW w:w="50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w w:val="86"/>
              </w:rPr>
              <w:t>510</w:t>
            </w: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214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2,990</w:t>
            </w:r>
          </w:p>
        </w:tc>
        <w:tc>
          <w:tcPr>
            <w:tcW w:w="8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2,059</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gridSpan w:val="5"/>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w w:val="86"/>
              </w:rPr>
              <w:t>931</w:t>
            </w:r>
          </w:p>
        </w:tc>
      </w:tr>
      <w:tr>
        <w:trPr>
          <w:trHeight w:val="20"/>
        </w:trPr>
        <w:tc>
          <w:tcPr>
            <w:tcW w:w="3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3"/>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r>
        <w:trPr>
          <w:trHeight w:val="426"/>
        </w:trPr>
        <w:tc>
          <w:tcPr>
            <w:tcW w:w="3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7"/>
          </w:tcPr>
          <w:p>
            <w:pPr>
              <w:jc w:val="center"/>
              <w:ind w:left="12"/>
              <w:spacing w:after="0"/>
              <w:rPr>
                <w:sz w:val="20"/>
                <w:szCs w:val="20"/>
                <w:color w:val="auto"/>
              </w:rPr>
            </w:pPr>
            <w:r>
              <w:rPr>
                <w:rFonts w:ascii="Arial" w:cs="Arial" w:eastAsia="Arial" w:hAnsi="Arial"/>
                <w:sz w:val="14"/>
                <w:szCs w:val="14"/>
                <w:b w:val="1"/>
                <w:bCs w:val="1"/>
                <w:i w:val="1"/>
                <w:iCs w:val="1"/>
                <w:color w:val="auto"/>
                <w:w w:val="85"/>
              </w:rPr>
              <w:t>December 31, 2015</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58"/>
        </w:trPr>
        <w:tc>
          <w:tcPr>
            <w:tcW w:w="3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60" w:type="dxa"/>
            <w:vAlign w:val="bottom"/>
            <w:gridSpan w:val="3"/>
          </w:tcPr>
          <w:p>
            <w:pPr>
              <w:jc w:val="center"/>
              <w:ind w:right="52"/>
              <w:spacing w:after="0" w:line="158" w:lineRule="exact"/>
              <w:rPr>
                <w:sz w:val="20"/>
                <w:szCs w:val="20"/>
                <w:color w:val="auto"/>
              </w:rPr>
            </w:pPr>
            <w:r>
              <w:rPr>
                <w:rFonts w:ascii="Arial" w:cs="Arial" w:eastAsia="Arial" w:hAnsi="Arial"/>
                <w:sz w:val="14"/>
                <w:szCs w:val="14"/>
                <w:b w:val="1"/>
                <w:bCs w:val="1"/>
                <w:i w:val="1"/>
                <w:iCs w:val="1"/>
                <w:color w:val="auto"/>
                <w:w w:val="78"/>
              </w:rPr>
              <w:t>Gross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jc w:val="center"/>
              <w:spacing w:after="0" w:line="158" w:lineRule="exact"/>
              <w:rPr>
                <w:sz w:val="20"/>
                <w:szCs w:val="20"/>
                <w:color w:val="auto"/>
              </w:rPr>
            </w:pPr>
            <w:r>
              <w:rPr>
                <w:rFonts w:ascii="Arial" w:cs="Arial" w:eastAsia="Arial" w:hAnsi="Arial"/>
                <w:sz w:val="14"/>
                <w:szCs w:val="14"/>
                <w:b w:val="1"/>
                <w:bCs w:val="1"/>
                <w:i w:val="1"/>
                <w:iCs w:val="1"/>
                <w:color w:val="auto"/>
                <w:w w:val="88"/>
              </w:rPr>
              <w:t>Net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9"/>
        </w:trPr>
        <w:tc>
          <w:tcPr>
            <w:tcW w:w="3940" w:type="dxa"/>
            <w:vAlign w:val="bottom"/>
          </w:tcPr>
          <w:p>
            <w:pPr>
              <w:spacing w:after="0"/>
              <w:rPr>
                <w:sz w:val="12"/>
                <w:szCs w:val="12"/>
                <w:color w:val="auto"/>
              </w:rPr>
            </w:pPr>
          </w:p>
        </w:tc>
        <w:tc>
          <w:tcPr>
            <w:tcW w:w="2140" w:type="dxa"/>
            <w:vAlign w:val="bottom"/>
            <w:gridSpan w:val="4"/>
          </w:tcPr>
          <w:p>
            <w:pPr>
              <w:jc w:val="center"/>
              <w:ind w:left="1398"/>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c>
          <w:tcPr>
            <w:tcW w:w="1080" w:type="dxa"/>
            <w:vAlign w:val="bottom"/>
            <w:gridSpan w:val="6"/>
          </w:tcPr>
          <w:p>
            <w:pPr>
              <w:ind w:left="120"/>
              <w:spacing w:after="0" w:line="149" w:lineRule="exact"/>
              <w:rPr>
                <w:sz w:val="20"/>
                <w:szCs w:val="20"/>
                <w:color w:val="auto"/>
              </w:rPr>
            </w:pPr>
            <w:r>
              <w:rPr>
                <w:rFonts w:ascii="Arial" w:cs="Arial" w:eastAsia="Arial" w:hAnsi="Arial"/>
                <w:sz w:val="14"/>
                <w:szCs w:val="14"/>
                <w:b w:val="1"/>
                <w:bCs w:val="1"/>
                <w:i w:val="1"/>
                <w:iCs w:val="1"/>
                <w:color w:val="auto"/>
              </w:rPr>
              <w:t>Accumulated</w:t>
            </w:r>
          </w:p>
        </w:tc>
        <w:tc>
          <w:tcPr>
            <w:tcW w:w="640" w:type="dxa"/>
            <w:vAlign w:val="bottom"/>
            <w:gridSpan w:val="8"/>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90"/>
              </w:rPr>
              <w:t>Carrying</w:t>
            </w:r>
          </w:p>
        </w:tc>
      </w:tr>
      <w:tr>
        <w:trPr>
          <w:trHeight w:val="146"/>
        </w:trPr>
        <w:tc>
          <w:tcPr>
            <w:tcW w:w="3940" w:type="dxa"/>
            <w:vAlign w:val="bottom"/>
          </w:tcPr>
          <w:p>
            <w:pPr>
              <w:spacing w:after="0"/>
              <w:rPr>
                <w:sz w:val="12"/>
                <w:szCs w:val="12"/>
                <w:color w:val="auto"/>
              </w:rPr>
            </w:pPr>
          </w:p>
        </w:tc>
        <w:tc>
          <w:tcPr>
            <w:tcW w:w="2140" w:type="dxa"/>
            <w:vAlign w:val="bottom"/>
            <w:gridSpan w:val="4"/>
          </w:tcPr>
          <w:p>
            <w:pPr>
              <w:jc w:val="center"/>
              <w:ind w:left="1378"/>
              <w:spacing w:after="0" w:line="146" w:lineRule="exact"/>
              <w:rPr>
                <w:sz w:val="20"/>
                <w:szCs w:val="20"/>
                <w:color w:val="auto"/>
              </w:rPr>
            </w:pPr>
            <w:r>
              <w:rPr>
                <w:rFonts w:ascii="Arial" w:cs="Arial" w:eastAsia="Arial" w:hAnsi="Arial"/>
                <w:sz w:val="14"/>
                <w:szCs w:val="14"/>
                <w:b w:val="1"/>
                <w:bCs w:val="1"/>
                <w:i w:val="1"/>
                <w:iCs w:val="1"/>
                <w:color w:val="auto"/>
                <w:w w:val="83"/>
              </w:rPr>
              <w:t>Amount</w:t>
            </w:r>
          </w:p>
        </w:tc>
        <w:tc>
          <w:tcPr>
            <w:tcW w:w="1080" w:type="dxa"/>
            <w:vAlign w:val="bottom"/>
            <w:gridSpan w:val="6"/>
          </w:tcPr>
          <w:p>
            <w:pPr>
              <w:ind w:left="120"/>
              <w:spacing w:after="0" w:line="146" w:lineRule="exact"/>
              <w:rPr>
                <w:sz w:val="20"/>
                <w:szCs w:val="20"/>
                <w:color w:val="auto"/>
              </w:rPr>
            </w:pPr>
            <w:r>
              <w:rPr>
                <w:rFonts w:ascii="Arial" w:cs="Arial" w:eastAsia="Arial" w:hAnsi="Arial"/>
                <w:sz w:val="14"/>
                <w:szCs w:val="14"/>
                <w:b w:val="1"/>
                <w:bCs w:val="1"/>
                <w:i w:val="1"/>
                <w:iCs w:val="1"/>
                <w:color w:val="auto"/>
              </w:rPr>
              <w:t>Amortization</w:t>
            </w:r>
          </w:p>
        </w:tc>
        <w:tc>
          <w:tcPr>
            <w:tcW w:w="40" w:type="dxa"/>
            <w:vAlign w:val="bottom"/>
          </w:tcPr>
          <w:p>
            <w:pPr>
              <w:spacing w:after="0"/>
              <w:rPr>
                <w:sz w:val="12"/>
                <w:szCs w:val="12"/>
                <w:color w:val="auto"/>
              </w:rPr>
            </w:pPr>
          </w:p>
        </w:tc>
        <w:tc>
          <w:tcPr>
            <w:tcW w:w="600" w:type="dxa"/>
            <w:vAlign w:val="bottom"/>
            <w:gridSpan w:val="7"/>
          </w:tcPr>
          <w:p>
            <w:pPr>
              <w:jc w:val="center"/>
              <w:ind w:right="160"/>
              <w:spacing w:after="0" w:line="146" w:lineRule="exact"/>
              <w:rPr>
                <w:sz w:val="20"/>
                <w:szCs w:val="20"/>
                <w:color w:val="auto"/>
              </w:rPr>
            </w:pPr>
            <w:r>
              <w:rPr>
                <w:rFonts w:ascii="Arial" w:cs="Arial" w:eastAsia="Arial" w:hAnsi="Arial"/>
                <w:sz w:val="14"/>
                <w:szCs w:val="14"/>
                <w:b w:val="1"/>
                <w:bCs w:val="1"/>
                <w:i w:val="1"/>
                <w:iCs w:val="1"/>
                <w:color w:val="auto"/>
                <w:w w:val="83"/>
              </w:rPr>
              <w:t>Amount</w:t>
            </w:r>
          </w:p>
        </w:tc>
      </w:tr>
      <w:tr>
        <w:trPr>
          <w:trHeight w:val="235"/>
        </w:trPr>
        <w:tc>
          <w:tcPr>
            <w:tcW w:w="394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15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394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2140" w:type="dxa"/>
            <w:vAlign w:val="bottom"/>
            <w:gridSpan w:val="4"/>
          </w:tcPr>
          <w:p>
            <w:pPr>
              <w:jc w:val="right"/>
              <w:spacing w:after="0"/>
              <w:rPr>
                <w:sz w:val="20"/>
                <w:szCs w:val="20"/>
                <w:color w:val="auto"/>
              </w:rPr>
            </w:pPr>
            <w:r>
              <w:rPr>
                <w:rFonts w:ascii="Arial" w:cs="Arial" w:eastAsia="Arial" w:hAnsi="Arial"/>
                <w:sz w:val="18"/>
                <w:szCs w:val="18"/>
                <w:color w:val="auto"/>
              </w:rPr>
              <w:t>$1,480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$1,166</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gridSpan w:val="5"/>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w w:val="86"/>
              </w:rPr>
              <w:t>314</w:t>
            </w:r>
          </w:p>
        </w:tc>
      </w:tr>
      <w:tr>
        <w:trPr>
          <w:trHeight w:val="243"/>
        </w:trPr>
        <w:tc>
          <w:tcPr>
            <w:tcW w:w="3940" w:type="dxa"/>
            <w:vAlign w:val="bottom"/>
          </w:tcPr>
          <w:p>
            <w:pPr>
              <w:ind w:left="120"/>
              <w:spacing w:after="0"/>
              <w:rPr>
                <w:sz w:val="20"/>
                <w:szCs w:val="20"/>
                <w:color w:val="auto"/>
              </w:rPr>
            </w:pPr>
            <w:r>
              <w:rPr>
                <w:rFonts w:ascii="Arial" w:cs="Arial" w:eastAsia="Arial" w:hAnsi="Arial"/>
                <w:sz w:val="18"/>
                <w:szCs w:val="18"/>
                <w:color w:val="auto"/>
              </w:rPr>
              <w:t>Patented technology</w:t>
            </w:r>
          </w:p>
        </w:tc>
        <w:tc>
          <w:tcPr>
            <w:tcW w:w="2140" w:type="dxa"/>
            <w:vAlign w:val="bottom"/>
            <w:gridSpan w:val="4"/>
          </w:tcPr>
          <w:p>
            <w:pPr>
              <w:jc w:val="right"/>
              <w:spacing w:after="0"/>
              <w:rPr>
                <w:sz w:val="20"/>
                <w:szCs w:val="20"/>
                <w:color w:val="auto"/>
              </w:rPr>
            </w:pPr>
            <w:r>
              <w:rPr>
                <w:rFonts w:ascii="Arial" w:cs="Arial" w:eastAsia="Arial" w:hAnsi="Arial"/>
                <w:sz w:val="18"/>
                <w:szCs w:val="18"/>
                <w:color w:val="auto"/>
              </w:rPr>
              <w:t>590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386</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w w:val="86"/>
              </w:rPr>
              <w:t>204</w:t>
            </w:r>
          </w:p>
        </w:tc>
      </w:tr>
      <w:tr>
        <w:trPr>
          <w:trHeight w:val="243"/>
        </w:trPr>
        <w:tc>
          <w:tcPr>
            <w:tcW w:w="3940" w:type="dxa"/>
            <w:vAlign w:val="bottom"/>
          </w:tcPr>
          <w:p>
            <w:pPr>
              <w:ind w:left="120"/>
              <w:spacing w:after="0"/>
              <w:rPr>
                <w:sz w:val="20"/>
                <w:szCs w:val="20"/>
                <w:color w:val="auto"/>
              </w:rPr>
            </w:pPr>
            <w:r>
              <w:rPr>
                <w:rFonts w:ascii="Arial" w:cs="Arial" w:eastAsia="Arial" w:hAnsi="Arial"/>
                <w:sz w:val="18"/>
                <w:szCs w:val="18"/>
                <w:color w:val="auto"/>
              </w:rPr>
              <w:t>Software</w:t>
            </w:r>
          </w:p>
        </w:tc>
        <w:tc>
          <w:tcPr>
            <w:tcW w:w="2140" w:type="dxa"/>
            <w:vAlign w:val="bottom"/>
            <w:gridSpan w:val="4"/>
          </w:tcPr>
          <w:p>
            <w:pPr>
              <w:jc w:val="right"/>
              <w:spacing w:after="0"/>
              <w:rPr>
                <w:sz w:val="20"/>
                <w:szCs w:val="20"/>
                <w:color w:val="auto"/>
              </w:rPr>
            </w:pPr>
            <w:r>
              <w:rPr>
                <w:rFonts w:ascii="Arial" w:cs="Arial" w:eastAsia="Arial" w:hAnsi="Arial"/>
                <w:sz w:val="18"/>
                <w:szCs w:val="18"/>
                <w:color w:val="auto"/>
              </w:rPr>
              <w:t>270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196</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74</w:t>
            </w:r>
          </w:p>
        </w:tc>
      </w:tr>
      <w:tr>
        <w:trPr>
          <w:trHeight w:val="205"/>
        </w:trPr>
        <w:tc>
          <w:tcPr>
            <w:tcW w:w="3940" w:type="dxa"/>
            <w:vAlign w:val="bottom"/>
          </w:tcPr>
          <w:p>
            <w:pPr>
              <w:ind w:left="120"/>
              <w:spacing w:after="0" w:line="205" w:lineRule="exact"/>
              <w:rPr>
                <w:sz w:val="20"/>
                <w:szCs w:val="20"/>
                <w:color w:val="auto"/>
              </w:rPr>
            </w:pPr>
            <w:r>
              <w:rPr>
                <w:rFonts w:ascii="Arial" w:cs="Arial" w:eastAsia="Arial" w:hAnsi="Arial"/>
                <w:sz w:val="18"/>
                <w:szCs w:val="18"/>
                <w:color w:val="auto"/>
              </w:rPr>
              <w:t>Trade name</w:t>
            </w:r>
          </w:p>
        </w:tc>
        <w:tc>
          <w:tcPr>
            <w:tcW w:w="1680" w:type="dxa"/>
            <w:vAlign w:val="bottom"/>
            <w:gridSpan w:val="2"/>
          </w:tcPr>
          <w:p>
            <w:pPr>
              <w:spacing w:after="0"/>
              <w:rPr>
                <w:sz w:val="17"/>
                <w:szCs w:val="17"/>
                <w:color w:val="auto"/>
              </w:rPr>
            </w:pPr>
          </w:p>
        </w:tc>
        <w:tc>
          <w:tcPr>
            <w:tcW w:w="46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140</w:t>
            </w:r>
          </w:p>
        </w:tc>
        <w:tc>
          <w:tcPr>
            <w:tcW w:w="360" w:type="dxa"/>
            <w:vAlign w:val="bottom"/>
            <w:gridSpan w:val="3"/>
          </w:tcPr>
          <w:p>
            <w:pPr>
              <w:spacing w:after="0"/>
              <w:rPr>
                <w:sz w:val="17"/>
                <w:szCs w:val="17"/>
                <w:color w:val="auto"/>
              </w:rPr>
            </w:pPr>
          </w:p>
        </w:tc>
        <w:tc>
          <w:tcPr>
            <w:tcW w:w="4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138</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2</w:t>
            </w: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140" w:type="dxa"/>
            <w:vAlign w:val="bottom"/>
            <w:gridSpan w:val="4"/>
          </w:tcPr>
          <w:p>
            <w:pPr>
              <w:jc w:val="right"/>
              <w:spacing w:after="0"/>
              <w:rPr>
                <w:sz w:val="20"/>
                <w:szCs w:val="20"/>
                <w:color w:val="auto"/>
              </w:rPr>
            </w:pPr>
            <w:r>
              <w:rPr>
                <w:rFonts w:ascii="Arial" w:cs="Arial" w:eastAsia="Arial" w:hAnsi="Arial"/>
                <w:sz w:val="18"/>
                <w:szCs w:val="18"/>
                <w:color w:val="auto"/>
              </w:rPr>
              <w:t>2,480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1,886</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w w:val="86"/>
              </w:rPr>
              <w:t>594</w:t>
            </w:r>
          </w:p>
        </w:tc>
      </w:tr>
      <w:tr>
        <w:trPr>
          <w:trHeight w:val="262"/>
        </w:trPr>
        <w:tc>
          <w:tcPr>
            <w:tcW w:w="394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r>
      <w:tr>
        <w:trPr>
          <w:trHeight w:val="205"/>
        </w:trPr>
        <w:tc>
          <w:tcPr>
            <w:tcW w:w="3940" w:type="dxa"/>
            <w:vAlign w:val="bottom"/>
          </w:tcPr>
          <w:p>
            <w:pPr>
              <w:ind w:left="120"/>
              <w:spacing w:after="0" w:line="205" w:lineRule="exact"/>
              <w:rPr>
                <w:sz w:val="20"/>
                <w:szCs w:val="20"/>
                <w:color w:val="auto"/>
              </w:rPr>
            </w:pPr>
            <w:r>
              <w:rPr>
                <w:rFonts w:ascii="Arial" w:cs="Arial" w:eastAsia="Arial" w:hAnsi="Arial"/>
                <w:sz w:val="18"/>
                <w:szCs w:val="18"/>
                <w:color w:val="auto"/>
              </w:rPr>
              <w:t>Sigma trademark</w:t>
            </w:r>
          </w:p>
        </w:tc>
        <w:tc>
          <w:tcPr>
            <w:tcW w:w="1680" w:type="dxa"/>
            <w:vAlign w:val="bottom"/>
            <w:gridSpan w:val="2"/>
          </w:tcPr>
          <w:p>
            <w:pPr>
              <w:spacing w:after="0"/>
              <w:rPr>
                <w:sz w:val="17"/>
                <w:szCs w:val="17"/>
                <w:color w:val="auto"/>
              </w:rPr>
            </w:pPr>
          </w:p>
        </w:tc>
        <w:tc>
          <w:tcPr>
            <w:tcW w:w="46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510</w:t>
            </w:r>
          </w:p>
        </w:tc>
        <w:tc>
          <w:tcPr>
            <w:tcW w:w="300" w:type="dxa"/>
            <w:vAlign w:val="bottom"/>
            <w:gridSpan w:val="2"/>
          </w:tcPr>
          <w:p>
            <w:pPr>
              <w:spacing w:after="0"/>
              <w:rPr>
                <w:sz w:val="17"/>
                <w:szCs w:val="17"/>
                <w:color w:val="auto"/>
              </w:rPr>
            </w:pPr>
          </w:p>
        </w:tc>
        <w:tc>
          <w:tcPr>
            <w:tcW w:w="50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w w:val="86"/>
              </w:rPr>
              <w:t>510</w:t>
            </w: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214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2,990</w:t>
            </w:r>
          </w:p>
        </w:tc>
        <w:tc>
          <w:tcPr>
            <w:tcW w:w="8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1,886</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8"/>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1,104</w:t>
            </w:r>
          </w:p>
        </w:tc>
      </w:tr>
      <w:tr>
        <w:trPr>
          <w:trHeight w:val="20"/>
        </w:trPr>
        <w:tc>
          <w:tcPr>
            <w:tcW w:w="3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bl>
    <w:p>
      <w:pPr>
        <w:spacing w:after="0" w:line="248" w:lineRule="exact"/>
        <w:rPr>
          <w:sz w:val="20"/>
          <w:szCs w:val="20"/>
          <w:color w:val="auto"/>
        </w:rPr>
      </w:pPr>
    </w:p>
    <w:p>
      <w:pPr>
        <w:jc w:val="both"/>
        <w:ind w:left="532"/>
        <w:spacing w:after="0" w:line="259" w:lineRule="auto"/>
        <w:rPr>
          <w:sz w:val="20"/>
          <w:szCs w:val="20"/>
          <w:color w:val="auto"/>
        </w:rPr>
      </w:pPr>
      <w:r>
        <w:rPr>
          <w:rFonts w:ascii="Arial" w:cs="Arial" w:eastAsia="Arial" w:hAnsi="Arial"/>
          <w:sz w:val="18"/>
          <w:szCs w:val="18"/>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intangible assets have any residual value.</w:t>
      </w:r>
    </w:p>
    <w:p>
      <w:pPr>
        <w:spacing w:after="0" w:line="194" w:lineRule="exact"/>
        <w:rPr>
          <w:sz w:val="20"/>
          <w:szCs w:val="20"/>
          <w:color w:val="auto"/>
        </w:rPr>
      </w:pPr>
    </w:p>
    <w:p>
      <w:pPr>
        <w:ind w:left="532" w:right="60"/>
        <w:spacing w:after="0" w:line="268" w:lineRule="auto"/>
        <w:rPr>
          <w:sz w:val="20"/>
          <w:szCs w:val="20"/>
          <w:color w:val="auto"/>
        </w:rPr>
      </w:pPr>
      <w:r>
        <w:rPr>
          <w:rFonts w:ascii="Arial" w:cs="Arial" w:eastAsia="Arial" w:hAnsi="Arial"/>
          <w:sz w:val="18"/>
          <w:szCs w:val="18"/>
          <w:color w:val="auto"/>
        </w:rPr>
        <w:t>Total amortization expense for the nine months ended September 30, 2016 and 2015 was $173 and $217, respectively. The following table sets forth the estimated annual amortization expense for our finite-lived intangible assets for each of the next five years:</w:t>
      </w:r>
    </w:p>
    <w:p>
      <w:pPr>
        <w:spacing w:after="0" w:line="199" w:lineRule="exact"/>
        <w:rPr>
          <w:sz w:val="20"/>
          <w:szCs w:val="20"/>
          <w:color w:val="auto"/>
        </w:rPr>
      </w:pPr>
    </w:p>
    <w:tbl>
      <w:tblPr>
        <w:tblLayout w:type="fixed"/>
        <w:tblInd w:w="3092" w:type="dxa"/>
        <w:tblCellMar>
          <w:top w:w="0" w:type="dxa"/>
          <w:left w:w="0" w:type="dxa"/>
          <w:bottom w:w="0" w:type="dxa"/>
          <w:right w:w="0" w:type="dxa"/>
        </w:tblCellMar>
      </w:tblPr>
      <w:tr>
        <w:trPr>
          <w:trHeight w:val="222"/>
        </w:trPr>
        <w:tc>
          <w:tcPr>
            <w:tcW w:w="3060" w:type="dxa"/>
            <w:vAlign w:val="bottom"/>
          </w:tcPr>
          <w:p>
            <w:pPr>
              <w:spacing w:after="0"/>
              <w:rPr>
                <w:sz w:val="20"/>
                <w:szCs w:val="20"/>
                <w:color w:val="auto"/>
              </w:rPr>
            </w:pPr>
            <w:r>
              <w:rPr>
                <w:rFonts w:ascii="Arial" w:cs="Arial" w:eastAsia="Arial" w:hAnsi="Arial"/>
                <w:sz w:val="18"/>
                <w:szCs w:val="18"/>
                <w:color w:val="auto"/>
              </w:rPr>
              <w:t>2016 (remainder)</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3060" w:type="dxa"/>
            <w:vAlign w:val="bottom"/>
          </w:tcPr>
          <w:p>
            <w:pPr>
              <w:spacing w:after="0"/>
              <w:rPr>
                <w:sz w:val="20"/>
                <w:szCs w:val="20"/>
                <w:color w:val="auto"/>
              </w:rPr>
            </w:pPr>
            <w:r>
              <w:rPr>
                <w:rFonts w:ascii="Arial" w:cs="Arial" w:eastAsia="Arial" w:hAnsi="Arial"/>
                <w:sz w:val="18"/>
                <w:szCs w:val="18"/>
                <w:color w:val="auto"/>
              </w:rPr>
              <w:t>2017</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212</w:t>
            </w:r>
          </w:p>
        </w:tc>
      </w:tr>
      <w:tr>
        <w:trPr>
          <w:trHeight w:val="243"/>
        </w:trPr>
        <w:tc>
          <w:tcPr>
            <w:tcW w:w="3060" w:type="dxa"/>
            <w:vAlign w:val="bottom"/>
          </w:tcPr>
          <w:p>
            <w:pPr>
              <w:spacing w:after="0"/>
              <w:rPr>
                <w:sz w:val="20"/>
                <w:szCs w:val="20"/>
                <w:color w:val="auto"/>
              </w:rPr>
            </w:pPr>
            <w:r>
              <w:rPr>
                <w:rFonts w:ascii="Arial" w:cs="Arial" w:eastAsia="Arial" w:hAnsi="Arial"/>
                <w:sz w:val="18"/>
                <w:szCs w:val="18"/>
                <w:color w:val="auto"/>
              </w:rPr>
              <w:t>2018</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3060" w:type="dxa"/>
            <w:vAlign w:val="bottom"/>
          </w:tcPr>
          <w:p>
            <w:pPr>
              <w:spacing w:after="0"/>
              <w:rPr>
                <w:sz w:val="20"/>
                <w:szCs w:val="20"/>
                <w:color w:val="auto"/>
              </w:rPr>
            </w:pPr>
            <w:r>
              <w:rPr>
                <w:rFonts w:ascii="Arial" w:cs="Arial" w:eastAsia="Arial" w:hAnsi="Arial"/>
                <w:sz w:val="18"/>
                <w:szCs w:val="18"/>
                <w:color w:val="auto"/>
              </w:rPr>
              <w:t>2019</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9"/>
        </w:trPr>
        <w:tc>
          <w:tcPr>
            <w:tcW w:w="3060" w:type="dxa"/>
            <w:vAlign w:val="bottom"/>
          </w:tcPr>
          <w:p>
            <w:pPr>
              <w:spacing w:after="0"/>
              <w:rPr>
                <w:sz w:val="20"/>
                <w:szCs w:val="20"/>
                <w:color w:val="auto"/>
              </w:rPr>
            </w:pPr>
            <w:r>
              <w:rPr>
                <w:rFonts w:ascii="Arial" w:cs="Arial" w:eastAsia="Arial" w:hAnsi="Arial"/>
                <w:sz w:val="18"/>
                <w:szCs w:val="18"/>
                <w:color w:val="auto"/>
              </w:rPr>
              <w:t>2020</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- 10 -</w:t>
      </w:r>
    </w:p>
    <w:p>
      <w:pPr>
        <w:spacing w:after="0" w:line="200" w:lineRule="exact"/>
        <w:rPr>
          <w:sz w:val="20"/>
          <w:szCs w:val="20"/>
          <w:color w:val="auto"/>
        </w:rPr>
      </w:pPr>
    </w:p>
    <w:p>
      <w:pPr>
        <w:spacing w:after="0" w:line="370" w:lineRule="exact"/>
        <w:rPr>
          <w:sz w:val="20"/>
          <w:szCs w:val="20"/>
          <w:color w:val="auto"/>
        </w:rPr>
      </w:pPr>
    </w:p>
    <w:p>
      <w:pPr>
        <w:jc w:val="center"/>
        <w:ind w:right="-13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31"/>
        <w:spacing w:after="0"/>
        <w:rPr>
          <w:sz w:val="20"/>
          <w:szCs w:val="20"/>
          <w:color w:val="auto"/>
        </w:rPr>
      </w:pPr>
      <w:r>
        <w:rPr>
          <w:rFonts w:ascii="Arial" w:cs="Arial" w:eastAsia="Arial" w:hAnsi="Arial"/>
          <w:sz w:val="18"/>
          <w:szCs w:val="18"/>
          <w:b w:val="1"/>
          <w:bCs w:val="1"/>
          <w:color w:val="auto"/>
        </w:rPr>
        <w:t>NOTES TO CONSOLIDATED FINANCIAL STATEMENTS</w:t>
      </w:r>
    </w:p>
    <w:p>
      <w:pPr>
        <w:sectPr>
          <w:pgSz w:w="11900" w:h="16838" w:orient="portrait"/>
          <w:cols w:equalWidth="0" w:num="1">
            <w:col w:w="11272"/>
          </w:cols>
          <w:pgMar w:left="248" w:top="131" w:right="379" w:bottom="0" w:gutter="0" w:footer="0" w:header="0"/>
        </w:sectPr>
      </w:pPr>
    </w:p>
    <w:bookmarkStart w:id="9" w:name="page10"/>
    <w:bookmarkEnd w:id="9"/>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MAJOR CUSTOMERS</w:t>
      </w:r>
    </w:p>
    <w:p>
      <w:pPr>
        <w:spacing w:after="0" w:line="191"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During each of the nine months ended September 30, 2016 and 2015, Hakuto Co., Ltd., one of our distributors, accounted for 13% of our consolidated net revenues. These revenues were generated by our Thermal Products segment. During the nine months ended September 30, 2016, Texas Instruments Incorporated accounted for 11% of our consolidated net revenues. While all three of our operating segments sold products to this customer, these revenues were primarily generated by our Mechanical Products and our Electrical Products segments. No other customers accounted for 10% or more of our consolidated net revenues during the nine months ended September 30, 2016 and 2015.</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Inventories held at September 30, 2016 and December 31, 2015 were comprised of the following:</w:t>
      </w:r>
    </w:p>
    <w:p>
      <w:pPr>
        <w:spacing w:after="0" w:line="224" w:lineRule="exact"/>
        <w:rPr>
          <w:sz w:val="20"/>
          <w:szCs w:val="20"/>
          <w:color w:val="auto"/>
        </w:rPr>
      </w:pPr>
    </w:p>
    <w:tbl>
      <w:tblPr>
        <w:tblLayout w:type="fixed"/>
        <w:tblInd w:w="276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980" w:type="dxa"/>
            <w:vAlign w:val="bottom"/>
            <w:gridSpan w:val="5"/>
          </w:tcPr>
          <w:p>
            <w:pPr>
              <w:jc w:val="center"/>
              <w:ind w:left="840"/>
              <w:spacing w:after="0"/>
              <w:rPr>
                <w:sz w:val="20"/>
                <w:szCs w:val="20"/>
                <w:color w:val="auto"/>
              </w:rPr>
            </w:pPr>
            <w:r>
              <w:rPr>
                <w:rFonts w:ascii="Arial" w:cs="Arial" w:eastAsia="Arial" w:hAnsi="Arial"/>
                <w:sz w:val="14"/>
                <w:szCs w:val="14"/>
                <w:b w:val="1"/>
                <w:bCs w:val="1"/>
                <w:i w:val="1"/>
                <w:iCs w:val="1"/>
                <w:color w:val="auto"/>
                <w:w w:val="79"/>
              </w:rPr>
              <w:t>Sept. 30,</w:t>
            </w:r>
          </w:p>
        </w:tc>
        <w:tc>
          <w:tcPr>
            <w:tcW w:w="540" w:type="dxa"/>
            <w:vAlign w:val="bottom"/>
            <w:gridSpan w:val="3"/>
          </w:tcPr>
          <w:p>
            <w:pPr>
              <w:jc w:val="center"/>
              <w:ind w:right="60"/>
              <w:spacing w:after="0"/>
              <w:rPr>
                <w:sz w:val="20"/>
                <w:szCs w:val="20"/>
                <w:color w:val="auto"/>
              </w:rPr>
            </w:pPr>
            <w:r>
              <w:rPr>
                <w:rFonts w:ascii="Arial" w:cs="Arial" w:eastAsia="Arial" w:hAnsi="Arial"/>
                <w:sz w:val="14"/>
                <w:szCs w:val="14"/>
                <w:b w:val="1"/>
                <w:bCs w:val="1"/>
                <w:i w:val="1"/>
                <w:iCs w:val="1"/>
                <w:color w:val="auto"/>
                <w:w w:val="83"/>
              </w:rPr>
              <w:t>Dec. 31,</w:t>
            </w:r>
          </w:p>
        </w:tc>
      </w:tr>
      <w:tr>
        <w:trPr>
          <w:trHeight w:val="146"/>
        </w:trPr>
        <w:tc>
          <w:tcPr>
            <w:tcW w:w="3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Borders>
              <w:bottom w:val="single" w:sz="8" w:color="auto"/>
            </w:tcBorders>
            <w:gridSpan w:val="2"/>
          </w:tcPr>
          <w:p>
            <w:pPr>
              <w:jc w:val="right"/>
              <w:ind w:right="12"/>
              <w:spacing w:after="0" w:line="146" w:lineRule="exact"/>
              <w:rPr>
                <w:sz w:val="20"/>
                <w:szCs w:val="20"/>
                <w:color w:val="auto"/>
              </w:rPr>
            </w:pPr>
            <w:r>
              <w:rPr>
                <w:rFonts w:ascii="Arial" w:cs="Arial" w:eastAsia="Arial" w:hAnsi="Arial"/>
                <w:sz w:val="14"/>
                <w:szCs w:val="14"/>
                <w:b w:val="1"/>
                <w:bCs w:val="1"/>
                <w:i w:val="1"/>
                <w:iCs w:val="1"/>
                <w:color w:val="auto"/>
              </w:rPr>
              <w:t>2016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bottom w:val="single" w:sz="8" w:color="auto"/>
            </w:tcBorders>
            <w:gridSpan w:val="2"/>
          </w:tcPr>
          <w:p>
            <w:pPr>
              <w:jc w:val="right"/>
              <w:ind w:right="12"/>
              <w:spacing w:after="0" w:line="146" w:lineRule="exact"/>
              <w:rPr>
                <w:sz w:val="20"/>
                <w:szCs w:val="20"/>
                <w:color w:val="auto"/>
              </w:rPr>
            </w:pPr>
            <w:r>
              <w:rPr>
                <w:rFonts w:ascii="Arial" w:cs="Arial" w:eastAsia="Arial" w:hAnsi="Arial"/>
                <w:sz w:val="14"/>
                <w:szCs w:val="14"/>
                <w:b w:val="1"/>
                <w:bCs w:val="1"/>
                <w:i w:val="1"/>
                <w:iCs w:val="1"/>
                <w:color w:val="auto"/>
              </w:rPr>
              <w:t>2015</w:t>
            </w:r>
          </w:p>
        </w:tc>
        <w:tc>
          <w:tcPr>
            <w:tcW w:w="60" w:type="dxa"/>
            <w:vAlign w:val="bottom"/>
          </w:tcPr>
          <w:p>
            <w:pPr>
              <w:spacing w:after="0"/>
              <w:rPr>
                <w:sz w:val="12"/>
                <w:szCs w:val="12"/>
                <w:color w:val="auto"/>
              </w:rPr>
            </w:pPr>
          </w:p>
        </w:tc>
      </w:tr>
      <w:tr>
        <w:trPr>
          <w:trHeight w:val="235"/>
        </w:trPr>
        <w:tc>
          <w:tcPr>
            <w:tcW w:w="3320" w:type="dxa"/>
            <w:vAlign w:val="bottom"/>
          </w:tcPr>
          <w:p>
            <w:pPr>
              <w:spacing w:after="0"/>
              <w:rPr>
                <w:sz w:val="20"/>
                <w:szCs w:val="20"/>
                <w:color w:val="auto"/>
              </w:rPr>
            </w:pPr>
            <w:r>
              <w:rPr>
                <w:rFonts w:ascii="Arial" w:cs="Arial" w:eastAsia="Arial" w:hAnsi="Arial"/>
                <w:sz w:val="18"/>
                <w:szCs w:val="18"/>
                <w:color w:val="auto"/>
              </w:rPr>
              <w:t>Raw materials</w:t>
            </w:r>
          </w:p>
        </w:tc>
        <w:tc>
          <w:tcPr>
            <w:tcW w:w="1760" w:type="dxa"/>
            <w:vAlign w:val="bottom"/>
            <w:gridSpan w:val="4"/>
          </w:tcPr>
          <w:p>
            <w:pPr>
              <w:jc w:val="right"/>
              <w:spacing w:after="0"/>
              <w:rPr>
                <w:sz w:val="20"/>
                <w:szCs w:val="20"/>
                <w:color w:val="auto"/>
              </w:rPr>
            </w:pPr>
            <w:r>
              <w:rPr>
                <w:rFonts w:ascii="Arial" w:cs="Arial" w:eastAsia="Arial" w:hAnsi="Arial"/>
                <w:sz w:val="18"/>
                <w:szCs w:val="18"/>
                <w:color w:val="auto"/>
              </w:rPr>
              <w:t>$2,490</w:t>
            </w:r>
          </w:p>
        </w:tc>
        <w:tc>
          <w:tcPr>
            <w:tcW w:w="22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$2,535</w:t>
            </w: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Work in process</w:t>
            </w:r>
          </w:p>
        </w:tc>
        <w:tc>
          <w:tcPr>
            <w:tcW w:w="1760" w:type="dxa"/>
            <w:vAlign w:val="bottom"/>
            <w:gridSpan w:val="4"/>
          </w:tcPr>
          <w:p>
            <w:pPr>
              <w:jc w:val="right"/>
              <w:ind w:right="20"/>
              <w:spacing w:after="0"/>
              <w:rPr>
                <w:sz w:val="20"/>
                <w:szCs w:val="20"/>
                <w:color w:val="auto"/>
              </w:rPr>
            </w:pPr>
            <w:r>
              <w:rPr>
                <w:rFonts w:ascii="Arial" w:cs="Arial" w:eastAsia="Arial" w:hAnsi="Arial"/>
                <w:sz w:val="18"/>
                <w:szCs w:val="18"/>
                <w:color w:val="auto"/>
              </w:rPr>
              <w:t>650</w:t>
            </w:r>
          </w:p>
        </w:tc>
        <w:tc>
          <w:tcPr>
            <w:tcW w:w="220" w:type="dxa"/>
            <w:vAlign w:val="bottom"/>
          </w:tcPr>
          <w:p>
            <w:pPr>
              <w:spacing w:after="0"/>
              <w:rPr>
                <w:sz w:val="21"/>
                <w:szCs w:val="21"/>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295</w:t>
            </w: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Inventory consigned to others</w:t>
            </w:r>
          </w:p>
        </w:tc>
        <w:tc>
          <w:tcPr>
            <w:tcW w:w="1760" w:type="dxa"/>
            <w:vAlign w:val="bottom"/>
            <w:gridSpan w:val="4"/>
          </w:tcPr>
          <w:p>
            <w:pPr>
              <w:jc w:val="right"/>
              <w:spacing w:after="0"/>
              <w:rPr>
                <w:sz w:val="20"/>
                <w:szCs w:val="20"/>
                <w:color w:val="auto"/>
              </w:rPr>
            </w:pPr>
            <w:r>
              <w:rPr>
                <w:rFonts w:ascii="Arial" w:cs="Arial" w:eastAsia="Arial" w:hAnsi="Arial"/>
                <w:sz w:val="14"/>
                <w:szCs w:val="14"/>
                <w:color w:val="auto"/>
              </w:rPr>
              <w:t>109</w:t>
            </w:r>
          </w:p>
        </w:tc>
        <w:tc>
          <w:tcPr>
            <w:tcW w:w="22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119</w:t>
            </w:r>
          </w:p>
        </w:tc>
      </w:tr>
      <w:tr>
        <w:trPr>
          <w:trHeight w:val="205"/>
        </w:trPr>
        <w:tc>
          <w:tcPr>
            <w:tcW w:w="3320" w:type="dxa"/>
            <w:vAlign w:val="bottom"/>
          </w:tcPr>
          <w:p>
            <w:pPr>
              <w:spacing w:after="0" w:line="205" w:lineRule="exact"/>
              <w:rPr>
                <w:sz w:val="20"/>
                <w:szCs w:val="20"/>
                <w:color w:val="auto"/>
              </w:rPr>
            </w:pPr>
            <w:r>
              <w:rPr>
                <w:rFonts w:ascii="Arial" w:cs="Arial" w:eastAsia="Arial" w:hAnsi="Arial"/>
                <w:sz w:val="18"/>
                <w:szCs w:val="18"/>
                <w:color w:val="auto"/>
              </w:rPr>
              <w:t>Finished goods</w:t>
            </w:r>
          </w:p>
        </w:tc>
        <w:tc>
          <w:tcPr>
            <w:tcW w:w="1280" w:type="dxa"/>
            <w:vAlign w:val="bottom"/>
            <w:gridSpan w:val="2"/>
          </w:tcPr>
          <w:p>
            <w:pPr>
              <w:spacing w:after="0"/>
              <w:rPr>
                <w:sz w:val="17"/>
                <w:szCs w:val="17"/>
                <w:color w:val="auto"/>
              </w:rPr>
            </w:pPr>
          </w:p>
        </w:tc>
        <w:tc>
          <w:tcPr>
            <w:tcW w:w="48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148</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571</w:t>
            </w:r>
          </w:p>
        </w:tc>
      </w:tr>
      <w:tr>
        <w:trPr>
          <w:trHeight w:val="466"/>
        </w:trPr>
        <w:tc>
          <w:tcPr>
            <w:tcW w:w="3320" w:type="dxa"/>
            <w:vAlign w:val="bottom"/>
          </w:tcPr>
          <w:p>
            <w:pPr>
              <w:spacing w:after="0"/>
              <w:rPr>
                <w:sz w:val="20"/>
                <w:szCs w:val="20"/>
                <w:color w:val="auto"/>
              </w:rPr>
            </w:pPr>
            <w:r>
              <w:rPr>
                <w:rFonts w:ascii="Arial" w:cs="Arial" w:eastAsia="Arial" w:hAnsi="Arial"/>
                <w:sz w:val="18"/>
                <w:szCs w:val="18"/>
                <w:color w:val="auto"/>
              </w:rPr>
              <w:t>Total inventories</w:t>
            </w:r>
          </w:p>
        </w:tc>
        <w:tc>
          <w:tcPr>
            <w:tcW w:w="17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3,397</w:t>
            </w:r>
          </w:p>
        </w:tc>
        <w:tc>
          <w:tcPr>
            <w:tcW w:w="22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3,520</w:t>
            </w:r>
          </w:p>
        </w:tc>
      </w:tr>
      <w:tr>
        <w:trPr>
          <w:trHeight w:val="20"/>
        </w:trPr>
        <w:tc>
          <w:tcPr>
            <w:tcW w:w="3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sz w:val="20"/>
          <w:szCs w:val="20"/>
          <w:color w:val="auto"/>
        </w:rPr>
      </w:pPr>
    </w:p>
    <w:p>
      <w:pPr>
        <w:ind w:left="540" w:right="140"/>
        <w:spacing w:after="0" w:line="256" w:lineRule="auto"/>
        <w:rPr>
          <w:sz w:val="20"/>
          <w:szCs w:val="20"/>
          <w:color w:val="auto"/>
        </w:rPr>
      </w:pPr>
      <w:r>
        <w:rPr>
          <w:rFonts w:ascii="Arial" w:cs="Arial" w:eastAsia="Arial" w:hAnsi="Arial"/>
          <w:sz w:val="18"/>
          <w:szCs w:val="18"/>
          <w:color w:val="auto"/>
        </w:rPr>
        <w:t>We have issued letters of credit as the security deposits for certain of our domestic leases. These letters of credit are secured by pledged certificates of deposit which are classified as Restricted Certificates of Deposit on our balance sheets. The terms of our leases require us to renew these letters of credit at least 30 days prior to their expiration dates for successive terms of not less than one year until lease expiration. Our outstanding letters of credit at September 30, 2016 and December 31, 2015 consisted of the following:</w:t>
      </w:r>
    </w:p>
    <w:p>
      <w:pPr>
        <w:spacing w:after="0" w:line="196"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7"/>
          </w:tcPr>
          <w:p>
            <w:pPr>
              <w:jc w:val="right"/>
              <w:ind w:right="300"/>
              <w:spacing w:after="0"/>
              <w:rPr>
                <w:sz w:val="20"/>
                <w:szCs w:val="20"/>
                <w:color w:val="auto"/>
              </w:rPr>
            </w:pPr>
            <w:r>
              <w:rPr>
                <w:rFonts w:ascii="Arial" w:cs="Arial" w:eastAsia="Arial" w:hAnsi="Arial"/>
                <w:sz w:val="14"/>
                <w:szCs w:val="14"/>
                <w:b w:val="1"/>
                <w:bCs w:val="1"/>
                <w:i w:val="1"/>
                <w:iCs w:val="1"/>
                <w:color w:val="auto"/>
                <w:w w:val="90"/>
              </w:rPr>
              <w:t>Letters of Credit</w:t>
            </w:r>
          </w:p>
        </w:tc>
      </w:tr>
      <w:tr>
        <w:trPr>
          <w:trHeight w:val="146"/>
        </w:trPr>
        <w:tc>
          <w:tcPr>
            <w:tcW w:w="2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center"/>
              <w:ind w:right="380"/>
              <w:spacing w:after="0" w:line="146" w:lineRule="exact"/>
              <w:rPr>
                <w:sz w:val="20"/>
                <w:szCs w:val="20"/>
                <w:color w:val="auto"/>
              </w:rPr>
            </w:pPr>
            <w:r>
              <w:rPr>
                <w:rFonts w:ascii="Arial" w:cs="Arial" w:eastAsia="Arial" w:hAnsi="Arial"/>
                <w:sz w:val="14"/>
                <w:szCs w:val="14"/>
                <w:b w:val="1"/>
                <w:bCs w:val="1"/>
                <w:i w:val="1"/>
                <w:iCs w:val="1"/>
                <w:color w:val="auto"/>
                <w:w w:val="97"/>
              </w:rPr>
              <w:t>L/C</w:t>
            </w:r>
          </w:p>
        </w:tc>
        <w:tc>
          <w:tcPr>
            <w:tcW w:w="280" w:type="dxa"/>
            <w:vAlign w:val="bottom"/>
          </w:tcPr>
          <w:p>
            <w:pPr>
              <w:spacing w:after="0"/>
              <w:rPr>
                <w:sz w:val="12"/>
                <w:szCs w:val="12"/>
                <w:color w:val="auto"/>
              </w:rPr>
            </w:pPr>
          </w:p>
        </w:tc>
        <w:tc>
          <w:tcPr>
            <w:tcW w:w="880" w:type="dxa"/>
            <w:vAlign w:val="bottom"/>
            <w:gridSpan w:val="2"/>
          </w:tcPr>
          <w:p>
            <w:pPr>
              <w:jc w:val="center"/>
              <w:ind w:right="360"/>
              <w:spacing w:after="0" w:line="146" w:lineRule="exact"/>
              <w:rPr>
                <w:sz w:val="20"/>
                <w:szCs w:val="20"/>
                <w:color w:val="auto"/>
              </w:rPr>
            </w:pPr>
            <w:r>
              <w:rPr>
                <w:rFonts w:ascii="Arial" w:cs="Arial" w:eastAsia="Arial" w:hAnsi="Arial"/>
                <w:sz w:val="14"/>
                <w:szCs w:val="14"/>
                <w:b w:val="1"/>
                <w:bCs w:val="1"/>
                <w:i w:val="1"/>
                <w:iCs w:val="1"/>
                <w:color w:val="auto"/>
                <w:w w:val="80"/>
              </w:rPr>
              <w:t>Lease</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Borders>
              <w:bottom w:val="single" w:sz="8" w:color="auto"/>
            </w:tcBorders>
            <w:gridSpan w:val="6"/>
          </w:tcPr>
          <w:p>
            <w:pPr>
              <w:ind w:left="60"/>
              <w:spacing w:after="0" w:line="146" w:lineRule="exact"/>
              <w:rPr>
                <w:sz w:val="20"/>
                <w:szCs w:val="20"/>
                <w:color w:val="auto"/>
              </w:rPr>
            </w:pPr>
            <w:r>
              <w:rPr>
                <w:rFonts w:ascii="Arial" w:cs="Arial" w:eastAsia="Arial" w:hAnsi="Arial"/>
                <w:sz w:val="14"/>
                <w:szCs w:val="14"/>
                <w:b w:val="1"/>
                <w:bCs w:val="1"/>
                <w:i w:val="1"/>
                <w:iCs w:val="1"/>
                <w:color w:val="auto"/>
                <w:w w:val="87"/>
              </w:rPr>
              <w:t>Amount Outstanding</w:t>
            </w:r>
          </w:p>
        </w:tc>
        <w:tc>
          <w:tcPr>
            <w:tcW w:w="100" w:type="dxa"/>
            <w:vAlign w:val="bottom"/>
            <w:gridSpan w:val="2"/>
          </w:tcPr>
          <w:p>
            <w:pPr>
              <w:spacing w:after="0"/>
              <w:rPr>
                <w:sz w:val="12"/>
                <w:szCs w:val="12"/>
                <w:color w:val="auto"/>
              </w:rPr>
            </w:pPr>
          </w:p>
        </w:tc>
      </w:tr>
      <w:tr>
        <w:trPr>
          <w:trHeight w:val="158"/>
        </w:trPr>
        <w:tc>
          <w:tcPr>
            <w:tcW w:w="2180" w:type="dxa"/>
            <w:vAlign w:val="bottom"/>
          </w:tcPr>
          <w:p>
            <w:pPr>
              <w:spacing w:after="0"/>
              <w:rPr>
                <w:sz w:val="13"/>
                <w:szCs w:val="13"/>
                <w:color w:val="auto"/>
              </w:rPr>
            </w:pPr>
          </w:p>
        </w:tc>
        <w:tc>
          <w:tcPr>
            <w:tcW w:w="2100" w:type="dxa"/>
            <w:vAlign w:val="bottom"/>
            <w:gridSpan w:val="3"/>
          </w:tcPr>
          <w:p>
            <w:pPr>
              <w:jc w:val="right"/>
              <w:ind w:right="220"/>
              <w:spacing w:after="0" w:line="158" w:lineRule="exact"/>
              <w:rPr>
                <w:sz w:val="20"/>
                <w:szCs w:val="20"/>
                <w:color w:val="auto"/>
              </w:rPr>
            </w:pPr>
            <w:r>
              <w:rPr>
                <w:rFonts w:ascii="Arial" w:cs="Arial" w:eastAsia="Arial" w:hAnsi="Arial"/>
                <w:sz w:val="14"/>
                <w:szCs w:val="14"/>
                <w:b w:val="1"/>
                <w:bCs w:val="1"/>
                <w:i w:val="1"/>
                <w:iCs w:val="1"/>
                <w:color w:val="auto"/>
              </w:rPr>
              <w:t>Original L/C</w:t>
            </w:r>
          </w:p>
        </w:tc>
        <w:tc>
          <w:tcPr>
            <w:tcW w:w="124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i w:val="1"/>
                <w:iCs w:val="1"/>
                <w:color w:val="auto"/>
                <w:w w:val="87"/>
              </w:rPr>
              <w:t>Expiration</w:t>
            </w:r>
          </w:p>
        </w:tc>
        <w:tc>
          <w:tcPr>
            <w:tcW w:w="1160" w:type="dxa"/>
            <w:vAlign w:val="bottom"/>
            <w:gridSpan w:val="3"/>
          </w:tcPr>
          <w:p>
            <w:pPr>
              <w:ind w:left="240"/>
              <w:spacing w:after="0" w:line="158" w:lineRule="exact"/>
              <w:rPr>
                <w:sz w:val="20"/>
                <w:szCs w:val="20"/>
                <w:color w:val="auto"/>
              </w:rPr>
            </w:pPr>
            <w:r>
              <w:rPr>
                <w:rFonts w:ascii="Arial" w:cs="Arial" w:eastAsia="Arial" w:hAnsi="Arial"/>
                <w:sz w:val="14"/>
                <w:szCs w:val="14"/>
                <w:b w:val="1"/>
                <w:bCs w:val="1"/>
                <w:i w:val="1"/>
                <w:iCs w:val="1"/>
                <w:color w:val="auto"/>
              </w:rPr>
              <w:t>Expiration</w:t>
            </w:r>
          </w:p>
        </w:tc>
        <w:tc>
          <w:tcPr>
            <w:tcW w:w="1140" w:type="dxa"/>
            <w:vAlign w:val="bottom"/>
            <w:gridSpan w:val="6"/>
          </w:tcPr>
          <w:p>
            <w:pPr>
              <w:ind w:left="200"/>
              <w:spacing w:after="0" w:line="158" w:lineRule="exact"/>
              <w:rPr>
                <w:sz w:val="20"/>
                <w:szCs w:val="20"/>
                <w:color w:val="auto"/>
              </w:rPr>
            </w:pPr>
            <w:r>
              <w:rPr>
                <w:rFonts w:ascii="Arial" w:cs="Arial" w:eastAsia="Arial" w:hAnsi="Arial"/>
                <w:sz w:val="14"/>
                <w:szCs w:val="14"/>
                <w:b w:val="1"/>
                <w:bCs w:val="1"/>
                <w:i w:val="1"/>
                <w:iCs w:val="1"/>
                <w:color w:val="auto"/>
              </w:rPr>
              <w:t>Sept. 30,</w:t>
            </w:r>
          </w:p>
        </w:tc>
        <w:tc>
          <w:tcPr>
            <w:tcW w:w="520" w:type="dxa"/>
            <w:vAlign w:val="bottom"/>
            <w:gridSpan w:val="4"/>
          </w:tcPr>
          <w:p>
            <w:pPr>
              <w:jc w:val="right"/>
              <w:ind w:right="60"/>
              <w:spacing w:after="0" w:line="158" w:lineRule="exact"/>
              <w:rPr>
                <w:sz w:val="20"/>
                <w:szCs w:val="20"/>
                <w:color w:val="auto"/>
              </w:rPr>
            </w:pPr>
            <w:r>
              <w:rPr>
                <w:rFonts w:ascii="Arial" w:cs="Arial" w:eastAsia="Arial" w:hAnsi="Arial"/>
                <w:sz w:val="14"/>
                <w:szCs w:val="14"/>
                <w:b w:val="1"/>
                <w:bCs w:val="1"/>
                <w:i w:val="1"/>
                <w:iCs w:val="1"/>
                <w:color w:val="auto"/>
                <w:w w:val="83"/>
              </w:rPr>
              <w:t>Dec. 31,</w:t>
            </w:r>
          </w:p>
        </w:tc>
      </w:tr>
      <w:tr>
        <w:trPr>
          <w:trHeight w:val="146"/>
        </w:trPr>
        <w:tc>
          <w:tcPr>
            <w:tcW w:w="2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60" w:type="dxa"/>
            <w:vAlign w:val="bottom"/>
            <w:gridSpan w:val="2"/>
          </w:tcPr>
          <w:p>
            <w:pPr>
              <w:jc w:val="right"/>
              <w:ind w:right="280"/>
              <w:spacing w:after="0" w:line="146" w:lineRule="exact"/>
              <w:rPr>
                <w:sz w:val="20"/>
                <w:szCs w:val="20"/>
                <w:color w:val="auto"/>
              </w:rPr>
            </w:pPr>
            <w:r>
              <w:rPr>
                <w:rFonts w:ascii="Arial" w:cs="Arial" w:eastAsia="Arial" w:hAnsi="Arial"/>
                <w:sz w:val="14"/>
                <w:szCs w:val="14"/>
                <w:b w:val="1"/>
                <w:bCs w:val="1"/>
                <w:i w:val="1"/>
                <w:iCs w:val="1"/>
                <w:color w:val="auto"/>
                <w:w w:val="79"/>
              </w:rPr>
              <w:t>Issue Date</w:t>
            </w:r>
          </w:p>
        </w:tc>
        <w:tc>
          <w:tcPr>
            <w:tcW w:w="320" w:type="dxa"/>
            <w:vAlign w:val="bottom"/>
          </w:tcPr>
          <w:p>
            <w:pPr>
              <w:spacing w:after="0"/>
              <w:rPr>
                <w:sz w:val="12"/>
                <w:szCs w:val="12"/>
                <w:color w:val="auto"/>
              </w:rPr>
            </w:pPr>
          </w:p>
        </w:tc>
        <w:tc>
          <w:tcPr>
            <w:tcW w:w="920" w:type="dxa"/>
            <w:vAlign w:val="bottom"/>
            <w:gridSpan w:val="2"/>
          </w:tcPr>
          <w:p>
            <w:pPr>
              <w:jc w:val="center"/>
              <w:ind w:right="380"/>
              <w:spacing w:after="0" w:line="146" w:lineRule="exact"/>
              <w:rPr>
                <w:sz w:val="20"/>
                <w:szCs w:val="20"/>
                <w:color w:val="auto"/>
              </w:rPr>
            </w:pPr>
            <w:r>
              <w:rPr>
                <w:rFonts w:ascii="Arial" w:cs="Arial" w:eastAsia="Arial" w:hAnsi="Arial"/>
                <w:sz w:val="14"/>
                <w:szCs w:val="14"/>
                <w:b w:val="1"/>
                <w:bCs w:val="1"/>
                <w:i w:val="1"/>
                <w:iCs w:val="1"/>
                <w:color w:val="auto"/>
                <w:w w:val="85"/>
              </w:rPr>
              <w:t>Date</w:t>
            </w:r>
          </w:p>
        </w:tc>
        <w:tc>
          <w:tcPr>
            <w:tcW w:w="280" w:type="dxa"/>
            <w:vAlign w:val="bottom"/>
          </w:tcPr>
          <w:p>
            <w:pPr>
              <w:spacing w:after="0"/>
              <w:rPr>
                <w:sz w:val="12"/>
                <w:szCs w:val="12"/>
                <w:color w:val="auto"/>
              </w:rPr>
            </w:pPr>
          </w:p>
        </w:tc>
        <w:tc>
          <w:tcPr>
            <w:tcW w:w="88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i w:val="1"/>
                <w:iCs w:val="1"/>
                <w:color w:val="auto"/>
                <w:w w:val="85"/>
              </w:rPr>
              <w:t>Date</w:t>
            </w:r>
          </w:p>
        </w:tc>
        <w:tc>
          <w:tcPr>
            <w:tcW w:w="680" w:type="dxa"/>
            <w:vAlign w:val="bottom"/>
            <w:gridSpan w:val="4"/>
          </w:tcPr>
          <w:p>
            <w:pPr>
              <w:ind w:left="300"/>
              <w:spacing w:after="0" w:line="146" w:lineRule="exact"/>
              <w:rPr>
                <w:sz w:val="20"/>
                <w:szCs w:val="20"/>
                <w:color w:val="auto"/>
              </w:rPr>
            </w:pPr>
            <w:r>
              <w:rPr>
                <w:rFonts w:ascii="Arial" w:cs="Arial" w:eastAsia="Arial" w:hAnsi="Arial"/>
                <w:sz w:val="14"/>
                <w:szCs w:val="14"/>
                <w:b w:val="1"/>
                <w:bCs w:val="1"/>
                <w:i w:val="1"/>
                <w:iCs w:val="1"/>
                <w:color w:val="auto"/>
              </w:rPr>
              <w:t>2016</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gridSpan w:val="2"/>
          </w:tcPr>
          <w:p>
            <w:pPr>
              <w:jc w:val="right"/>
              <w:spacing w:after="0" w:line="146" w:lineRule="exact"/>
              <w:rPr>
                <w:sz w:val="20"/>
                <w:szCs w:val="20"/>
                <w:color w:val="auto"/>
              </w:rPr>
            </w:pPr>
            <w:r>
              <w:rPr>
                <w:rFonts w:ascii="Arial" w:cs="Arial" w:eastAsia="Arial" w:hAnsi="Arial"/>
                <w:sz w:val="14"/>
                <w:szCs w:val="14"/>
                <w:b w:val="1"/>
                <w:bCs w:val="1"/>
                <w:i w:val="1"/>
                <w:iCs w:val="1"/>
                <w:color w:val="auto"/>
              </w:rPr>
              <w:t>2015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2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5"/>
        </w:trPr>
        <w:tc>
          <w:tcPr>
            <w:tcW w:w="2180" w:type="dxa"/>
            <w:vAlign w:val="bottom"/>
          </w:tcPr>
          <w:p>
            <w:pPr>
              <w:spacing w:after="0"/>
              <w:rPr>
                <w:sz w:val="20"/>
                <w:szCs w:val="20"/>
                <w:color w:val="auto"/>
              </w:rPr>
            </w:pPr>
            <w:r>
              <w:rPr>
                <w:rFonts w:ascii="Arial" w:cs="Arial" w:eastAsia="Arial" w:hAnsi="Arial"/>
                <w:sz w:val="18"/>
                <w:szCs w:val="18"/>
                <w:color w:val="auto"/>
              </w:rPr>
              <w:t>Mt. Laurel, NJ</w:t>
            </w:r>
          </w:p>
        </w:tc>
        <w:tc>
          <w:tcPr>
            <w:tcW w:w="2100" w:type="dxa"/>
            <w:vAlign w:val="bottom"/>
            <w:gridSpan w:val="3"/>
          </w:tcPr>
          <w:p>
            <w:pPr>
              <w:jc w:val="right"/>
              <w:ind w:right="200"/>
              <w:spacing w:after="0"/>
              <w:rPr>
                <w:sz w:val="20"/>
                <w:szCs w:val="20"/>
                <w:color w:val="auto"/>
              </w:rPr>
            </w:pPr>
            <w:r>
              <w:rPr>
                <w:rFonts w:ascii="Arial" w:cs="Arial" w:eastAsia="Arial" w:hAnsi="Arial"/>
                <w:sz w:val="18"/>
                <w:szCs w:val="18"/>
                <w:color w:val="auto"/>
              </w:rPr>
              <w:t>3/29/2010</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3/31/2017</w:t>
            </w:r>
          </w:p>
        </w:tc>
        <w:tc>
          <w:tcPr>
            <w:tcW w:w="1160" w:type="dxa"/>
            <w:vAlign w:val="bottom"/>
            <w:gridSpan w:val="3"/>
          </w:tcPr>
          <w:p>
            <w:pPr>
              <w:ind w:left="240"/>
              <w:spacing w:after="0"/>
              <w:rPr>
                <w:sz w:val="20"/>
                <w:szCs w:val="20"/>
                <w:color w:val="auto"/>
              </w:rPr>
            </w:pPr>
            <w:r>
              <w:rPr>
                <w:rFonts w:ascii="Arial" w:cs="Arial" w:eastAsia="Arial" w:hAnsi="Arial"/>
                <w:sz w:val="18"/>
                <w:szCs w:val="18"/>
                <w:color w:val="auto"/>
              </w:rPr>
              <w:t>4/30/2021</w:t>
            </w: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$125</w:t>
            </w:r>
          </w:p>
        </w:tc>
        <w:tc>
          <w:tcPr>
            <w:tcW w:w="420" w:type="dxa"/>
            <w:vAlign w:val="bottom"/>
          </w:tcPr>
          <w:p>
            <w:pPr>
              <w:spacing w:after="0"/>
              <w:rPr>
                <w:sz w:val="20"/>
                <w:szCs w:val="20"/>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$250</w:t>
            </w:r>
          </w:p>
        </w:tc>
      </w:tr>
      <w:tr>
        <w:trPr>
          <w:trHeight w:val="205"/>
        </w:trPr>
        <w:tc>
          <w:tcPr>
            <w:tcW w:w="2180" w:type="dxa"/>
            <w:vAlign w:val="bottom"/>
          </w:tcPr>
          <w:p>
            <w:pPr>
              <w:spacing w:after="0" w:line="205" w:lineRule="exact"/>
              <w:rPr>
                <w:sz w:val="20"/>
                <w:szCs w:val="20"/>
                <w:color w:val="auto"/>
              </w:rPr>
            </w:pPr>
            <w:r>
              <w:rPr>
                <w:rFonts w:ascii="Arial" w:cs="Arial" w:eastAsia="Arial" w:hAnsi="Arial"/>
                <w:sz w:val="18"/>
                <w:szCs w:val="18"/>
                <w:color w:val="auto"/>
              </w:rPr>
              <w:t>Mansfield, MA</w:t>
            </w:r>
          </w:p>
        </w:tc>
        <w:tc>
          <w:tcPr>
            <w:tcW w:w="2100" w:type="dxa"/>
            <w:vAlign w:val="bottom"/>
            <w:gridSpan w:val="3"/>
          </w:tcPr>
          <w:p>
            <w:pPr>
              <w:jc w:val="right"/>
              <w:ind w:right="200"/>
              <w:spacing w:after="0" w:line="205" w:lineRule="exact"/>
              <w:rPr>
                <w:sz w:val="20"/>
                <w:szCs w:val="20"/>
                <w:color w:val="auto"/>
              </w:rPr>
            </w:pPr>
            <w:r>
              <w:rPr>
                <w:rFonts w:ascii="Arial" w:cs="Arial" w:eastAsia="Arial" w:hAnsi="Arial"/>
                <w:sz w:val="18"/>
                <w:szCs w:val="18"/>
                <w:color w:val="auto"/>
              </w:rPr>
              <w:t>10/27/2010</w:t>
            </w:r>
          </w:p>
        </w:tc>
        <w:tc>
          <w:tcPr>
            <w:tcW w:w="1240" w:type="dxa"/>
            <w:vAlign w:val="bottom"/>
            <w:gridSpan w:val="3"/>
          </w:tcPr>
          <w:p>
            <w:pPr>
              <w:jc w:val="right"/>
              <w:ind w:right="240"/>
              <w:spacing w:after="0" w:line="205" w:lineRule="exact"/>
              <w:rPr>
                <w:sz w:val="20"/>
                <w:szCs w:val="20"/>
                <w:color w:val="auto"/>
              </w:rPr>
            </w:pPr>
            <w:r>
              <w:rPr>
                <w:rFonts w:ascii="Arial" w:cs="Arial" w:eastAsia="Arial" w:hAnsi="Arial"/>
                <w:sz w:val="18"/>
                <w:szCs w:val="18"/>
                <w:color w:val="auto"/>
              </w:rPr>
              <w:t>11/08/2016</w:t>
            </w:r>
          </w:p>
        </w:tc>
        <w:tc>
          <w:tcPr>
            <w:tcW w:w="1160" w:type="dxa"/>
            <w:vAlign w:val="bottom"/>
            <w:gridSpan w:val="3"/>
          </w:tcPr>
          <w:p>
            <w:pPr>
              <w:ind w:left="240"/>
              <w:spacing w:after="0" w:line="205" w:lineRule="exact"/>
              <w:rPr>
                <w:sz w:val="20"/>
                <w:szCs w:val="20"/>
                <w:color w:val="auto"/>
              </w:rPr>
            </w:pPr>
            <w:r>
              <w:rPr>
                <w:rFonts w:ascii="Arial" w:cs="Arial" w:eastAsia="Arial" w:hAnsi="Arial"/>
                <w:sz w:val="18"/>
                <w:szCs w:val="18"/>
                <w:color w:val="auto"/>
              </w:rPr>
              <w:t>8/23/2021</w:t>
            </w:r>
          </w:p>
        </w:tc>
        <w:tc>
          <w:tcPr>
            <w:tcW w:w="360" w:type="dxa"/>
            <w:vAlign w:val="bottom"/>
            <w:gridSpan w:val="3"/>
          </w:tcPr>
          <w:p>
            <w:pPr>
              <w:spacing w:after="0"/>
              <w:rPr>
                <w:sz w:val="17"/>
                <w:szCs w:val="17"/>
                <w:color w:val="auto"/>
              </w:rPr>
            </w:pPr>
          </w:p>
        </w:tc>
        <w:tc>
          <w:tcPr>
            <w:tcW w:w="36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100</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100</w:t>
            </w:r>
          </w:p>
        </w:tc>
      </w:tr>
      <w:tr>
        <w:trPr>
          <w:trHeight w:val="223"/>
        </w:trPr>
        <w:tc>
          <w:tcPr>
            <w:tcW w:w="2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gridSpan w:val="3"/>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225</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350</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91" w:lineRule="exact"/>
        <w:rPr>
          <w:sz w:val="20"/>
          <w:szCs w:val="20"/>
          <w:color w:val="auto"/>
        </w:rPr>
      </w:pPr>
    </w:p>
    <w:p>
      <w:pPr>
        <w:ind w:left="540" w:right="140"/>
        <w:spacing w:after="0" w:line="268" w:lineRule="auto"/>
        <w:rPr>
          <w:sz w:val="20"/>
          <w:szCs w:val="20"/>
          <w:color w:val="auto"/>
        </w:rPr>
      </w:pPr>
      <w:r>
        <w:rPr>
          <w:rFonts w:ascii="Arial" w:cs="Arial" w:eastAsia="Arial" w:hAnsi="Arial"/>
          <w:sz w:val="18"/>
          <w:szCs w:val="18"/>
          <w:color w:val="auto"/>
        </w:rPr>
        <w:t>As of September 30, 2016, we have unvested restricted stock awards and stock options granted under employee stock-based compensation plans that are described more fully in Note 12 to the consolidated financial statements in our 2015 Form 10-K.</w:t>
      </w:r>
    </w:p>
    <w:p>
      <w:pPr>
        <w:spacing w:after="0" w:line="186" w:lineRule="exact"/>
        <w:rPr>
          <w:sz w:val="20"/>
          <w:szCs w:val="20"/>
          <w:color w:val="auto"/>
        </w:rPr>
      </w:pPr>
    </w:p>
    <w:p>
      <w:pPr>
        <w:ind w:left="540" w:right="100"/>
        <w:spacing w:after="0" w:line="335" w:lineRule="auto"/>
        <w:rPr>
          <w:sz w:val="20"/>
          <w:szCs w:val="20"/>
          <w:color w:val="auto"/>
        </w:rPr>
      </w:pPr>
      <w:r>
        <w:rPr>
          <w:rFonts w:ascii="Arial" w:cs="Arial" w:eastAsia="Arial" w:hAnsi="Arial"/>
          <w:sz w:val="15"/>
          <w:szCs w:val="15"/>
          <w:color w:val="auto"/>
        </w:rPr>
        <w:t>As of September 30, 2016, total unrecognized compensation expense related to unvested restricted stock awards and stock options was $362. The weighted average period over which this expense is expected to be recognized is 2.5 years. The following table shows the allocation of the compensation expense we recorded during the three and nine months ended September 30, 2016 and 2015, respectively, related to stock-based compensation:</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  STOCK-BASED COMPENSATION </w:t>
      </w:r>
      <w:r>
        <w:rPr>
          <w:rFonts w:ascii="Arial" w:cs="Arial" w:eastAsia="Arial" w:hAnsi="Arial"/>
          <w:sz w:val="18"/>
          <w:szCs w:val="18"/>
          <w:color w:val="auto"/>
        </w:rPr>
        <w:t>(Continued)</w:t>
      </w:r>
    </w:p>
    <w:p>
      <w:pPr>
        <w:spacing w:after="0" w:line="230"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820" w:type="dxa"/>
            <w:vAlign w:val="bottom"/>
            <w:gridSpan w:val="9"/>
          </w:tcPr>
          <w:p>
            <w:pPr>
              <w:jc w:val="center"/>
              <w:ind w:left="362"/>
              <w:spacing w:after="0"/>
              <w:rPr>
                <w:sz w:val="20"/>
                <w:szCs w:val="20"/>
                <w:color w:val="auto"/>
              </w:rPr>
            </w:pPr>
            <w:r>
              <w:rPr>
                <w:rFonts w:ascii="Arial" w:cs="Arial" w:eastAsia="Arial" w:hAnsi="Arial"/>
                <w:sz w:val="14"/>
                <w:szCs w:val="14"/>
                <w:b w:val="1"/>
                <w:bCs w:val="1"/>
                <w:i w:val="1"/>
                <w:iCs w:val="1"/>
                <w:color w:val="auto"/>
                <w:w w:val="85"/>
              </w:rPr>
              <w:t>Three Months Ended</w:t>
            </w:r>
          </w:p>
        </w:tc>
        <w:tc>
          <w:tcPr>
            <w:tcW w:w="1620" w:type="dxa"/>
            <w:vAlign w:val="bottom"/>
            <w:gridSpan w:val="9"/>
          </w:tcPr>
          <w:p>
            <w:pPr>
              <w:jc w:val="right"/>
              <w:ind w:right="100"/>
              <w:spacing w:after="0"/>
              <w:rPr>
                <w:sz w:val="20"/>
                <w:szCs w:val="20"/>
                <w:color w:val="auto"/>
              </w:rPr>
            </w:pPr>
            <w:r>
              <w:rPr>
                <w:rFonts w:ascii="Arial" w:cs="Arial" w:eastAsia="Arial" w:hAnsi="Arial"/>
                <w:sz w:val="14"/>
                <w:szCs w:val="14"/>
                <w:b w:val="1"/>
                <w:bCs w:val="1"/>
                <w:i w:val="1"/>
                <w:iCs w:val="1"/>
                <w:color w:val="auto"/>
              </w:rPr>
              <w:t>Nine Months Ended</w:t>
            </w:r>
          </w:p>
        </w:tc>
      </w:tr>
      <w:tr>
        <w:trPr>
          <w:trHeight w:val="146"/>
        </w:trPr>
        <w:tc>
          <w:tcPr>
            <w:tcW w:w="3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Sept. 30,</w:t>
            </w: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20"/>
              <w:spacing w:after="0" w:line="146" w:lineRule="exact"/>
              <w:rPr>
                <w:sz w:val="20"/>
                <w:szCs w:val="20"/>
                <w:color w:val="auto"/>
              </w:rPr>
            </w:pPr>
            <w:r>
              <w:rPr>
                <w:rFonts w:ascii="Arial" w:cs="Arial" w:eastAsia="Arial" w:hAnsi="Arial"/>
                <w:sz w:val="14"/>
                <w:szCs w:val="14"/>
                <w:b w:val="1"/>
                <w:bCs w:val="1"/>
                <w:i w:val="1"/>
                <w:iCs w:val="1"/>
                <w:color w:val="auto"/>
                <w:w w:val="83"/>
              </w:rPr>
              <w:t>Sept. 30,</w:t>
            </w:r>
          </w:p>
        </w:tc>
        <w:tc>
          <w:tcPr>
            <w:tcW w:w="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56"/>
        </w:trPr>
        <w:tc>
          <w:tcPr>
            <w:tcW w:w="3860" w:type="dxa"/>
            <w:vAlign w:val="bottom"/>
          </w:tcPr>
          <w:p>
            <w:pPr>
              <w:spacing w:after="0"/>
              <w:rPr>
                <w:sz w:val="13"/>
                <w:szCs w:val="13"/>
                <w:color w:val="auto"/>
              </w:rPr>
            </w:pPr>
          </w:p>
        </w:tc>
        <w:tc>
          <w:tcPr>
            <w:tcW w:w="1000" w:type="dxa"/>
            <w:vAlign w:val="bottom"/>
            <w:gridSpan w:val="4"/>
          </w:tcPr>
          <w:p>
            <w:pPr>
              <w:jc w:val="right"/>
              <w:ind w:right="72"/>
              <w:spacing w:after="0" w:line="155" w:lineRule="exact"/>
              <w:rPr>
                <w:sz w:val="20"/>
                <w:szCs w:val="20"/>
                <w:color w:val="auto"/>
              </w:rPr>
            </w:pPr>
            <w:r>
              <w:rPr>
                <w:rFonts w:ascii="Arial" w:cs="Arial" w:eastAsia="Arial" w:hAnsi="Arial"/>
                <w:sz w:val="14"/>
                <w:szCs w:val="14"/>
                <w:b w:val="1"/>
                <w:bCs w:val="1"/>
                <w:i w:val="1"/>
                <w:iCs w:val="1"/>
                <w:color w:val="auto"/>
              </w:rPr>
              <w:t>2016</w:t>
            </w:r>
          </w:p>
        </w:tc>
        <w:tc>
          <w:tcPr>
            <w:tcW w:w="400" w:type="dxa"/>
            <w:vAlign w:val="bottom"/>
          </w:tcPr>
          <w:p>
            <w:pPr>
              <w:spacing w:after="0"/>
              <w:rPr>
                <w:sz w:val="13"/>
                <w:szCs w:val="13"/>
                <w:color w:val="auto"/>
              </w:rPr>
            </w:pPr>
          </w:p>
        </w:tc>
        <w:tc>
          <w:tcPr>
            <w:tcW w:w="32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i w:val="1"/>
                <w:iCs w:val="1"/>
                <w:color w:val="auto"/>
                <w:w w:val="83"/>
              </w:rPr>
              <w:t>2015</w:t>
            </w:r>
          </w:p>
        </w:tc>
        <w:tc>
          <w:tcPr>
            <w:tcW w:w="100" w:type="dxa"/>
            <w:vAlign w:val="bottom"/>
          </w:tcPr>
          <w:p>
            <w:pPr>
              <w:spacing w:after="0"/>
              <w:rPr>
                <w:sz w:val="13"/>
                <w:szCs w:val="13"/>
                <w:color w:val="auto"/>
              </w:rPr>
            </w:pPr>
          </w:p>
        </w:tc>
        <w:tc>
          <w:tcPr>
            <w:tcW w:w="6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2016</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gridSpan w:val="3"/>
          </w:tcPr>
          <w:p>
            <w:pPr>
              <w:jc w:val="right"/>
              <w:ind w:right="20"/>
              <w:spacing w:after="0" w:line="155" w:lineRule="exact"/>
              <w:rPr>
                <w:sz w:val="20"/>
                <w:szCs w:val="20"/>
                <w:color w:val="auto"/>
              </w:rPr>
            </w:pPr>
            <w:r>
              <w:rPr>
                <w:rFonts w:ascii="Arial" w:cs="Arial" w:eastAsia="Arial" w:hAnsi="Arial"/>
                <w:sz w:val="14"/>
                <w:szCs w:val="14"/>
                <w:b w:val="1"/>
                <w:bCs w:val="1"/>
                <w:i w:val="1"/>
                <w:iCs w:val="1"/>
                <w:color w:val="auto"/>
                <w:w w:val="89"/>
              </w:rPr>
              <w:t>2015</w:t>
            </w:r>
          </w:p>
        </w:tc>
        <w:tc>
          <w:tcPr>
            <w:tcW w:w="100" w:type="dxa"/>
            <w:vAlign w:val="bottom"/>
          </w:tcPr>
          <w:p>
            <w:pPr>
              <w:spacing w:after="0"/>
              <w:rPr>
                <w:sz w:val="13"/>
                <w:szCs w:val="13"/>
                <w:color w:val="auto"/>
              </w:rPr>
            </w:pPr>
          </w:p>
        </w:tc>
      </w:tr>
      <w:tr>
        <w:trPr>
          <w:trHeight w:val="20"/>
        </w:trPr>
        <w:tc>
          <w:tcPr>
            <w:tcW w:w="3860" w:type="dxa"/>
            <w:vAlign w:val="bottom"/>
          </w:tcPr>
          <w:p>
            <w:pPr>
              <w:spacing w:after="0" w:line="20" w:lineRule="exact"/>
              <w:rPr>
                <w:sz w:val="1"/>
                <w:szCs w:val="1"/>
                <w:color w:val="auto"/>
              </w:rPr>
            </w:pPr>
          </w:p>
        </w:tc>
        <w:tc>
          <w:tcPr>
            <w:tcW w:w="640" w:type="dxa"/>
            <w:vAlign w:val="bottom"/>
            <w:tcBorders>
              <w:right w:val="single" w:sz="8" w:color="auto"/>
            </w:tcBorders>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tcBorders>
              <w:right w:val="single" w:sz="8" w:color="auto"/>
            </w:tcBorders>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35"/>
        </w:trPr>
        <w:tc>
          <w:tcPr>
            <w:tcW w:w="3860" w:type="dxa"/>
            <w:vAlign w:val="bottom"/>
          </w:tcPr>
          <w:p>
            <w:pPr>
              <w:spacing w:after="0"/>
              <w:rPr>
                <w:sz w:val="20"/>
                <w:szCs w:val="20"/>
                <w:color w:val="auto"/>
              </w:rPr>
            </w:pPr>
            <w:r>
              <w:rPr>
                <w:rFonts w:ascii="Arial" w:cs="Arial" w:eastAsia="Arial" w:hAnsi="Arial"/>
                <w:sz w:val="18"/>
                <w:szCs w:val="18"/>
                <w:color w:val="auto"/>
              </w:rPr>
              <w:t>Cost of revenues</w:t>
            </w:r>
          </w:p>
        </w:tc>
        <w:tc>
          <w:tcPr>
            <w:tcW w:w="640" w:type="dxa"/>
            <w:vAlign w:val="bottom"/>
            <w:gridSpan w:val="2"/>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$ 2</w:t>
            </w:r>
          </w:p>
        </w:tc>
        <w:tc>
          <w:tcPr>
            <w:tcW w:w="400" w:type="dxa"/>
            <w:vAlign w:val="bottom"/>
          </w:tcPr>
          <w:p>
            <w:pPr>
              <w:spacing w:after="0"/>
              <w:rPr>
                <w:sz w:val="20"/>
                <w:szCs w:val="20"/>
                <w:color w:val="auto"/>
              </w:rPr>
            </w:pP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$ 3</w:t>
            </w:r>
          </w:p>
        </w:tc>
        <w:tc>
          <w:tcPr>
            <w:tcW w:w="1200" w:type="dxa"/>
            <w:vAlign w:val="bottom"/>
            <w:gridSpan w:val="5"/>
          </w:tcPr>
          <w:p>
            <w:pPr>
              <w:jc w:val="right"/>
              <w:ind w:right="400"/>
              <w:spacing w:after="0"/>
              <w:rPr>
                <w:sz w:val="20"/>
                <w:szCs w:val="20"/>
                <w:color w:val="auto"/>
              </w:rPr>
            </w:pPr>
            <w:r>
              <w:rPr>
                <w:rFonts w:ascii="Arial" w:cs="Arial" w:eastAsia="Arial" w:hAnsi="Arial"/>
                <w:sz w:val="18"/>
                <w:szCs w:val="18"/>
                <w:color w:val="auto"/>
              </w:rPr>
              <w:t>$ 7</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$ 8</w:t>
            </w:r>
          </w:p>
        </w:tc>
      </w:tr>
      <w:tr>
        <w:trPr>
          <w:trHeight w:val="243"/>
        </w:trPr>
        <w:tc>
          <w:tcPr>
            <w:tcW w:w="3860" w:type="dxa"/>
            <w:vAlign w:val="bottom"/>
          </w:tcPr>
          <w:p>
            <w:pPr>
              <w:spacing w:after="0"/>
              <w:rPr>
                <w:sz w:val="20"/>
                <w:szCs w:val="20"/>
                <w:color w:val="auto"/>
              </w:rPr>
            </w:pPr>
            <w:r>
              <w:rPr>
                <w:rFonts w:ascii="Arial" w:cs="Arial" w:eastAsia="Arial" w:hAnsi="Arial"/>
                <w:sz w:val="18"/>
                <w:szCs w:val="18"/>
                <w:color w:val="auto"/>
              </w:rPr>
              <w:t>Selling expense</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1"/>
                <w:szCs w:val="21"/>
                <w:color w:val="auto"/>
              </w:rPr>
            </w:pP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1200" w:type="dxa"/>
            <w:vAlign w:val="bottom"/>
            <w:gridSpan w:val="5"/>
          </w:tcPr>
          <w:p>
            <w:pPr>
              <w:jc w:val="right"/>
              <w:ind w:right="400"/>
              <w:spacing w:after="0"/>
              <w:rPr>
                <w:sz w:val="20"/>
                <w:szCs w:val="20"/>
                <w:color w:val="auto"/>
              </w:rPr>
            </w:pPr>
            <w:r>
              <w:rPr>
                <w:rFonts w:ascii="Arial" w:cs="Arial" w:eastAsia="Arial" w:hAnsi="Arial"/>
                <w:sz w:val="18"/>
                <w:szCs w:val="18"/>
                <w:color w:val="auto"/>
              </w:rPr>
              <w:t>4</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3860" w:type="dxa"/>
            <w:vAlign w:val="bottom"/>
          </w:tcPr>
          <w:p>
            <w:pPr>
              <w:spacing w:after="0"/>
              <w:rPr>
                <w:sz w:val="20"/>
                <w:szCs w:val="20"/>
                <w:color w:val="auto"/>
              </w:rPr>
            </w:pPr>
            <w:r>
              <w:rPr>
                <w:rFonts w:ascii="Arial" w:cs="Arial" w:eastAsia="Arial" w:hAnsi="Arial"/>
                <w:sz w:val="18"/>
                <w:szCs w:val="18"/>
                <w:color w:val="auto"/>
              </w:rPr>
              <w:t>Engineering and product development expense</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1"/>
                <w:szCs w:val="21"/>
                <w:color w:val="auto"/>
              </w:rPr>
            </w:pP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1200" w:type="dxa"/>
            <w:vAlign w:val="bottom"/>
            <w:gridSpan w:val="5"/>
          </w:tcPr>
          <w:p>
            <w:pPr>
              <w:jc w:val="right"/>
              <w:ind w:right="400"/>
              <w:spacing w:after="0"/>
              <w:rPr>
                <w:sz w:val="20"/>
                <w:szCs w:val="20"/>
                <w:color w:val="auto"/>
              </w:rPr>
            </w:pPr>
            <w:r>
              <w:rPr>
                <w:rFonts w:ascii="Arial" w:cs="Arial" w:eastAsia="Arial" w:hAnsi="Arial"/>
                <w:sz w:val="18"/>
                <w:szCs w:val="18"/>
                <w:color w:val="auto"/>
              </w:rPr>
              <w:t>8</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7</w:t>
            </w:r>
          </w:p>
        </w:tc>
      </w:tr>
      <w:tr>
        <w:trPr>
          <w:trHeight w:val="205"/>
        </w:trPr>
        <w:tc>
          <w:tcPr>
            <w:tcW w:w="3860" w:type="dxa"/>
            <w:vAlign w:val="bottom"/>
          </w:tcPr>
          <w:p>
            <w:pPr>
              <w:spacing w:after="0" w:line="205" w:lineRule="exact"/>
              <w:rPr>
                <w:sz w:val="20"/>
                <w:szCs w:val="20"/>
                <w:color w:val="auto"/>
              </w:rPr>
            </w:pPr>
            <w:r>
              <w:rPr>
                <w:rFonts w:ascii="Arial" w:cs="Arial" w:eastAsia="Arial" w:hAnsi="Arial"/>
                <w:sz w:val="18"/>
                <w:szCs w:val="18"/>
                <w:color w:val="auto"/>
              </w:rPr>
              <w:t>General and administrative expense</w:t>
            </w:r>
          </w:p>
        </w:tc>
        <w:tc>
          <w:tcPr>
            <w:tcW w:w="640" w:type="dxa"/>
            <w:vAlign w:val="bottom"/>
            <w:gridSpan w:val="2"/>
          </w:tcPr>
          <w:p>
            <w:pPr>
              <w:spacing w:after="0"/>
              <w:rPr>
                <w:sz w:val="17"/>
                <w:szCs w:val="17"/>
                <w:color w:val="auto"/>
              </w:rPr>
            </w:pPr>
          </w:p>
        </w:tc>
        <w:tc>
          <w:tcPr>
            <w:tcW w:w="36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38</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24</w:t>
            </w:r>
          </w:p>
        </w:tc>
        <w:tc>
          <w:tcPr>
            <w:tcW w:w="460" w:type="dxa"/>
            <w:vAlign w:val="bottom"/>
            <w:gridSpan w:val="2"/>
          </w:tcPr>
          <w:p>
            <w:pPr>
              <w:spacing w:after="0"/>
              <w:rPr>
                <w:sz w:val="17"/>
                <w:szCs w:val="17"/>
                <w:color w:val="auto"/>
              </w:rPr>
            </w:pPr>
          </w:p>
        </w:tc>
        <w:tc>
          <w:tcPr>
            <w:tcW w:w="740" w:type="dxa"/>
            <w:vAlign w:val="bottom"/>
            <w:gridSpan w:val="3"/>
          </w:tcPr>
          <w:p>
            <w:pPr>
              <w:jc w:val="right"/>
              <w:ind w:right="400"/>
              <w:spacing w:after="0" w:line="205" w:lineRule="exact"/>
              <w:rPr>
                <w:sz w:val="20"/>
                <w:szCs w:val="20"/>
                <w:color w:val="auto"/>
              </w:rPr>
            </w:pPr>
            <w:r>
              <w:rPr>
                <w:rFonts w:ascii="Arial" w:cs="Arial" w:eastAsia="Arial" w:hAnsi="Arial"/>
                <w:sz w:val="18"/>
                <w:szCs w:val="18"/>
                <w:color w:val="auto"/>
              </w:rPr>
              <w:t>203</w:t>
            </w:r>
          </w:p>
        </w:tc>
        <w:tc>
          <w:tcPr>
            <w:tcW w:w="42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72</w:t>
            </w:r>
          </w:p>
        </w:tc>
      </w:tr>
      <w:tr>
        <w:trPr>
          <w:trHeight w:val="20"/>
        </w:trPr>
        <w:tc>
          <w:tcPr>
            <w:tcW w:w="38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r>
      <w:tr>
        <w:trPr>
          <w:trHeight w:val="223"/>
        </w:trPr>
        <w:tc>
          <w:tcPr>
            <w:tcW w:w="3860" w:type="dxa"/>
            <w:vAlign w:val="bottom"/>
          </w:tcPr>
          <w:p>
            <w:pPr>
              <w:spacing w:after="0"/>
              <w:rPr>
                <w:sz w:val="19"/>
                <w:szCs w:val="19"/>
                <w:color w:val="auto"/>
              </w:rPr>
            </w:pPr>
          </w:p>
        </w:tc>
        <w:tc>
          <w:tcPr>
            <w:tcW w:w="640" w:type="dxa"/>
            <w:vAlign w:val="bottom"/>
            <w:gridSpan w:val="2"/>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6"/>
              </w:rPr>
              <w:t>$ 44</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96"/>
              </w:rPr>
              <w:t>$ 30</w:t>
            </w:r>
          </w:p>
        </w:tc>
        <w:tc>
          <w:tcPr>
            <w:tcW w:w="1200" w:type="dxa"/>
            <w:vAlign w:val="bottom"/>
            <w:gridSpan w:val="5"/>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222</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$ 91</w:t>
            </w:r>
          </w:p>
        </w:tc>
      </w:tr>
      <w:tr>
        <w:trPr>
          <w:trHeight w:val="20"/>
        </w:trPr>
        <w:tc>
          <w:tcPr>
            <w:tcW w:w="3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bl>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was no compensation expense capitalized in the nine months ended September 30, 2016 or 2015.</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Restricted Stock Awards</w:t>
      </w:r>
    </w:p>
    <w:p>
      <w:pPr>
        <w:spacing w:after="0" w:line="225" w:lineRule="exact"/>
        <w:rPr>
          <w:sz w:val="20"/>
          <w:szCs w:val="20"/>
          <w:color w:val="auto"/>
        </w:rPr>
      </w:pPr>
    </w:p>
    <w:p>
      <w:pPr>
        <w:ind w:left="540"/>
        <w:spacing w:after="0" w:line="370" w:lineRule="auto"/>
        <w:rPr>
          <w:sz w:val="20"/>
          <w:szCs w:val="20"/>
          <w:color w:val="auto"/>
        </w:rPr>
      </w:pPr>
      <w:r>
        <w:rPr>
          <w:rFonts w:ascii="Arial" w:cs="Arial" w:eastAsia="Arial" w:hAnsi="Arial"/>
          <w:sz w:val="15"/>
          <w:szCs w:val="15"/>
          <w:color w:val="auto"/>
        </w:rPr>
        <w:t>We record compensation expense for restricted stock awards based on the quoted market price of our stock at the grant date and amortize the expense over the vesting period. Restricted stock awards generally vest over four years. However, during January 2016, we granted 22,500 shares of restricted stock to</w:t>
      </w:r>
    </w:p>
    <w:p>
      <w:pPr>
        <w:sectPr>
          <w:pgSz w:w="11900" w:h="17002" w:orient="portrait"/>
          <w:cols w:equalWidth="0" w:num="1">
            <w:col w:w="11400"/>
          </w:cols>
          <w:pgMar w:left="240" w:top="131" w:right="259" w:bottom="0" w:gutter="0" w:footer="0" w:header="0"/>
        </w:sectPr>
      </w:pPr>
    </w:p>
    <w:bookmarkStart w:id="10" w:name="page11"/>
    <w:bookmarkEnd w:id="10"/>
    <w:p>
      <w:pPr>
        <w:spacing w:after="0" w:line="128" w:lineRule="exact"/>
        <w:rPr>
          <w:sz w:val="20"/>
          <w:szCs w:val="20"/>
          <w:color w:val="auto"/>
        </w:rPr>
      </w:pPr>
    </w:p>
    <w:p>
      <w:pPr>
        <w:ind w:left="540" w:right="140"/>
        <w:spacing w:after="0" w:line="332" w:lineRule="auto"/>
        <w:rPr>
          <w:sz w:val="20"/>
          <w:szCs w:val="20"/>
          <w:color w:val="auto"/>
        </w:rPr>
      </w:pPr>
      <w:r>
        <w:rPr>
          <w:rFonts w:ascii="Arial" w:cs="Arial" w:eastAsia="Arial" w:hAnsi="Arial"/>
          <w:sz w:val="16"/>
          <w:szCs w:val="16"/>
          <w:color w:val="auto"/>
        </w:rPr>
        <w:t>three of our independent directors which vested 100% upon the re-election of these directors at our annual meeting of stockholders, which took place on June 29, 2016. The total compensation expense related to these shares was $98, and it was all recorded upon the re-election of these directors.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summarizes the activity related to unvested shares of restricted stock for the nine months ended September 30, 2016:</w:t>
      </w:r>
    </w:p>
    <w:p>
      <w:pPr>
        <w:spacing w:after="0" w:line="247" w:lineRule="exact"/>
        <w:rPr>
          <w:sz w:val="20"/>
          <w:szCs w:val="20"/>
          <w:color w:val="auto"/>
        </w:rPr>
      </w:pPr>
    </w:p>
    <w:tbl>
      <w:tblPr>
        <w:tblLayout w:type="fixed"/>
        <w:tblInd w:w="204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5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9"/>
        </w:trPr>
        <w:tc>
          <w:tcPr>
            <w:tcW w:w="5860" w:type="dxa"/>
            <w:vAlign w:val="bottom"/>
          </w:tcPr>
          <w:p>
            <w:pPr>
              <w:spacing w:after="0"/>
              <w:rPr>
                <w:sz w:val="12"/>
                <w:szCs w:val="12"/>
                <w:color w:val="auto"/>
              </w:rPr>
            </w:pPr>
          </w:p>
        </w:tc>
        <w:tc>
          <w:tcPr>
            <w:tcW w:w="6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i w:val="1"/>
                <w:iCs w:val="1"/>
                <w:color w:val="auto"/>
                <w:w w:val="75"/>
              </w:rPr>
              <w:t>Number</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i w:val="1"/>
                <w:iCs w:val="1"/>
                <w:color w:val="auto"/>
                <w:w w:val="86"/>
              </w:rPr>
              <w:t>Grant Date</w:t>
            </w:r>
          </w:p>
        </w:tc>
      </w:tr>
      <w:tr>
        <w:trPr>
          <w:trHeight w:val="146"/>
        </w:trPr>
        <w:tc>
          <w:tcPr>
            <w:tcW w:w="5860" w:type="dxa"/>
            <w:vAlign w:val="bottom"/>
          </w:tcPr>
          <w:p>
            <w:pPr>
              <w:spacing w:after="0"/>
              <w:rPr>
                <w:sz w:val="12"/>
                <w:szCs w:val="12"/>
                <w:color w:val="auto"/>
              </w:rPr>
            </w:pPr>
          </w:p>
        </w:tc>
        <w:tc>
          <w:tcPr>
            <w:tcW w:w="680" w:type="dxa"/>
            <w:vAlign w:val="bottom"/>
            <w:gridSpan w:val="3"/>
          </w:tcPr>
          <w:p>
            <w:pPr>
              <w:jc w:val="center"/>
              <w:ind w:right="240"/>
              <w:spacing w:after="0"/>
              <w:rPr>
                <w:sz w:val="20"/>
                <w:szCs w:val="20"/>
                <w:color w:val="auto"/>
              </w:rPr>
            </w:pPr>
            <w:r>
              <w:rPr>
                <w:rFonts w:ascii="Arial" w:cs="Arial" w:eastAsia="Arial" w:hAnsi="Arial"/>
                <w:sz w:val="12"/>
                <w:szCs w:val="12"/>
                <w:b w:val="1"/>
                <w:bCs w:val="1"/>
                <w:i w:val="1"/>
                <w:iCs w:val="1"/>
                <w:color w:val="auto"/>
                <w:w w:val="80"/>
              </w:rPr>
              <w:t>of Shares</w:t>
            </w:r>
          </w:p>
        </w:tc>
        <w:tc>
          <w:tcPr>
            <w:tcW w:w="68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i w:val="1"/>
                <w:iCs w:val="1"/>
                <w:color w:val="auto"/>
                <w:w w:val="89"/>
              </w:rPr>
              <w:t>Fair Value</w:t>
            </w:r>
          </w:p>
        </w:tc>
      </w:tr>
      <w:tr>
        <w:trPr>
          <w:trHeight w:val="20"/>
        </w:trPr>
        <w:tc>
          <w:tcPr>
            <w:tcW w:w="58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35"/>
        </w:trPr>
        <w:tc>
          <w:tcPr>
            <w:tcW w:w="5860" w:type="dxa"/>
            <w:vAlign w:val="bottom"/>
          </w:tcPr>
          <w:p>
            <w:pPr>
              <w:spacing w:after="0"/>
              <w:rPr>
                <w:sz w:val="20"/>
                <w:szCs w:val="20"/>
                <w:color w:val="auto"/>
              </w:rPr>
            </w:pPr>
            <w:r>
              <w:rPr>
                <w:rFonts w:ascii="Arial" w:cs="Arial" w:eastAsia="Arial" w:hAnsi="Arial"/>
                <w:sz w:val="18"/>
                <w:szCs w:val="18"/>
                <w:color w:val="auto"/>
              </w:rPr>
              <w:t>Unvested shares outstanding, January 1, 2016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63,750</w:t>
            </w: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$3.64</w:t>
            </w:r>
          </w:p>
        </w:tc>
      </w:tr>
      <w:tr>
        <w:trPr>
          <w:trHeight w:val="243"/>
        </w:trPr>
        <w:tc>
          <w:tcPr>
            <w:tcW w:w="5860" w:type="dxa"/>
            <w:vAlign w:val="bottom"/>
          </w:tcPr>
          <w:p>
            <w:pPr>
              <w:ind w:left="140"/>
              <w:spacing w:after="0"/>
              <w:rPr>
                <w:sz w:val="20"/>
                <w:szCs w:val="20"/>
                <w:color w:val="auto"/>
              </w:rPr>
            </w:pPr>
            <w:r>
              <w:rPr>
                <w:rFonts w:ascii="Arial" w:cs="Arial" w:eastAsia="Arial" w:hAnsi="Arial"/>
                <w:sz w:val="18"/>
                <w:szCs w:val="18"/>
                <w:color w:val="auto"/>
              </w:rPr>
              <w:t>Granted</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86,400</w:t>
            </w:r>
          </w:p>
        </w:tc>
        <w:tc>
          <w:tcPr>
            <w:tcW w:w="1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4.27</w:t>
            </w:r>
          </w:p>
        </w:tc>
      </w:tr>
      <w:tr>
        <w:trPr>
          <w:trHeight w:val="243"/>
        </w:trPr>
        <w:tc>
          <w:tcPr>
            <w:tcW w:w="5860" w:type="dxa"/>
            <w:vAlign w:val="bottom"/>
          </w:tcPr>
          <w:p>
            <w:pPr>
              <w:ind w:left="140"/>
              <w:spacing w:after="0"/>
              <w:rPr>
                <w:sz w:val="20"/>
                <w:szCs w:val="20"/>
                <w:color w:val="auto"/>
              </w:rPr>
            </w:pPr>
            <w:r>
              <w:rPr>
                <w:rFonts w:ascii="Arial" w:cs="Arial" w:eastAsia="Arial" w:hAnsi="Arial"/>
                <w:sz w:val="18"/>
                <w:szCs w:val="18"/>
                <w:color w:val="auto"/>
              </w:rPr>
              <w:t>Vested</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w w:val="86"/>
              </w:rPr>
              <w:t>(35,625)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3.92</w:t>
            </w:r>
          </w:p>
        </w:tc>
      </w:tr>
      <w:tr>
        <w:trPr>
          <w:trHeight w:val="205"/>
        </w:trPr>
        <w:tc>
          <w:tcPr>
            <w:tcW w:w="5860" w:type="dxa"/>
            <w:vAlign w:val="bottom"/>
          </w:tcPr>
          <w:p>
            <w:pPr>
              <w:ind w:left="140"/>
              <w:spacing w:after="0" w:line="205" w:lineRule="exact"/>
              <w:rPr>
                <w:sz w:val="20"/>
                <w:szCs w:val="20"/>
                <w:color w:val="auto"/>
              </w:rPr>
            </w:pPr>
            <w:r>
              <w:rPr>
                <w:rFonts w:ascii="Arial" w:cs="Arial" w:eastAsia="Arial" w:hAnsi="Arial"/>
                <w:sz w:val="18"/>
                <w:szCs w:val="18"/>
                <w:color w:val="auto"/>
              </w:rPr>
              <w:t>Forfeited</w:t>
            </w:r>
          </w:p>
        </w:tc>
        <w:tc>
          <w:tcPr>
            <w:tcW w:w="56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Unvested shares outstanding, September 30, 2016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2"/>
              </w:rPr>
              <w:t>114,525</w:t>
            </w: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4.03</w:t>
            </w:r>
          </w:p>
        </w:tc>
      </w:tr>
      <w:tr>
        <w:trPr>
          <w:trHeight w:val="20"/>
        </w:trPr>
        <w:tc>
          <w:tcPr>
            <w:tcW w:w="58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48"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total fair value of the shares that vested during the nine months ended September 30, 2016 and 2015 was $138 and $59, respectively, as of the vesting dates of these shares.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Stock Options</w:t>
      </w:r>
    </w:p>
    <w:p>
      <w:pPr>
        <w:spacing w:after="0" w:line="225"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color w:val="auto"/>
        </w:rPr>
        <w:t>We record compensation expense for stock options based on the fair market value of the options as of the grant date. No option may be granted with an exercise period in excess of ten years from the date of grant. Generally, stock options will be granted with an exercise price equal to the fair market value of our stock on the date of grant and will vest over four years.</w:t>
      </w:r>
    </w:p>
    <w:p>
      <w:pPr>
        <w:spacing w:after="0" w:line="194" w:lineRule="exact"/>
        <w:rPr>
          <w:sz w:val="20"/>
          <w:szCs w:val="20"/>
          <w:color w:val="auto"/>
        </w:rPr>
      </w:pPr>
    </w:p>
    <w:p>
      <w:pPr>
        <w:ind w:left="540" w:right="340"/>
        <w:spacing w:after="0" w:line="268" w:lineRule="auto"/>
        <w:rPr>
          <w:sz w:val="20"/>
          <w:szCs w:val="20"/>
          <w:color w:val="auto"/>
        </w:rPr>
      </w:pPr>
      <w:r>
        <w:rPr>
          <w:rFonts w:ascii="Arial" w:cs="Arial" w:eastAsia="Arial" w:hAnsi="Arial"/>
          <w:sz w:val="18"/>
          <w:szCs w:val="18"/>
          <w:color w:val="auto"/>
        </w:rPr>
        <w:t>The fair value for stock options granted during the nine months ended September 30, 2016 was estimated at the date of grant using the Black-Scholes option pricing model with the following weighted average assumptions:</w:t>
      </w:r>
    </w:p>
    <w:p>
      <w:pPr>
        <w:spacing w:after="0" w:line="200" w:lineRule="exact"/>
        <w:rPr>
          <w:sz w:val="20"/>
          <w:szCs w:val="20"/>
          <w:color w:val="auto"/>
        </w:rPr>
      </w:pPr>
    </w:p>
    <w:p>
      <w:pPr>
        <w:spacing w:after="0" w:line="243" w:lineRule="exact"/>
        <w:rPr>
          <w:sz w:val="20"/>
          <w:szCs w:val="20"/>
          <w:color w:val="auto"/>
        </w:rPr>
      </w:pPr>
    </w:p>
    <w:tbl>
      <w:tblPr>
        <w:tblLayout w:type="fixed"/>
        <w:tblInd w:w="2220" w:type="dxa"/>
        <w:tblCellMar>
          <w:top w:w="0" w:type="dxa"/>
          <w:left w:w="0" w:type="dxa"/>
          <w:bottom w:w="0" w:type="dxa"/>
          <w:right w:w="0" w:type="dxa"/>
        </w:tblCellMar>
      </w:tblPr>
      <w:tr>
        <w:trPr>
          <w:trHeight w:val="222"/>
        </w:trPr>
        <w:tc>
          <w:tcPr>
            <w:tcW w:w="52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43"/>
        </w:trPr>
        <w:tc>
          <w:tcPr>
            <w:tcW w:w="5220" w:type="dxa"/>
            <w:vAlign w:val="bottom"/>
          </w:tcPr>
          <w:p>
            <w:pPr>
              <w:spacing w:after="0"/>
              <w:rPr>
                <w:sz w:val="20"/>
                <w:szCs w:val="20"/>
                <w:color w:val="auto"/>
              </w:rPr>
            </w:pPr>
            <w:r>
              <w:rPr>
                <w:rFonts w:ascii="Arial" w:cs="Arial" w:eastAsia="Arial" w:hAnsi="Arial"/>
                <w:sz w:val="18"/>
                <w:szCs w:val="18"/>
                <w:color w:val="auto"/>
              </w:rPr>
              <w:t>Dividend yield</w:t>
            </w:r>
          </w:p>
        </w:tc>
        <w:tc>
          <w:tcPr>
            <w:tcW w:w="178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43"/>
        </w:trPr>
        <w:tc>
          <w:tcPr>
            <w:tcW w:w="5220" w:type="dxa"/>
            <w:vAlign w:val="bottom"/>
          </w:tcPr>
          <w:p>
            <w:pPr>
              <w:spacing w:after="0"/>
              <w:rPr>
                <w:sz w:val="20"/>
                <w:szCs w:val="20"/>
                <w:color w:val="auto"/>
              </w:rPr>
            </w:pPr>
            <w:r>
              <w:rPr>
                <w:rFonts w:ascii="Arial" w:cs="Arial" w:eastAsia="Arial" w:hAnsi="Arial"/>
                <w:sz w:val="18"/>
                <w:szCs w:val="18"/>
                <w:color w:val="auto"/>
              </w:rPr>
              <w:t>Expected common stock market price volatility factor</w:t>
            </w:r>
          </w:p>
        </w:tc>
        <w:tc>
          <w:tcPr>
            <w:tcW w:w="17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5220" w:type="dxa"/>
            <w:vAlign w:val="bottom"/>
          </w:tcPr>
          <w:p>
            <w:pPr>
              <w:spacing w:after="0"/>
              <w:rPr>
                <w:sz w:val="20"/>
                <w:szCs w:val="20"/>
                <w:color w:val="auto"/>
              </w:rPr>
            </w:pPr>
            <w:r>
              <w:rPr>
                <w:rFonts w:ascii="Arial" w:cs="Arial" w:eastAsia="Arial" w:hAnsi="Arial"/>
                <w:sz w:val="18"/>
                <w:szCs w:val="18"/>
                <w:color w:val="auto"/>
              </w:rPr>
              <w:t>Weighted average expected life of stock options (years)</w:t>
            </w:r>
          </w:p>
        </w:tc>
        <w:tc>
          <w:tcPr>
            <w:tcW w:w="178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- 12 -</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  STOCK-BASED COMPENSATION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per share weighted average fair value of stock options issued during the nine months ended September 30, 2016 was $1.43.</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activity related to stock options for the nine months ended September 30, 2016:</w:t>
      </w:r>
    </w:p>
    <w:p>
      <w:pPr>
        <w:spacing w:after="0" w:line="224" w:lineRule="exact"/>
        <w:rPr>
          <w:sz w:val="20"/>
          <w:szCs w:val="20"/>
          <w:color w:val="auto"/>
        </w:rPr>
      </w:pPr>
    </w:p>
    <w:tbl>
      <w:tblPr>
        <w:tblLayout w:type="fixed"/>
        <w:tblInd w:w="204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5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9"/>
        </w:trPr>
        <w:tc>
          <w:tcPr>
            <w:tcW w:w="5780" w:type="dxa"/>
            <w:vAlign w:val="bottom"/>
          </w:tcPr>
          <w:p>
            <w:pPr>
              <w:spacing w:after="0"/>
              <w:rPr>
                <w:sz w:val="12"/>
                <w:szCs w:val="12"/>
                <w:color w:val="auto"/>
              </w:rPr>
            </w:pPr>
          </w:p>
        </w:tc>
        <w:tc>
          <w:tcPr>
            <w:tcW w:w="640" w:type="dxa"/>
            <w:vAlign w:val="bottom"/>
            <w:gridSpan w:val="4"/>
          </w:tcPr>
          <w:p>
            <w:pPr>
              <w:jc w:val="right"/>
              <w:ind w:right="72"/>
              <w:spacing w:after="0" w:line="149" w:lineRule="exact"/>
              <w:rPr>
                <w:sz w:val="20"/>
                <w:szCs w:val="20"/>
                <w:color w:val="auto"/>
              </w:rPr>
            </w:pPr>
            <w:r>
              <w:rPr>
                <w:rFonts w:ascii="Arial" w:cs="Arial" w:eastAsia="Arial" w:hAnsi="Arial"/>
                <w:sz w:val="14"/>
                <w:szCs w:val="14"/>
                <w:b w:val="1"/>
                <w:bCs w:val="1"/>
                <w:i w:val="1"/>
                <w:iCs w:val="1"/>
                <w:color w:val="auto"/>
                <w:w w:val="86"/>
              </w:rPr>
              <w:t>Number</w:t>
            </w:r>
          </w:p>
        </w:tc>
        <w:tc>
          <w:tcPr>
            <w:tcW w:w="800" w:type="dxa"/>
            <w:vAlign w:val="bottom"/>
            <w:gridSpan w:val="3"/>
          </w:tcPr>
          <w:p>
            <w:pPr>
              <w:jc w:val="center"/>
              <w:ind w:left="112"/>
              <w:spacing w:after="0" w:line="149" w:lineRule="exact"/>
              <w:rPr>
                <w:sz w:val="20"/>
                <w:szCs w:val="20"/>
                <w:color w:val="auto"/>
              </w:rPr>
            </w:pPr>
            <w:r>
              <w:rPr>
                <w:rFonts w:ascii="Arial" w:cs="Arial" w:eastAsia="Arial" w:hAnsi="Arial"/>
                <w:sz w:val="14"/>
                <w:szCs w:val="14"/>
                <w:b w:val="1"/>
                <w:bCs w:val="1"/>
                <w:i w:val="1"/>
                <w:iCs w:val="1"/>
                <w:color w:val="auto"/>
                <w:w w:val="86"/>
              </w:rPr>
              <w:t>Grant Date</w:t>
            </w:r>
          </w:p>
        </w:tc>
      </w:tr>
      <w:tr>
        <w:trPr>
          <w:trHeight w:val="146"/>
        </w:trPr>
        <w:tc>
          <w:tcPr>
            <w:tcW w:w="5780" w:type="dxa"/>
            <w:vAlign w:val="bottom"/>
          </w:tcPr>
          <w:p>
            <w:pPr>
              <w:spacing w:after="0"/>
              <w:rPr>
                <w:sz w:val="12"/>
                <w:szCs w:val="12"/>
                <w:color w:val="auto"/>
              </w:rPr>
            </w:pPr>
          </w:p>
        </w:tc>
        <w:tc>
          <w:tcPr>
            <w:tcW w:w="640" w:type="dxa"/>
            <w:vAlign w:val="bottom"/>
            <w:gridSpan w:val="4"/>
          </w:tcPr>
          <w:p>
            <w:pPr>
              <w:jc w:val="right"/>
              <w:ind w:right="32"/>
              <w:spacing w:after="0" w:line="146" w:lineRule="exact"/>
              <w:rPr>
                <w:sz w:val="20"/>
                <w:szCs w:val="20"/>
                <w:color w:val="auto"/>
              </w:rPr>
            </w:pPr>
            <w:r>
              <w:rPr>
                <w:rFonts w:ascii="Arial" w:cs="Arial" w:eastAsia="Arial" w:hAnsi="Arial"/>
                <w:sz w:val="14"/>
                <w:szCs w:val="14"/>
                <w:b w:val="1"/>
                <w:bCs w:val="1"/>
                <w:i w:val="1"/>
                <w:iCs w:val="1"/>
                <w:color w:val="auto"/>
                <w:w w:val="78"/>
              </w:rPr>
              <w:t>of Shares</w:t>
            </w:r>
          </w:p>
        </w:tc>
        <w:tc>
          <w:tcPr>
            <w:tcW w:w="800" w:type="dxa"/>
            <w:vAlign w:val="bottom"/>
            <w:gridSpan w:val="3"/>
          </w:tcPr>
          <w:p>
            <w:pPr>
              <w:jc w:val="center"/>
              <w:ind w:left="132"/>
              <w:spacing w:after="0" w:line="146" w:lineRule="exact"/>
              <w:rPr>
                <w:sz w:val="20"/>
                <w:szCs w:val="20"/>
                <w:color w:val="auto"/>
              </w:rPr>
            </w:pPr>
            <w:r>
              <w:rPr>
                <w:rFonts w:ascii="Arial" w:cs="Arial" w:eastAsia="Arial" w:hAnsi="Arial"/>
                <w:sz w:val="14"/>
                <w:szCs w:val="14"/>
                <w:b w:val="1"/>
                <w:bCs w:val="1"/>
                <w:i w:val="1"/>
                <w:iCs w:val="1"/>
                <w:color w:val="auto"/>
                <w:w w:val="89"/>
              </w:rPr>
              <w:t>Fair Value</w:t>
            </w:r>
          </w:p>
        </w:tc>
      </w:tr>
      <w:tr>
        <w:trPr>
          <w:trHeight w:val="235"/>
        </w:trPr>
        <w:tc>
          <w:tcPr>
            <w:tcW w:w="5780" w:type="dxa"/>
            <w:vAlign w:val="bottom"/>
          </w:tcPr>
          <w:p>
            <w:pPr>
              <w:spacing w:after="0"/>
              <w:rPr>
                <w:sz w:val="20"/>
                <w:szCs w:val="20"/>
                <w:color w:val="auto"/>
              </w:rPr>
            </w:pPr>
            <w:r>
              <w:rPr>
                <w:rFonts w:ascii="Arial" w:cs="Arial" w:eastAsia="Arial" w:hAnsi="Arial"/>
                <w:sz w:val="18"/>
                <w:szCs w:val="18"/>
                <w:color w:val="auto"/>
              </w:rPr>
              <w:t>Options outstanding, January 1, 2016 (none exercisable)</w:t>
            </w:r>
          </w:p>
        </w:tc>
        <w:tc>
          <w:tcPr>
            <w:tcW w:w="520" w:type="dxa"/>
            <w:vAlign w:val="bottom"/>
            <w:tcBorders>
              <w:top w:val="single" w:sz="8" w:color="auto"/>
            </w:tcBorders>
            <w:gridSpan w:val="3"/>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780" w:type="dxa"/>
            <w:vAlign w:val="bottom"/>
          </w:tcPr>
          <w:p>
            <w:pPr>
              <w:ind w:left="140"/>
              <w:spacing w:after="0"/>
              <w:rPr>
                <w:sz w:val="20"/>
                <w:szCs w:val="20"/>
                <w:color w:val="auto"/>
              </w:rPr>
            </w:pPr>
            <w:r>
              <w:rPr>
                <w:rFonts w:ascii="Arial" w:cs="Arial" w:eastAsia="Arial" w:hAnsi="Arial"/>
                <w:sz w:val="18"/>
                <w:szCs w:val="18"/>
                <w:color w:val="auto"/>
              </w:rPr>
              <w:t>Granted</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19,800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79"/>
              </w:rPr>
              <w:t>4.37</w:t>
            </w:r>
          </w:p>
        </w:tc>
      </w:tr>
      <w:tr>
        <w:trPr>
          <w:trHeight w:val="243"/>
        </w:trPr>
        <w:tc>
          <w:tcPr>
            <w:tcW w:w="5780" w:type="dxa"/>
            <w:vAlign w:val="bottom"/>
          </w:tcPr>
          <w:p>
            <w:pPr>
              <w:ind w:left="140"/>
              <w:spacing w:after="0"/>
              <w:rPr>
                <w:sz w:val="20"/>
                <w:szCs w:val="20"/>
                <w:color w:val="auto"/>
              </w:rPr>
            </w:pPr>
            <w:r>
              <w:rPr>
                <w:rFonts w:ascii="Arial" w:cs="Arial" w:eastAsia="Arial" w:hAnsi="Arial"/>
                <w:sz w:val="18"/>
                <w:szCs w:val="18"/>
                <w:color w:val="auto"/>
              </w:rPr>
              <w:t>Vested</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5"/>
        </w:trPr>
        <w:tc>
          <w:tcPr>
            <w:tcW w:w="5780" w:type="dxa"/>
            <w:vAlign w:val="bottom"/>
          </w:tcPr>
          <w:p>
            <w:pPr>
              <w:ind w:left="140"/>
              <w:spacing w:after="0" w:line="205" w:lineRule="exact"/>
              <w:rPr>
                <w:sz w:val="20"/>
                <w:szCs w:val="20"/>
                <w:color w:val="auto"/>
              </w:rPr>
            </w:pPr>
            <w:r>
              <w:rPr>
                <w:rFonts w:ascii="Arial" w:cs="Arial" w:eastAsia="Arial" w:hAnsi="Arial"/>
                <w:sz w:val="18"/>
                <w:szCs w:val="18"/>
                <w:color w:val="auto"/>
              </w:rPr>
              <w:t>Forfeited</w:t>
            </w:r>
          </w:p>
        </w:tc>
        <w:tc>
          <w:tcPr>
            <w:tcW w:w="140" w:type="dxa"/>
            <w:vAlign w:val="bottom"/>
          </w:tcPr>
          <w:p>
            <w:pPr>
              <w:spacing w:after="0"/>
              <w:rPr>
                <w:sz w:val="17"/>
                <w:szCs w:val="17"/>
                <w:color w:val="auto"/>
              </w:rPr>
            </w:pPr>
          </w:p>
        </w:tc>
        <w:tc>
          <w:tcPr>
            <w:tcW w:w="50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Options outstanding, September 30, 2016 (none exercisable)</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19,800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79"/>
              </w:rPr>
              <w:t>4.37</w:t>
            </w:r>
          </w:p>
        </w:tc>
      </w:tr>
      <w:tr>
        <w:trPr>
          <w:trHeight w:val="20"/>
        </w:trPr>
        <w:tc>
          <w:tcPr>
            <w:tcW w:w="5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 REPURCHASE PLAN</w:t>
      </w:r>
    </w:p>
    <w:p>
      <w:pPr>
        <w:spacing w:after="0" w:line="191"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On October 27, 2015, our Board of Directors authorized the repurchase of up to $5,000 of our common stock from time to time on the open market, in compliance with Rule 10b-18 under the Securities Exchange Act of 1934, or in privately negotiated transactions (the "2015 Repurchase Plan"). Repurchases may also be made under a Rule 10b5-1 plan entered into with RW Baird &amp; Co., which permits shares to be repurchased when we might otherwise be precluded from doing so under insider trading laws. The timing and amount of any shares repurchased under the 2015 Repurchase Plan is determined by our management, based on our evaluation of market conditions and other factors. The 2015 Repurchase Plan does not obligate us to repurchase any particular amount of common stock and may be suspended or discontinued at any time without prior notice. The 2015 Repurchase Plan is funded using our operating cash flow or available cash.</w:t>
      </w:r>
    </w:p>
    <w:p>
      <w:pPr>
        <w:spacing w:after="0" w:line="172" w:lineRule="exact"/>
        <w:rPr>
          <w:sz w:val="20"/>
          <w:szCs w:val="20"/>
          <w:color w:val="auto"/>
        </w:rPr>
      </w:pPr>
    </w:p>
    <w:p>
      <w:pPr>
        <w:ind w:left="540" w:right="60"/>
        <w:spacing w:after="0" w:line="256" w:lineRule="auto"/>
        <w:rPr>
          <w:sz w:val="20"/>
          <w:szCs w:val="20"/>
          <w:color w:val="auto"/>
        </w:rPr>
      </w:pPr>
      <w:r>
        <w:rPr>
          <w:rFonts w:ascii="Arial" w:cs="Arial" w:eastAsia="Arial" w:hAnsi="Arial"/>
          <w:sz w:val="18"/>
          <w:szCs w:val="18"/>
          <w:color w:val="auto"/>
        </w:rPr>
        <w:t>During the nine months ended September 30, 2016, we repurchased 209,271 shares under this repurchase plan at a cost of $841, which includes fees paid to our broker of $5. As of September 30, 2016, we had repurchased a total of 250,603 shares under this repurchase plan at a cost of $997, which included fees paid to our broker of $6. All of the repurchased shares were retired. The 2015 Repurchase Plan was suspended in May 2016 and resumed in September 2016.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191" w:lineRule="exact"/>
        <w:rPr>
          <w:sz w:val="20"/>
          <w:szCs w:val="20"/>
          <w:color w:val="auto"/>
        </w:rPr>
      </w:pPr>
    </w:p>
    <w:p>
      <w:pPr>
        <w:ind w:left="540" w:right="480"/>
        <w:spacing w:after="0" w:line="332" w:lineRule="auto"/>
        <w:rPr>
          <w:sz w:val="20"/>
          <w:szCs w:val="20"/>
          <w:color w:val="auto"/>
        </w:rPr>
      </w:pPr>
      <w:r>
        <w:rPr>
          <w:rFonts w:ascii="Arial" w:cs="Arial" w:eastAsia="Arial" w:hAnsi="Arial"/>
          <w:sz w:val="16"/>
          <w:szCs w:val="16"/>
          <w:color w:val="auto"/>
        </w:rPr>
        <w:t>We have a defined contribution 401(k) plan for our employees who work in the U.S. All permanent employees of inTEST Corporation, Temptronic Corporation and inTEST Silicon Valley Corporation who are at least 18 years of age are eligible to participate in the plan. We match employee</w:t>
      </w:r>
    </w:p>
    <w:p>
      <w:pPr>
        <w:sectPr>
          <w:pgSz w:w="11900" w:h="16966" w:orient="portrait"/>
          <w:cols w:equalWidth="0" w:num="1">
            <w:col w:w="11380"/>
          </w:cols>
          <w:pgMar w:left="240" w:top="131" w:right="279" w:bottom="0" w:gutter="0" w:footer="0" w:header="0"/>
        </w:sectPr>
      </w:pPr>
    </w:p>
    <w:bookmarkStart w:id="11" w:name="page12"/>
    <w:bookmarkEnd w:id="11"/>
    <w:p>
      <w:pPr>
        <w:ind w:left="540"/>
        <w:spacing w:after="0" w:line="259" w:lineRule="auto"/>
        <w:rPr>
          <w:sz w:val="20"/>
          <w:szCs w:val="20"/>
          <w:color w:val="auto"/>
        </w:rPr>
      </w:pPr>
      <w:r>
        <w:rPr>
          <w:rFonts w:ascii="Arial" w:cs="Arial" w:eastAsia="Arial" w:hAnsi="Arial"/>
          <w:sz w:val="18"/>
          <w:szCs w:val="18"/>
          <w:color w:val="auto"/>
        </w:rPr>
        <w:t>contributions dollar for dollar up to 10% of the employee's annual compensation, with a maximum limit of $5. Employer contributions vest ratably over four years. Matching contributions are discretionary. For the nine months ended September 30, 2016 and 2015, we recorded $311 and $297 of expense for matching contributions,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have three reportable segments, which are also our reporting units: Thermal Products, Mechanical Products and Electrical Products.</w:t>
      </w:r>
    </w:p>
    <w:p>
      <w:pPr>
        <w:spacing w:after="0" w:line="248" w:lineRule="exact"/>
        <w:rPr>
          <w:sz w:val="20"/>
          <w:szCs w:val="20"/>
          <w:color w:val="auto"/>
        </w:rPr>
      </w:pPr>
    </w:p>
    <w:p>
      <w:pPr>
        <w:jc w:val="both"/>
        <w:ind w:left="540" w:right="200"/>
        <w:spacing w:after="0" w:line="306" w:lineRule="auto"/>
        <w:rPr>
          <w:sz w:val="20"/>
          <w:szCs w:val="20"/>
          <w:color w:val="auto"/>
        </w:rPr>
      </w:pPr>
      <w:r>
        <w:rPr>
          <w:rFonts w:ascii="Arial" w:cs="Arial" w:eastAsia="Arial" w:hAnsi="Arial"/>
          <w:sz w:val="16"/>
          <w:szCs w:val="16"/>
          <w:color w:val="auto"/>
        </w:rPr>
        <w:t>The Thermal Products segment includes the operations of Temptronic Corporation, Thermonics, Sigma, inTEST Thermal Solutions GmbH (Germany), and inTEST Pte, Limited (Singapore). Sales of this segment consist primarily of temperature management systems, which we design, manufacture and market under our Temptronic, Thermonics and Sigma product lines. In addition, this segment provides post-warranty service and support.</w:t>
      </w:r>
    </w:p>
    <w:p>
      <w:pPr>
        <w:spacing w:after="0" w:line="161" w:lineRule="exact"/>
        <w:rPr>
          <w:sz w:val="20"/>
          <w:szCs w:val="20"/>
          <w:color w:val="auto"/>
        </w:rPr>
      </w:pPr>
    </w:p>
    <w:p>
      <w:pPr>
        <w:ind w:left="540" w:right="540"/>
        <w:spacing w:after="0" w:line="332" w:lineRule="auto"/>
        <w:rPr>
          <w:sz w:val="20"/>
          <w:szCs w:val="20"/>
          <w:color w:val="auto"/>
        </w:rPr>
      </w:pPr>
      <w:r>
        <w:rPr>
          <w:rFonts w:ascii="Arial" w:cs="Arial" w:eastAsia="Arial" w:hAnsi="Arial"/>
          <w:sz w:val="16"/>
          <w:szCs w:val="16"/>
          <w:color w:val="auto"/>
        </w:rPr>
        <w:t>The Mechanical Products segment includes the operations of our Mt. Laurel, New Jersey manufacturing facility. Sales of our Mechanical Products segment consist primarily of manipulator and docking hardware products, which we design, manufacture and market.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- 13 -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SEGMENT INFORMATION </w:t>
      </w:r>
      <w:r>
        <w:rPr>
          <w:rFonts w:ascii="Arial" w:cs="Arial" w:eastAsia="Arial" w:hAnsi="Arial"/>
          <w:sz w:val="18"/>
          <w:szCs w:val="18"/>
          <w:color w:val="auto"/>
        </w:rPr>
        <w:t>(Continued)</w:t>
      </w:r>
    </w:p>
    <w:p>
      <w:pPr>
        <w:spacing w:after="0" w:line="191" w:lineRule="exact"/>
        <w:rPr>
          <w:sz w:val="20"/>
          <w:szCs w:val="20"/>
          <w:color w:val="auto"/>
        </w:rPr>
      </w:pPr>
    </w:p>
    <w:p>
      <w:pPr>
        <w:ind w:left="540" w:right="100"/>
        <w:spacing w:after="0" w:line="268" w:lineRule="auto"/>
        <w:rPr>
          <w:sz w:val="20"/>
          <w:szCs w:val="20"/>
          <w:color w:val="auto"/>
        </w:rPr>
      </w:pPr>
      <w:r>
        <w:rPr>
          <w:rFonts w:ascii="Arial" w:cs="Arial" w:eastAsia="Arial" w:hAnsi="Arial"/>
          <w:sz w:val="18"/>
          <w:szCs w:val="18"/>
          <w:color w:val="auto"/>
        </w:rPr>
        <w:t>The Electrical Products segment includes the operations of inTEST Silicon Valley Corporation. Sales of this segment consist primarily of tester interface products, which we design, manufacture and market.</w:t>
      </w:r>
    </w:p>
    <w:p>
      <w:pPr>
        <w:spacing w:after="0" w:line="186" w:lineRule="exact"/>
        <w:rPr>
          <w:sz w:val="20"/>
          <w:szCs w:val="20"/>
          <w:color w:val="auto"/>
        </w:rPr>
      </w:pPr>
    </w:p>
    <w:p>
      <w:pPr>
        <w:ind w:left="540" w:right="260"/>
        <w:spacing w:after="0" w:line="298" w:lineRule="auto"/>
        <w:rPr>
          <w:sz w:val="20"/>
          <w:szCs w:val="20"/>
          <w:color w:val="auto"/>
        </w:rPr>
      </w:pPr>
      <w:r>
        <w:rPr>
          <w:rFonts w:ascii="Arial" w:cs="Arial" w:eastAsia="Arial" w:hAnsi="Arial"/>
          <w:sz w:val="16"/>
          <w:szCs w:val="16"/>
          <w:color w:val="auto"/>
        </w:rPr>
        <w:t>We operate our business worldwide, and all three segments sell their products both domestically and internationally. All three segments sell to semiconductor manufacturers, third-party test and assembly houses and ATE manufacturers. Our Thermal Products segment also sells into a variety of markets outside of the ATE market, including the automotive, consumer electronics, defense/aerospace, energy, industrial and telecommunications markets. Intercompany pricing between segments is either a multiple of cost for component parts or list price for finished goods.</w:t>
      </w:r>
    </w:p>
    <w:p>
      <w:pPr>
        <w:sectPr>
          <w:pgSz w:w="11900" w:h="16838" w:orient="portrait"/>
          <w:cols w:equalWidth="0" w:num="1">
            <w:col w:w="11380"/>
          </w:cols>
          <w:pgMar w:left="240" w:top="131" w:right="279" w:bottom="0" w:gutter="0" w:footer="0" w:header="0"/>
        </w:sectPr>
      </w:pPr>
    </w:p>
    <w:p>
      <w:pPr>
        <w:spacing w:after="0" w:line="200" w:lineRule="exact"/>
        <w:rPr>
          <w:sz w:val="20"/>
          <w:szCs w:val="20"/>
          <w:color w:val="auto"/>
        </w:rPr>
      </w:pPr>
    </w:p>
    <w:p>
      <w:pPr>
        <w:spacing w:after="0" w:line="304" w:lineRule="exact"/>
        <w:rPr>
          <w:sz w:val="20"/>
          <w:szCs w:val="20"/>
          <w:color w:val="auto"/>
        </w:rPr>
      </w:pPr>
    </w:p>
    <w:p>
      <w:pPr>
        <w:ind w:left="1740"/>
        <w:spacing w:after="0"/>
        <w:rPr>
          <w:sz w:val="20"/>
          <w:szCs w:val="20"/>
          <w:color w:val="auto"/>
        </w:rPr>
      </w:pPr>
      <w:r>
        <w:rPr>
          <w:rFonts w:ascii="Arial" w:cs="Arial" w:eastAsia="Arial" w:hAnsi="Arial"/>
          <w:sz w:val="15"/>
          <w:szCs w:val="15"/>
          <w:b w:val="1"/>
          <w:bCs w:val="1"/>
          <w:i w:val="1"/>
          <w:iCs w:val="1"/>
          <w:color w:val="auto"/>
        </w:rPr>
        <w:t>Net revenues: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40" w:type="dxa"/>
            <w:vAlign w:val="bottom"/>
            <w:gridSpan w:val="7"/>
          </w:tcPr>
          <w:p>
            <w:pPr>
              <w:jc w:val="center"/>
              <w:ind w:right="240"/>
              <w:spacing w:after="0"/>
              <w:rPr>
                <w:sz w:val="20"/>
                <w:szCs w:val="20"/>
                <w:color w:val="auto"/>
              </w:rPr>
            </w:pPr>
            <w:r>
              <w:rPr>
                <w:rFonts w:ascii="Arial" w:cs="Arial" w:eastAsia="Arial" w:hAnsi="Arial"/>
                <w:sz w:val="14"/>
                <w:szCs w:val="14"/>
                <w:b w:val="1"/>
                <w:bCs w:val="1"/>
                <w:i w:val="1"/>
                <w:iCs w:val="1"/>
                <w:color w:val="auto"/>
                <w:w w:val="86"/>
              </w:rPr>
              <w:t>Three Months Ended</w:t>
            </w:r>
          </w:p>
        </w:tc>
        <w:tc>
          <w:tcPr>
            <w:tcW w:w="1600" w:type="dxa"/>
            <w:vAlign w:val="bottom"/>
            <w:gridSpan w:val="6"/>
          </w:tcPr>
          <w:p>
            <w:pPr>
              <w:jc w:val="center"/>
              <w:spacing w:after="0"/>
              <w:rPr>
                <w:sz w:val="20"/>
                <w:szCs w:val="20"/>
                <w:color w:val="auto"/>
              </w:rPr>
            </w:pPr>
            <w:r>
              <w:rPr>
                <w:rFonts w:ascii="Arial" w:cs="Arial" w:eastAsia="Arial" w:hAnsi="Arial"/>
                <w:sz w:val="14"/>
                <w:szCs w:val="14"/>
                <w:b w:val="1"/>
                <w:bCs w:val="1"/>
                <w:i w:val="1"/>
                <w:iCs w:val="1"/>
                <w:color w:val="auto"/>
                <w:w w:val="87"/>
              </w:rPr>
              <w:t>Nine Months Ended</w:t>
            </w:r>
          </w:p>
        </w:tc>
      </w:tr>
      <w:tr>
        <w:trPr>
          <w:trHeight w:val="146"/>
        </w:trPr>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center"/>
              <w:ind w:left="52"/>
              <w:spacing w:after="0" w:line="146" w:lineRule="exact"/>
              <w:rPr>
                <w:sz w:val="20"/>
                <w:szCs w:val="20"/>
                <w:color w:val="auto"/>
              </w:rPr>
            </w:pPr>
            <w:r>
              <w:rPr>
                <w:rFonts w:ascii="Arial" w:cs="Arial" w:eastAsia="Arial" w:hAnsi="Arial"/>
                <w:sz w:val="14"/>
                <w:szCs w:val="14"/>
                <w:b w:val="1"/>
                <w:bCs w:val="1"/>
                <w:i w:val="1"/>
                <w:iCs w:val="1"/>
                <w:color w:val="auto"/>
                <w:w w:val="83"/>
              </w:rPr>
              <w:t>Sept. 30,</w:t>
            </w: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center"/>
              <w:ind w:right="20"/>
              <w:spacing w:after="0" w:line="146" w:lineRule="exact"/>
              <w:rPr>
                <w:sz w:val="20"/>
                <w:szCs w:val="20"/>
                <w:color w:val="auto"/>
              </w:rPr>
            </w:pPr>
            <w:r>
              <w:rPr>
                <w:rFonts w:ascii="Arial" w:cs="Arial" w:eastAsia="Arial" w:hAnsi="Arial"/>
                <w:sz w:val="14"/>
                <w:szCs w:val="14"/>
                <w:b w:val="1"/>
                <w:bCs w:val="1"/>
                <w:i w:val="1"/>
                <w:iCs w:val="1"/>
                <w:color w:val="auto"/>
                <w:w w:val="83"/>
              </w:rPr>
              <w:t>Sept. 30,</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56"/>
        </w:trPr>
        <w:tc>
          <w:tcPr>
            <w:tcW w:w="180" w:type="dxa"/>
            <w:vAlign w:val="bottom"/>
          </w:tcPr>
          <w:p>
            <w:pPr>
              <w:spacing w:after="0"/>
              <w:rPr>
                <w:sz w:val="13"/>
                <w:szCs w:val="13"/>
                <w:color w:val="auto"/>
              </w:rPr>
            </w:pPr>
          </w:p>
        </w:tc>
        <w:tc>
          <w:tcPr>
            <w:tcW w:w="280" w:type="dxa"/>
            <w:vAlign w:val="bottom"/>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2016</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2015</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280" w:type="dxa"/>
            <w:vAlign w:val="bottom"/>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2016</w:t>
            </w:r>
          </w:p>
        </w:tc>
        <w:tc>
          <w:tcPr>
            <w:tcW w:w="700" w:type="dxa"/>
            <w:vAlign w:val="bottom"/>
          </w:tcPr>
          <w:p>
            <w:pPr>
              <w:spacing w:after="0"/>
              <w:rPr>
                <w:sz w:val="13"/>
                <w:szCs w:val="13"/>
                <w:color w:val="auto"/>
              </w:rPr>
            </w:pPr>
          </w:p>
        </w:tc>
        <w:tc>
          <w:tcPr>
            <w:tcW w:w="2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2015</w:t>
            </w:r>
          </w:p>
        </w:tc>
      </w:tr>
      <w:tr>
        <w:trPr>
          <w:trHeight w:val="20"/>
        </w:trPr>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bl>
    <w:p>
      <w:pPr>
        <w:spacing w:after="0" w:line="86" w:lineRule="exact"/>
        <w:rPr>
          <w:sz w:val="20"/>
          <w:szCs w:val="20"/>
          <w:color w:val="auto"/>
        </w:rPr>
      </w:pPr>
    </w:p>
    <w:p>
      <w:pPr>
        <w:sectPr>
          <w:pgSz w:w="11900" w:h="16838" w:orient="portrait"/>
          <w:cols w:equalWidth="0" w:num="2">
            <w:col w:w="5780" w:space="720"/>
            <w:col w:w="4880"/>
          </w:cols>
          <w:pgMar w:left="240" w:top="131" w:right="279" w:bottom="0" w:gutter="0" w:footer="0" w:header="0"/>
          <w:type w:val="continuous"/>
        </w:sectPr>
      </w:pPr>
    </w:p>
    <w:tbl>
      <w:tblPr>
        <w:tblLayout w:type="fixed"/>
        <w:tblInd w:w="1740" w:type="dxa"/>
        <w:tblCellMar>
          <w:top w:w="0" w:type="dxa"/>
          <w:left w:w="0" w:type="dxa"/>
          <w:bottom w:w="0" w:type="dxa"/>
          <w:right w:w="0" w:type="dxa"/>
        </w:tblCellMar>
      </w:tblP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Thermal Products</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$ 6,641</w:t>
            </w:r>
          </w:p>
        </w:tc>
        <w:tc>
          <w:tcPr>
            <w:tcW w:w="220" w:type="dxa"/>
            <w:vAlign w:val="bottom"/>
          </w:tcPr>
          <w:p>
            <w:pPr>
              <w:spacing w:after="0"/>
              <w:rPr>
                <w:sz w:val="19"/>
                <w:szCs w:val="19"/>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w w:val="87"/>
              </w:rPr>
              <w:t>$6,259</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$17,429</w:t>
            </w:r>
          </w:p>
        </w:tc>
        <w:tc>
          <w:tcPr>
            <w:tcW w:w="2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$18,635</w:t>
            </w:r>
          </w:p>
        </w:tc>
        <w:tc>
          <w:tcPr>
            <w:tcW w:w="60" w:type="dxa"/>
            <w:vAlign w:val="bottom"/>
          </w:tcPr>
          <w:p>
            <w:pPr>
              <w:spacing w:after="0"/>
              <w:rPr>
                <w:sz w:val="19"/>
                <w:szCs w:val="19"/>
                <w:color w:val="auto"/>
              </w:rPr>
            </w:pP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Mechanical Products</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2,118</w:t>
            </w:r>
          </w:p>
        </w:tc>
        <w:tc>
          <w:tcPr>
            <w:tcW w:w="220" w:type="dxa"/>
            <w:vAlign w:val="bottom"/>
          </w:tcPr>
          <w:p>
            <w:pPr>
              <w:spacing w:after="0"/>
              <w:rPr>
                <w:sz w:val="21"/>
                <w:szCs w:val="21"/>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1,273</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6,727</w:t>
            </w:r>
          </w:p>
        </w:tc>
        <w:tc>
          <w:tcPr>
            <w:tcW w:w="26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6,195</w:t>
            </w:r>
          </w:p>
        </w:tc>
        <w:tc>
          <w:tcPr>
            <w:tcW w:w="60" w:type="dxa"/>
            <w:vAlign w:val="bottom"/>
          </w:tcPr>
          <w:p>
            <w:pPr>
              <w:spacing w:after="0"/>
              <w:rPr>
                <w:sz w:val="21"/>
                <w:szCs w:val="21"/>
                <w:color w:val="auto"/>
              </w:rPr>
            </w:pPr>
          </w:p>
        </w:tc>
      </w:tr>
      <w:tr>
        <w:trPr>
          <w:trHeight w:val="205"/>
        </w:trPr>
        <w:tc>
          <w:tcPr>
            <w:tcW w:w="426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480" w:type="dxa"/>
            <w:vAlign w:val="bottom"/>
          </w:tcPr>
          <w:p>
            <w:pPr>
              <w:spacing w:after="0"/>
              <w:rPr>
                <w:sz w:val="17"/>
                <w:szCs w:val="17"/>
                <w:color w:val="auto"/>
              </w:rPr>
            </w:pPr>
          </w:p>
        </w:tc>
        <w:tc>
          <w:tcPr>
            <w:tcW w:w="56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2,064</w:t>
            </w:r>
          </w:p>
        </w:tc>
        <w:tc>
          <w:tcPr>
            <w:tcW w:w="220" w:type="dxa"/>
            <w:vAlign w:val="bottom"/>
          </w:tcPr>
          <w:p>
            <w:pPr>
              <w:spacing w:after="0"/>
              <w:rPr>
                <w:sz w:val="17"/>
                <w:szCs w:val="17"/>
                <w:color w:val="auto"/>
              </w:rPr>
            </w:pPr>
          </w:p>
        </w:tc>
        <w:tc>
          <w:tcPr>
            <w:tcW w:w="48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1,671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5,799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6,120</w:t>
            </w:r>
          </w:p>
        </w:tc>
        <w:tc>
          <w:tcPr>
            <w:tcW w:w="60" w:type="dxa"/>
            <w:vAlign w:val="bottom"/>
          </w:tcPr>
          <w:p>
            <w:pPr>
              <w:spacing w:after="0"/>
              <w:rPr>
                <w:sz w:val="17"/>
                <w:szCs w:val="17"/>
                <w:color w:val="auto"/>
              </w:rPr>
            </w:pPr>
          </w:p>
        </w:tc>
      </w:tr>
      <w:tr>
        <w:trPr>
          <w:trHeight w:val="223"/>
        </w:trPr>
        <w:tc>
          <w:tcPr>
            <w:tcW w:w="42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10,823</w:t>
            </w:r>
          </w:p>
        </w:tc>
        <w:tc>
          <w:tcPr>
            <w:tcW w:w="220" w:type="dxa"/>
            <w:vAlign w:val="bottom"/>
          </w:tcPr>
          <w:p>
            <w:pPr>
              <w:spacing w:after="0"/>
              <w:rPr>
                <w:sz w:val="19"/>
                <w:szCs w:val="19"/>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9,203</w:t>
            </w:r>
          </w:p>
        </w:tc>
        <w:tc>
          <w:tcPr>
            <w:tcW w:w="6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29,955</w:t>
            </w:r>
          </w:p>
        </w:tc>
        <w:tc>
          <w:tcPr>
            <w:tcW w:w="2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30,950</w:t>
            </w:r>
          </w:p>
        </w:tc>
        <w:tc>
          <w:tcPr>
            <w:tcW w:w="60" w:type="dxa"/>
            <w:vAlign w:val="bottom"/>
          </w:tcPr>
          <w:p>
            <w:pPr>
              <w:spacing w:after="0"/>
              <w:rPr>
                <w:sz w:val="19"/>
                <w:szCs w:val="19"/>
                <w:color w:val="auto"/>
              </w:rPr>
            </w:pPr>
          </w:p>
        </w:tc>
      </w:tr>
      <w:tr>
        <w:trPr>
          <w:trHeight w:val="262"/>
        </w:trPr>
        <w:tc>
          <w:tcPr>
            <w:tcW w:w="4260" w:type="dxa"/>
            <w:vAlign w:val="bottom"/>
          </w:tcPr>
          <w:p>
            <w:pPr>
              <w:spacing w:after="0"/>
              <w:rPr>
                <w:sz w:val="20"/>
                <w:szCs w:val="20"/>
                <w:color w:val="auto"/>
              </w:rPr>
            </w:pPr>
            <w:r>
              <w:rPr>
                <w:rFonts w:ascii="Arial" w:cs="Arial" w:eastAsia="Arial" w:hAnsi="Arial"/>
                <w:sz w:val="18"/>
                <w:szCs w:val="18"/>
                <w:b w:val="1"/>
                <w:bCs w:val="1"/>
                <w:i w:val="1"/>
                <w:iCs w:val="1"/>
                <w:color w:val="auto"/>
                <w:w w:val="94"/>
              </w:rPr>
              <w:t>Earnings (loss) before income tax expense (benefit):</w:t>
            </w:r>
          </w:p>
        </w:tc>
        <w:tc>
          <w:tcPr>
            <w:tcW w:w="4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Thermal Products</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$1,402</w:t>
            </w:r>
          </w:p>
        </w:tc>
        <w:tc>
          <w:tcPr>
            <w:tcW w:w="220" w:type="dxa"/>
            <w:vAlign w:val="bottom"/>
          </w:tcPr>
          <w:p>
            <w:pPr>
              <w:spacing w:after="0"/>
              <w:rPr>
                <w:sz w:val="21"/>
                <w:szCs w:val="21"/>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w w:val="87"/>
              </w:rPr>
              <w:t>$1,165</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$2,709</w:t>
            </w:r>
          </w:p>
        </w:tc>
        <w:tc>
          <w:tcPr>
            <w:tcW w:w="26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$3,731</w:t>
            </w:r>
          </w:p>
        </w:tc>
        <w:tc>
          <w:tcPr>
            <w:tcW w:w="60" w:type="dxa"/>
            <w:vAlign w:val="bottom"/>
          </w:tcPr>
          <w:p>
            <w:pPr>
              <w:spacing w:after="0"/>
              <w:rPr>
                <w:sz w:val="21"/>
                <w:szCs w:val="21"/>
                <w:color w:val="auto"/>
              </w:rPr>
            </w:pP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Mechanical Products</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1"/>
                <w:szCs w:val="21"/>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(759)</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(1,240)</w:t>
            </w: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Electrical Products</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1"/>
                <w:szCs w:val="21"/>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79</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729</w:t>
            </w:r>
          </w:p>
        </w:tc>
        <w:tc>
          <w:tcPr>
            <w:tcW w:w="26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875</w:t>
            </w:r>
          </w:p>
        </w:tc>
        <w:tc>
          <w:tcPr>
            <w:tcW w:w="60" w:type="dxa"/>
            <w:vAlign w:val="bottom"/>
          </w:tcPr>
          <w:p>
            <w:pPr>
              <w:spacing w:after="0"/>
              <w:rPr>
                <w:sz w:val="21"/>
                <w:szCs w:val="21"/>
                <w:color w:val="auto"/>
              </w:rPr>
            </w:pPr>
          </w:p>
        </w:tc>
      </w:tr>
      <w:tr>
        <w:trPr>
          <w:trHeight w:val="205"/>
        </w:trPr>
        <w:tc>
          <w:tcPr>
            <w:tcW w:w="4260" w:type="dxa"/>
            <w:vAlign w:val="bottom"/>
          </w:tcPr>
          <w:p>
            <w:pPr>
              <w:spacing w:after="0" w:line="205" w:lineRule="exact"/>
              <w:rPr>
                <w:sz w:val="20"/>
                <w:szCs w:val="20"/>
                <w:color w:val="auto"/>
              </w:rPr>
            </w:pPr>
            <w:r>
              <w:rPr>
                <w:rFonts w:ascii="Arial" w:cs="Arial" w:eastAsia="Arial" w:hAnsi="Arial"/>
                <w:sz w:val="18"/>
                <w:szCs w:val="18"/>
                <w:color w:val="auto"/>
              </w:rPr>
              <w:t>Corporate</w:t>
            </w:r>
          </w:p>
        </w:tc>
        <w:tc>
          <w:tcPr>
            <w:tcW w:w="580" w:type="dxa"/>
            <w:vAlign w:val="bottom"/>
            <w:gridSpan w:val="2"/>
          </w:tcPr>
          <w:p>
            <w:pPr>
              <w:spacing w:after="0"/>
              <w:rPr>
                <w:sz w:val="17"/>
                <w:szCs w:val="17"/>
                <w:color w:val="auto"/>
              </w:rPr>
            </w:pPr>
          </w:p>
        </w:tc>
        <w:tc>
          <w:tcPr>
            <w:tcW w:w="680" w:type="dxa"/>
            <w:vAlign w:val="bottom"/>
            <w:gridSpan w:val="2"/>
          </w:tcPr>
          <w:p>
            <w:pPr>
              <w:jc w:val="right"/>
              <w:ind w:right="160"/>
              <w:spacing w:after="0" w:line="205" w:lineRule="exact"/>
              <w:rPr>
                <w:sz w:val="20"/>
                <w:szCs w:val="20"/>
                <w:color w:val="auto"/>
              </w:rPr>
            </w:pPr>
            <w:r>
              <w:rPr>
                <w:rFonts w:ascii="Arial" w:cs="Arial" w:eastAsia="Arial" w:hAnsi="Arial"/>
                <w:sz w:val="18"/>
                <w:szCs w:val="18"/>
                <w:color w:val="auto"/>
              </w:rPr>
              <w:t>(55)</w:t>
            </w:r>
          </w:p>
        </w:tc>
        <w:tc>
          <w:tcPr>
            <w:tcW w:w="680" w:type="dxa"/>
            <w:vAlign w:val="bottom"/>
            <w:gridSpan w:val="3"/>
          </w:tcPr>
          <w:p>
            <w:pPr>
              <w:jc w:val="right"/>
              <w:ind w:right="140"/>
              <w:spacing w:after="0" w:line="205" w:lineRule="exact"/>
              <w:rPr>
                <w:sz w:val="20"/>
                <w:szCs w:val="20"/>
                <w:color w:val="auto"/>
              </w:rPr>
            </w:pPr>
            <w:r>
              <w:rPr>
                <w:rFonts w:ascii="Arial" w:cs="Arial" w:eastAsia="Arial" w:hAnsi="Arial"/>
                <w:sz w:val="18"/>
                <w:szCs w:val="18"/>
                <w:color w:val="auto"/>
              </w:rPr>
              <w:t>(78)</w:t>
            </w:r>
          </w:p>
        </w:tc>
        <w:tc>
          <w:tcPr>
            <w:tcW w:w="940" w:type="dxa"/>
            <w:vAlign w:val="bottom"/>
            <w:gridSpan w:val="4"/>
          </w:tcPr>
          <w:p>
            <w:pPr>
              <w:jc w:val="right"/>
              <w:ind w:right="200"/>
              <w:spacing w:after="0" w:line="205" w:lineRule="exact"/>
              <w:rPr>
                <w:sz w:val="20"/>
                <w:szCs w:val="20"/>
                <w:color w:val="auto"/>
              </w:rPr>
            </w:pPr>
            <w:r>
              <w:rPr>
                <w:rFonts w:ascii="Arial" w:cs="Arial" w:eastAsia="Arial" w:hAnsi="Arial"/>
                <w:sz w:val="18"/>
                <w:szCs w:val="18"/>
                <w:color w:val="auto"/>
              </w:rPr>
              <w:t>(848)</w:t>
            </w:r>
          </w:p>
        </w:tc>
        <w:tc>
          <w:tcPr>
            <w:tcW w:w="80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(629)</w:t>
            </w:r>
          </w:p>
        </w:tc>
      </w:tr>
      <w:tr>
        <w:trPr>
          <w:trHeight w:val="20"/>
        </w:trPr>
        <w:tc>
          <w:tcPr>
            <w:tcW w:w="4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42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1,721</w:t>
            </w:r>
          </w:p>
        </w:tc>
        <w:tc>
          <w:tcPr>
            <w:tcW w:w="220" w:type="dxa"/>
            <w:vAlign w:val="bottom"/>
          </w:tcPr>
          <w:p>
            <w:pPr>
              <w:spacing w:after="0"/>
              <w:rPr>
                <w:sz w:val="19"/>
                <w:szCs w:val="19"/>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w w:val="95"/>
              </w:rPr>
              <w:t>$  407</w:t>
            </w:r>
          </w:p>
        </w:tc>
        <w:tc>
          <w:tcPr>
            <w:tcW w:w="6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2,594</w:t>
            </w:r>
          </w:p>
        </w:tc>
        <w:tc>
          <w:tcPr>
            <w:tcW w:w="2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2,737</w:t>
            </w:r>
          </w:p>
        </w:tc>
        <w:tc>
          <w:tcPr>
            <w:tcW w:w="60" w:type="dxa"/>
            <w:vAlign w:val="bottom"/>
          </w:tcPr>
          <w:p>
            <w:pPr>
              <w:spacing w:after="0"/>
              <w:rPr>
                <w:sz w:val="19"/>
                <w:szCs w:val="19"/>
                <w:color w:val="auto"/>
              </w:rPr>
            </w:pPr>
          </w:p>
        </w:tc>
      </w:tr>
      <w:tr>
        <w:trPr>
          <w:trHeight w:val="262"/>
        </w:trPr>
        <w:tc>
          <w:tcPr>
            <w:tcW w:w="4260" w:type="dxa"/>
            <w:vAlign w:val="bottom"/>
          </w:tcPr>
          <w:p>
            <w:pPr>
              <w:spacing w:after="0"/>
              <w:rPr>
                <w:sz w:val="20"/>
                <w:szCs w:val="20"/>
                <w:color w:val="auto"/>
              </w:rPr>
            </w:pPr>
            <w:r>
              <w:rPr>
                <w:rFonts w:ascii="Arial" w:cs="Arial" w:eastAsia="Arial" w:hAnsi="Arial"/>
                <w:sz w:val="18"/>
                <w:szCs w:val="18"/>
                <w:b w:val="1"/>
                <w:bCs w:val="1"/>
                <w:i w:val="1"/>
                <w:iCs w:val="1"/>
                <w:color w:val="auto"/>
              </w:rPr>
              <w:t>Net earnings (loss):</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Thermal Products</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$ 888</w:t>
            </w:r>
          </w:p>
        </w:tc>
        <w:tc>
          <w:tcPr>
            <w:tcW w:w="220" w:type="dxa"/>
            <w:vAlign w:val="bottom"/>
          </w:tcPr>
          <w:p>
            <w:pPr>
              <w:spacing w:after="0"/>
              <w:rPr>
                <w:sz w:val="21"/>
                <w:szCs w:val="21"/>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$ 886</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$1,737</w:t>
            </w:r>
          </w:p>
        </w:tc>
        <w:tc>
          <w:tcPr>
            <w:tcW w:w="26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$2,559</w:t>
            </w:r>
          </w:p>
        </w:tc>
        <w:tc>
          <w:tcPr>
            <w:tcW w:w="60" w:type="dxa"/>
            <w:vAlign w:val="bottom"/>
          </w:tcPr>
          <w:p>
            <w:pPr>
              <w:spacing w:after="0"/>
              <w:rPr>
                <w:sz w:val="21"/>
                <w:szCs w:val="21"/>
                <w:color w:val="auto"/>
              </w:rPr>
            </w:pP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Mechanical Products</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1"/>
                <w:szCs w:val="21"/>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(577)</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(891)</w:t>
            </w: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Electrical Products</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21"/>
                <w:szCs w:val="21"/>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60</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468</w:t>
            </w:r>
          </w:p>
        </w:tc>
        <w:tc>
          <w:tcPr>
            <w:tcW w:w="26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579</w:t>
            </w:r>
          </w:p>
        </w:tc>
        <w:tc>
          <w:tcPr>
            <w:tcW w:w="60" w:type="dxa"/>
            <w:vAlign w:val="bottom"/>
          </w:tcPr>
          <w:p>
            <w:pPr>
              <w:spacing w:after="0"/>
              <w:rPr>
                <w:sz w:val="21"/>
                <w:szCs w:val="21"/>
                <w:color w:val="auto"/>
              </w:rPr>
            </w:pPr>
          </w:p>
        </w:tc>
      </w:tr>
      <w:tr>
        <w:trPr>
          <w:trHeight w:val="205"/>
        </w:trPr>
        <w:tc>
          <w:tcPr>
            <w:tcW w:w="4260" w:type="dxa"/>
            <w:vAlign w:val="bottom"/>
          </w:tcPr>
          <w:p>
            <w:pPr>
              <w:spacing w:after="0" w:line="205" w:lineRule="exact"/>
              <w:rPr>
                <w:sz w:val="20"/>
                <w:szCs w:val="20"/>
                <w:color w:val="auto"/>
              </w:rPr>
            </w:pPr>
            <w:r>
              <w:rPr>
                <w:rFonts w:ascii="Arial" w:cs="Arial" w:eastAsia="Arial" w:hAnsi="Arial"/>
                <w:sz w:val="18"/>
                <w:szCs w:val="18"/>
                <w:color w:val="auto"/>
              </w:rPr>
              <w:t>Corporate</w:t>
            </w:r>
          </w:p>
        </w:tc>
        <w:tc>
          <w:tcPr>
            <w:tcW w:w="580" w:type="dxa"/>
            <w:vAlign w:val="bottom"/>
            <w:gridSpan w:val="2"/>
          </w:tcPr>
          <w:p>
            <w:pPr>
              <w:spacing w:after="0"/>
              <w:rPr>
                <w:sz w:val="17"/>
                <w:szCs w:val="17"/>
                <w:color w:val="auto"/>
              </w:rPr>
            </w:pPr>
          </w:p>
        </w:tc>
        <w:tc>
          <w:tcPr>
            <w:tcW w:w="680" w:type="dxa"/>
            <w:vAlign w:val="bottom"/>
            <w:gridSpan w:val="2"/>
          </w:tcPr>
          <w:p>
            <w:pPr>
              <w:jc w:val="right"/>
              <w:ind w:right="160"/>
              <w:spacing w:after="0" w:line="205" w:lineRule="exact"/>
              <w:rPr>
                <w:sz w:val="20"/>
                <w:szCs w:val="20"/>
                <w:color w:val="auto"/>
              </w:rPr>
            </w:pPr>
            <w:r>
              <w:rPr>
                <w:rFonts w:ascii="Arial" w:cs="Arial" w:eastAsia="Arial" w:hAnsi="Arial"/>
                <w:sz w:val="18"/>
                <w:szCs w:val="18"/>
                <w:color w:val="auto"/>
              </w:rPr>
              <w:t>(34)</w:t>
            </w:r>
          </w:p>
        </w:tc>
        <w:tc>
          <w:tcPr>
            <w:tcW w:w="680" w:type="dxa"/>
            <w:vAlign w:val="bottom"/>
            <w:gridSpan w:val="3"/>
          </w:tcPr>
          <w:p>
            <w:pPr>
              <w:jc w:val="right"/>
              <w:ind w:right="140"/>
              <w:spacing w:after="0" w:line="205" w:lineRule="exact"/>
              <w:rPr>
                <w:sz w:val="20"/>
                <w:szCs w:val="20"/>
                <w:color w:val="auto"/>
              </w:rPr>
            </w:pPr>
            <w:r>
              <w:rPr>
                <w:rFonts w:ascii="Arial" w:cs="Arial" w:eastAsia="Arial" w:hAnsi="Arial"/>
                <w:sz w:val="18"/>
                <w:szCs w:val="18"/>
                <w:color w:val="auto"/>
              </w:rPr>
              <w:t>(59)</w:t>
            </w:r>
          </w:p>
        </w:tc>
        <w:tc>
          <w:tcPr>
            <w:tcW w:w="940" w:type="dxa"/>
            <w:vAlign w:val="bottom"/>
            <w:gridSpan w:val="4"/>
          </w:tcPr>
          <w:p>
            <w:pPr>
              <w:jc w:val="right"/>
              <w:ind w:right="200"/>
              <w:spacing w:after="0" w:line="205" w:lineRule="exact"/>
              <w:rPr>
                <w:sz w:val="20"/>
                <w:szCs w:val="20"/>
                <w:color w:val="auto"/>
              </w:rPr>
            </w:pPr>
            <w:r>
              <w:rPr>
                <w:rFonts w:ascii="Arial" w:cs="Arial" w:eastAsia="Arial" w:hAnsi="Arial"/>
                <w:sz w:val="18"/>
                <w:szCs w:val="18"/>
                <w:color w:val="auto"/>
              </w:rPr>
              <w:t>(549)</w:t>
            </w:r>
          </w:p>
        </w:tc>
        <w:tc>
          <w:tcPr>
            <w:tcW w:w="80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(419)</w:t>
            </w:r>
          </w:p>
        </w:tc>
      </w:tr>
      <w:tr>
        <w:trPr>
          <w:trHeight w:val="20"/>
        </w:trPr>
        <w:tc>
          <w:tcPr>
            <w:tcW w:w="4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4260" w:type="dxa"/>
            <w:vAlign w:val="bottom"/>
          </w:tcPr>
          <w:p>
            <w:pPr>
              <w:spacing w:after="0"/>
              <w:rPr>
                <w:sz w:val="19"/>
                <w:szCs w:val="19"/>
                <w:color w:val="auto"/>
              </w:rPr>
            </w:pPr>
          </w:p>
        </w:tc>
        <w:tc>
          <w:tcPr>
            <w:tcW w:w="580" w:type="dxa"/>
            <w:vAlign w:val="bottom"/>
            <w:gridSpan w:val="2"/>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1,090</w:t>
            </w:r>
          </w:p>
        </w:tc>
        <w:tc>
          <w:tcPr>
            <w:tcW w:w="220" w:type="dxa"/>
            <w:vAlign w:val="bottom"/>
          </w:tcPr>
          <w:p>
            <w:pPr>
              <w:spacing w:after="0"/>
              <w:rPr>
                <w:sz w:val="19"/>
                <w:szCs w:val="19"/>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$ 310</w:t>
            </w:r>
          </w:p>
        </w:tc>
        <w:tc>
          <w:tcPr>
            <w:tcW w:w="6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1,657</w:t>
            </w:r>
          </w:p>
        </w:tc>
        <w:tc>
          <w:tcPr>
            <w:tcW w:w="2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1,828</w:t>
            </w:r>
          </w:p>
        </w:tc>
        <w:tc>
          <w:tcPr>
            <w:tcW w:w="60" w:type="dxa"/>
            <w:vAlign w:val="bottom"/>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31" w:right="279" w:bottom="0" w:gutter="0" w:footer="0" w:header="0"/>
          <w:type w:val="continuous"/>
        </w:sectPr>
      </w:pPr>
    </w:p>
    <w:p>
      <w:pPr>
        <w:spacing w:after="0" w:line="170" w:lineRule="exact"/>
        <w:rPr>
          <w:sz w:val="20"/>
          <w:szCs w:val="20"/>
          <w:color w:val="auto"/>
        </w:rPr>
      </w:pPr>
    </w:p>
    <w:p>
      <w:pPr>
        <w:ind w:left="1740"/>
        <w:spacing w:after="0"/>
        <w:rPr>
          <w:sz w:val="20"/>
          <w:szCs w:val="20"/>
          <w:color w:val="auto"/>
        </w:rPr>
      </w:pPr>
      <w:r>
        <w:rPr>
          <w:rFonts w:ascii="Arial" w:cs="Arial" w:eastAsia="Arial" w:hAnsi="Arial"/>
          <w:sz w:val="15"/>
          <w:szCs w:val="15"/>
          <w:b w:val="1"/>
          <w:bCs w:val="1"/>
          <w:i w:val="1"/>
          <w:iCs w:val="1"/>
          <w:color w:val="auto"/>
        </w:rPr>
        <w:t>Identifiable assets:</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i w:val="1"/>
                <w:iCs w:val="1"/>
                <w:color w:val="auto"/>
                <w:w w:val="83"/>
              </w:rPr>
              <w:t>Sept. 30,</w:t>
            </w:r>
          </w:p>
        </w:tc>
        <w:tc>
          <w:tcPr>
            <w:tcW w:w="4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6"/>
              </w:rPr>
              <w:t>Dec. 31,</w:t>
            </w:r>
          </w:p>
        </w:tc>
      </w:tr>
      <w:tr>
        <w:trPr>
          <w:trHeight w:val="146"/>
        </w:trPr>
        <w:tc>
          <w:tcPr>
            <w:tcW w:w="480" w:type="dxa"/>
            <w:vAlign w:val="bottom"/>
            <w:tcBorders>
              <w:bottom w:val="single" w:sz="8" w:color="auto"/>
            </w:tcBorders>
          </w:tcPr>
          <w:p>
            <w:pPr>
              <w:jc w:val="right"/>
              <w:ind w:right="32"/>
              <w:spacing w:after="0" w:line="146" w:lineRule="exact"/>
              <w:rPr>
                <w:sz w:val="20"/>
                <w:szCs w:val="20"/>
                <w:color w:val="auto"/>
              </w:rPr>
            </w:pPr>
            <w:r>
              <w:rPr>
                <w:rFonts w:ascii="Arial" w:cs="Arial" w:eastAsia="Arial" w:hAnsi="Arial"/>
                <w:sz w:val="14"/>
                <w:szCs w:val="14"/>
                <w:b w:val="1"/>
                <w:bCs w:val="1"/>
                <w:i w:val="1"/>
                <w:iCs w:val="1"/>
                <w:color w:val="auto"/>
              </w:rPr>
              <w:t>2016</w:t>
            </w:r>
          </w:p>
        </w:tc>
        <w:tc>
          <w:tcPr>
            <w:tcW w:w="300" w:type="dxa"/>
            <w:vAlign w:val="bottom"/>
          </w:tcPr>
          <w:p>
            <w:pPr>
              <w:spacing w:after="0"/>
              <w:rPr>
                <w:sz w:val="12"/>
                <w:szCs w:val="12"/>
                <w:color w:val="auto"/>
              </w:rPr>
            </w:pPr>
          </w:p>
        </w:tc>
        <w:tc>
          <w:tcPr>
            <w:tcW w:w="480" w:type="dxa"/>
            <w:vAlign w:val="bottom"/>
            <w:tcBorders>
              <w:bottom w:val="single" w:sz="8" w:color="auto"/>
            </w:tcBorders>
          </w:tcPr>
          <w:p>
            <w:pPr>
              <w:jc w:val="right"/>
              <w:ind w:right="52"/>
              <w:spacing w:after="0" w:line="146" w:lineRule="exact"/>
              <w:rPr>
                <w:sz w:val="20"/>
                <w:szCs w:val="20"/>
                <w:color w:val="auto"/>
              </w:rPr>
            </w:pPr>
            <w:r>
              <w:rPr>
                <w:rFonts w:ascii="Arial" w:cs="Arial" w:eastAsia="Arial" w:hAnsi="Arial"/>
                <w:sz w:val="14"/>
                <w:szCs w:val="14"/>
                <w:b w:val="1"/>
                <w:bCs w:val="1"/>
                <w:i w:val="1"/>
                <w:iCs w:val="1"/>
                <w:color w:val="auto"/>
              </w:rPr>
              <w:t>2015</w:t>
            </w:r>
          </w:p>
        </w:tc>
      </w:tr>
    </w:tbl>
    <w:p>
      <w:pPr>
        <w:spacing w:after="0" w:line="19" w:lineRule="exact"/>
        <w:rPr>
          <w:sz w:val="20"/>
          <w:szCs w:val="20"/>
          <w:color w:val="auto"/>
        </w:rPr>
      </w:pPr>
    </w:p>
    <w:p>
      <w:pPr>
        <w:sectPr>
          <w:pgSz w:w="11900" w:h="16838" w:orient="portrait"/>
          <w:cols w:equalWidth="0" w:num="2">
            <w:col w:w="7640" w:space="720"/>
            <w:col w:w="3020"/>
          </w:cols>
          <w:pgMar w:left="240" w:top="131" w:right="279" w:bottom="0" w:gutter="0" w:footer="0" w:header="0"/>
          <w:type w:val="continuous"/>
        </w:sectPr>
      </w:pPr>
    </w:p>
    <w:tbl>
      <w:tblPr>
        <w:tblLayout w:type="fixed"/>
        <w:tblInd w:w="1740" w:type="dxa"/>
        <w:tblCellMar>
          <w:top w:w="0" w:type="dxa"/>
          <w:left w:w="0" w:type="dxa"/>
          <w:bottom w:w="0" w:type="dxa"/>
          <w:right w:w="0" w:type="dxa"/>
        </w:tblCellMar>
      </w:tblPr>
      <w:tr>
        <w:trPr>
          <w:trHeight w:val="222"/>
        </w:trPr>
        <w:tc>
          <w:tcPr>
            <w:tcW w:w="6720" w:type="dxa"/>
            <w:vAlign w:val="bottom"/>
          </w:tcPr>
          <w:p>
            <w:pPr>
              <w:spacing w:after="0"/>
              <w:rPr>
                <w:sz w:val="20"/>
                <w:szCs w:val="20"/>
                <w:color w:val="auto"/>
              </w:rPr>
            </w:pPr>
            <w:r>
              <w:rPr>
                <w:rFonts w:ascii="Arial" w:cs="Arial" w:eastAsia="Arial" w:hAnsi="Arial"/>
                <w:sz w:val="18"/>
                <w:szCs w:val="18"/>
                <w:color w:val="auto"/>
              </w:rPr>
              <w:t>Thermal Products</w:t>
            </w:r>
          </w:p>
        </w:tc>
        <w:tc>
          <w:tcPr>
            <w:tcW w:w="540" w:type="dxa"/>
            <w:vAlign w:val="bottom"/>
          </w:tcPr>
          <w:p>
            <w:pPr>
              <w:jc w:val="right"/>
              <w:spacing w:after="0"/>
              <w:rPr>
                <w:sz w:val="20"/>
                <w:szCs w:val="20"/>
                <w:color w:val="auto"/>
              </w:rPr>
            </w:pPr>
            <w:r>
              <w:rPr>
                <w:rFonts w:ascii="Arial" w:cs="Arial" w:eastAsia="Arial" w:hAnsi="Arial"/>
                <w:sz w:val="18"/>
                <w:szCs w:val="18"/>
                <w:color w:val="auto"/>
                <w:w w:val="79"/>
              </w:rPr>
              <w:t>$18,512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$16,983</w:t>
            </w:r>
          </w:p>
        </w:tc>
      </w:tr>
      <w:tr>
        <w:trPr>
          <w:trHeight w:val="243"/>
        </w:trPr>
        <w:tc>
          <w:tcPr>
            <w:tcW w:w="6720" w:type="dxa"/>
            <w:vAlign w:val="bottom"/>
          </w:tcPr>
          <w:p>
            <w:pPr>
              <w:spacing w:after="0"/>
              <w:rPr>
                <w:sz w:val="20"/>
                <w:szCs w:val="20"/>
                <w:color w:val="auto"/>
              </w:rPr>
            </w:pPr>
            <w:r>
              <w:rPr>
                <w:rFonts w:ascii="Arial" w:cs="Arial" w:eastAsia="Arial" w:hAnsi="Arial"/>
                <w:sz w:val="18"/>
                <w:szCs w:val="18"/>
                <w:color w:val="auto"/>
              </w:rPr>
              <w:t>Mechanical Products</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19,156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19,733</w:t>
            </w:r>
          </w:p>
        </w:tc>
      </w:tr>
      <w:tr>
        <w:trPr>
          <w:trHeight w:val="205"/>
        </w:trPr>
        <w:tc>
          <w:tcPr>
            <w:tcW w:w="672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5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4,364</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3,268</w:t>
            </w:r>
          </w:p>
        </w:tc>
      </w:tr>
      <w:tr>
        <w:trPr>
          <w:trHeight w:val="223"/>
        </w:trPr>
        <w:tc>
          <w:tcPr>
            <w:tcW w:w="67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42,032</w:t>
            </w: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39,984</w:t>
            </w:r>
          </w:p>
        </w:tc>
      </w:tr>
      <w:tr>
        <w:trPr>
          <w:trHeight w:val="20"/>
        </w:trPr>
        <w:tc>
          <w:tcPr>
            <w:tcW w:w="67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bl>
    <w:p>
      <w:pPr>
        <w:spacing w:after="0" w:line="248" w:lineRule="exact"/>
        <w:rPr>
          <w:sz w:val="20"/>
          <w:szCs w:val="20"/>
          <w:color w:val="auto"/>
        </w:rPr>
      </w:pPr>
    </w:p>
    <w:p>
      <w:pPr>
        <w:ind w:left="540" w:right="120"/>
        <w:spacing w:after="0" w:line="268"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pacing w:after="0" w:line="18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260" w:type="dxa"/>
            <w:vAlign w:val="bottom"/>
            <w:gridSpan w:val="10"/>
          </w:tcPr>
          <w:p>
            <w:pPr>
              <w:jc w:val="right"/>
              <w:ind w:right="80"/>
              <w:spacing w:after="0"/>
              <w:rPr>
                <w:sz w:val="20"/>
                <w:szCs w:val="20"/>
                <w:color w:val="auto"/>
              </w:rPr>
            </w:pPr>
            <w:r>
              <w:rPr>
                <w:rFonts w:ascii="Arial" w:cs="Arial" w:eastAsia="Arial" w:hAnsi="Arial"/>
                <w:sz w:val="14"/>
                <w:szCs w:val="14"/>
                <w:b w:val="1"/>
                <w:bCs w:val="1"/>
                <w:i w:val="1"/>
                <w:iCs w:val="1"/>
                <w:color w:val="auto"/>
                <w:w w:val="83"/>
              </w:rPr>
              <w:t>Three Months Ended</w:t>
            </w:r>
          </w:p>
        </w:tc>
        <w:tc>
          <w:tcPr>
            <w:tcW w:w="240" w:type="dxa"/>
            <w:vAlign w:val="bottom"/>
          </w:tcPr>
          <w:p>
            <w:pPr>
              <w:spacing w:after="0"/>
              <w:rPr>
                <w:sz w:val="14"/>
                <w:szCs w:val="14"/>
                <w:color w:val="auto"/>
              </w:rPr>
            </w:pPr>
          </w:p>
        </w:tc>
        <w:tc>
          <w:tcPr>
            <w:tcW w:w="1260" w:type="dxa"/>
            <w:vAlign w:val="bottom"/>
            <w:gridSpan w:val="9"/>
          </w:tcPr>
          <w:p>
            <w:pPr>
              <w:jc w:val="center"/>
              <w:ind w:right="120"/>
              <w:spacing w:after="0"/>
              <w:rPr>
                <w:sz w:val="20"/>
                <w:szCs w:val="20"/>
                <w:color w:val="auto"/>
              </w:rPr>
            </w:pPr>
            <w:r>
              <w:rPr>
                <w:rFonts w:ascii="Arial" w:cs="Arial" w:eastAsia="Arial" w:hAnsi="Arial"/>
                <w:sz w:val="14"/>
                <w:szCs w:val="14"/>
                <w:b w:val="1"/>
                <w:bCs w:val="1"/>
                <w:i w:val="1"/>
                <w:iCs w:val="1"/>
                <w:color w:val="auto"/>
                <w:w w:val="87"/>
              </w:rPr>
              <w:t>Nine Months Ended</w:t>
            </w:r>
          </w:p>
        </w:tc>
        <w:tc>
          <w:tcPr>
            <w:tcW w:w="0" w:type="dxa"/>
            <w:vAlign w:val="bottom"/>
          </w:tcPr>
          <w:p>
            <w:pPr>
              <w:spacing w:after="0"/>
              <w:rPr>
                <w:sz w:val="1"/>
                <w:szCs w:val="1"/>
                <w:color w:val="auto"/>
              </w:rPr>
            </w:pPr>
          </w:p>
        </w:tc>
      </w:tr>
      <w:tr>
        <w:trPr>
          <w:trHeight w:val="146"/>
        </w:trPr>
        <w:tc>
          <w:tcPr>
            <w:tcW w:w="51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4"/>
          </w:tcPr>
          <w:p>
            <w:pPr>
              <w:jc w:val="right"/>
              <w:spacing w:after="0" w:line="146" w:lineRule="exact"/>
              <w:rPr>
                <w:sz w:val="20"/>
                <w:szCs w:val="20"/>
                <w:color w:val="auto"/>
              </w:rPr>
            </w:pPr>
            <w:r>
              <w:rPr>
                <w:rFonts w:ascii="Arial" w:cs="Arial" w:eastAsia="Arial" w:hAnsi="Arial"/>
                <w:sz w:val="14"/>
                <w:szCs w:val="14"/>
                <w:b w:val="1"/>
                <w:bCs w:val="1"/>
                <w:i w:val="1"/>
                <w:iCs w:val="1"/>
                <w:color w:val="auto"/>
              </w:rPr>
              <w:t>Sept. 30,</w:t>
            </w: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5"/>
          </w:tcPr>
          <w:p>
            <w:pPr>
              <w:jc w:val="center"/>
              <w:ind w:right="92"/>
              <w:spacing w:after="0" w:line="146" w:lineRule="exact"/>
              <w:rPr>
                <w:sz w:val="20"/>
                <w:szCs w:val="20"/>
                <w:color w:val="auto"/>
              </w:rPr>
            </w:pPr>
            <w:r>
              <w:rPr>
                <w:rFonts w:ascii="Arial" w:cs="Arial" w:eastAsia="Arial" w:hAnsi="Arial"/>
                <w:sz w:val="14"/>
                <w:szCs w:val="14"/>
                <w:b w:val="1"/>
                <w:bCs w:val="1"/>
                <w:i w:val="1"/>
                <w:iCs w:val="1"/>
                <w:color w:val="auto"/>
                <w:w w:val="83"/>
              </w:rPr>
              <w:t>Sept. 30,</w:t>
            </w:r>
          </w:p>
        </w:tc>
        <w:tc>
          <w:tcPr>
            <w:tcW w:w="1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1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60" w:type="dxa"/>
            <w:vAlign w:val="bottom"/>
          </w:tcPr>
          <w:p>
            <w:pPr>
              <w:spacing w:after="0"/>
              <w:rPr>
                <w:sz w:val="13"/>
                <w:szCs w:val="13"/>
                <w:color w:val="auto"/>
              </w:rPr>
            </w:pPr>
          </w:p>
        </w:tc>
        <w:tc>
          <w:tcPr>
            <w:tcW w:w="120" w:type="dxa"/>
            <w:vAlign w:val="bottom"/>
            <w:vMerge w:val="restart"/>
          </w:tcPr>
          <w:p>
            <w:pPr>
              <w:spacing w:after="0"/>
              <w:rPr>
                <w:sz w:val="13"/>
                <w:szCs w:val="13"/>
                <w:color w:val="auto"/>
              </w:rPr>
            </w:pP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i w:val="1"/>
                <w:iCs w:val="1"/>
                <w:color w:val="auto"/>
                <w:w w:val="76"/>
              </w:rPr>
              <w:t>2016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vMerge w:val="restart"/>
          </w:tcPr>
          <w:p>
            <w:pPr>
              <w:spacing w:after="0"/>
              <w:rPr>
                <w:sz w:val="13"/>
                <w:szCs w:val="13"/>
                <w:color w:val="auto"/>
              </w:rPr>
            </w:pP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i w:val="1"/>
                <w:iCs w:val="1"/>
                <w:color w:val="auto"/>
                <w:w w:val="76"/>
              </w:rPr>
              <w:t>2015</w:t>
            </w:r>
          </w:p>
        </w:tc>
        <w:tc>
          <w:tcPr>
            <w:tcW w:w="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vMerge w:val="restart"/>
          </w:tcPr>
          <w:p>
            <w:pPr>
              <w:spacing w:after="0"/>
              <w:rPr>
                <w:sz w:val="13"/>
                <w:szCs w:val="13"/>
                <w:color w:val="auto"/>
              </w:rPr>
            </w:pP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i w:val="1"/>
                <w:iCs w:val="1"/>
                <w:color w:val="auto"/>
                <w:w w:val="76"/>
              </w:rPr>
              <w:t>2016</w:t>
            </w:r>
          </w:p>
        </w:tc>
        <w:tc>
          <w:tcPr>
            <w:tcW w:w="10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200" w:type="dxa"/>
            <w:vAlign w:val="bottom"/>
            <w:vMerge w:val="restart"/>
          </w:tcPr>
          <w:p>
            <w:pPr>
              <w:spacing w:after="0"/>
              <w:rPr>
                <w:sz w:val="13"/>
                <w:szCs w:val="13"/>
                <w:color w:val="auto"/>
              </w:rPr>
            </w:pPr>
          </w:p>
        </w:tc>
        <w:tc>
          <w:tcPr>
            <w:tcW w:w="2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w w:val="83"/>
              </w:rPr>
              <w:t>2015</w:t>
            </w:r>
          </w:p>
        </w:tc>
        <w:tc>
          <w:tcPr>
            <w:tcW w:w="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51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280" w:type="dxa"/>
            <w:vAlign w:val="bottom"/>
            <w:gridSpan w:val="2"/>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180" w:type="dxa"/>
            <w:vAlign w:val="bottom"/>
          </w:tcPr>
          <w:p>
            <w:pPr>
              <w:spacing w:after="0"/>
              <w:rPr>
                <w:sz w:val="20"/>
                <w:szCs w:val="20"/>
                <w:color w:val="auto"/>
              </w:rPr>
            </w:pPr>
            <w:r>
              <w:rPr>
                <w:rFonts w:ascii="Arial" w:cs="Arial" w:eastAsia="Arial" w:hAnsi="Arial"/>
                <w:sz w:val="18"/>
                <w:szCs w:val="18"/>
                <w:color w:val="auto"/>
              </w:rPr>
              <w:t>U.S.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3,268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w w:val="88"/>
              </w:rPr>
              <w:t>3,713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8,898</w:t>
            </w: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$11,032</w:t>
            </w:r>
          </w:p>
        </w:tc>
        <w:tc>
          <w:tcPr>
            <w:tcW w:w="0" w:type="dxa"/>
            <w:vAlign w:val="bottom"/>
          </w:tcPr>
          <w:p>
            <w:pPr>
              <w:spacing w:after="0"/>
              <w:rPr>
                <w:sz w:val="1"/>
                <w:szCs w:val="1"/>
                <w:color w:val="auto"/>
              </w:rPr>
            </w:pPr>
          </w:p>
        </w:tc>
      </w:tr>
      <w:tr>
        <w:trPr>
          <w:trHeight w:val="205"/>
        </w:trPr>
        <w:tc>
          <w:tcPr>
            <w:tcW w:w="5180" w:type="dxa"/>
            <w:vAlign w:val="bottom"/>
          </w:tcPr>
          <w:p>
            <w:pPr>
              <w:spacing w:after="0" w:line="205" w:lineRule="exact"/>
              <w:rPr>
                <w:sz w:val="20"/>
                <w:szCs w:val="20"/>
                <w:color w:val="auto"/>
              </w:rPr>
            </w:pPr>
            <w:r>
              <w:rPr>
                <w:rFonts w:ascii="Arial" w:cs="Arial" w:eastAsia="Arial" w:hAnsi="Arial"/>
                <w:sz w:val="18"/>
                <w:szCs w:val="18"/>
                <w:color w:val="auto"/>
              </w:rPr>
              <w:t>Foreign</w:t>
            </w:r>
          </w:p>
        </w:tc>
        <w:tc>
          <w:tcPr>
            <w:tcW w:w="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7,555</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w w:val="88"/>
              </w:rPr>
              <w:t>5,490</w:t>
            </w:r>
          </w:p>
        </w:tc>
        <w:tc>
          <w:tcPr>
            <w:tcW w:w="2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w w:val="87"/>
              </w:rPr>
              <w:t>21,057</w:t>
            </w:r>
          </w:p>
        </w:tc>
        <w:tc>
          <w:tcPr>
            <w:tcW w:w="140" w:type="dxa"/>
            <w:vAlign w:val="bottom"/>
          </w:tcPr>
          <w:p>
            <w:pPr>
              <w:spacing w:after="0"/>
              <w:rPr>
                <w:sz w:val="17"/>
                <w:szCs w:val="17"/>
                <w:color w:val="auto"/>
              </w:rPr>
            </w:pPr>
          </w:p>
        </w:tc>
        <w:tc>
          <w:tcPr>
            <w:tcW w:w="56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w w:val="98"/>
              </w:rPr>
              <w:t>19,918</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10,823</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w w:val="88"/>
              </w:rPr>
              <w:t>9,203</w:t>
            </w:r>
          </w:p>
        </w:tc>
        <w:tc>
          <w:tcPr>
            <w:tcW w:w="24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29,955</w:t>
            </w:r>
          </w:p>
        </w:tc>
        <w:tc>
          <w:tcPr>
            <w:tcW w:w="70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30,950</w:t>
            </w:r>
          </w:p>
        </w:tc>
        <w:tc>
          <w:tcPr>
            <w:tcW w:w="0" w:type="dxa"/>
            <w:vAlign w:val="bottom"/>
          </w:tcPr>
          <w:p>
            <w:pPr>
              <w:spacing w:after="0"/>
              <w:rPr>
                <w:sz w:val="1"/>
                <w:szCs w:val="1"/>
                <w:color w:val="auto"/>
              </w:rPr>
            </w:pPr>
          </w:p>
        </w:tc>
      </w:tr>
      <w:tr>
        <w:trPr>
          <w:trHeight w:val="20"/>
        </w:trPr>
        <w:tc>
          <w:tcPr>
            <w:tcW w:w="5180" w:type="dxa"/>
            <w:vAlign w:val="bottom"/>
            <w:tcBorders>
              <w:right w:val="single" w:sz="8" w:color="auto"/>
            </w:tcBorders>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31" w:right="279" w:bottom="0" w:gutter="0" w:footer="0" w:header="0"/>
          <w:type w:val="continuous"/>
        </w:sectPr>
      </w:pPr>
    </w:p>
    <w:p>
      <w:pPr>
        <w:spacing w:after="0" w:line="237" w:lineRule="exact"/>
        <w:rPr>
          <w:sz w:val="20"/>
          <w:szCs w:val="20"/>
          <w:color w:val="auto"/>
        </w:rPr>
      </w:pPr>
    </w:p>
    <w:p>
      <w:pPr>
        <w:ind w:left="1720"/>
        <w:spacing w:after="0"/>
        <w:rPr>
          <w:sz w:val="20"/>
          <w:szCs w:val="20"/>
          <w:color w:val="auto"/>
        </w:rPr>
      </w:pPr>
      <w:r>
        <w:rPr>
          <w:rFonts w:ascii="Arial" w:cs="Arial" w:eastAsia="Arial" w:hAnsi="Arial"/>
          <w:sz w:val="15"/>
          <w:szCs w:val="15"/>
          <w:b w:val="1"/>
          <w:bCs w:val="1"/>
          <w:i w:val="1"/>
          <w:iCs w:val="1"/>
          <w:color w:val="auto"/>
        </w:rPr>
        <w:t>Property and equipment: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i w:val="1"/>
          <w:iCs w:val="1"/>
          <w:color w:val="auto"/>
        </w:rPr>
        <w:t>Sept. 30,</w:t>
      </w:r>
      <w:r>
        <w:rPr>
          <w:sz w:val="20"/>
          <w:szCs w:val="20"/>
          <w:color w:val="auto"/>
        </w:rPr>
        <w:tab/>
      </w:r>
      <w:r>
        <w:rPr>
          <w:rFonts w:ascii="Arial" w:cs="Arial" w:eastAsia="Arial" w:hAnsi="Arial"/>
          <w:sz w:val="12"/>
          <w:szCs w:val="12"/>
          <w:b w:val="1"/>
          <w:bCs w:val="1"/>
          <w:i w:val="1"/>
          <w:iCs w:val="1"/>
          <w:color w:val="auto"/>
        </w:rPr>
        <w:t>Dec. 31,</w:t>
      </w:r>
    </w:p>
    <w:p>
      <w:pPr>
        <w:spacing w:after="0" w:line="28"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14"/>
          <w:szCs w:val="14"/>
          <w:b w:val="1"/>
          <w:bCs w:val="1"/>
          <w:i w:val="1"/>
          <w:iCs w:val="1"/>
          <w:color w:val="auto"/>
        </w:rPr>
        <w:t>2016</w:t>
      </w:r>
      <w:r>
        <w:rPr>
          <w:sz w:val="20"/>
          <w:szCs w:val="20"/>
          <w:color w:val="auto"/>
        </w:rPr>
        <w:tab/>
      </w:r>
      <w:r>
        <w:rPr>
          <w:rFonts w:ascii="Arial" w:cs="Arial" w:eastAsia="Arial" w:hAnsi="Arial"/>
          <w:sz w:val="14"/>
          <w:szCs w:val="14"/>
          <w:b w:val="1"/>
          <w:bCs w:val="1"/>
          <w:i w:val="1"/>
          <w:i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-8890</wp:posOffset>
            </wp:positionV>
            <wp:extent cx="8191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19150" cy="8890"/>
                    </a:xfrm>
                    <a:prstGeom prst="rect">
                      <a:avLst/>
                    </a:prstGeom>
                    <a:noFill/>
                  </pic:spPr>
                </pic:pic>
              </a:graphicData>
            </a:graphic>
          </wp:anchor>
        </w:drawing>
      </w:r>
    </w:p>
    <w:p>
      <w:pPr>
        <w:spacing w:after="0" w:line="44" w:lineRule="exact"/>
        <w:rPr>
          <w:sz w:val="20"/>
          <w:szCs w:val="20"/>
          <w:color w:val="auto"/>
        </w:rPr>
      </w:pPr>
    </w:p>
    <w:p>
      <w:pPr>
        <w:sectPr>
          <w:pgSz w:w="11900" w:h="16838" w:orient="portrait"/>
          <w:cols w:equalWidth="0" w:num="2">
            <w:col w:w="7660" w:space="720"/>
            <w:col w:w="3000"/>
          </w:cols>
          <w:pgMar w:left="240" w:top="131" w:right="279" w:bottom="0" w:gutter="0" w:footer="0" w:header="0"/>
          <w:type w:val="continuous"/>
        </w:sectPr>
      </w:pPr>
    </w:p>
    <w:tbl>
      <w:tblPr>
        <w:tblLayout w:type="fixed"/>
        <w:tblInd w:w="1720" w:type="dxa"/>
        <w:tblCellMar>
          <w:top w:w="0" w:type="dxa"/>
          <w:left w:w="0" w:type="dxa"/>
          <w:bottom w:w="0" w:type="dxa"/>
          <w:right w:w="0" w:type="dxa"/>
        </w:tblCellMar>
      </w:tblPr>
      <w:tr>
        <w:trPr>
          <w:trHeight w:val="222"/>
        </w:trPr>
        <w:tc>
          <w:tcPr>
            <w:tcW w:w="6800" w:type="dxa"/>
            <w:vAlign w:val="bottom"/>
          </w:tcPr>
          <w:p>
            <w:pPr>
              <w:spacing w:after="0"/>
              <w:rPr>
                <w:sz w:val="20"/>
                <w:szCs w:val="20"/>
                <w:color w:val="auto"/>
              </w:rPr>
            </w:pPr>
            <w:r>
              <w:rPr>
                <w:rFonts w:ascii="Arial" w:cs="Arial" w:eastAsia="Arial" w:hAnsi="Arial"/>
                <w:sz w:val="18"/>
                <w:szCs w:val="18"/>
                <w:color w:val="auto"/>
              </w:rPr>
              <w:t>U.S.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725</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797</w:t>
            </w:r>
          </w:p>
        </w:tc>
      </w:tr>
      <w:tr>
        <w:trPr>
          <w:trHeight w:val="205"/>
        </w:trPr>
        <w:tc>
          <w:tcPr>
            <w:tcW w:w="6800" w:type="dxa"/>
            <w:vAlign w:val="bottom"/>
          </w:tcPr>
          <w:p>
            <w:pPr>
              <w:spacing w:after="0" w:line="205" w:lineRule="exact"/>
              <w:rPr>
                <w:sz w:val="20"/>
                <w:szCs w:val="20"/>
                <w:color w:val="auto"/>
              </w:rPr>
            </w:pPr>
            <w:r>
              <w:rPr>
                <w:rFonts w:ascii="Arial" w:cs="Arial" w:eastAsia="Arial" w:hAnsi="Arial"/>
                <w:sz w:val="18"/>
                <w:szCs w:val="18"/>
                <w:color w:val="auto"/>
              </w:rPr>
              <w:t>Foreign</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w w:val="99"/>
              </w:rPr>
              <w:t>270</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315</w:t>
            </w:r>
          </w:p>
        </w:tc>
      </w:tr>
      <w:tr>
        <w:trPr>
          <w:trHeight w:val="223"/>
        </w:trPr>
        <w:tc>
          <w:tcPr>
            <w:tcW w:w="68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995</w:t>
            </w:r>
          </w:p>
        </w:tc>
        <w:tc>
          <w:tcPr>
            <w:tcW w:w="3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1,112</w:t>
            </w:r>
          </w:p>
        </w:tc>
      </w:tr>
      <w:tr>
        <w:trPr>
          <w:trHeight w:val="20"/>
        </w:trPr>
        <w:tc>
          <w:tcPr>
            <w:tcW w:w="6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bl>
    <w:p>
      <w:pPr>
        <w:sectPr>
          <w:pgSz w:w="11900" w:h="16838" w:orient="portrait"/>
          <w:cols w:equalWidth="0" w:num="1">
            <w:col w:w="11380"/>
          </w:cols>
          <w:pgMar w:left="240" w:top="131" w:right="279" w:bottom="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8"/>
          <w:szCs w:val="18"/>
          <w:color w:val="auto"/>
        </w:rPr>
        <w:t>- 14 -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ind w:left="540" w:right="1720" w:hanging="539"/>
        <w:spacing w:after="0" w:line="478"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u w:val="single" w:color="auto"/>
          <w:color w:val="auto"/>
        </w:rPr>
        <w:t>Risk Factors and Forward-Looking Statements</w:t>
      </w:r>
    </w:p>
    <w:p>
      <w:pPr>
        <w:spacing w:after="0" w:line="5"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In addition to historical information, this discussion and analysis contains statements relating to possible future events and results that are considered "forward-looking statements" within the meaning of the Private Securities Litigation Reform Act of 1995. These statements can often be identified by the use of forward-looking terminology such as "believes," "expects," "intends," "may," "will," "should" or "anticipates" or similar terminology. See Part I, Item 1 - "Business - Cautionary Statement Regarding Forward-Looking Statements" in our 2015 Form 10-K for examples of statements made in this report which may be "forward-looking statements." These statements involve risks and uncertainties and are based on various assumptions. Although we believe that our expectations are based on reasonable assumptions, investors and prospective investors are cautioned that such statements are only projections, and there cannot be any assurance that these events or results will occur.</w:t>
      </w:r>
    </w:p>
    <w:p>
      <w:pPr>
        <w:spacing w:after="0" w:line="172"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Information about the primary risks and uncertainties that could cause our actual future results to differ materially from our historic results or the results described in the forward-looking statements made in this report or presented elsewhere by Management from time to time are included in Part I, Item 1A - "Risk Factors" in our 2015 Form 10-K. Material changes to such risk factors may be reported in subsequent Quarterly Reports on Form 10-Q in Part II, Item 1A. There have been no such changes from the risk factors set forth in our 2015 Form 10-K.</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Overview</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5" w:lineRule="exact"/>
        <w:rPr>
          <w:sz w:val="20"/>
          <w:szCs w:val="20"/>
          <w:color w:val="auto"/>
        </w:rPr>
      </w:pPr>
    </w:p>
    <w:p>
      <w:pPr>
        <w:ind w:left="540" w:right="40"/>
        <w:spacing w:after="0" w:line="291" w:lineRule="auto"/>
        <w:rPr>
          <w:sz w:val="20"/>
          <w:szCs w:val="20"/>
          <w:color w:val="auto"/>
        </w:rPr>
      </w:pPr>
      <w:r>
        <w:rPr>
          <w:rFonts w:ascii="Arial" w:cs="Arial" w:eastAsia="Arial" w:hAnsi="Arial"/>
          <w:sz w:val="16"/>
          <w:szCs w:val="16"/>
          <w:color w:val="auto"/>
        </w:rPr>
        <w:t>Our business and results of operations are substantially dependent upon the demand for ATE by semiconductor manufacturers and companies that specialize in the testing of ICs. Demand for ATE is driven by semiconductor manufacturers that are opening new, or expanding existing, semiconductor fabrication facilities or upgrading existing equipment, which in turn is dependent upon the current and anticipated market demand for semiconductors and products incorporating semiconductors. Such market demand can be the result of market expansion, development of new technologies or redesigned products to incorporate new features, or the replacement of aging equipment. In addition, we continue to focus on design improvements and new approaches for our own products which contribute to our net revenues as our customers adopt these new products.</w:t>
      </w:r>
    </w:p>
    <w:p>
      <w:pPr>
        <w:spacing w:after="0" w:line="174" w:lineRule="exact"/>
        <w:rPr>
          <w:sz w:val="20"/>
          <w:szCs w:val="20"/>
          <w:color w:val="auto"/>
        </w:rPr>
      </w:pPr>
    </w:p>
    <w:p>
      <w:pPr>
        <w:ind w:left="540"/>
        <w:spacing w:after="0" w:line="307" w:lineRule="auto"/>
        <w:rPr>
          <w:sz w:val="20"/>
          <w:szCs w:val="20"/>
          <w:color w:val="auto"/>
        </w:rPr>
      </w:pPr>
      <w:r>
        <w:rPr>
          <w:rFonts w:ascii="Arial" w:cs="Arial" w:eastAsia="Arial" w:hAnsi="Arial"/>
          <w:sz w:val="15"/>
          <w:szCs w:val="15"/>
          <w:color w:val="auto"/>
        </w:rPr>
        <w:t>In the past, the semiconductor industry has been highly cyclical with recurring periods of oversupply, which often have a severe impact on the semiconductor industry's demand for ATE, including the products we manufacture. This can cause wide fluctuations in both our orders and net revenues and, depending on our ability to react quickly to these shifts in demand, can significantly impact our results of operations. ATE market cycles are difficult to predict and in recent years have become more volatile and, in certain cases, shorter in duration. Because the market cycles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our industry,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 In addition to being cyclical, the ATE market has also developed a seasonal pattern in the last several years, with the second and third quarters being the periods of strong demand and the first and fourth quarters being periods of weakened demand. We believe this change has been driven by the strong demand for consumer products containing semiconductor content sold during the year-end holiday shopping season.</w:t>
      </w:r>
    </w:p>
    <w:p>
      <w:pPr>
        <w:spacing w:after="0" w:line="166" w:lineRule="exact"/>
        <w:rPr>
          <w:sz w:val="20"/>
          <w:szCs w:val="20"/>
          <w:color w:val="auto"/>
        </w:rPr>
      </w:pPr>
    </w:p>
    <w:p>
      <w:pPr>
        <w:ind w:left="540" w:right="80"/>
        <w:spacing w:after="0" w:line="335" w:lineRule="auto"/>
        <w:rPr>
          <w:sz w:val="20"/>
          <w:szCs w:val="20"/>
          <w:color w:val="auto"/>
        </w:rPr>
      </w:pPr>
      <w:r>
        <w:rPr>
          <w:rFonts w:ascii="Arial" w:cs="Arial" w:eastAsia="Arial" w:hAnsi="Arial"/>
          <w:sz w:val="15"/>
          <w:szCs w:val="15"/>
          <w:color w:val="auto"/>
        </w:rPr>
        <w:t>Third-party market share statistics are not available for the products we manufacture and sell into the ATE market; therefore, comparisons of period over period changes in our market share are not easily determined. As a result, it is difficult to ascertain if ATE market volatility in any period is the result of macro-economic or customer-specific factors impacting ATE market demand, or if we have gained or lost market share to a competitor during the period.</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309" w:lineRule="auto"/>
        <w:rPr>
          <w:sz w:val="20"/>
          <w:szCs w:val="20"/>
          <w:color w:val="auto"/>
        </w:rPr>
      </w:pPr>
      <w:r>
        <w:rPr>
          <w:rFonts w:ascii="Arial" w:cs="Arial" w:eastAsia="Arial" w:hAnsi="Arial"/>
          <w:sz w:val="15"/>
          <w:szCs w:val="15"/>
          <w:color w:val="auto"/>
        </w:rPr>
        <w:t>As part of our strategy to reduce the impact of ATE market volatility on our business operations, in 2009, we began to diversify our served markets to address the thermal test requirements of several other markets outside the ATE market. These include the automotive, consumer electronics, defense/aerospace, energy, industrial and telecommunications markets. We believe that these markets usually are less cyclical than the ATE market. While market share statistics exist for some of the markets we serve outside the ATE market, due to the nature of our highly specialized product offerings in these non-ATE markets, we do not expect broad market penetration in many of these markets and, therefore, do not anticipate developing meaningful market shares in these non-ATE markets. In addition, our orders and net revenues in any given period in these markets do not necessarily reflect the overall trends in these non-ATE markets due to our limited market shares. Consequently, we are continuing to evaluate buying patterns and opportunities for growth in these non-ATE markets that may affect our performance. The level of our orders and net revenues from these non-ATE markets has varied in the past, and we expect will vary significantly in the future, as we work to build our presence in these markets and establish new markets for our products.</w:t>
      </w:r>
    </w:p>
    <w:p>
      <w:pPr>
        <w:spacing w:after="0" w:line="162" w:lineRule="exact"/>
        <w:rPr>
          <w:sz w:val="20"/>
          <w:szCs w:val="20"/>
          <w:color w:val="auto"/>
        </w:rPr>
      </w:pPr>
    </w:p>
    <w:p>
      <w:pPr>
        <w:ind w:left="540" w:right="40"/>
        <w:spacing w:after="0" w:line="312" w:lineRule="auto"/>
        <w:rPr>
          <w:sz w:val="20"/>
          <w:szCs w:val="20"/>
          <w:color w:val="auto"/>
        </w:rPr>
      </w:pPr>
      <w:r>
        <w:rPr>
          <w:rFonts w:ascii="Arial" w:cs="Arial" w:eastAsia="Arial" w:hAnsi="Arial"/>
          <w:sz w:val="15"/>
          <w:szCs w:val="15"/>
          <w:color w:val="auto"/>
        </w:rPr>
        <w:t>While the majority of our orders and net revenues are derived from the ATE market, our operating results do not always follow the overall trend in the ATE market in any given period. We believe that these anomalies may be driven by a variety of factors within the ATE market, including, for example, changing product requirements, longer time periods between new product offerings by original equipment manufacturers ("OEMs") and changes in customer buying patterns. In particular, demand for our mechanical and electrical products, which are sold exclusively within the ATE market,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 smaller quantities (which prevents us from acquiring component materials in larger volumes at lower cost and increasing unit costs), (ii) the practice of</w:t>
      </w:r>
    </w:p>
    <w:p>
      <w:pPr>
        <w:sectPr>
          <w:pgSz w:w="11900" w:h="16838" w:orient="portrait"/>
          <w:cols w:equalWidth="0" w:num="1">
            <w:col w:w="11400"/>
          </w:cols>
          <w:pgMar w:left="240" w:top="131" w:right="259" w:bottom="0" w:gutter="0" w:footer="0" w:header="0"/>
        </w:sectPr>
      </w:pPr>
    </w:p>
    <w:bookmarkStart w:id="13" w:name="page14"/>
    <w:bookmarkEnd w:id="13"/>
    <w:p>
      <w:pPr>
        <w:spacing w:after="0" w:line="59" w:lineRule="exact"/>
        <w:rPr>
          <w:sz w:val="20"/>
          <w:szCs w:val="20"/>
          <w:color w:val="auto"/>
        </w:rPr>
      </w:pPr>
    </w:p>
    <w:p>
      <w:pPr>
        <w:ind w:left="540" w:right="60"/>
        <w:spacing w:after="0" w:line="291" w:lineRule="auto"/>
        <w:rPr>
          <w:sz w:val="20"/>
          <w:szCs w:val="20"/>
          <w:color w:val="auto"/>
        </w:rPr>
      </w:pPr>
      <w:r>
        <w:rPr>
          <w:rFonts w:ascii="Arial" w:cs="Arial" w:eastAsia="Arial" w:hAnsi="Arial"/>
          <w:sz w:val="16"/>
          <w:szCs w:val="16"/>
          <w:color w:val="auto"/>
        </w:rPr>
        <w:t>OEMs specifying other suppliers as primary vendors, with less frequent opportunities to compete for such designations, (iii) the in-house manufacturing activities of OEMs building certain products we have historically sold to them, including manipulators and docking hardware, which has had the impact of significantly reducing the size of the available market for those certain products (iv) the role of third-party test and assembly houses in the ATE market and their requirement of products with a greater range of use at the lowest cost, (v) customer supply chain management groups demanding lower prices and spreading purchases across multiple vendors, and (vi) certain competitors aggressively reducing their products' sales prices (causing us to either reduce our products' sales price to be successful in obtaining the sale or causing loss of the sale).</w:t>
      </w:r>
    </w:p>
    <w:p>
      <w:pPr>
        <w:spacing w:after="0" w:line="174"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In addition, in recent periods we have seen instances where demand for ATE is not consistent for each of our product segments or for any given product within a particular product segment. This inconsistency in demand for ATE can be driven by a number of factors, but in most cases we have found that the primary reason is unique customer-specific changes in demand for certain products driven by the needs of their customers or markets served.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Orders and Backlog</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for the periods indicated, a breakdown of the orders received by product segment and market.</w:t>
      </w:r>
    </w:p>
    <w:p>
      <w:pPr>
        <w:spacing w:after="0" w:line="224"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w w:val="83"/>
              </w:rPr>
              <w:t>Three</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5"/>
          </w:tcPr>
          <w:p>
            <w:pPr>
              <w:jc w:val="center"/>
              <w:ind w:right="400"/>
              <w:spacing w:after="0"/>
              <w:rPr>
                <w:sz w:val="20"/>
                <w:szCs w:val="20"/>
                <w:color w:val="auto"/>
              </w:rPr>
            </w:pPr>
            <w:r>
              <w:rPr>
                <w:rFonts w:ascii="Arial" w:cs="Arial" w:eastAsia="Arial" w:hAnsi="Arial"/>
                <w:sz w:val="14"/>
                <w:szCs w:val="14"/>
                <w:b w:val="1"/>
                <w:bCs w:val="1"/>
                <w:i w:val="1"/>
                <w:iCs w:val="1"/>
                <w:color w:val="auto"/>
                <w:w w:val="89"/>
              </w:rPr>
              <w:t>Three</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9"/>
        </w:trPr>
        <w:tc>
          <w:tcPr>
            <w:tcW w:w="2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7"/>
          </w:tcPr>
          <w:p>
            <w:pPr>
              <w:jc w:val="center"/>
              <w:ind w:right="380"/>
              <w:spacing w:after="0" w:line="149" w:lineRule="exact"/>
              <w:rPr>
                <w:sz w:val="20"/>
                <w:szCs w:val="20"/>
                <w:color w:val="auto"/>
              </w:rPr>
            </w:pPr>
            <w:r>
              <w:rPr>
                <w:rFonts w:ascii="Arial" w:cs="Arial" w:eastAsia="Arial" w:hAnsi="Arial"/>
                <w:sz w:val="14"/>
                <w:szCs w:val="14"/>
                <w:b w:val="1"/>
                <w:bCs w:val="1"/>
                <w:i w:val="1"/>
                <w:iCs w:val="1"/>
                <w:color w:val="auto"/>
                <w:w w:val="87"/>
              </w:rPr>
              <w:t>Months 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7"/>
          </w:tcPr>
          <w:p>
            <w:pPr>
              <w:jc w:val="center"/>
              <w:ind w:right="18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6"/>
        </w:trPr>
        <w:tc>
          <w:tcPr>
            <w:tcW w:w="2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4"/>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September 30,</w:t>
            </w:r>
          </w:p>
        </w:tc>
        <w:tc>
          <w:tcPr>
            <w:tcW w:w="34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3"/>
          </w:tcPr>
          <w:p>
            <w:pPr>
              <w:ind w:left="60"/>
              <w:spacing w:after="0" w:line="146" w:lineRule="exact"/>
              <w:rPr>
                <w:sz w:val="20"/>
                <w:szCs w:val="20"/>
                <w:color w:val="auto"/>
              </w:rPr>
            </w:pPr>
            <w:r>
              <w:rPr>
                <w:rFonts w:ascii="Arial" w:cs="Arial" w:eastAsia="Arial" w:hAnsi="Arial"/>
                <w:sz w:val="14"/>
                <w:szCs w:val="14"/>
                <w:b w:val="1"/>
                <w:bCs w:val="1"/>
                <w:i w:val="1"/>
                <w:iCs w:val="1"/>
                <w:color w:val="auto"/>
                <w:w w:val="81"/>
              </w:rPr>
              <w:t>Change</w:t>
            </w: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4"/>
          </w:tcPr>
          <w:p>
            <w:pPr>
              <w:jc w:val="center"/>
              <w:ind w:right="20"/>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3"/>
          </w:tcPr>
          <w:p>
            <w:pPr>
              <w:ind w:left="60"/>
              <w:spacing w:after="0" w:line="146" w:lineRule="exact"/>
              <w:rPr>
                <w:sz w:val="20"/>
                <w:szCs w:val="20"/>
                <w:color w:val="auto"/>
              </w:rPr>
            </w:pPr>
            <w:r>
              <w:rPr>
                <w:rFonts w:ascii="Arial" w:cs="Arial" w:eastAsia="Arial" w:hAnsi="Arial"/>
                <w:sz w:val="14"/>
                <w:szCs w:val="14"/>
                <w:b w:val="1"/>
                <w:bCs w:val="1"/>
                <w:i w:val="1"/>
                <w:iCs w:val="1"/>
                <w:color w:val="auto"/>
                <w:w w:val="81"/>
              </w:rPr>
              <w:t>Change</w:t>
            </w: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23"/>
        </w:trPr>
        <w:tc>
          <w:tcPr>
            <w:tcW w:w="248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2016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w w:val="76"/>
              </w:rPr>
              <w:t>2015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gridSpan w:val="5"/>
          </w:tcPr>
          <w:p>
            <w:pPr>
              <w:jc w:val="right"/>
              <w:ind w:right="240"/>
              <w:spacing w:after="0"/>
              <w:rPr>
                <w:sz w:val="20"/>
                <w:szCs w:val="20"/>
                <w:color w:val="auto"/>
              </w:rPr>
            </w:pPr>
            <w:r>
              <w:rPr>
                <w:rFonts w:ascii="Arial" w:cs="Arial" w:eastAsia="Arial" w:hAnsi="Arial"/>
                <w:sz w:val="14"/>
                <w:szCs w:val="14"/>
                <w:b w:val="1"/>
                <w:bCs w:val="1"/>
                <w:i w:val="1"/>
                <w:iCs w:val="1"/>
                <w:color w:val="auto"/>
              </w:rPr>
              <w:t>$</w:t>
            </w:r>
          </w:p>
        </w:tc>
        <w:tc>
          <w:tcPr>
            <w:tcW w:w="200" w:type="dxa"/>
            <w:vAlign w:val="bottom"/>
          </w:tcPr>
          <w:p>
            <w:pPr>
              <w:spacing w:after="0"/>
              <w:rPr>
                <w:sz w:val="19"/>
                <w:szCs w:val="19"/>
                <w:color w:val="auto"/>
              </w:rPr>
            </w:pPr>
          </w:p>
        </w:tc>
        <w:tc>
          <w:tcPr>
            <w:tcW w:w="380" w:type="dxa"/>
            <w:vAlign w:val="bottom"/>
            <w:gridSpan w:val="4"/>
          </w:tcPr>
          <w:p>
            <w:pPr>
              <w:jc w:val="right"/>
              <w:ind w:right="220"/>
              <w:spacing w:after="0"/>
              <w:rPr>
                <w:sz w:val="20"/>
                <w:szCs w:val="20"/>
                <w:color w:val="auto"/>
              </w:rPr>
            </w:pPr>
            <w:r>
              <w:rPr>
                <w:rFonts w:ascii="Arial" w:cs="Arial" w:eastAsia="Arial" w:hAnsi="Arial"/>
                <w:sz w:val="14"/>
                <w:szCs w:val="14"/>
                <w:b w:val="1"/>
                <w:bCs w:val="1"/>
                <w:i w:val="1"/>
                <w:iCs w:val="1"/>
                <w:color w:val="auto"/>
              </w:rPr>
              <w:t>%</w:t>
            </w:r>
          </w:p>
        </w:tc>
        <w:tc>
          <w:tcPr>
            <w:tcW w:w="740" w:type="dxa"/>
            <w:vAlign w:val="bottom"/>
            <w:gridSpan w:val="5"/>
          </w:tcPr>
          <w:p>
            <w:pPr>
              <w:jc w:val="center"/>
              <w:ind w:left="78"/>
              <w:spacing w:after="0"/>
              <w:rPr>
                <w:sz w:val="20"/>
                <w:szCs w:val="20"/>
                <w:color w:val="auto"/>
              </w:rPr>
            </w:pPr>
            <w:r>
              <w:rPr>
                <w:rFonts w:ascii="Arial" w:cs="Arial" w:eastAsia="Arial" w:hAnsi="Arial"/>
                <w:sz w:val="14"/>
                <w:szCs w:val="14"/>
                <w:b w:val="1"/>
                <w:bCs w:val="1"/>
                <w:i w:val="1"/>
                <w:iCs w:val="1"/>
                <w:color w:val="auto"/>
                <w:w w:val="83"/>
              </w:rPr>
              <w:t>2016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gridSpan w:val="4"/>
          </w:tcPr>
          <w:p>
            <w:pPr>
              <w:jc w:val="right"/>
              <w:ind w:right="180"/>
              <w:spacing w:after="0"/>
              <w:rPr>
                <w:sz w:val="20"/>
                <w:szCs w:val="20"/>
                <w:color w:val="auto"/>
              </w:rPr>
            </w:pPr>
            <w:r>
              <w:rPr>
                <w:rFonts w:ascii="Arial" w:cs="Arial" w:eastAsia="Arial" w:hAnsi="Arial"/>
                <w:sz w:val="14"/>
                <w:szCs w:val="14"/>
                <w:b w:val="1"/>
                <w:bCs w:val="1"/>
                <w:i w:val="1"/>
                <w:iCs w:val="1"/>
                <w:color w:val="auto"/>
              </w:rPr>
              <w:t>%</w:t>
            </w:r>
          </w:p>
        </w:tc>
      </w:tr>
      <w:tr>
        <w:trPr>
          <w:trHeight w:val="235"/>
        </w:trPr>
        <w:tc>
          <w:tcPr>
            <w:tcW w:w="2480" w:type="dxa"/>
            <w:vAlign w:val="bottom"/>
          </w:tcPr>
          <w:p>
            <w:pPr>
              <w:spacing w:after="0"/>
              <w:rPr>
                <w:sz w:val="20"/>
                <w:szCs w:val="20"/>
                <w:color w:val="auto"/>
              </w:rPr>
            </w:pPr>
            <w:r>
              <w:rPr>
                <w:rFonts w:ascii="Arial" w:cs="Arial" w:eastAsia="Arial" w:hAnsi="Arial"/>
                <w:sz w:val="18"/>
                <w:szCs w:val="18"/>
                <w:b w:val="1"/>
                <w:bCs w:val="1"/>
                <w:i w:val="1"/>
                <w:iCs w:val="1"/>
                <w:color w:val="auto"/>
              </w:rPr>
              <w:t>Orders:</w:t>
            </w:r>
          </w:p>
        </w:tc>
        <w:tc>
          <w:tcPr>
            <w:tcW w:w="10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2480" w:type="dxa"/>
            <w:vAlign w:val="bottom"/>
          </w:tcPr>
          <w:p>
            <w:pPr>
              <w:spacing w:after="0"/>
              <w:rPr>
                <w:sz w:val="20"/>
                <w:szCs w:val="20"/>
                <w:color w:val="auto"/>
              </w:rPr>
            </w:pPr>
            <w:r>
              <w:rPr>
                <w:rFonts w:ascii="Arial" w:cs="Arial" w:eastAsia="Arial" w:hAnsi="Arial"/>
                <w:sz w:val="18"/>
                <w:szCs w:val="18"/>
                <w:color w:val="auto"/>
              </w:rPr>
              <w:t>Thermal Products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7,316</w:t>
            </w:r>
          </w:p>
        </w:tc>
        <w:tc>
          <w:tcPr>
            <w:tcW w:w="260" w:type="dxa"/>
            <w:vAlign w:val="bottom"/>
          </w:tcPr>
          <w:p>
            <w:pPr>
              <w:spacing w:after="0"/>
              <w:rPr>
                <w:sz w:val="21"/>
                <w:szCs w:val="21"/>
                <w:color w:val="auto"/>
              </w:rPr>
            </w:pPr>
          </w:p>
        </w:tc>
        <w:tc>
          <w:tcPr>
            <w:tcW w:w="540" w:type="dxa"/>
            <w:vAlign w:val="bottom"/>
            <w:gridSpan w:val="4"/>
          </w:tcPr>
          <w:p>
            <w:pPr>
              <w:jc w:val="right"/>
              <w:ind w:right="60"/>
              <w:spacing w:after="0"/>
              <w:rPr>
                <w:sz w:val="20"/>
                <w:szCs w:val="20"/>
                <w:color w:val="auto"/>
              </w:rPr>
            </w:pPr>
            <w:r>
              <w:rPr>
                <w:rFonts w:ascii="Arial" w:cs="Arial" w:eastAsia="Arial" w:hAnsi="Arial"/>
                <w:sz w:val="18"/>
                <w:szCs w:val="18"/>
                <w:color w:val="auto"/>
                <w:w w:val="83"/>
              </w:rPr>
              <w:t>$5,634</w:t>
            </w:r>
          </w:p>
        </w:tc>
        <w:tc>
          <w:tcPr>
            <w:tcW w:w="540" w:type="dxa"/>
            <w:vAlign w:val="bottom"/>
            <w:gridSpan w:val="5"/>
          </w:tcPr>
          <w:p>
            <w:pPr>
              <w:jc w:val="right"/>
              <w:spacing w:after="0"/>
              <w:rPr>
                <w:sz w:val="20"/>
                <w:szCs w:val="20"/>
                <w:color w:val="auto"/>
              </w:rPr>
            </w:pPr>
            <w:r>
              <w:rPr>
                <w:rFonts w:ascii="Arial" w:cs="Arial" w:eastAsia="Arial" w:hAnsi="Arial"/>
                <w:sz w:val="18"/>
                <w:szCs w:val="18"/>
                <w:color w:val="auto"/>
                <w:w w:val="94"/>
              </w:rPr>
              <w:t>$1,682</w:t>
            </w:r>
          </w:p>
        </w:tc>
        <w:tc>
          <w:tcPr>
            <w:tcW w:w="200" w:type="dxa"/>
            <w:vAlign w:val="bottom"/>
          </w:tcPr>
          <w:p>
            <w:pPr>
              <w:spacing w:after="0"/>
              <w:rPr>
                <w:sz w:val="21"/>
                <w:szCs w:val="21"/>
                <w:color w:val="auto"/>
              </w:rPr>
            </w:pPr>
          </w:p>
        </w:tc>
        <w:tc>
          <w:tcPr>
            <w:tcW w:w="380" w:type="dxa"/>
            <w:vAlign w:val="bottom"/>
            <w:gridSpan w:val="4"/>
          </w:tcPr>
          <w:p>
            <w:pPr>
              <w:jc w:val="right"/>
              <w:ind w:right="40"/>
              <w:spacing w:after="0"/>
              <w:rPr>
                <w:sz w:val="20"/>
                <w:szCs w:val="20"/>
                <w:color w:val="auto"/>
              </w:rPr>
            </w:pPr>
            <w:r>
              <w:rPr>
                <w:rFonts w:ascii="Arial" w:cs="Arial" w:eastAsia="Arial" w:hAnsi="Arial"/>
                <w:sz w:val="18"/>
                <w:szCs w:val="18"/>
                <w:color w:val="auto"/>
                <w:w w:val="88"/>
              </w:rPr>
              <w:t>30%</w:t>
            </w:r>
          </w:p>
        </w:tc>
        <w:tc>
          <w:tcPr>
            <w:tcW w:w="760" w:type="dxa"/>
            <w:vAlign w:val="bottom"/>
            <w:gridSpan w:val="6"/>
          </w:tcPr>
          <w:p>
            <w:pPr>
              <w:jc w:val="right"/>
              <w:ind w:right="20"/>
              <w:spacing w:after="0"/>
              <w:rPr>
                <w:sz w:val="20"/>
                <w:szCs w:val="20"/>
                <w:color w:val="auto"/>
              </w:rPr>
            </w:pPr>
            <w:r>
              <w:rPr>
                <w:rFonts w:ascii="Arial" w:cs="Arial" w:eastAsia="Arial" w:hAnsi="Arial"/>
                <w:sz w:val="18"/>
                <w:szCs w:val="18"/>
                <w:color w:val="auto"/>
              </w:rPr>
              <w:t>$ 8,186</w:t>
            </w:r>
          </w:p>
        </w:tc>
        <w:tc>
          <w:tcPr>
            <w:tcW w:w="320" w:type="dxa"/>
            <w:vAlign w:val="bottom"/>
          </w:tcPr>
          <w:p>
            <w:pPr>
              <w:spacing w:after="0"/>
              <w:rPr>
                <w:sz w:val="21"/>
                <w:szCs w:val="21"/>
                <w:color w:val="auto"/>
              </w:rPr>
            </w:pPr>
          </w:p>
        </w:tc>
        <w:tc>
          <w:tcPr>
            <w:tcW w:w="1060" w:type="dxa"/>
            <w:vAlign w:val="bottom"/>
            <w:gridSpan w:val="9"/>
          </w:tcPr>
          <w:p>
            <w:pPr>
              <w:jc w:val="right"/>
              <w:spacing w:after="0"/>
              <w:rPr>
                <w:sz w:val="20"/>
                <w:szCs w:val="20"/>
                <w:color w:val="auto"/>
              </w:rPr>
            </w:pPr>
            <w:r>
              <w:rPr>
                <w:rFonts w:ascii="Arial" w:cs="Arial" w:eastAsia="Arial" w:hAnsi="Arial"/>
                <w:sz w:val="18"/>
                <w:szCs w:val="18"/>
                <w:color w:val="auto"/>
                <w:w w:val="90"/>
              </w:rPr>
              <w:t>$  (870) (11)%</w:t>
            </w:r>
          </w:p>
        </w:tc>
      </w:tr>
      <w:tr>
        <w:trPr>
          <w:trHeight w:val="243"/>
        </w:trPr>
        <w:tc>
          <w:tcPr>
            <w:tcW w:w="2480" w:type="dxa"/>
            <w:vAlign w:val="bottom"/>
          </w:tcPr>
          <w:p>
            <w:pPr>
              <w:spacing w:after="0"/>
              <w:rPr>
                <w:sz w:val="20"/>
                <w:szCs w:val="20"/>
                <w:color w:val="auto"/>
              </w:rPr>
            </w:pPr>
            <w:r>
              <w:rPr>
                <w:rFonts w:ascii="Arial" w:cs="Arial" w:eastAsia="Arial" w:hAnsi="Arial"/>
                <w:sz w:val="18"/>
                <w:szCs w:val="18"/>
                <w:color w:val="auto"/>
              </w:rPr>
              <w:t>Mechanical Products</w:t>
            </w: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1,681</w:t>
            </w:r>
          </w:p>
        </w:tc>
        <w:tc>
          <w:tcPr>
            <w:tcW w:w="260" w:type="dxa"/>
            <w:vAlign w:val="bottom"/>
          </w:tcPr>
          <w:p>
            <w:pPr>
              <w:spacing w:after="0"/>
              <w:rPr>
                <w:sz w:val="21"/>
                <w:szCs w:val="21"/>
                <w:color w:val="auto"/>
              </w:rPr>
            </w:pPr>
          </w:p>
        </w:tc>
        <w:tc>
          <w:tcPr>
            <w:tcW w:w="540" w:type="dxa"/>
            <w:vAlign w:val="bottom"/>
            <w:gridSpan w:val="4"/>
          </w:tcPr>
          <w:p>
            <w:pPr>
              <w:jc w:val="right"/>
              <w:ind w:right="60"/>
              <w:spacing w:after="0"/>
              <w:rPr>
                <w:sz w:val="20"/>
                <w:szCs w:val="20"/>
                <w:color w:val="auto"/>
              </w:rPr>
            </w:pPr>
            <w:r>
              <w:rPr>
                <w:rFonts w:ascii="Arial" w:cs="Arial" w:eastAsia="Arial" w:hAnsi="Arial"/>
                <w:sz w:val="18"/>
                <w:szCs w:val="18"/>
                <w:color w:val="auto"/>
              </w:rPr>
              <w:t>1,323</w:t>
            </w:r>
          </w:p>
        </w:tc>
        <w:tc>
          <w:tcPr>
            <w:tcW w:w="540" w:type="dxa"/>
            <w:vAlign w:val="bottom"/>
            <w:gridSpan w:val="5"/>
          </w:tcPr>
          <w:p>
            <w:pPr>
              <w:jc w:val="right"/>
              <w:spacing w:after="0"/>
              <w:rPr>
                <w:sz w:val="20"/>
                <w:szCs w:val="20"/>
                <w:color w:val="auto"/>
              </w:rPr>
            </w:pPr>
            <w:r>
              <w:rPr>
                <w:rFonts w:ascii="Arial" w:cs="Arial" w:eastAsia="Arial" w:hAnsi="Arial"/>
                <w:sz w:val="18"/>
                <w:szCs w:val="18"/>
                <w:color w:val="auto"/>
              </w:rPr>
              <w:t>358</w:t>
            </w:r>
          </w:p>
        </w:tc>
        <w:tc>
          <w:tcPr>
            <w:tcW w:w="200" w:type="dxa"/>
            <w:vAlign w:val="bottom"/>
          </w:tcPr>
          <w:p>
            <w:pPr>
              <w:spacing w:after="0"/>
              <w:rPr>
                <w:sz w:val="21"/>
                <w:szCs w:val="21"/>
                <w:color w:val="auto"/>
              </w:rPr>
            </w:pPr>
          </w:p>
        </w:tc>
        <w:tc>
          <w:tcPr>
            <w:tcW w:w="380" w:type="dxa"/>
            <w:vAlign w:val="bottom"/>
            <w:gridSpan w:val="4"/>
          </w:tcPr>
          <w:p>
            <w:pPr>
              <w:jc w:val="right"/>
              <w:ind w:right="40"/>
              <w:spacing w:after="0"/>
              <w:rPr>
                <w:sz w:val="20"/>
                <w:szCs w:val="20"/>
                <w:color w:val="auto"/>
              </w:rPr>
            </w:pPr>
            <w:r>
              <w:rPr>
                <w:rFonts w:ascii="Arial" w:cs="Arial" w:eastAsia="Arial" w:hAnsi="Arial"/>
                <w:sz w:val="18"/>
                <w:szCs w:val="18"/>
                <w:color w:val="auto"/>
                <w:w w:val="88"/>
              </w:rPr>
              <w:t>27%</w:t>
            </w:r>
          </w:p>
        </w:tc>
        <w:tc>
          <w:tcPr>
            <w:tcW w:w="760" w:type="dxa"/>
            <w:vAlign w:val="bottom"/>
            <w:gridSpan w:val="6"/>
          </w:tcPr>
          <w:p>
            <w:pPr>
              <w:jc w:val="right"/>
              <w:ind w:right="20"/>
              <w:spacing w:after="0"/>
              <w:rPr>
                <w:sz w:val="20"/>
                <w:szCs w:val="20"/>
                <w:color w:val="auto"/>
              </w:rPr>
            </w:pPr>
            <w:r>
              <w:rPr>
                <w:rFonts w:ascii="Arial" w:cs="Arial" w:eastAsia="Arial" w:hAnsi="Arial"/>
                <w:sz w:val="18"/>
                <w:szCs w:val="18"/>
                <w:color w:val="auto"/>
              </w:rPr>
              <w:t>2,426</w:t>
            </w:r>
          </w:p>
        </w:tc>
        <w:tc>
          <w:tcPr>
            <w:tcW w:w="320" w:type="dxa"/>
            <w:vAlign w:val="bottom"/>
          </w:tcPr>
          <w:p>
            <w:pPr>
              <w:spacing w:after="0"/>
              <w:rPr>
                <w:sz w:val="21"/>
                <w:szCs w:val="21"/>
                <w:color w:val="auto"/>
              </w:rPr>
            </w:pPr>
          </w:p>
        </w:tc>
        <w:tc>
          <w:tcPr>
            <w:tcW w:w="1060" w:type="dxa"/>
            <w:vAlign w:val="bottom"/>
            <w:gridSpan w:val="9"/>
          </w:tcPr>
          <w:p>
            <w:pPr>
              <w:jc w:val="right"/>
              <w:spacing w:after="0"/>
              <w:rPr>
                <w:sz w:val="20"/>
                <w:szCs w:val="20"/>
                <w:color w:val="auto"/>
              </w:rPr>
            </w:pPr>
            <w:r>
              <w:rPr>
                <w:rFonts w:ascii="Arial" w:cs="Arial" w:eastAsia="Arial" w:hAnsi="Arial"/>
                <w:sz w:val="18"/>
                <w:szCs w:val="18"/>
                <w:color w:val="auto"/>
              </w:rPr>
              <w:t>(745) (31)%</w:t>
            </w:r>
          </w:p>
        </w:tc>
      </w:tr>
      <w:tr>
        <w:trPr>
          <w:trHeight w:val="205"/>
        </w:trPr>
        <w:tc>
          <w:tcPr>
            <w:tcW w:w="248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gridSpan w:val="2"/>
          </w:tcPr>
          <w:p>
            <w:pPr>
              <w:jc w:val="right"/>
              <w:spacing w:after="0" w:line="205" w:lineRule="exact"/>
              <w:rPr>
                <w:sz w:val="20"/>
                <w:szCs w:val="20"/>
                <w:color w:val="auto"/>
              </w:rPr>
            </w:pPr>
            <w:r>
              <w:rPr>
                <w:rFonts w:ascii="Arial" w:cs="Arial" w:eastAsia="Arial" w:hAnsi="Arial"/>
                <w:sz w:val="18"/>
                <w:szCs w:val="18"/>
                <w:color w:val="auto"/>
                <w:w w:val="97"/>
              </w:rPr>
              <w:t>2,285</w:t>
            </w:r>
          </w:p>
        </w:tc>
        <w:tc>
          <w:tcPr>
            <w:tcW w:w="260" w:type="dxa"/>
            <w:vAlign w:val="bottom"/>
          </w:tcPr>
          <w:p>
            <w:pPr>
              <w:spacing w:after="0"/>
              <w:rPr>
                <w:sz w:val="17"/>
                <w:szCs w:val="17"/>
                <w:color w:val="auto"/>
              </w:rPr>
            </w:pPr>
          </w:p>
        </w:tc>
        <w:tc>
          <w:tcPr>
            <w:tcW w:w="48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1,448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837</w:t>
            </w:r>
          </w:p>
        </w:tc>
        <w:tc>
          <w:tcPr>
            <w:tcW w:w="200" w:type="dxa"/>
            <w:vAlign w:val="bottom"/>
          </w:tcPr>
          <w:p>
            <w:pPr>
              <w:spacing w:after="0"/>
              <w:rPr>
                <w:sz w:val="17"/>
                <w:szCs w:val="17"/>
                <w:color w:val="auto"/>
              </w:rPr>
            </w:pPr>
          </w:p>
        </w:tc>
        <w:tc>
          <w:tcPr>
            <w:tcW w:w="380" w:type="dxa"/>
            <w:vAlign w:val="bottom"/>
            <w:gridSpan w:val="4"/>
          </w:tcPr>
          <w:p>
            <w:pPr>
              <w:jc w:val="right"/>
              <w:ind w:right="40"/>
              <w:spacing w:after="0" w:line="205" w:lineRule="exact"/>
              <w:rPr>
                <w:sz w:val="20"/>
                <w:szCs w:val="20"/>
                <w:color w:val="auto"/>
              </w:rPr>
            </w:pPr>
            <w:r>
              <w:rPr>
                <w:rFonts w:ascii="Arial" w:cs="Arial" w:eastAsia="Arial" w:hAnsi="Arial"/>
                <w:sz w:val="18"/>
                <w:szCs w:val="18"/>
                <w:color w:val="auto"/>
                <w:w w:val="88"/>
              </w:rPr>
              <w:t>58%</w:t>
            </w:r>
          </w:p>
        </w:tc>
        <w:tc>
          <w:tcPr>
            <w:tcW w:w="180" w:type="dxa"/>
            <w:vAlign w:val="bottom"/>
            <w:gridSpan w:val="2"/>
          </w:tcPr>
          <w:p>
            <w:pPr>
              <w:spacing w:after="0"/>
              <w:rPr>
                <w:sz w:val="17"/>
                <w:szCs w:val="17"/>
                <w:color w:val="auto"/>
              </w:rPr>
            </w:pPr>
          </w:p>
        </w:tc>
        <w:tc>
          <w:tcPr>
            <w:tcW w:w="58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auto"/>
              </w:rPr>
              <w:t>1,987</w:t>
            </w:r>
          </w:p>
        </w:tc>
        <w:tc>
          <w:tcPr>
            <w:tcW w:w="320" w:type="dxa"/>
            <w:vAlign w:val="bottom"/>
          </w:tcPr>
          <w:p>
            <w:pPr>
              <w:spacing w:after="0"/>
              <w:rPr>
                <w:sz w:val="17"/>
                <w:szCs w:val="17"/>
                <w:color w:val="auto"/>
              </w:rPr>
            </w:pPr>
          </w:p>
        </w:tc>
        <w:tc>
          <w:tcPr>
            <w:tcW w:w="520" w:type="dxa"/>
            <w:vAlign w:val="bottom"/>
            <w:gridSpan w:val="4"/>
          </w:tcPr>
          <w:p>
            <w:pPr>
              <w:ind w:left="260"/>
              <w:spacing w:after="0" w:line="205" w:lineRule="exact"/>
              <w:rPr>
                <w:sz w:val="20"/>
                <w:szCs w:val="20"/>
                <w:color w:val="auto"/>
              </w:rPr>
            </w:pPr>
            <w:r>
              <w:rPr>
                <w:rFonts w:ascii="Arial" w:cs="Arial" w:eastAsia="Arial" w:hAnsi="Arial"/>
                <w:sz w:val="18"/>
                <w:szCs w:val="18"/>
                <w:color w:val="auto"/>
                <w:w w:val="73"/>
              </w:rPr>
              <w:t>298</w:t>
            </w:r>
          </w:p>
        </w:tc>
        <w:tc>
          <w:tcPr>
            <w:tcW w:w="160" w:type="dxa"/>
            <w:vAlign w:val="bottom"/>
          </w:tcPr>
          <w:p>
            <w:pPr>
              <w:spacing w:after="0"/>
              <w:rPr>
                <w:sz w:val="17"/>
                <w:szCs w:val="17"/>
                <w:color w:val="auto"/>
              </w:rPr>
            </w:pPr>
          </w:p>
        </w:tc>
        <w:tc>
          <w:tcPr>
            <w:tcW w:w="380" w:type="dxa"/>
            <w:vAlign w:val="bottom"/>
            <w:gridSpan w:val="4"/>
          </w:tcPr>
          <w:p>
            <w:pPr>
              <w:jc w:val="right"/>
              <w:spacing w:after="0" w:line="205" w:lineRule="exact"/>
              <w:rPr>
                <w:sz w:val="20"/>
                <w:szCs w:val="20"/>
                <w:color w:val="auto"/>
              </w:rPr>
            </w:pPr>
            <w:r>
              <w:rPr>
                <w:rFonts w:ascii="Arial" w:cs="Arial" w:eastAsia="Arial" w:hAnsi="Arial"/>
                <w:sz w:val="18"/>
                <w:szCs w:val="18"/>
                <w:color w:val="auto"/>
                <w:w w:val="87"/>
              </w:rPr>
              <w:t>15 %</w:t>
            </w:r>
          </w:p>
        </w:tc>
      </w:tr>
      <w:tr>
        <w:trPr>
          <w:trHeight w:val="20"/>
        </w:trPr>
        <w:tc>
          <w:tcPr>
            <w:tcW w:w="248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r>
      <w:tr>
        <w:trPr>
          <w:trHeight w:val="223"/>
        </w:trPr>
        <w:tc>
          <w:tcPr>
            <w:tcW w:w="2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79"/>
              </w:rPr>
              <w:t>11,282</w:t>
            </w:r>
          </w:p>
        </w:tc>
        <w:tc>
          <w:tcPr>
            <w:tcW w:w="26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8,405</w:t>
            </w:r>
          </w:p>
        </w:tc>
        <w:tc>
          <w:tcPr>
            <w:tcW w:w="60" w:type="dxa"/>
            <w:vAlign w:val="bottom"/>
          </w:tcPr>
          <w:p>
            <w:pPr>
              <w:spacing w:after="0"/>
              <w:rPr>
                <w:sz w:val="19"/>
                <w:szCs w:val="19"/>
                <w:color w:val="auto"/>
              </w:rPr>
            </w:pPr>
          </w:p>
        </w:tc>
        <w:tc>
          <w:tcPr>
            <w:tcW w:w="54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2,877</w:t>
            </w:r>
          </w:p>
        </w:tc>
        <w:tc>
          <w:tcPr>
            <w:tcW w:w="200" w:type="dxa"/>
            <w:vAlign w:val="bottom"/>
          </w:tcPr>
          <w:p>
            <w:pPr>
              <w:spacing w:after="0"/>
              <w:rPr>
                <w:sz w:val="19"/>
                <w:szCs w:val="19"/>
                <w:color w:val="auto"/>
              </w:rPr>
            </w:pPr>
          </w:p>
        </w:tc>
        <w:tc>
          <w:tcPr>
            <w:tcW w:w="380" w:type="dxa"/>
            <w:vAlign w:val="bottom"/>
            <w:gridSpan w:val="4"/>
          </w:tcPr>
          <w:p>
            <w:pPr>
              <w:jc w:val="right"/>
              <w:ind w:right="40"/>
              <w:spacing w:after="0"/>
              <w:rPr>
                <w:sz w:val="20"/>
                <w:szCs w:val="20"/>
                <w:color w:val="auto"/>
              </w:rPr>
            </w:pPr>
            <w:r>
              <w:rPr>
                <w:rFonts w:ascii="Arial" w:cs="Arial" w:eastAsia="Arial" w:hAnsi="Arial"/>
                <w:sz w:val="18"/>
                <w:szCs w:val="18"/>
                <w:color w:val="auto"/>
                <w:w w:val="88"/>
              </w:rPr>
              <w:t>34%</w:t>
            </w:r>
          </w:p>
        </w:tc>
        <w:tc>
          <w:tcPr>
            <w:tcW w:w="760" w:type="dxa"/>
            <w:vAlign w:val="bottom"/>
            <w:gridSpan w:val="6"/>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12,599</w:t>
            </w:r>
          </w:p>
        </w:tc>
        <w:tc>
          <w:tcPr>
            <w:tcW w:w="320" w:type="dxa"/>
            <w:vAlign w:val="bottom"/>
          </w:tcPr>
          <w:p>
            <w:pPr>
              <w:spacing w:after="0"/>
              <w:rPr>
                <w:sz w:val="19"/>
                <w:szCs w:val="19"/>
                <w:color w:val="auto"/>
              </w:rPr>
            </w:pPr>
          </w:p>
        </w:tc>
        <w:tc>
          <w:tcPr>
            <w:tcW w:w="1060" w:type="dxa"/>
            <w:vAlign w:val="bottom"/>
            <w:gridSpan w:val="9"/>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(1,317) (10)%</w:t>
            </w:r>
          </w:p>
        </w:tc>
      </w:tr>
      <w:tr>
        <w:trPr>
          <w:trHeight w:val="20"/>
        </w:trPr>
        <w:tc>
          <w:tcPr>
            <w:tcW w:w="248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540" w:type="dxa"/>
            <w:vAlign w:val="bottom"/>
            <w:tcBorders>
              <w:left w:val="single" w:sz="8" w:color="auto"/>
            </w:tcBorders>
            <w:gridSpan w:val="5"/>
          </w:tcPr>
          <w:p>
            <w:pPr>
              <w:spacing w:after="0" w:line="20" w:lineRule="exact"/>
              <w:rPr>
                <w:sz w:val="1"/>
                <w:szCs w:val="1"/>
                <w:color w:val="auto"/>
              </w:rPr>
            </w:pPr>
          </w:p>
        </w:tc>
      </w:tr>
      <w:tr>
        <w:trPr>
          <w:trHeight w:val="505"/>
        </w:trPr>
        <w:tc>
          <w:tcPr>
            <w:tcW w:w="2480" w:type="dxa"/>
            <w:vAlign w:val="bottom"/>
          </w:tcPr>
          <w:p>
            <w:pPr>
              <w:spacing w:after="0"/>
              <w:rPr>
                <w:sz w:val="20"/>
                <w:szCs w:val="20"/>
                <w:color w:val="auto"/>
              </w:rPr>
            </w:pPr>
            <w:r>
              <w:rPr>
                <w:rFonts w:ascii="Arial" w:cs="Arial" w:eastAsia="Arial" w:hAnsi="Arial"/>
                <w:sz w:val="18"/>
                <w:szCs w:val="18"/>
                <w:color w:val="auto"/>
              </w:rPr>
              <w:t>ATE market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7,008</w:t>
            </w:r>
          </w:p>
        </w:tc>
        <w:tc>
          <w:tcPr>
            <w:tcW w:w="260" w:type="dxa"/>
            <w:vAlign w:val="bottom"/>
          </w:tcPr>
          <w:p>
            <w:pPr>
              <w:spacing w:after="0"/>
              <w:rPr>
                <w:sz w:val="24"/>
                <w:szCs w:val="24"/>
                <w:color w:val="auto"/>
              </w:rPr>
            </w:pPr>
          </w:p>
        </w:tc>
        <w:tc>
          <w:tcPr>
            <w:tcW w:w="540" w:type="dxa"/>
            <w:vAlign w:val="bottom"/>
            <w:gridSpan w:val="4"/>
          </w:tcPr>
          <w:p>
            <w:pPr>
              <w:jc w:val="right"/>
              <w:ind w:right="60"/>
              <w:spacing w:after="0"/>
              <w:rPr>
                <w:sz w:val="20"/>
                <w:szCs w:val="20"/>
                <w:color w:val="auto"/>
              </w:rPr>
            </w:pPr>
            <w:r>
              <w:rPr>
                <w:rFonts w:ascii="Arial" w:cs="Arial" w:eastAsia="Arial" w:hAnsi="Arial"/>
                <w:sz w:val="18"/>
                <w:szCs w:val="18"/>
                <w:color w:val="auto"/>
                <w:w w:val="83"/>
              </w:rPr>
              <w:t>$5,053</w:t>
            </w:r>
          </w:p>
        </w:tc>
        <w:tc>
          <w:tcPr>
            <w:tcW w:w="540" w:type="dxa"/>
            <w:vAlign w:val="bottom"/>
            <w:gridSpan w:val="5"/>
          </w:tcPr>
          <w:p>
            <w:pPr>
              <w:jc w:val="right"/>
              <w:spacing w:after="0"/>
              <w:rPr>
                <w:sz w:val="20"/>
                <w:szCs w:val="20"/>
                <w:color w:val="auto"/>
              </w:rPr>
            </w:pPr>
            <w:r>
              <w:rPr>
                <w:rFonts w:ascii="Arial" w:cs="Arial" w:eastAsia="Arial" w:hAnsi="Arial"/>
                <w:sz w:val="18"/>
                <w:szCs w:val="18"/>
                <w:color w:val="auto"/>
                <w:w w:val="94"/>
              </w:rPr>
              <w:t>$1,955</w:t>
            </w:r>
          </w:p>
        </w:tc>
        <w:tc>
          <w:tcPr>
            <w:tcW w:w="200" w:type="dxa"/>
            <w:vAlign w:val="bottom"/>
          </w:tcPr>
          <w:p>
            <w:pPr>
              <w:spacing w:after="0"/>
              <w:rPr>
                <w:sz w:val="24"/>
                <w:szCs w:val="24"/>
                <w:color w:val="auto"/>
              </w:rPr>
            </w:pPr>
          </w:p>
        </w:tc>
        <w:tc>
          <w:tcPr>
            <w:tcW w:w="380" w:type="dxa"/>
            <w:vAlign w:val="bottom"/>
            <w:gridSpan w:val="4"/>
          </w:tcPr>
          <w:p>
            <w:pPr>
              <w:jc w:val="right"/>
              <w:ind w:right="40"/>
              <w:spacing w:after="0"/>
              <w:rPr>
                <w:sz w:val="20"/>
                <w:szCs w:val="20"/>
                <w:color w:val="auto"/>
              </w:rPr>
            </w:pPr>
            <w:r>
              <w:rPr>
                <w:rFonts w:ascii="Arial" w:cs="Arial" w:eastAsia="Arial" w:hAnsi="Arial"/>
                <w:sz w:val="18"/>
                <w:szCs w:val="18"/>
                <w:color w:val="auto"/>
                <w:w w:val="88"/>
              </w:rPr>
              <w:t>39%</w:t>
            </w:r>
          </w:p>
        </w:tc>
        <w:tc>
          <w:tcPr>
            <w:tcW w:w="760" w:type="dxa"/>
            <w:vAlign w:val="bottom"/>
            <w:gridSpan w:val="6"/>
          </w:tcPr>
          <w:p>
            <w:pPr>
              <w:jc w:val="right"/>
              <w:ind w:right="20"/>
              <w:spacing w:after="0"/>
              <w:rPr>
                <w:sz w:val="20"/>
                <w:szCs w:val="20"/>
                <w:color w:val="auto"/>
              </w:rPr>
            </w:pPr>
            <w:r>
              <w:rPr>
                <w:rFonts w:ascii="Arial" w:cs="Arial" w:eastAsia="Arial" w:hAnsi="Arial"/>
                <w:sz w:val="18"/>
                <w:szCs w:val="18"/>
                <w:color w:val="auto"/>
              </w:rPr>
              <w:t>$ 8,217</w:t>
            </w:r>
          </w:p>
        </w:tc>
        <w:tc>
          <w:tcPr>
            <w:tcW w:w="320" w:type="dxa"/>
            <w:vAlign w:val="bottom"/>
          </w:tcPr>
          <w:p>
            <w:pPr>
              <w:spacing w:after="0"/>
              <w:rPr>
                <w:sz w:val="24"/>
                <w:szCs w:val="24"/>
                <w:color w:val="auto"/>
              </w:rPr>
            </w:pPr>
          </w:p>
        </w:tc>
        <w:tc>
          <w:tcPr>
            <w:tcW w:w="1060" w:type="dxa"/>
            <w:vAlign w:val="bottom"/>
            <w:gridSpan w:val="9"/>
          </w:tcPr>
          <w:p>
            <w:pPr>
              <w:jc w:val="right"/>
              <w:spacing w:after="0"/>
              <w:rPr>
                <w:sz w:val="20"/>
                <w:szCs w:val="20"/>
                <w:color w:val="auto"/>
              </w:rPr>
            </w:pPr>
            <w:r>
              <w:rPr>
                <w:rFonts w:ascii="Arial" w:cs="Arial" w:eastAsia="Arial" w:hAnsi="Arial"/>
                <w:sz w:val="18"/>
                <w:szCs w:val="18"/>
                <w:color w:val="auto"/>
                <w:w w:val="86"/>
              </w:rPr>
              <w:t>$(1,209) (15)%</w:t>
            </w:r>
          </w:p>
        </w:tc>
      </w:tr>
      <w:tr>
        <w:trPr>
          <w:trHeight w:val="205"/>
        </w:trPr>
        <w:tc>
          <w:tcPr>
            <w:tcW w:w="2480" w:type="dxa"/>
            <w:vAlign w:val="bottom"/>
          </w:tcPr>
          <w:p>
            <w:pPr>
              <w:spacing w:after="0" w:line="205" w:lineRule="exact"/>
              <w:rPr>
                <w:sz w:val="20"/>
                <w:szCs w:val="20"/>
                <w:color w:val="auto"/>
              </w:rPr>
            </w:pPr>
            <w:r>
              <w:rPr>
                <w:rFonts w:ascii="Arial" w:cs="Arial" w:eastAsia="Arial" w:hAnsi="Arial"/>
                <w:sz w:val="18"/>
                <w:szCs w:val="18"/>
                <w:color w:val="auto"/>
              </w:rPr>
              <w:t>Non-ATE market</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gridSpan w:val="2"/>
          </w:tcPr>
          <w:p>
            <w:pPr>
              <w:jc w:val="right"/>
              <w:spacing w:after="0" w:line="205" w:lineRule="exact"/>
              <w:rPr>
                <w:sz w:val="20"/>
                <w:szCs w:val="20"/>
                <w:color w:val="auto"/>
              </w:rPr>
            </w:pPr>
            <w:r>
              <w:rPr>
                <w:rFonts w:ascii="Arial" w:cs="Arial" w:eastAsia="Arial" w:hAnsi="Arial"/>
                <w:sz w:val="18"/>
                <w:szCs w:val="18"/>
                <w:color w:val="auto"/>
                <w:w w:val="97"/>
              </w:rPr>
              <w:t>4,274</w:t>
            </w:r>
          </w:p>
        </w:tc>
        <w:tc>
          <w:tcPr>
            <w:tcW w:w="260" w:type="dxa"/>
            <w:vAlign w:val="bottom"/>
          </w:tcPr>
          <w:p>
            <w:pPr>
              <w:spacing w:after="0"/>
              <w:rPr>
                <w:sz w:val="17"/>
                <w:szCs w:val="17"/>
                <w:color w:val="auto"/>
              </w:rPr>
            </w:pPr>
          </w:p>
        </w:tc>
        <w:tc>
          <w:tcPr>
            <w:tcW w:w="48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3,352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922</w:t>
            </w:r>
          </w:p>
        </w:tc>
        <w:tc>
          <w:tcPr>
            <w:tcW w:w="200" w:type="dxa"/>
            <w:vAlign w:val="bottom"/>
          </w:tcPr>
          <w:p>
            <w:pPr>
              <w:spacing w:after="0"/>
              <w:rPr>
                <w:sz w:val="17"/>
                <w:szCs w:val="17"/>
                <w:color w:val="auto"/>
              </w:rPr>
            </w:pPr>
          </w:p>
        </w:tc>
        <w:tc>
          <w:tcPr>
            <w:tcW w:w="380" w:type="dxa"/>
            <w:vAlign w:val="bottom"/>
            <w:gridSpan w:val="4"/>
          </w:tcPr>
          <w:p>
            <w:pPr>
              <w:jc w:val="right"/>
              <w:ind w:right="40"/>
              <w:spacing w:after="0" w:line="205" w:lineRule="exact"/>
              <w:rPr>
                <w:sz w:val="20"/>
                <w:szCs w:val="20"/>
                <w:color w:val="auto"/>
              </w:rPr>
            </w:pPr>
            <w:r>
              <w:rPr>
                <w:rFonts w:ascii="Arial" w:cs="Arial" w:eastAsia="Arial" w:hAnsi="Arial"/>
                <w:sz w:val="18"/>
                <w:szCs w:val="18"/>
                <w:color w:val="auto"/>
                <w:w w:val="88"/>
              </w:rPr>
              <w:t>28%</w:t>
            </w:r>
          </w:p>
        </w:tc>
        <w:tc>
          <w:tcPr>
            <w:tcW w:w="180" w:type="dxa"/>
            <w:vAlign w:val="bottom"/>
            <w:gridSpan w:val="2"/>
          </w:tcPr>
          <w:p>
            <w:pPr>
              <w:spacing w:after="0"/>
              <w:rPr>
                <w:sz w:val="17"/>
                <w:szCs w:val="17"/>
                <w:color w:val="auto"/>
              </w:rPr>
            </w:pPr>
          </w:p>
        </w:tc>
        <w:tc>
          <w:tcPr>
            <w:tcW w:w="58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auto"/>
              </w:rPr>
              <w:t>4,382</w:t>
            </w:r>
          </w:p>
        </w:tc>
        <w:tc>
          <w:tcPr>
            <w:tcW w:w="320" w:type="dxa"/>
            <w:vAlign w:val="bottom"/>
          </w:tcPr>
          <w:p>
            <w:pPr>
              <w:spacing w:after="0"/>
              <w:rPr>
                <w:sz w:val="17"/>
                <w:szCs w:val="17"/>
                <w:color w:val="auto"/>
              </w:rPr>
            </w:pPr>
          </w:p>
        </w:tc>
        <w:tc>
          <w:tcPr>
            <w:tcW w:w="52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(108)</w:t>
            </w:r>
          </w:p>
        </w:tc>
        <w:tc>
          <w:tcPr>
            <w:tcW w:w="160" w:type="dxa"/>
            <w:vAlign w:val="bottom"/>
          </w:tcPr>
          <w:p>
            <w:pPr>
              <w:spacing w:after="0"/>
              <w:rPr>
                <w:sz w:val="17"/>
                <w:szCs w:val="17"/>
                <w:color w:val="auto"/>
              </w:rPr>
            </w:pPr>
          </w:p>
        </w:tc>
        <w:tc>
          <w:tcPr>
            <w:tcW w:w="380" w:type="dxa"/>
            <w:vAlign w:val="bottom"/>
            <w:gridSpan w:val="4"/>
          </w:tcPr>
          <w:p>
            <w:pPr>
              <w:jc w:val="right"/>
              <w:spacing w:after="0" w:line="205" w:lineRule="exact"/>
              <w:rPr>
                <w:sz w:val="20"/>
                <w:szCs w:val="20"/>
                <w:color w:val="auto"/>
              </w:rPr>
            </w:pPr>
            <w:r>
              <w:rPr>
                <w:rFonts w:ascii="Arial" w:cs="Arial" w:eastAsia="Arial" w:hAnsi="Arial"/>
                <w:sz w:val="18"/>
                <w:szCs w:val="18"/>
                <w:color w:val="auto"/>
                <w:w w:val="94"/>
              </w:rPr>
              <w:t>(2)%</w:t>
            </w:r>
          </w:p>
        </w:tc>
      </w:tr>
      <w:tr>
        <w:trPr>
          <w:trHeight w:val="20"/>
        </w:trPr>
        <w:tc>
          <w:tcPr>
            <w:tcW w:w="248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540" w:type="dxa"/>
            <w:vAlign w:val="bottom"/>
            <w:tcBorders>
              <w:left w:val="single" w:sz="8" w:color="auto"/>
            </w:tcBorders>
            <w:gridSpan w:val="5"/>
          </w:tcPr>
          <w:p>
            <w:pPr>
              <w:spacing w:after="0" w:line="20" w:lineRule="exact"/>
              <w:rPr>
                <w:sz w:val="1"/>
                <w:szCs w:val="1"/>
                <w:color w:val="auto"/>
              </w:rPr>
            </w:pPr>
          </w:p>
        </w:tc>
      </w:tr>
      <w:tr>
        <w:trPr>
          <w:trHeight w:val="223"/>
        </w:trPr>
        <w:tc>
          <w:tcPr>
            <w:tcW w:w="2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79"/>
              </w:rPr>
              <w:t>11,282</w:t>
            </w:r>
          </w:p>
        </w:tc>
        <w:tc>
          <w:tcPr>
            <w:tcW w:w="26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8,405</w:t>
            </w:r>
          </w:p>
        </w:tc>
        <w:tc>
          <w:tcPr>
            <w:tcW w:w="60" w:type="dxa"/>
            <w:vAlign w:val="bottom"/>
          </w:tcPr>
          <w:p>
            <w:pPr>
              <w:spacing w:after="0"/>
              <w:rPr>
                <w:sz w:val="19"/>
                <w:szCs w:val="19"/>
                <w:color w:val="auto"/>
              </w:rPr>
            </w:pPr>
          </w:p>
        </w:tc>
        <w:tc>
          <w:tcPr>
            <w:tcW w:w="54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2,877</w:t>
            </w:r>
          </w:p>
        </w:tc>
        <w:tc>
          <w:tcPr>
            <w:tcW w:w="200" w:type="dxa"/>
            <w:vAlign w:val="bottom"/>
          </w:tcPr>
          <w:p>
            <w:pPr>
              <w:spacing w:after="0"/>
              <w:rPr>
                <w:sz w:val="19"/>
                <w:szCs w:val="19"/>
                <w:color w:val="auto"/>
              </w:rPr>
            </w:pPr>
          </w:p>
        </w:tc>
        <w:tc>
          <w:tcPr>
            <w:tcW w:w="380" w:type="dxa"/>
            <w:vAlign w:val="bottom"/>
            <w:gridSpan w:val="4"/>
          </w:tcPr>
          <w:p>
            <w:pPr>
              <w:jc w:val="right"/>
              <w:ind w:right="40"/>
              <w:spacing w:after="0"/>
              <w:rPr>
                <w:sz w:val="20"/>
                <w:szCs w:val="20"/>
                <w:color w:val="auto"/>
              </w:rPr>
            </w:pPr>
            <w:r>
              <w:rPr>
                <w:rFonts w:ascii="Arial" w:cs="Arial" w:eastAsia="Arial" w:hAnsi="Arial"/>
                <w:sz w:val="18"/>
                <w:szCs w:val="18"/>
                <w:color w:val="auto"/>
                <w:w w:val="88"/>
              </w:rPr>
              <w:t>34%</w:t>
            </w:r>
          </w:p>
        </w:tc>
        <w:tc>
          <w:tcPr>
            <w:tcW w:w="760" w:type="dxa"/>
            <w:vAlign w:val="bottom"/>
            <w:gridSpan w:val="6"/>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12,599</w:t>
            </w:r>
          </w:p>
        </w:tc>
        <w:tc>
          <w:tcPr>
            <w:tcW w:w="320" w:type="dxa"/>
            <w:vAlign w:val="bottom"/>
          </w:tcPr>
          <w:p>
            <w:pPr>
              <w:spacing w:after="0"/>
              <w:rPr>
                <w:sz w:val="19"/>
                <w:szCs w:val="19"/>
                <w:color w:val="auto"/>
              </w:rPr>
            </w:pPr>
          </w:p>
        </w:tc>
        <w:tc>
          <w:tcPr>
            <w:tcW w:w="1060" w:type="dxa"/>
            <w:vAlign w:val="bottom"/>
            <w:gridSpan w:val="9"/>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(1,317) (10)%</w:t>
            </w:r>
          </w:p>
        </w:tc>
      </w:tr>
      <w:tr>
        <w:trPr>
          <w:trHeight w:val="20"/>
        </w:trPr>
        <w:tc>
          <w:tcPr>
            <w:tcW w:w="248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230"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2"/>
          </w:tcPr>
          <w:p>
            <w:pPr>
              <w:jc w:val="center"/>
              <w:spacing w:after="0"/>
              <w:rPr>
                <w:sz w:val="20"/>
                <w:szCs w:val="20"/>
                <w:color w:val="auto"/>
              </w:rPr>
            </w:pPr>
            <w:r>
              <w:rPr>
                <w:rFonts w:ascii="Arial" w:cs="Arial" w:eastAsia="Arial" w:hAnsi="Arial"/>
                <w:sz w:val="14"/>
                <w:szCs w:val="14"/>
                <w:b w:val="1"/>
                <w:bCs w:val="1"/>
                <w:i w:val="1"/>
                <w:iCs w:val="1"/>
                <w:color w:val="auto"/>
                <w:w w:val="92"/>
              </w:rPr>
              <w:t>Nine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9"/>
        </w:trPr>
        <w:tc>
          <w:tcPr>
            <w:tcW w:w="3540" w:type="dxa"/>
            <w:vAlign w:val="bottom"/>
          </w:tcPr>
          <w:p>
            <w:pPr>
              <w:spacing w:after="0"/>
              <w:rPr>
                <w:sz w:val="12"/>
                <w:szCs w:val="12"/>
                <w:color w:val="auto"/>
              </w:rPr>
            </w:pPr>
          </w:p>
        </w:tc>
        <w:tc>
          <w:tcPr>
            <w:tcW w:w="1240" w:type="dxa"/>
            <w:vAlign w:val="bottom"/>
            <w:gridSpan w:val="7"/>
          </w:tcPr>
          <w:p>
            <w:pPr>
              <w:jc w:val="center"/>
              <w:ind w:right="280"/>
              <w:spacing w:after="0" w:line="149" w:lineRule="exact"/>
              <w:rPr>
                <w:sz w:val="20"/>
                <w:szCs w:val="20"/>
                <w:color w:val="auto"/>
              </w:rPr>
            </w:pPr>
            <w:r>
              <w:rPr>
                <w:rFonts w:ascii="Arial" w:cs="Arial" w:eastAsia="Arial" w:hAnsi="Arial"/>
                <w:sz w:val="14"/>
                <w:szCs w:val="14"/>
                <w:b w:val="1"/>
                <w:bCs w:val="1"/>
                <w:i w:val="1"/>
                <w:iCs w:val="1"/>
                <w:color w:val="auto"/>
                <w:w w:val="87"/>
              </w:rPr>
              <w:t>Months Ended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6"/>
        </w:trPr>
        <w:tc>
          <w:tcPr>
            <w:tcW w:w="3540" w:type="dxa"/>
            <w:vAlign w:val="bottom"/>
          </w:tcPr>
          <w:p>
            <w:pPr>
              <w:spacing w:after="0"/>
              <w:rPr>
                <w:sz w:val="12"/>
                <w:szCs w:val="12"/>
                <w:color w:val="auto"/>
              </w:rPr>
            </w:pPr>
          </w:p>
        </w:tc>
        <w:tc>
          <w:tcPr>
            <w:tcW w:w="960" w:type="dxa"/>
            <w:vAlign w:val="bottom"/>
            <w:tcBorders>
              <w:bottom w:val="single" w:sz="8" w:color="auto"/>
            </w:tcBorders>
            <w:gridSpan w:val="5"/>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September 30,</w:t>
            </w:r>
          </w:p>
        </w:tc>
        <w:tc>
          <w:tcPr>
            <w:tcW w:w="2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bottom w:val="single" w:sz="8" w:color="auto"/>
            </w:tcBorders>
            <w:gridSpan w:val="2"/>
          </w:tcPr>
          <w:p>
            <w:pPr>
              <w:ind w:left="100"/>
              <w:spacing w:after="0" w:line="146" w:lineRule="exact"/>
              <w:rPr>
                <w:sz w:val="20"/>
                <w:szCs w:val="20"/>
                <w:color w:val="auto"/>
              </w:rPr>
            </w:pPr>
            <w:r>
              <w:rPr>
                <w:rFonts w:ascii="Arial" w:cs="Arial" w:eastAsia="Arial" w:hAnsi="Arial"/>
                <w:sz w:val="14"/>
                <w:szCs w:val="14"/>
                <w:b w:val="1"/>
                <w:bCs w:val="1"/>
                <w:i w:val="1"/>
                <w:iCs w:val="1"/>
                <w:color w:val="auto"/>
                <w:w w:val="81"/>
              </w:rPr>
              <w:t>Change</w:t>
            </w: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23"/>
        </w:trPr>
        <w:tc>
          <w:tcPr>
            <w:tcW w:w="35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i w:val="1"/>
                <w:iCs w:val="1"/>
                <w:color w:val="auto"/>
                <w:w w:val="76"/>
              </w:rPr>
              <w:t>2016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4"/>
          </w:tcPr>
          <w:p>
            <w:pPr>
              <w:jc w:val="right"/>
              <w:ind w:right="220"/>
              <w:spacing w:after="0"/>
              <w:rPr>
                <w:sz w:val="20"/>
                <w:szCs w:val="20"/>
                <w:color w:val="auto"/>
              </w:rPr>
            </w:pPr>
            <w:r>
              <w:rPr>
                <w:rFonts w:ascii="Arial" w:cs="Arial" w:eastAsia="Arial" w:hAnsi="Arial"/>
                <w:sz w:val="14"/>
                <w:szCs w:val="14"/>
                <w:b w:val="1"/>
                <w:bCs w:val="1"/>
                <w:i w:val="1"/>
                <w:iCs w:val="1"/>
                <w:color w:val="auto"/>
              </w:rPr>
              <w:t>2015</w:t>
            </w:r>
          </w:p>
        </w:tc>
        <w:tc>
          <w:tcPr>
            <w:tcW w:w="600" w:type="dxa"/>
            <w:vAlign w:val="bottom"/>
            <w:gridSpan w:val="3"/>
          </w:tcPr>
          <w:p>
            <w:pPr>
              <w:jc w:val="right"/>
              <w:ind w:right="152"/>
              <w:spacing w:after="0"/>
              <w:rPr>
                <w:sz w:val="20"/>
                <w:szCs w:val="20"/>
                <w:color w:val="auto"/>
              </w:rPr>
            </w:pPr>
            <w:r>
              <w:rPr>
                <w:rFonts w:ascii="Arial" w:cs="Arial" w:eastAsia="Arial" w:hAnsi="Arial"/>
                <w:sz w:val="14"/>
                <w:szCs w:val="14"/>
                <w:b w:val="1"/>
                <w:bCs w:val="1"/>
                <w:i w:val="1"/>
                <w:iCs w:val="1"/>
                <w:u w:val="single" w:color="auto"/>
                <w:color w:val="auto"/>
              </w:rPr>
              <w:t>$</w:t>
            </w:r>
          </w:p>
        </w:tc>
        <w:tc>
          <w:tcPr>
            <w:tcW w:w="200" w:type="dxa"/>
            <w:vAlign w:val="bottom"/>
          </w:tcPr>
          <w:p>
            <w:pPr>
              <w:spacing w:after="0"/>
              <w:rPr>
                <w:sz w:val="19"/>
                <w:szCs w:val="19"/>
                <w:color w:val="auto"/>
              </w:rPr>
            </w:pPr>
          </w:p>
        </w:tc>
        <w:tc>
          <w:tcPr>
            <w:tcW w:w="1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80" w:type="dxa"/>
            <w:vAlign w:val="bottom"/>
          </w:tcPr>
          <w:p>
            <w:pPr>
              <w:spacing w:after="0"/>
              <w:rPr>
                <w:sz w:val="19"/>
                <w:szCs w:val="19"/>
                <w:color w:val="auto"/>
              </w:rPr>
            </w:pPr>
          </w:p>
        </w:tc>
      </w:tr>
      <w:tr>
        <w:trPr>
          <w:trHeight w:val="235"/>
        </w:trPr>
        <w:tc>
          <w:tcPr>
            <w:tcW w:w="3540" w:type="dxa"/>
            <w:vAlign w:val="bottom"/>
          </w:tcPr>
          <w:p>
            <w:pPr>
              <w:spacing w:after="0"/>
              <w:rPr>
                <w:sz w:val="20"/>
                <w:szCs w:val="20"/>
                <w:color w:val="auto"/>
              </w:rPr>
            </w:pPr>
            <w:r>
              <w:rPr>
                <w:rFonts w:ascii="Arial" w:cs="Arial" w:eastAsia="Arial" w:hAnsi="Arial"/>
                <w:sz w:val="18"/>
                <w:szCs w:val="18"/>
                <w:b w:val="1"/>
                <w:bCs w:val="1"/>
                <w:i w:val="1"/>
                <w:iCs w:val="1"/>
                <w:color w:val="auto"/>
              </w:rPr>
              <w:t>Orders:</w:t>
            </w:r>
          </w:p>
        </w:tc>
        <w:tc>
          <w:tcPr>
            <w:tcW w:w="2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Thermal Products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76"/>
              </w:rPr>
              <w:t>$20,618</w:t>
            </w:r>
          </w:p>
        </w:tc>
        <w:tc>
          <w:tcPr>
            <w:tcW w:w="120" w:type="dxa"/>
            <w:vAlign w:val="bottom"/>
          </w:tcPr>
          <w:p>
            <w:pPr>
              <w:spacing w:after="0"/>
              <w:rPr>
                <w:sz w:val="21"/>
                <w:szCs w:val="21"/>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89"/>
              </w:rPr>
              <w:t>$18,131</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$2,487</w:t>
            </w:r>
          </w:p>
        </w:tc>
        <w:tc>
          <w:tcPr>
            <w:tcW w:w="200" w:type="dxa"/>
            <w:vAlign w:val="bottom"/>
          </w:tcPr>
          <w:p>
            <w:pPr>
              <w:spacing w:after="0"/>
              <w:rPr>
                <w:sz w:val="21"/>
                <w:szCs w:val="21"/>
                <w:color w:val="auto"/>
              </w:rPr>
            </w:pPr>
          </w:p>
        </w:tc>
        <w:tc>
          <w:tcPr>
            <w:tcW w:w="340" w:type="dxa"/>
            <w:vAlign w:val="bottom"/>
            <w:gridSpan w:val="4"/>
          </w:tcPr>
          <w:p>
            <w:pPr>
              <w:jc w:val="right"/>
              <w:spacing w:after="0"/>
              <w:rPr>
                <w:sz w:val="20"/>
                <w:szCs w:val="20"/>
                <w:color w:val="auto"/>
              </w:rPr>
            </w:pPr>
            <w:r>
              <w:rPr>
                <w:rFonts w:ascii="Arial" w:cs="Arial" w:eastAsia="Arial" w:hAnsi="Arial"/>
                <w:sz w:val="18"/>
                <w:szCs w:val="18"/>
                <w:color w:val="auto"/>
                <w:w w:val="88"/>
              </w:rPr>
              <w:t>14%</w:t>
            </w: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Mechanical Products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6,732</w:t>
            </w:r>
          </w:p>
        </w:tc>
        <w:tc>
          <w:tcPr>
            <w:tcW w:w="120" w:type="dxa"/>
            <w:vAlign w:val="bottom"/>
          </w:tcPr>
          <w:p>
            <w:pPr>
              <w:spacing w:after="0"/>
              <w:rPr>
                <w:sz w:val="21"/>
                <w:szCs w:val="21"/>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5,742</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990</w:t>
            </w:r>
          </w:p>
        </w:tc>
        <w:tc>
          <w:tcPr>
            <w:tcW w:w="200" w:type="dxa"/>
            <w:vAlign w:val="bottom"/>
          </w:tcPr>
          <w:p>
            <w:pPr>
              <w:spacing w:after="0"/>
              <w:rPr>
                <w:sz w:val="21"/>
                <w:szCs w:val="21"/>
                <w:color w:val="auto"/>
              </w:rPr>
            </w:pPr>
          </w:p>
        </w:tc>
        <w:tc>
          <w:tcPr>
            <w:tcW w:w="340" w:type="dxa"/>
            <w:vAlign w:val="bottom"/>
            <w:gridSpan w:val="4"/>
          </w:tcPr>
          <w:p>
            <w:pPr>
              <w:jc w:val="right"/>
              <w:spacing w:after="0"/>
              <w:rPr>
                <w:sz w:val="20"/>
                <w:szCs w:val="20"/>
                <w:color w:val="auto"/>
              </w:rPr>
            </w:pPr>
            <w:r>
              <w:rPr>
                <w:rFonts w:ascii="Arial" w:cs="Arial" w:eastAsia="Arial" w:hAnsi="Arial"/>
                <w:sz w:val="18"/>
                <w:szCs w:val="18"/>
                <w:color w:val="auto"/>
                <w:w w:val="88"/>
              </w:rPr>
              <w:t>17%</w:t>
            </w:r>
          </w:p>
        </w:tc>
      </w:tr>
      <w:tr>
        <w:trPr>
          <w:trHeight w:val="205"/>
        </w:trPr>
        <w:tc>
          <w:tcPr>
            <w:tcW w:w="354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52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6,369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6,249</w:t>
            </w:r>
          </w:p>
        </w:tc>
        <w:tc>
          <w:tcPr>
            <w:tcW w:w="120" w:type="dxa"/>
            <w:vAlign w:val="bottom"/>
          </w:tcPr>
          <w:p>
            <w:pPr>
              <w:spacing w:after="0"/>
              <w:rPr>
                <w:sz w:val="17"/>
                <w:szCs w:val="17"/>
                <w:color w:val="auto"/>
              </w:rPr>
            </w:pPr>
          </w:p>
        </w:tc>
        <w:tc>
          <w:tcPr>
            <w:tcW w:w="48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120</w:t>
            </w:r>
          </w:p>
        </w:tc>
        <w:tc>
          <w:tcPr>
            <w:tcW w:w="200" w:type="dxa"/>
            <w:vAlign w:val="bottom"/>
          </w:tcPr>
          <w:p>
            <w:pPr>
              <w:spacing w:after="0"/>
              <w:rPr>
                <w:sz w:val="17"/>
                <w:szCs w:val="17"/>
                <w:color w:val="auto"/>
              </w:rPr>
            </w:pPr>
          </w:p>
        </w:tc>
        <w:tc>
          <w:tcPr>
            <w:tcW w:w="34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2%</w:t>
            </w:r>
          </w:p>
        </w:tc>
      </w:tr>
      <w:tr>
        <w:trPr>
          <w:trHeight w:val="223"/>
        </w:trPr>
        <w:tc>
          <w:tcPr>
            <w:tcW w:w="35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33,719</w:t>
            </w:r>
          </w:p>
        </w:tc>
        <w:tc>
          <w:tcPr>
            <w:tcW w:w="120" w:type="dxa"/>
            <w:vAlign w:val="bottom"/>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30,122</w:t>
            </w:r>
          </w:p>
        </w:tc>
        <w:tc>
          <w:tcPr>
            <w:tcW w:w="6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3,597</w:t>
            </w:r>
          </w:p>
        </w:tc>
        <w:tc>
          <w:tcPr>
            <w:tcW w:w="200" w:type="dxa"/>
            <w:vAlign w:val="bottom"/>
          </w:tcPr>
          <w:p>
            <w:pPr>
              <w:spacing w:after="0"/>
              <w:rPr>
                <w:sz w:val="19"/>
                <w:szCs w:val="19"/>
                <w:color w:val="auto"/>
              </w:rPr>
            </w:pPr>
          </w:p>
        </w:tc>
        <w:tc>
          <w:tcPr>
            <w:tcW w:w="340" w:type="dxa"/>
            <w:vAlign w:val="bottom"/>
            <w:gridSpan w:val="4"/>
          </w:tcPr>
          <w:p>
            <w:pPr>
              <w:jc w:val="right"/>
              <w:spacing w:after="0"/>
              <w:rPr>
                <w:sz w:val="20"/>
                <w:szCs w:val="20"/>
                <w:color w:val="auto"/>
              </w:rPr>
            </w:pPr>
            <w:r>
              <w:rPr>
                <w:rFonts w:ascii="Arial" w:cs="Arial" w:eastAsia="Arial" w:hAnsi="Arial"/>
                <w:sz w:val="18"/>
                <w:szCs w:val="18"/>
                <w:color w:val="auto"/>
                <w:w w:val="88"/>
              </w:rPr>
              <w:t>12%</w:t>
            </w:r>
          </w:p>
        </w:tc>
      </w:tr>
      <w:tr>
        <w:trPr>
          <w:trHeight w:val="20"/>
        </w:trPr>
        <w:tc>
          <w:tcPr>
            <w:tcW w:w="3540" w:type="dxa"/>
            <w:vAlign w:val="bottom"/>
            <w:tcBorders>
              <w:right w:val="single" w:sz="8" w:color="auto"/>
            </w:tcBorders>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505"/>
        </w:trPr>
        <w:tc>
          <w:tcPr>
            <w:tcW w:w="3540" w:type="dxa"/>
            <w:vAlign w:val="bottom"/>
          </w:tcPr>
          <w:p>
            <w:pPr>
              <w:spacing w:after="0"/>
              <w:rPr>
                <w:sz w:val="20"/>
                <w:szCs w:val="20"/>
                <w:color w:val="auto"/>
              </w:rPr>
            </w:pPr>
            <w:r>
              <w:rPr>
                <w:rFonts w:ascii="Arial" w:cs="Arial" w:eastAsia="Arial" w:hAnsi="Arial"/>
                <w:sz w:val="18"/>
                <w:szCs w:val="18"/>
                <w:color w:val="auto"/>
              </w:rPr>
              <w:t>ATE market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76"/>
              </w:rPr>
              <w:t>$23,072</w:t>
            </w:r>
          </w:p>
        </w:tc>
        <w:tc>
          <w:tcPr>
            <w:tcW w:w="12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89"/>
              </w:rPr>
              <w:t>$21,996</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$1,076</w:t>
            </w:r>
          </w:p>
        </w:tc>
        <w:tc>
          <w:tcPr>
            <w:tcW w:w="200" w:type="dxa"/>
            <w:vAlign w:val="bottom"/>
          </w:tcPr>
          <w:p>
            <w:pPr>
              <w:spacing w:after="0"/>
              <w:rPr>
                <w:sz w:val="24"/>
                <w:szCs w:val="24"/>
                <w:color w:val="auto"/>
              </w:rPr>
            </w:pPr>
          </w:p>
        </w:tc>
        <w:tc>
          <w:tcPr>
            <w:tcW w:w="340" w:type="dxa"/>
            <w:vAlign w:val="bottom"/>
            <w:gridSpan w:val="4"/>
          </w:tcPr>
          <w:p>
            <w:pPr>
              <w:jc w:val="right"/>
              <w:spacing w:after="0"/>
              <w:rPr>
                <w:sz w:val="20"/>
                <w:szCs w:val="20"/>
                <w:color w:val="auto"/>
              </w:rPr>
            </w:pPr>
            <w:r>
              <w:rPr>
                <w:rFonts w:ascii="Arial" w:cs="Arial" w:eastAsia="Arial" w:hAnsi="Arial"/>
                <w:sz w:val="18"/>
                <w:szCs w:val="18"/>
                <w:color w:val="auto"/>
              </w:rPr>
              <w:t>5%</w:t>
            </w:r>
          </w:p>
        </w:tc>
      </w:tr>
      <w:tr>
        <w:trPr>
          <w:trHeight w:val="205"/>
        </w:trPr>
        <w:tc>
          <w:tcPr>
            <w:tcW w:w="3540" w:type="dxa"/>
            <w:vAlign w:val="bottom"/>
          </w:tcPr>
          <w:p>
            <w:pPr>
              <w:spacing w:after="0" w:line="205" w:lineRule="exact"/>
              <w:rPr>
                <w:sz w:val="20"/>
                <w:szCs w:val="20"/>
                <w:color w:val="auto"/>
              </w:rPr>
            </w:pPr>
            <w:r>
              <w:rPr>
                <w:rFonts w:ascii="Arial" w:cs="Arial" w:eastAsia="Arial" w:hAnsi="Arial"/>
                <w:sz w:val="18"/>
                <w:szCs w:val="18"/>
                <w:color w:val="auto"/>
              </w:rPr>
              <w:t>Non-ATE market</w:t>
            </w:r>
          </w:p>
        </w:tc>
        <w:tc>
          <w:tcPr>
            <w:tcW w:w="52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w w:val="90"/>
              </w:rPr>
              <w:t>10,647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8,126</w:t>
            </w:r>
          </w:p>
        </w:tc>
        <w:tc>
          <w:tcPr>
            <w:tcW w:w="120" w:type="dxa"/>
            <w:vAlign w:val="bottom"/>
          </w:tcPr>
          <w:p>
            <w:pPr>
              <w:spacing w:after="0"/>
              <w:rPr>
                <w:sz w:val="17"/>
                <w:szCs w:val="17"/>
                <w:color w:val="auto"/>
              </w:rPr>
            </w:pPr>
          </w:p>
        </w:tc>
        <w:tc>
          <w:tcPr>
            <w:tcW w:w="48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2,521</w:t>
            </w:r>
          </w:p>
        </w:tc>
        <w:tc>
          <w:tcPr>
            <w:tcW w:w="200" w:type="dxa"/>
            <w:vAlign w:val="bottom"/>
          </w:tcPr>
          <w:p>
            <w:pPr>
              <w:spacing w:after="0"/>
              <w:rPr>
                <w:sz w:val="17"/>
                <w:szCs w:val="17"/>
                <w:color w:val="auto"/>
              </w:rPr>
            </w:pPr>
          </w:p>
        </w:tc>
        <w:tc>
          <w:tcPr>
            <w:tcW w:w="340" w:type="dxa"/>
            <w:vAlign w:val="bottom"/>
            <w:gridSpan w:val="4"/>
          </w:tcPr>
          <w:p>
            <w:pPr>
              <w:jc w:val="right"/>
              <w:spacing w:after="0" w:line="205" w:lineRule="exact"/>
              <w:rPr>
                <w:sz w:val="20"/>
                <w:szCs w:val="20"/>
                <w:color w:val="auto"/>
              </w:rPr>
            </w:pPr>
            <w:r>
              <w:rPr>
                <w:rFonts w:ascii="Arial" w:cs="Arial" w:eastAsia="Arial" w:hAnsi="Arial"/>
                <w:sz w:val="18"/>
                <w:szCs w:val="18"/>
                <w:color w:val="auto"/>
                <w:w w:val="88"/>
              </w:rPr>
              <w:t>31%</w:t>
            </w:r>
          </w:p>
        </w:tc>
      </w:tr>
      <w:tr>
        <w:trPr>
          <w:trHeight w:val="223"/>
        </w:trPr>
        <w:tc>
          <w:tcPr>
            <w:tcW w:w="35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33,719</w:t>
            </w:r>
          </w:p>
        </w:tc>
        <w:tc>
          <w:tcPr>
            <w:tcW w:w="120" w:type="dxa"/>
            <w:vAlign w:val="bottom"/>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30,122</w:t>
            </w:r>
          </w:p>
        </w:tc>
        <w:tc>
          <w:tcPr>
            <w:tcW w:w="6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3,597</w:t>
            </w:r>
          </w:p>
        </w:tc>
        <w:tc>
          <w:tcPr>
            <w:tcW w:w="200" w:type="dxa"/>
            <w:vAlign w:val="bottom"/>
          </w:tcPr>
          <w:p>
            <w:pPr>
              <w:spacing w:after="0"/>
              <w:rPr>
                <w:sz w:val="19"/>
                <w:szCs w:val="19"/>
                <w:color w:val="auto"/>
              </w:rPr>
            </w:pPr>
          </w:p>
        </w:tc>
        <w:tc>
          <w:tcPr>
            <w:tcW w:w="340" w:type="dxa"/>
            <w:vAlign w:val="bottom"/>
            <w:gridSpan w:val="4"/>
          </w:tcPr>
          <w:p>
            <w:pPr>
              <w:jc w:val="right"/>
              <w:spacing w:after="0"/>
              <w:rPr>
                <w:sz w:val="20"/>
                <w:szCs w:val="20"/>
                <w:color w:val="auto"/>
              </w:rPr>
            </w:pPr>
            <w:r>
              <w:rPr>
                <w:rFonts w:ascii="Arial" w:cs="Arial" w:eastAsia="Arial" w:hAnsi="Arial"/>
                <w:sz w:val="18"/>
                <w:szCs w:val="18"/>
                <w:color w:val="auto"/>
                <w:w w:val="88"/>
              </w:rPr>
              <w:t>12%</w:t>
            </w:r>
          </w:p>
        </w:tc>
      </w:tr>
      <w:tr>
        <w:trPr>
          <w:trHeight w:val="20"/>
        </w:trPr>
        <w:tc>
          <w:tcPr>
            <w:tcW w:w="35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right="140"/>
        <w:spacing w:after="0" w:line="294" w:lineRule="auto"/>
        <w:rPr>
          <w:sz w:val="20"/>
          <w:szCs w:val="20"/>
          <w:color w:val="auto"/>
        </w:rPr>
      </w:pPr>
      <w:r>
        <w:rPr>
          <w:rFonts w:ascii="Arial" w:cs="Arial" w:eastAsia="Arial" w:hAnsi="Arial"/>
          <w:sz w:val="16"/>
          <w:szCs w:val="16"/>
          <w:color w:val="auto"/>
        </w:rPr>
        <w:t>Total consolidated orders for the three months and nine months ended September 30, 2016 increased $2.9 million, or 34%, and $3.6 million, or 12%, respectively, as compared to the same periods in 2015. These increases reflect higher levels of demand from both ATE and non-ATE market customers. The increased demand from the ATE market reflects cyclical strengthening within this market. The increase in demand from non-ATE markets primarily reflects higher levels of orders from certain of our customers in the telecommunications and defense/aerospace markets, which were partially offset by a reduction in orders from certain customers in the automotive and industrial markets.</w:t>
      </w:r>
    </w:p>
    <w:p>
      <w:pPr>
        <w:spacing w:after="0" w:line="170"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In contrast, orders for the third quarter of 2016 decreased $1.3 million, or 10%, as compared to the second quarter of 2016, which we attribute primarily to seasonal changes in demand from our ATE market customers.</w:t>
      </w:r>
    </w:p>
    <w:p>
      <w:pPr>
        <w:spacing w:after="0" w:line="186" w:lineRule="exact"/>
        <w:rPr>
          <w:sz w:val="20"/>
          <w:szCs w:val="20"/>
          <w:color w:val="auto"/>
        </w:rPr>
      </w:pPr>
    </w:p>
    <w:p>
      <w:pPr>
        <w:ind w:left="540" w:right="380"/>
        <w:spacing w:after="0" w:line="291" w:lineRule="auto"/>
        <w:rPr>
          <w:sz w:val="20"/>
          <w:szCs w:val="20"/>
          <w:color w:val="auto"/>
        </w:rPr>
      </w:pPr>
      <w:r>
        <w:rPr>
          <w:rFonts w:ascii="Arial" w:cs="Arial" w:eastAsia="Arial" w:hAnsi="Arial"/>
          <w:sz w:val="16"/>
          <w:szCs w:val="16"/>
          <w:color w:val="auto"/>
        </w:rPr>
        <w:t>At September 30, 2016, our backlog of unfilled orders for all products was approximately $6.1 million, compared with approximately $3.0 million at September 30, 2015 and $5.7 million at June 30, 2016. Our backlog includes customer orders which we have accepted, substantially all of which we expect to deliver in 2016.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for the periods indicated, a breakdown of the net revenues by product segment and market.</w:t>
      </w:r>
    </w:p>
    <w:p>
      <w:pPr>
        <w:spacing w:after="0" w:line="224" w:lineRule="exact"/>
        <w:rPr>
          <w:sz w:val="20"/>
          <w:szCs w:val="20"/>
          <w:color w:val="auto"/>
        </w:rPr>
      </w:pPr>
    </w:p>
    <w:tbl>
      <w:tblPr>
        <w:tblLayout w:type="fixed"/>
        <w:tblInd w:w="522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9"/>
              </w:rPr>
              <w:t>Three</w:t>
            </w: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i w:val="1"/>
                <w:iCs w:val="1"/>
                <w:color w:val="auto"/>
                <w:w w:val="83"/>
              </w:rPr>
              <w:t>Three</w:t>
            </w:r>
          </w:p>
        </w:tc>
        <w:tc>
          <w:tcPr>
            <w:tcW w:w="700" w:type="dxa"/>
            <w:vAlign w:val="bottom"/>
          </w:tcPr>
          <w:p>
            <w:pPr>
              <w:spacing w:after="0"/>
              <w:rPr>
                <w:sz w:val="14"/>
                <w:szCs w:val="14"/>
                <w:color w:val="auto"/>
              </w:rPr>
            </w:pPr>
          </w:p>
        </w:tc>
      </w:tr>
      <w:tr>
        <w:trPr>
          <w:trHeight w:val="149"/>
        </w:trPr>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20" w:type="dxa"/>
            <w:vAlign w:val="bottom"/>
            <w:gridSpan w:val="3"/>
          </w:tcPr>
          <w:p>
            <w:pPr>
              <w:jc w:val="center"/>
              <w:ind w:left="12"/>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700" w:type="dxa"/>
            <w:vAlign w:val="bottom"/>
          </w:tcPr>
          <w:p>
            <w:pPr>
              <w:spacing w:after="0"/>
              <w:rPr>
                <w:sz w:val="12"/>
                <w:szCs w:val="12"/>
                <w:color w:val="auto"/>
              </w:rPr>
            </w:pPr>
          </w:p>
        </w:tc>
      </w:tr>
      <w:tr>
        <w:trPr>
          <w:trHeight w:val="146"/>
        </w:trPr>
        <w:tc>
          <w:tcPr>
            <w:tcW w:w="92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1"/>
              </w:rPr>
              <w:t>September 30,</w:t>
            </w:r>
          </w:p>
        </w:tc>
        <w:tc>
          <w:tcPr>
            <w:tcW w:w="720" w:type="dxa"/>
            <w:vAlign w:val="bottom"/>
          </w:tcPr>
          <w:p>
            <w:pPr>
              <w:spacing w:after="0"/>
              <w:rPr>
                <w:sz w:val="12"/>
                <w:szCs w:val="12"/>
                <w:color w:val="auto"/>
              </w:rPr>
            </w:pPr>
          </w:p>
        </w:tc>
        <w:tc>
          <w:tcPr>
            <w:tcW w:w="640" w:type="dxa"/>
            <w:vAlign w:val="bottom"/>
            <w:tcBorders>
              <w:bottom w:val="single" w:sz="8" w:color="auto"/>
            </w:tcBorders>
          </w:tcPr>
          <w:p>
            <w:pPr>
              <w:ind w:left="100"/>
              <w:spacing w:after="0" w:line="146" w:lineRule="exact"/>
              <w:rPr>
                <w:sz w:val="20"/>
                <w:szCs w:val="20"/>
                <w:color w:val="auto"/>
              </w:rPr>
            </w:pPr>
            <w:r>
              <w:rPr>
                <w:rFonts w:ascii="Arial" w:cs="Arial" w:eastAsia="Arial" w:hAnsi="Arial"/>
                <w:sz w:val="14"/>
                <w:szCs w:val="14"/>
                <w:b w:val="1"/>
                <w:bCs w:val="1"/>
                <w:i w:val="1"/>
                <w:iCs w:val="1"/>
                <w:color w:val="auto"/>
              </w:rPr>
              <w:t>Change</w:t>
            </w:r>
          </w:p>
        </w:tc>
        <w:tc>
          <w:tcPr>
            <w:tcW w:w="54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480" w:type="dxa"/>
            <w:vAlign w:val="bottom"/>
          </w:tcPr>
          <w:p>
            <w:pPr>
              <w:spacing w:after="0"/>
              <w:rPr>
                <w:sz w:val="12"/>
                <w:szCs w:val="12"/>
                <w:color w:val="auto"/>
              </w:rPr>
            </w:pPr>
          </w:p>
        </w:tc>
        <w:tc>
          <w:tcPr>
            <w:tcW w:w="700" w:type="dxa"/>
            <w:vAlign w:val="bottom"/>
            <w:tcBorders>
              <w:bottom w:val="single" w:sz="8" w:color="auto"/>
            </w:tcBorders>
          </w:tcPr>
          <w:p>
            <w:pPr>
              <w:ind w:left="140"/>
              <w:spacing w:after="0" w:line="146" w:lineRule="exact"/>
              <w:rPr>
                <w:sz w:val="20"/>
                <w:szCs w:val="20"/>
                <w:color w:val="auto"/>
              </w:rPr>
            </w:pPr>
            <w:r>
              <w:rPr>
                <w:rFonts w:ascii="Arial" w:cs="Arial" w:eastAsia="Arial" w:hAnsi="Arial"/>
                <w:sz w:val="14"/>
                <w:szCs w:val="14"/>
                <w:b w:val="1"/>
                <w:bCs w:val="1"/>
                <w:i w:val="1"/>
                <w:iCs w:val="1"/>
                <w:color w:val="auto"/>
              </w:rPr>
              <w:t>Change</w:t>
            </w:r>
          </w:p>
        </w:tc>
      </w:tr>
    </w:tbl>
    <w:p>
      <w:pPr>
        <w:sectPr>
          <w:pgSz w:w="11900" w:h="16897" w:orient="portrait"/>
          <w:cols w:equalWidth="0" w:num="1">
            <w:col w:w="11400"/>
          </w:cols>
          <w:pgMar w:left="240" w:top="131" w:right="259" w:bottom="0" w:gutter="0" w:footer="0" w:header="0"/>
        </w:sectPr>
      </w:pPr>
    </w:p>
    <w:bookmarkStart w:id="14" w:name="page15"/>
    <w:bookmarkEnd w:id="14"/>
    <w:p>
      <w:pPr>
        <w:spacing w:after="0" w:line="1"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w w:val="76"/>
              </w:rPr>
              <w:t>2016</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gridSpan w:val="4"/>
          </w:tcPr>
          <w:p>
            <w:pPr>
              <w:jc w:val="right"/>
              <w:ind w:right="160"/>
              <w:spacing w:after="0"/>
              <w:rPr>
                <w:sz w:val="20"/>
                <w:szCs w:val="20"/>
                <w:color w:val="auto"/>
              </w:rPr>
            </w:pPr>
            <w:r>
              <w:rPr>
                <w:rFonts w:ascii="Arial" w:cs="Arial" w:eastAsia="Arial" w:hAnsi="Arial"/>
                <w:sz w:val="14"/>
                <w:szCs w:val="14"/>
                <w:b w:val="1"/>
                <w:bCs w:val="1"/>
                <w:i w:val="1"/>
                <w:iCs w:val="1"/>
                <w:color w:val="auto"/>
              </w:rPr>
              <w:t>2015</w:t>
            </w:r>
          </w:p>
        </w:tc>
        <w:tc>
          <w:tcPr>
            <w:tcW w:w="820" w:type="dxa"/>
            <w:vAlign w:val="bottom"/>
            <w:gridSpan w:val="2"/>
          </w:tcPr>
          <w:p>
            <w:pPr>
              <w:jc w:val="right"/>
              <w:ind w:right="212"/>
              <w:spacing w:after="0"/>
              <w:rPr>
                <w:sz w:val="20"/>
                <w:szCs w:val="20"/>
                <w:color w:val="auto"/>
              </w:rPr>
            </w:pPr>
            <w:r>
              <w:rPr>
                <w:rFonts w:ascii="Arial" w:cs="Arial" w:eastAsia="Arial" w:hAnsi="Arial"/>
                <w:sz w:val="14"/>
                <w:szCs w:val="14"/>
                <w:b w:val="1"/>
                <w:bCs w:val="1"/>
                <w:i w:val="1"/>
                <w:iCs w:val="1"/>
                <w:u w:val="single" w:color="auto"/>
                <w:color w:val="auto"/>
              </w:rPr>
              <w:t>$</w:t>
            </w:r>
          </w:p>
        </w:tc>
        <w:tc>
          <w:tcPr>
            <w:tcW w:w="720" w:type="dxa"/>
            <w:vAlign w:val="bottom"/>
            <w:gridSpan w:val="3"/>
          </w:tcPr>
          <w:p>
            <w:pPr>
              <w:jc w:val="right"/>
              <w:ind w:right="340"/>
              <w:spacing w:after="0"/>
              <w:rPr>
                <w:sz w:val="20"/>
                <w:szCs w:val="20"/>
                <w:color w:val="auto"/>
              </w:rPr>
            </w:pPr>
            <w:r>
              <w:rPr>
                <w:rFonts w:ascii="Arial" w:cs="Arial" w:eastAsia="Arial" w:hAnsi="Arial"/>
                <w:sz w:val="14"/>
                <w:szCs w:val="14"/>
                <w:b w:val="1"/>
                <w:bCs w:val="1"/>
                <w:i w:val="1"/>
                <w:iCs w:val="1"/>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4"/>
                <w:szCs w:val="14"/>
                <w:b w:val="1"/>
                <w:bCs w:val="1"/>
                <w:i w:val="1"/>
                <w:iCs w:val="1"/>
                <w:color w:val="auto"/>
                <w:w w:val="89"/>
              </w:rPr>
              <w:t>2016</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i w:val="1"/>
                <w:iCs w:val="1"/>
                <w:color w:val="auto"/>
              </w:rPr>
              <w:t>%</w:t>
            </w:r>
          </w:p>
        </w:tc>
        <w:tc>
          <w:tcPr>
            <w:tcW w:w="0" w:type="dxa"/>
            <w:vAlign w:val="bottom"/>
          </w:tcPr>
          <w:p>
            <w:pPr>
              <w:spacing w:after="0"/>
              <w:rPr>
                <w:sz w:val="1"/>
                <w:szCs w:val="1"/>
                <w:color w:val="auto"/>
              </w:rPr>
            </w:pPr>
          </w:p>
        </w:tc>
      </w:tr>
      <w:tr>
        <w:trPr>
          <w:trHeight w:val="48"/>
        </w:trPr>
        <w:tc>
          <w:tcPr>
            <w:tcW w:w="37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37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Arial" w:cs="Arial" w:eastAsia="Arial" w:hAnsi="Arial"/>
                <w:sz w:val="18"/>
                <w:szCs w:val="18"/>
                <w:color w:val="auto"/>
              </w:rPr>
              <w:t>Thermal Products</w:t>
            </w:r>
          </w:p>
        </w:tc>
        <w:tc>
          <w:tcPr>
            <w:tcW w:w="10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6,641</w:t>
            </w:r>
          </w:p>
        </w:tc>
        <w:tc>
          <w:tcPr>
            <w:tcW w:w="200" w:type="dxa"/>
            <w:vAlign w:val="bottom"/>
          </w:tcPr>
          <w:p>
            <w:pPr>
              <w:spacing w:after="0"/>
              <w:rPr>
                <w:sz w:val="21"/>
                <w:szCs w:val="21"/>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w w:val="87"/>
              </w:rPr>
              <w:t>$6,259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382</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6 %</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5,594</w:t>
            </w: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Arial" w:cs="Arial" w:eastAsia="Arial" w:hAnsi="Arial"/>
                <w:sz w:val="18"/>
                <w:szCs w:val="18"/>
                <w:color w:val="auto"/>
              </w:rPr>
              <w:t>Mechanical Products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2,118</w:t>
            </w:r>
          </w:p>
        </w:tc>
        <w:tc>
          <w:tcPr>
            <w:tcW w:w="200" w:type="dxa"/>
            <w:vAlign w:val="bottom"/>
          </w:tcPr>
          <w:p>
            <w:pPr>
              <w:spacing w:after="0"/>
              <w:rPr>
                <w:sz w:val="21"/>
                <w:szCs w:val="21"/>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1,273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845</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66 %</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2,673</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8"/>
          </w:tcPr>
          <w:p>
            <w:pPr>
              <w:jc w:val="right"/>
              <w:spacing w:after="0"/>
              <w:rPr>
                <w:sz w:val="20"/>
                <w:szCs w:val="20"/>
                <w:color w:val="auto"/>
              </w:rPr>
            </w:pPr>
            <w:r>
              <w:rPr>
                <w:rFonts w:ascii="Arial" w:cs="Arial" w:eastAsia="Arial" w:hAnsi="Arial"/>
                <w:sz w:val="18"/>
                <w:szCs w:val="18"/>
                <w:color w:val="auto"/>
                <w:w w:val="96"/>
              </w:rPr>
              <w:t>(555) (21)%</w:t>
            </w:r>
          </w:p>
        </w:tc>
        <w:tc>
          <w:tcPr>
            <w:tcW w:w="0" w:type="dxa"/>
            <w:vAlign w:val="bottom"/>
          </w:tcPr>
          <w:p>
            <w:pPr>
              <w:spacing w:after="0"/>
              <w:rPr>
                <w:sz w:val="1"/>
                <w:szCs w:val="1"/>
                <w:color w:val="auto"/>
              </w:rPr>
            </w:pPr>
          </w:p>
        </w:tc>
      </w:tr>
      <w:tr>
        <w:trPr>
          <w:trHeight w:val="205"/>
        </w:trPr>
        <w:tc>
          <w:tcPr>
            <w:tcW w:w="378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2,064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1,671</w:t>
            </w:r>
          </w:p>
        </w:tc>
        <w:tc>
          <w:tcPr>
            <w:tcW w:w="360" w:type="dxa"/>
            <w:vAlign w:val="bottom"/>
          </w:tcPr>
          <w:p>
            <w:pPr>
              <w:spacing w:after="0"/>
              <w:rPr>
                <w:sz w:val="17"/>
                <w:szCs w:val="17"/>
                <w:color w:val="auto"/>
              </w:rPr>
            </w:pPr>
          </w:p>
        </w:tc>
        <w:tc>
          <w:tcPr>
            <w:tcW w:w="460" w:type="dxa"/>
            <w:vAlign w:val="bottom"/>
          </w:tcPr>
          <w:p>
            <w:pPr>
              <w:jc w:val="right"/>
              <w:spacing w:after="0" w:line="205" w:lineRule="exact"/>
              <w:rPr>
                <w:sz w:val="20"/>
                <w:szCs w:val="20"/>
                <w:color w:val="auto"/>
              </w:rPr>
            </w:pPr>
            <w:r>
              <w:rPr>
                <w:rFonts w:ascii="Arial" w:cs="Arial" w:eastAsia="Arial" w:hAnsi="Arial"/>
                <w:sz w:val="18"/>
                <w:szCs w:val="18"/>
                <w:color w:val="auto"/>
              </w:rPr>
              <w:t>393</w:t>
            </w:r>
          </w:p>
        </w:tc>
        <w:tc>
          <w:tcPr>
            <w:tcW w:w="720" w:type="dxa"/>
            <w:vAlign w:val="bottom"/>
            <w:gridSpan w:val="3"/>
          </w:tcPr>
          <w:p>
            <w:pPr>
              <w:jc w:val="right"/>
              <w:ind w:right="160"/>
              <w:spacing w:after="0" w:line="205" w:lineRule="exact"/>
              <w:rPr>
                <w:sz w:val="20"/>
                <w:szCs w:val="20"/>
                <w:color w:val="auto"/>
              </w:rPr>
            </w:pPr>
            <w:r>
              <w:rPr>
                <w:rFonts w:ascii="Arial" w:cs="Arial" w:eastAsia="Arial" w:hAnsi="Arial"/>
                <w:sz w:val="18"/>
                <w:szCs w:val="18"/>
                <w:color w:val="auto"/>
              </w:rPr>
              <w:t>24 %</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2,218</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5"/>
          </w:tcPr>
          <w:p>
            <w:pPr>
              <w:jc w:val="right"/>
              <w:ind w:right="80"/>
              <w:spacing w:after="0" w:line="205" w:lineRule="exact"/>
              <w:rPr>
                <w:sz w:val="20"/>
                <w:szCs w:val="20"/>
                <w:color w:val="auto"/>
              </w:rPr>
            </w:pPr>
            <w:r>
              <w:rPr>
                <w:rFonts w:ascii="Arial" w:cs="Arial" w:eastAsia="Arial" w:hAnsi="Arial"/>
                <w:sz w:val="18"/>
                <w:szCs w:val="18"/>
                <w:color w:val="auto"/>
                <w:w w:val="95"/>
              </w:rPr>
              <w:t>(154)</w:t>
            </w:r>
          </w:p>
        </w:tc>
        <w:tc>
          <w:tcPr>
            <w:tcW w:w="44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Borders>
              <w:right w:val="single" w:sz="8" w:color="auto"/>
            </w:tcBorders>
            <w:gridSpan w:val="2"/>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tcPr>
          <w:p>
            <w:pPr>
              <w:spacing w:after="0"/>
              <w:rPr>
                <w:sz w:val="19"/>
                <w:szCs w:val="19"/>
                <w:color w:val="auto"/>
              </w:rPr>
            </w:pP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3"/>
              </w:rPr>
              <w:t>10,823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9,203</w:t>
            </w:r>
          </w:p>
        </w:tc>
        <w:tc>
          <w:tcPr>
            <w:tcW w:w="3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1,620</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18 %</w:t>
            </w: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10,485</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505"/>
        </w:trPr>
        <w:tc>
          <w:tcPr>
            <w:tcW w:w="3780" w:type="dxa"/>
            <w:vAlign w:val="bottom"/>
          </w:tcPr>
          <w:p>
            <w:pPr>
              <w:spacing w:after="0"/>
              <w:rPr>
                <w:sz w:val="20"/>
                <w:szCs w:val="20"/>
                <w:color w:val="auto"/>
              </w:rPr>
            </w:pPr>
            <w:r>
              <w:rPr>
                <w:rFonts w:ascii="Arial" w:cs="Arial" w:eastAsia="Arial" w:hAnsi="Arial"/>
                <w:sz w:val="18"/>
                <w:szCs w:val="18"/>
                <w:color w:val="auto"/>
              </w:rPr>
              <w:t>ATE market</w:t>
            </w:r>
          </w:p>
        </w:tc>
        <w:tc>
          <w:tcPr>
            <w:tcW w:w="10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8,039</w:t>
            </w:r>
          </w:p>
        </w:tc>
        <w:tc>
          <w:tcPr>
            <w:tcW w:w="200" w:type="dxa"/>
            <w:vAlign w:val="bottom"/>
          </w:tcPr>
          <w:p>
            <w:pPr>
              <w:spacing w:after="0"/>
              <w:rPr>
                <w:sz w:val="24"/>
                <w:szCs w:val="24"/>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w w:val="87"/>
              </w:rPr>
              <w:t>$6,091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$1,948</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32 %</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7,960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5"/>
        </w:trPr>
        <w:tc>
          <w:tcPr>
            <w:tcW w:w="3780" w:type="dxa"/>
            <w:vAlign w:val="bottom"/>
          </w:tcPr>
          <w:p>
            <w:pPr>
              <w:spacing w:after="0" w:line="205" w:lineRule="exact"/>
              <w:rPr>
                <w:sz w:val="20"/>
                <w:szCs w:val="20"/>
                <w:color w:val="auto"/>
              </w:rPr>
            </w:pPr>
            <w:r>
              <w:rPr>
                <w:rFonts w:ascii="Arial" w:cs="Arial" w:eastAsia="Arial" w:hAnsi="Arial"/>
                <w:sz w:val="18"/>
                <w:szCs w:val="18"/>
                <w:color w:val="auto"/>
              </w:rPr>
              <w:t>Non-ATE market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2,784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3,112</w:t>
            </w:r>
          </w:p>
        </w:tc>
        <w:tc>
          <w:tcPr>
            <w:tcW w:w="360" w:type="dxa"/>
            <w:vAlign w:val="bottom"/>
          </w:tcPr>
          <w:p>
            <w:pPr>
              <w:spacing w:after="0"/>
              <w:rPr>
                <w:sz w:val="17"/>
                <w:szCs w:val="17"/>
                <w:color w:val="auto"/>
              </w:rPr>
            </w:pPr>
          </w:p>
        </w:tc>
        <w:tc>
          <w:tcPr>
            <w:tcW w:w="1180" w:type="dxa"/>
            <w:vAlign w:val="bottom"/>
            <w:gridSpan w:val="4"/>
          </w:tcPr>
          <w:p>
            <w:pPr>
              <w:jc w:val="right"/>
              <w:ind w:right="160"/>
              <w:spacing w:after="0" w:line="205" w:lineRule="exact"/>
              <w:rPr>
                <w:sz w:val="20"/>
                <w:szCs w:val="20"/>
                <w:color w:val="auto"/>
              </w:rPr>
            </w:pPr>
            <w:r>
              <w:rPr>
                <w:rFonts w:ascii="Arial" w:cs="Arial" w:eastAsia="Arial" w:hAnsi="Arial"/>
                <w:sz w:val="18"/>
                <w:szCs w:val="18"/>
                <w:color w:val="auto"/>
              </w:rPr>
              <w:t>(328) (11)%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2,525</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259</w:t>
            </w:r>
          </w:p>
        </w:tc>
        <w:tc>
          <w:tcPr>
            <w:tcW w:w="120" w:type="dxa"/>
            <w:vAlign w:val="bottom"/>
          </w:tcPr>
          <w:p>
            <w:pPr>
              <w:spacing w:after="0"/>
              <w:rPr>
                <w:sz w:val="17"/>
                <w:szCs w:val="17"/>
                <w:color w:val="auto"/>
              </w:rPr>
            </w:pPr>
          </w:p>
        </w:tc>
        <w:tc>
          <w:tcPr>
            <w:tcW w:w="44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Borders>
              <w:right w:val="single" w:sz="8" w:color="auto"/>
            </w:tcBorders>
            <w:gridSpan w:val="2"/>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440" w:type="dxa"/>
            <w:vAlign w:val="bottom"/>
            <w:tcBorders>
              <w:right w:val="single" w:sz="8" w:color="auto"/>
            </w:tcBorders>
            <w:gridSpan w:val="2"/>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tcPr>
          <w:p>
            <w:pPr>
              <w:spacing w:after="0"/>
              <w:rPr>
                <w:sz w:val="19"/>
                <w:szCs w:val="19"/>
                <w:color w:val="auto"/>
              </w:rPr>
            </w:pP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3"/>
              </w:rPr>
              <w:t>10,823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9,203</w:t>
            </w:r>
          </w:p>
        </w:tc>
        <w:tc>
          <w:tcPr>
            <w:tcW w:w="3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1,620</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18 %</w:t>
            </w: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10,485</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680"/>
        </w:trPr>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- 17 -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gridSpan w:val="2"/>
          </w:tcPr>
          <w:p>
            <w:pPr>
              <w:jc w:val="center"/>
              <w:spacing w:after="0"/>
              <w:rPr>
                <w:sz w:val="20"/>
                <w:szCs w:val="20"/>
                <w:color w:val="auto"/>
              </w:rPr>
            </w:pPr>
            <w:r>
              <w:rPr>
                <w:rFonts w:ascii="Arial" w:cs="Arial" w:eastAsia="Arial" w:hAnsi="Arial"/>
                <w:sz w:val="14"/>
                <w:szCs w:val="14"/>
                <w:b w:val="1"/>
                <w:bCs w:val="1"/>
                <w:i w:val="1"/>
                <w:iCs w:val="1"/>
                <w:color w:val="auto"/>
                <w:w w:val="85"/>
              </w:rPr>
              <w:t>Nine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9"/>
        </w:trPr>
        <w:tc>
          <w:tcPr>
            <w:tcW w:w="3840" w:type="dxa"/>
            <w:vAlign w:val="bottom"/>
          </w:tcPr>
          <w:p>
            <w:pPr>
              <w:spacing w:after="0"/>
              <w:rPr>
                <w:sz w:val="12"/>
                <w:szCs w:val="12"/>
                <w:color w:val="auto"/>
              </w:rPr>
            </w:pPr>
          </w:p>
        </w:tc>
        <w:tc>
          <w:tcPr>
            <w:tcW w:w="1280" w:type="dxa"/>
            <w:vAlign w:val="bottom"/>
            <w:gridSpan w:val="7"/>
          </w:tcPr>
          <w:p>
            <w:pPr>
              <w:jc w:val="center"/>
              <w:ind w:right="34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6"/>
        </w:trPr>
        <w:tc>
          <w:tcPr>
            <w:tcW w:w="3840" w:type="dxa"/>
            <w:vAlign w:val="bottom"/>
          </w:tcPr>
          <w:p>
            <w:pPr>
              <w:spacing w:after="0"/>
              <w:rPr>
                <w:sz w:val="12"/>
                <w:szCs w:val="12"/>
                <w:color w:val="auto"/>
              </w:rPr>
            </w:pPr>
          </w:p>
        </w:tc>
        <w:tc>
          <w:tcPr>
            <w:tcW w:w="920" w:type="dxa"/>
            <w:vAlign w:val="bottom"/>
            <w:tcBorders>
              <w:bottom w:val="single" w:sz="8" w:color="auto"/>
            </w:tcBorders>
            <w:gridSpan w:val="5"/>
          </w:tcPr>
          <w:p>
            <w:pPr>
              <w:jc w:val="center"/>
              <w:spacing w:after="0" w:line="146" w:lineRule="exact"/>
              <w:rPr>
                <w:sz w:val="20"/>
                <w:szCs w:val="20"/>
                <w:color w:val="auto"/>
              </w:rPr>
            </w:pPr>
            <w:r>
              <w:rPr>
                <w:rFonts w:ascii="Arial" w:cs="Arial" w:eastAsia="Arial" w:hAnsi="Arial"/>
                <w:sz w:val="14"/>
                <w:szCs w:val="14"/>
                <w:b w:val="1"/>
                <w:bCs w:val="1"/>
                <w:i w:val="1"/>
                <w:iCs w:val="1"/>
                <w:color w:val="auto"/>
                <w:w w:val="81"/>
              </w:rPr>
              <w:t>September 30,</w:t>
            </w:r>
          </w:p>
        </w:tc>
        <w:tc>
          <w:tcPr>
            <w:tcW w:w="36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40"/>
              <w:spacing w:after="0" w:line="146" w:lineRule="exact"/>
              <w:rPr>
                <w:sz w:val="20"/>
                <w:szCs w:val="20"/>
                <w:color w:val="auto"/>
              </w:rPr>
            </w:pPr>
            <w:r>
              <w:rPr>
                <w:rFonts w:ascii="Arial" w:cs="Arial" w:eastAsia="Arial" w:hAnsi="Arial"/>
                <w:sz w:val="14"/>
                <w:szCs w:val="14"/>
                <w:b w:val="1"/>
                <w:bCs w:val="1"/>
                <w:i w:val="1"/>
                <w:iCs w:val="1"/>
                <w:color w:val="auto"/>
              </w:rPr>
              <w:t>Change</w:t>
            </w:r>
          </w:p>
        </w:tc>
        <w:tc>
          <w:tcPr>
            <w:tcW w:w="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56"/>
        </w:trPr>
        <w:tc>
          <w:tcPr>
            <w:tcW w:w="3840" w:type="dxa"/>
            <w:vAlign w:val="bottom"/>
          </w:tcPr>
          <w:p>
            <w:pPr>
              <w:spacing w:after="0"/>
              <w:rPr>
                <w:sz w:val="13"/>
                <w:szCs w:val="13"/>
                <w:color w:val="auto"/>
              </w:rPr>
            </w:pPr>
          </w:p>
        </w:tc>
        <w:tc>
          <w:tcPr>
            <w:tcW w:w="500" w:type="dxa"/>
            <w:vAlign w:val="bottom"/>
            <w:gridSpan w:val="2"/>
          </w:tcPr>
          <w:p>
            <w:pPr>
              <w:jc w:val="right"/>
              <w:ind w:right="212"/>
              <w:spacing w:after="0"/>
              <w:rPr>
                <w:sz w:val="20"/>
                <w:szCs w:val="20"/>
                <w:color w:val="auto"/>
              </w:rPr>
            </w:pPr>
            <w:r>
              <w:rPr>
                <w:rFonts w:ascii="Arial" w:cs="Arial" w:eastAsia="Arial" w:hAnsi="Arial"/>
                <w:sz w:val="12"/>
                <w:szCs w:val="12"/>
                <w:b w:val="1"/>
                <w:bCs w:val="1"/>
                <w:i w:val="1"/>
                <w:iCs w:val="1"/>
                <w:color w:val="auto"/>
                <w:w w:val="74"/>
              </w:rPr>
              <w:t>2016</w:t>
            </w:r>
          </w:p>
        </w:tc>
        <w:tc>
          <w:tcPr>
            <w:tcW w:w="160" w:type="dxa"/>
            <w:vAlign w:val="bottom"/>
          </w:tcPr>
          <w:p>
            <w:pPr>
              <w:spacing w:after="0"/>
              <w:rPr>
                <w:sz w:val="13"/>
                <w:szCs w:val="13"/>
                <w:color w:val="auto"/>
              </w:rPr>
            </w:pPr>
          </w:p>
        </w:tc>
        <w:tc>
          <w:tcPr>
            <w:tcW w:w="620" w:type="dxa"/>
            <w:vAlign w:val="bottom"/>
            <w:gridSpan w:val="4"/>
          </w:tcPr>
          <w:p>
            <w:pPr>
              <w:jc w:val="right"/>
              <w:ind w:right="240"/>
              <w:spacing w:after="0" w:line="155" w:lineRule="exact"/>
              <w:rPr>
                <w:sz w:val="20"/>
                <w:szCs w:val="20"/>
                <w:color w:val="auto"/>
              </w:rPr>
            </w:pPr>
            <w:r>
              <w:rPr>
                <w:rFonts w:ascii="Arial" w:cs="Arial" w:eastAsia="Arial" w:hAnsi="Arial"/>
                <w:sz w:val="14"/>
                <w:szCs w:val="14"/>
                <w:b w:val="1"/>
                <w:bCs w:val="1"/>
                <w:i w:val="1"/>
                <w:iCs w:val="1"/>
                <w:color w:val="auto"/>
              </w:rPr>
              <w:t>2015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ind w:right="197"/>
              <w:spacing w:after="0" w:line="155" w:lineRule="exact"/>
              <w:rPr>
                <w:sz w:val="20"/>
                <w:szCs w:val="20"/>
                <w:color w:val="auto"/>
              </w:rPr>
            </w:pPr>
            <w:r>
              <w:rPr>
                <w:rFonts w:ascii="Arial" w:cs="Arial" w:eastAsia="Arial" w:hAnsi="Arial"/>
                <w:sz w:val="14"/>
                <w:szCs w:val="14"/>
                <w:b w:val="1"/>
                <w:bCs w:val="1"/>
                <w:i w:val="1"/>
                <w:iCs w:val="1"/>
                <w:u w:val="single" w:color="auto"/>
                <w:color w:val="auto"/>
              </w:rPr>
              <w:t>$</w:t>
            </w:r>
          </w:p>
        </w:tc>
        <w:tc>
          <w:tcPr>
            <w:tcW w:w="200" w:type="dxa"/>
            <w:vAlign w:val="bottom"/>
          </w:tcPr>
          <w:p>
            <w:pPr>
              <w:spacing w:after="0"/>
              <w:rPr>
                <w:sz w:val="13"/>
                <w:szCs w:val="13"/>
                <w:color w:val="auto"/>
              </w:rPr>
            </w:pPr>
          </w:p>
        </w:tc>
        <w:tc>
          <w:tcPr>
            <w:tcW w:w="380" w:type="dxa"/>
            <w:vAlign w:val="bottom"/>
            <w:gridSpan w:val="4"/>
          </w:tcPr>
          <w:p>
            <w:pPr>
              <w:jc w:val="right"/>
              <w:ind w:right="180"/>
              <w:spacing w:after="0" w:line="155" w:lineRule="exact"/>
              <w:rPr>
                <w:sz w:val="20"/>
                <w:szCs w:val="20"/>
                <w:color w:val="auto"/>
              </w:rPr>
            </w:pPr>
            <w:r>
              <w:rPr>
                <w:rFonts w:ascii="Arial" w:cs="Arial" w:eastAsia="Arial" w:hAnsi="Arial"/>
                <w:sz w:val="14"/>
                <w:szCs w:val="14"/>
                <w:b w:val="1"/>
                <w:bCs w:val="1"/>
                <w:i w:val="1"/>
                <w:iCs w:val="1"/>
                <w:color w:val="auto"/>
              </w:rPr>
              <w:t>%</w:t>
            </w:r>
          </w:p>
        </w:tc>
      </w:tr>
      <w:tr>
        <w:trPr>
          <w:trHeight w:val="302"/>
        </w:trPr>
        <w:tc>
          <w:tcPr>
            <w:tcW w:w="3840" w:type="dxa"/>
            <w:vAlign w:val="bottom"/>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2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18"/>
                <w:szCs w:val="18"/>
                <w:color w:val="auto"/>
              </w:rPr>
              <w:t>Thermal Products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73"/>
              </w:rPr>
              <w:t>$17,429</w:t>
            </w:r>
          </w:p>
        </w:tc>
        <w:tc>
          <w:tcPr>
            <w:tcW w:w="160" w:type="dxa"/>
            <w:vAlign w:val="bottom"/>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w w:val="92"/>
              </w:rPr>
              <w:t>$18,635</w:t>
            </w:r>
          </w:p>
        </w:tc>
        <w:tc>
          <w:tcPr>
            <w:tcW w:w="920" w:type="dxa"/>
            <w:vAlign w:val="bottom"/>
            <w:gridSpan w:val="4"/>
          </w:tcPr>
          <w:p>
            <w:pPr>
              <w:jc w:val="right"/>
              <w:ind w:right="140"/>
              <w:spacing w:after="0"/>
              <w:rPr>
                <w:sz w:val="20"/>
                <w:szCs w:val="20"/>
                <w:color w:val="auto"/>
              </w:rPr>
            </w:pPr>
            <w:r>
              <w:rPr>
                <w:rFonts w:ascii="Arial" w:cs="Arial" w:eastAsia="Arial" w:hAnsi="Arial"/>
                <w:sz w:val="18"/>
                <w:szCs w:val="18"/>
                <w:color w:val="auto"/>
              </w:rPr>
              <w:t>$(1,206)</w:t>
            </w:r>
          </w:p>
        </w:tc>
        <w:tc>
          <w:tcPr>
            <w:tcW w:w="380" w:type="dxa"/>
            <w:vAlign w:val="bottom"/>
            <w:gridSpan w:val="4"/>
          </w:tcPr>
          <w:p>
            <w:pPr>
              <w:jc w:val="right"/>
              <w:spacing w:after="0"/>
              <w:rPr>
                <w:sz w:val="20"/>
                <w:szCs w:val="20"/>
                <w:color w:val="auto"/>
              </w:rPr>
            </w:pPr>
            <w:r>
              <w:rPr>
                <w:rFonts w:ascii="Arial" w:cs="Arial" w:eastAsia="Arial" w:hAnsi="Arial"/>
                <w:sz w:val="18"/>
                <w:szCs w:val="18"/>
                <w:color w:val="auto"/>
                <w:w w:val="94"/>
              </w:rPr>
              <w:t>(6)%</w:t>
            </w:r>
          </w:p>
        </w:tc>
      </w:tr>
      <w:tr>
        <w:trPr>
          <w:trHeight w:val="243"/>
        </w:trPr>
        <w:tc>
          <w:tcPr>
            <w:tcW w:w="3840" w:type="dxa"/>
            <w:vAlign w:val="bottom"/>
          </w:tcPr>
          <w:p>
            <w:pPr>
              <w:spacing w:after="0"/>
              <w:rPr>
                <w:sz w:val="20"/>
                <w:szCs w:val="20"/>
                <w:color w:val="auto"/>
              </w:rPr>
            </w:pPr>
            <w:r>
              <w:rPr>
                <w:rFonts w:ascii="Arial" w:cs="Arial" w:eastAsia="Arial" w:hAnsi="Arial"/>
                <w:sz w:val="18"/>
                <w:szCs w:val="18"/>
                <w:color w:val="auto"/>
              </w:rPr>
              <w:t>Mechanical Products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6,727</w:t>
            </w:r>
          </w:p>
        </w:tc>
        <w:tc>
          <w:tcPr>
            <w:tcW w:w="160" w:type="dxa"/>
            <w:vAlign w:val="bottom"/>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6,195</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532</w:t>
            </w: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9 %</w:t>
            </w:r>
          </w:p>
        </w:tc>
      </w:tr>
      <w:tr>
        <w:trPr>
          <w:trHeight w:val="205"/>
        </w:trPr>
        <w:tc>
          <w:tcPr>
            <w:tcW w:w="384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50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5,799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6,120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40"/>
              <w:spacing w:after="0" w:line="205" w:lineRule="exact"/>
              <w:rPr>
                <w:sz w:val="20"/>
                <w:szCs w:val="20"/>
                <w:color w:val="auto"/>
              </w:rPr>
            </w:pPr>
            <w:r>
              <w:rPr>
                <w:rFonts w:ascii="Arial" w:cs="Arial" w:eastAsia="Arial" w:hAnsi="Arial"/>
                <w:sz w:val="18"/>
                <w:szCs w:val="18"/>
                <w:color w:val="auto"/>
                <w:w w:val="99"/>
              </w:rPr>
              <w:t>(321)</w:t>
            </w:r>
          </w:p>
        </w:tc>
        <w:tc>
          <w:tcPr>
            <w:tcW w:w="380" w:type="dxa"/>
            <w:vAlign w:val="bottom"/>
            <w:gridSpan w:val="4"/>
          </w:tcPr>
          <w:p>
            <w:pPr>
              <w:jc w:val="right"/>
              <w:spacing w:after="0" w:line="205" w:lineRule="exact"/>
              <w:rPr>
                <w:sz w:val="20"/>
                <w:szCs w:val="20"/>
                <w:color w:val="auto"/>
              </w:rPr>
            </w:pPr>
            <w:r>
              <w:rPr>
                <w:rFonts w:ascii="Arial" w:cs="Arial" w:eastAsia="Arial" w:hAnsi="Arial"/>
                <w:sz w:val="18"/>
                <w:szCs w:val="18"/>
                <w:color w:val="auto"/>
                <w:w w:val="94"/>
              </w:rPr>
              <w:t>(5)%</w:t>
            </w:r>
          </w:p>
        </w:tc>
      </w:tr>
      <w:tr>
        <w:trPr>
          <w:trHeight w:val="20"/>
        </w:trPr>
        <w:tc>
          <w:tcPr>
            <w:tcW w:w="384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r>
      <w:tr>
        <w:trPr>
          <w:trHeight w:val="223"/>
        </w:trPr>
        <w:tc>
          <w:tcPr>
            <w:tcW w:w="38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3"/>
              </w:rPr>
              <w:t>$</w:t>
            </w:r>
            <w:r>
              <w:rPr>
                <w:rFonts w:ascii="Arial" w:cs="Arial" w:eastAsia="Arial" w:hAnsi="Arial"/>
                <w:sz w:val="18"/>
                <w:szCs w:val="18"/>
                <w:color w:val="auto"/>
                <w:w w:val="73"/>
              </w:rPr>
              <w:t>29,955</w:t>
            </w:r>
          </w:p>
        </w:tc>
        <w:tc>
          <w:tcPr>
            <w:tcW w:w="160" w:type="dxa"/>
            <w:vAlign w:val="bottom"/>
          </w:tcPr>
          <w:p>
            <w:pPr>
              <w:spacing w:after="0"/>
              <w:rPr>
                <w:sz w:val="19"/>
                <w:szCs w:val="19"/>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30,950</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(995)</w:t>
            </w:r>
          </w:p>
        </w:tc>
        <w:tc>
          <w:tcPr>
            <w:tcW w:w="380" w:type="dxa"/>
            <w:vAlign w:val="bottom"/>
            <w:gridSpan w:val="4"/>
          </w:tcPr>
          <w:p>
            <w:pPr>
              <w:jc w:val="right"/>
              <w:spacing w:after="0"/>
              <w:rPr>
                <w:sz w:val="20"/>
                <w:szCs w:val="20"/>
                <w:color w:val="auto"/>
              </w:rPr>
            </w:pPr>
            <w:r>
              <w:rPr>
                <w:rFonts w:ascii="Arial" w:cs="Arial" w:eastAsia="Arial" w:hAnsi="Arial"/>
                <w:sz w:val="18"/>
                <w:szCs w:val="18"/>
                <w:color w:val="auto"/>
                <w:w w:val="94"/>
              </w:rPr>
              <w:t>(3)%</w:t>
            </w:r>
          </w:p>
        </w:tc>
      </w:tr>
      <w:tr>
        <w:trPr>
          <w:trHeight w:val="20"/>
        </w:trPr>
        <w:tc>
          <w:tcPr>
            <w:tcW w:w="384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r>
      <w:tr>
        <w:trPr>
          <w:trHeight w:val="505"/>
        </w:trPr>
        <w:tc>
          <w:tcPr>
            <w:tcW w:w="3840" w:type="dxa"/>
            <w:vAlign w:val="bottom"/>
          </w:tcPr>
          <w:p>
            <w:pPr>
              <w:spacing w:after="0"/>
              <w:rPr>
                <w:sz w:val="20"/>
                <w:szCs w:val="20"/>
                <w:color w:val="auto"/>
              </w:rPr>
            </w:pPr>
            <w:r>
              <w:rPr>
                <w:rFonts w:ascii="Arial" w:cs="Arial" w:eastAsia="Arial" w:hAnsi="Arial"/>
                <w:sz w:val="18"/>
                <w:szCs w:val="18"/>
                <w:color w:val="auto"/>
              </w:rPr>
              <w:t>ATE market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73"/>
              </w:rPr>
              <w:t>$22,068</w:t>
            </w:r>
          </w:p>
        </w:tc>
        <w:tc>
          <w:tcPr>
            <w:tcW w:w="160" w:type="dxa"/>
            <w:vAlign w:val="bottom"/>
          </w:tcPr>
          <w:p>
            <w:pPr>
              <w:spacing w:after="0"/>
              <w:rPr>
                <w:sz w:val="24"/>
                <w:szCs w:val="24"/>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w w:val="92"/>
              </w:rPr>
              <w:t>$22,986</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(918)</w:t>
            </w:r>
          </w:p>
        </w:tc>
        <w:tc>
          <w:tcPr>
            <w:tcW w:w="380" w:type="dxa"/>
            <w:vAlign w:val="bottom"/>
            <w:gridSpan w:val="4"/>
          </w:tcPr>
          <w:p>
            <w:pPr>
              <w:jc w:val="right"/>
              <w:spacing w:after="0"/>
              <w:rPr>
                <w:sz w:val="20"/>
                <w:szCs w:val="20"/>
                <w:color w:val="auto"/>
              </w:rPr>
            </w:pPr>
            <w:r>
              <w:rPr>
                <w:rFonts w:ascii="Arial" w:cs="Arial" w:eastAsia="Arial" w:hAnsi="Arial"/>
                <w:sz w:val="18"/>
                <w:szCs w:val="18"/>
                <w:color w:val="auto"/>
                <w:w w:val="94"/>
              </w:rPr>
              <w:t>(4)%</w:t>
            </w:r>
          </w:p>
        </w:tc>
      </w:tr>
      <w:tr>
        <w:trPr>
          <w:trHeight w:val="205"/>
        </w:trPr>
        <w:tc>
          <w:tcPr>
            <w:tcW w:w="3840" w:type="dxa"/>
            <w:vAlign w:val="bottom"/>
          </w:tcPr>
          <w:p>
            <w:pPr>
              <w:spacing w:after="0" w:line="205" w:lineRule="exact"/>
              <w:rPr>
                <w:sz w:val="20"/>
                <w:szCs w:val="20"/>
                <w:color w:val="auto"/>
              </w:rPr>
            </w:pPr>
            <w:r>
              <w:rPr>
                <w:rFonts w:ascii="Arial" w:cs="Arial" w:eastAsia="Arial" w:hAnsi="Arial"/>
                <w:sz w:val="18"/>
                <w:szCs w:val="18"/>
                <w:color w:val="auto"/>
              </w:rPr>
              <w:t>Non-ATE market</w:t>
            </w:r>
          </w:p>
        </w:tc>
        <w:tc>
          <w:tcPr>
            <w:tcW w:w="50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7,887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7,964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40"/>
              <w:spacing w:after="0" w:line="205" w:lineRule="exact"/>
              <w:rPr>
                <w:sz w:val="20"/>
                <w:szCs w:val="20"/>
                <w:color w:val="auto"/>
              </w:rPr>
            </w:pPr>
            <w:r>
              <w:rPr>
                <w:rFonts w:ascii="Arial" w:cs="Arial" w:eastAsia="Arial" w:hAnsi="Arial"/>
                <w:sz w:val="18"/>
                <w:szCs w:val="18"/>
                <w:color w:val="auto"/>
              </w:rPr>
              <w:t>(77)</w:t>
            </w:r>
          </w:p>
        </w:tc>
        <w:tc>
          <w:tcPr>
            <w:tcW w:w="380" w:type="dxa"/>
            <w:vAlign w:val="bottom"/>
            <w:gridSpan w:val="4"/>
          </w:tcPr>
          <w:p>
            <w:pPr>
              <w:jc w:val="right"/>
              <w:spacing w:after="0" w:line="205" w:lineRule="exact"/>
              <w:rPr>
                <w:sz w:val="20"/>
                <w:szCs w:val="20"/>
                <w:color w:val="auto"/>
              </w:rPr>
            </w:pPr>
            <w:r>
              <w:rPr>
                <w:rFonts w:ascii="Arial" w:cs="Arial" w:eastAsia="Arial" w:hAnsi="Arial"/>
                <w:sz w:val="18"/>
                <w:szCs w:val="18"/>
                <w:color w:val="auto"/>
                <w:w w:val="94"/>
              </w:rPr>
              <w:t>(1)%</w:t>
            </w:r>
          </w:p>
        </w:tc>
      </w:tr>
      <w:tr>
        <w:trPr>
          <w:trHeight w:val="20"/>
        </w:trPr>
        <w:tc>
          <w:tcPr>
            <w:tcW w:w="384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r>
      <w:tr>
        <w:trPr>
          <w:trHeight w:val="223"/>
        </w:trPr>
        <w:tc>
          <w:tcPr>
            <w:tcW w:w="38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3"/>
              </w:rPr>
              <w:t>$</w:t>
            </w:r>
            <w:r>
              <w:rPr>
                <w:rFonts w:ascii="Arial" w:cs="Arial" w:eastAsia="Arial" w:hAnsi="Arial"/>
                <w:sz w:val="18"/>
                <w:szCs w:val="18"/>
                <w:color w:val="auto"/>
                <w:w w:val="73"/>
              </w:rPr>
              <w:t>29,955</w:t>
            </w:r>
          </w:p>
        </w:tc>
        <w:tc>
          <w:tcPr>
            <w:tcW w:w="160" w:type="dxa"/>
            <w:vAlign w:val="bottom"/>
          </w:tcPr>
          <w:p>
            <w:pPr>
              <w:spacing w:after="0"/>
              <w:rPr>
                <w:sz w:val="19"/>
                <w:szCs w:val="19"/>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30,950</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(995)</w:t>
            </w:r>
          </w:p>
        </w:tc>
        <w:tc>
          <w:tcPr>
            <w:tcW w:w="380" w:type="dxa"/>
            <w:vAlign w:val="bottom"/>
            <w:gridSpan w:val="4"/>
          </w:tcPr>
          <w:p>
            <w:pPr>
              <w:jc w:val="right"/>
              <w:spacing w:after="0"/>
              <w:rPr>
                <w:sz w:val="20"/>
                <w:szCs w:val="20"/>
                <w:color w:val="auto"/>
              </w:rPr>
            </w:pPr>
            <w:r>
              <w:rPr>
                <w:rFonts w:ascii="Arial" w:cs="Arial" w:eastAsia="Arial" w:hAnsi="Arial"/>
                <w:sz w:val="18"/>
                <w:szCs w:val="18"/>
                <w:color w:val="auto"/>
                <w:w w:val="94"/>
              </w:rPr>
              <w:t>(3)%</w:t>
            </w:r>
          </w:p>
        </w:tc>
      </w:tr>
      <w:tr>
        <w:trPr>
          <w:trHeight w:val="20"/>
        </w:trPr>
        <w:tc>
          <w:tcPr>
            <w:tcW w:w="38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8" w:lineRule="exact"/>
        <w:rPr>
          <w:sz w:val="20"/>
          <w:szCs w:val="20"/>
          <w:color w:val="auto"/>
        </w:rPr>
      </w:pPr>
    </w:p>
    <w:p>
      <w:pPr>
        <w:ind w:left="540" w:right="80"/>
        <w:spacing w:after="0" w:line="253" w:lineRule="auto"/>
        <w:rPr>
          <w:sz w:val="20"/>
          <w:szCs w:val="20"/>
          <w:color w:val="auto"/>
        </w:rPr>
      </w:pPr>
      <w:r>
        <w:rPr>
          <w:rFonts w:ascii="Arial" w:cs="Arial" w:eastAsia="Arial" w:hAnsi="Arial"/>
          <w:sz w:val="18"/>
          <w:szCs w:val="18"/>
          <w:color w:val="auto"/>
        </w:rPr>
        <w:t>Total consolidated net revenues for the quarter ended September 30, 2016 increased $1.6 million, or 18%, as compared to the same period in 2015, reflecting the aforementioned strengthening in demand within the ATE market, primarily for our Mechanical and Electrical Products segments. However, total consolidated net revenues for the nine months ended September 30, 2016 decreased $995,000, or 3%, as compared to the same period in 2015. During the second half of 2015, the ATE market entered a period of weakened demand which persisted throughout the balance of 2015 and into early 2016, and resulted in sequential reductions in the level of our net revenues in both the third and fourth quarters of 2015 and the first quarter of 2016. As a result, for the nine-month period ended September 30, 2016, our consolidated net revenues were below the level achieved for the comparable period in 2015.</w:t>
      </w:r>
    </w:p>
    <w:p>
      <w:pPr>
        <w:spacing w:after="0" w:line="201"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Total consolidated net revenues for the third quarter of 2016 increased $338,000, or 3%, as compared to the second quarter of 2016. This increase was comprised of a $1.0 million, or 19%, increase in the net revenues of our Thermal Products segment, partially offset by decreases of $555,000, or 21%, and $154,000, or 7%, respectively, for our Mechanical and Electrical Products segments. We attribute the decreases for our Mechanical and Electrical Products segments primarily to seasonal changes in demand from our ATE market customers. In contrast, we attribute the increase for our Thermal Products segment to both higher ATE and non-ATE market demand. Historically, the impact of shifts in demand within the ATE market for our Thermal Products segment have frequently lagged the impact of such shifts in demand on our Mechanical and Electrical Products segments. We believe this is the case at present and that our Thermal Products segment has not yet experienced the seasonal decline in demand that has begun to impact our other two products segments.</w:t>
      </w:r>
    </w:p>
    <w:p>
      <w:pPr>
        <w:spacing w:after="0" w:line="172" w:lineRule="exact"/>
        <w:rPr>
          <w:sz w:val="20"/>
          <w:szCs w:val="20"/>
          <w:color w:val="auto"/>
        </w:rPr>
      </w:pPr>
    </w:p>
    <w:p>
      <w:pPr>
        <w:ind w:left="540"/>
        <w:spacing w:after="0" w:line="306" w:lineRule="auto"/>
        <w:rPr>
          <w:sz w:val="20"/>
          <w:szCs w:val="20"/>
          <w:color w:val="auto"/>
        </w:rPr>
      </w:pPr>
      <w:r>
        <w:rPr>
          <w:rFonts w:ascii="Arial" w:cs="Arial" w:eastAsia="Arial" w:hAnsi="Arial"/>
          <w:sz w:val="16"/>
          <w:szCs w:val="16"/>
          <w:color w:val="auto"/>
        </w:rPr>
        <w:t>Net revenues from non-ATE market customers declined 11% and 1%, respectively, for the three months and nine months ended September 30, 2016 as compared to the same periods in 2015. The declines were primarily from customers in the industrial, automotive, and defense/aerospace markets and were partially offset by increased demand from certain customers in the telecommunications market.</w:t>
      </w:r>
    </w:p>
    <w:p>
      <w:pPr>
        <w:spacing w:after="0" w:line="161" w:lineRule="exact"/>
        <w:rPr>
          <w:sz w:val="20"/>
          <w:szCs w:val="20"/>
          <w:color w:val="auto"/>
        </w:rPr>
      </w:pPr>
    </w:p>
    <w:p>
      <w:pPr>
        <w:ind w:left="540" w:right="620"/>
        <w:spacing w:after="0" w:line="268" w:lineRule="auto"/>
        <w:rPr>
          <w:sz w:val="20"/>
          <w:szCs w:val="20"/>
          <w:color w:val="auto"/>
        </w:rPr>
      </w:pPr>
      <w:r>
        <w:rPr>
          <w:rFonts w:ascii="Arial" w:cs="Arial" w:eastAsia="Arial" w:hAnsi="Arial"/>
          <w:sz w:val="18"/>
          <w:szCs w:val="18"/>
          <w:color w:val="auto"/>
        </w:rPr>
        <w:t>In contrast, net revenues from non-ATE market customers increased 10% for the third quarter of 2016 as compared to the second quarter of 2016, primarily reflecting increased levels of net revenues from certain of our customers in industrial markets.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Product/Customer Mix</w:t>
      </w:r>
    </w:p>
    <w:p>
      <w:pPr>
        <w:spacing w:after="0" w:line="225" w:lineRule="exact"/>
        <w:rPr>
          <w:sz w:val="20"/>
          <w:szCs w:val="20"/>
          <w:color w:val="auto"/>
        </w:rPr>
      </w:pPr>
    </w:p>
    <w:p>
      <w:pPr>
        <w:ind w:left="540" w:right="120"/>
        <w:spacing w:after="0" w:line="256" w:lineRule="auto"/>
        <w:rPr>
          <w:sz w:val="20"/>
          <w:szCs w:val="20"/>
          <w:color w:val="auto"/>
        </w:rPr>
      </w:pPr>
      <w:r>
        <w:rPr>
          <w:rFonts w:ascii="Arial" w:cs="Arial" w:eastAsia="Arial" w:hAnsi="Arial"/>
          <w:sz w:val="18"/>
          <w:szCs w:val="18"/>
          <w:color w:val="auto"/>
        </w:rPr>
        <w:t>Our three product segments each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97" w:lineRule="exact"/>
        <w:rPr>
          <w:sz w:val="20"/>
          <w:szCs w:val="20"/>
          <w:color w:val="auto"/>
        </w:rPr>
      </w:pPr>
    </w:p>
    <w:p>
      <w:pPr>
        <w:ind w:left="540" w:right="120"/>
        <w:spacing w:after="0" w:line="318" w:lineRule="auto"/>
        <w:rPr>
          <w:sz w:val="20"/>
          <w:szCs w:val="20"/>
          <w:color w:val="auto"/>
        </w:rPr>
      </w:pPr>
      <w:r>
        <w:rPr>
          <w:rFonts w:ascii="Arial" w:cs="Arial" w:eastAsia="Arial" w:hAnsi="Arial"/>
          <w:sz w:val="15"/>
          <w:szCs w:val="15"/>
          <w:color w:val="auto"/>
        </w:rPr>
        <w:t>We sell most of our products to semiconductor manufacturers and third-party test and assembly houses (end user sales) and to ATE manufacturers (OEM sales) who ultimately resell our equipment with theirs to both semiconductor manufacturers and third-party test and assembly houses. Our Thermal Products segment also sells into a variety of other markets, including the automotive, consumer electronics, defense/aerospace, energy, industrial and telecommunications markets. The mix of customers during any given period will affect our gross margin due to differing sales discounts and commissions. For the nine months ended September 30, 2016 and 2015, our OEM sales as a percentage of net revenues were 5% and 7%, respectively.</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- 18 -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ectPr>
          <w:pgSz w:w="11900" w:h="16838" w:orient="portrait"/>
          <w:cols w:equalWidth="0" w:num="1">
            <w:col w:w="11400"/>
          </w:cols>
          <w:pgMar w:left="240" w:top="127" w:right="259" w:bottom="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20"/>
        <w:spacing w:after="0" w:line="255" w:lineRule="auto"/>
        <w:rPr>
          <w:sz w:val="20"/>
          <w:szCs w:val="20"/>
          <w:color w:val="auto"/>
        </w:rPr>
      </w:pPr>
      <w:r>
        <w:rPr>
          <w:rFonts w:ascii="Arial" w:cs="Arial" w:eastAsia="Arial" w:hAnsi="Arial"/>
          <w:sz w:val="18"/>
          <w:szCs w:val="18"/>
          <w:color w:val="auto"/>
        </w:rPr>
        <w:t>OEM sales generally have a lower gross margin than end user sales, as OEM sales historically have had a more significant discount. Our current net operating margins on most OEM sales, however, are only slightly less than margins on end user sales because of the payment of third party sales commissions on most end user sales. We have also continued to experience demands from our OEM customers' supply chain managers to reduce our sales prices to them. If we cannot further reduce our manufacturing and operating costs, these pricing pressures will negatively affect our gross and operating margins.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31" w:lineRule="exact"/>
        <w:rPr>
          <w:sz w:val="20"/>
          <w:szCs w:val="20"/>
          <w:color w:val="auto"/>
        </w:rPr>
      </w:pPr>
    </w:p>
    <w:p>
      <w:pPr>
        <w:jc w:val="both"/>
        <w:ind w:left="540" w:right="240"/>
        <w:spacing w:after="0" w:line="306" w:lineRule="auto"/>
        <w:rPr>
          <w:sz w:val="20"/>
          <w:szCs w:val="20"/>
          <w:color w:val="auto"/>
        </w:rPr>
      </w:pPr>
      <w:r>
        <w:rPr>
          <w:rFonts w:ascii="Arial" w:cs="Arial" w:eastAsia="Arial" w:hAnsi="Arial"/>
          <w:sz w:val="16"/>
          <w:szCs w:val="16"/>
          <w:color w:val="auto"/>
        </w:rPr>
        <w:t>The results of operations for our three product segments are generally affected by the same factors. Separate discussions and analyses for each product segment would be repetitive. The discussion and analysis that follows, therefore, is presented on a consolidated basis and includes discussion of factors unique to each product segment where significant to an understanding of that segment.</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Quarter Ended September 30, 2016 Compared to Quarter Ended September 30, 2015</w:t>
      </w:r>
    </w:p>
    <w:p>
      <w:pPr>
        <w:spacing w:after="0" w:line="225" w:lineRule="exact"/>
        <w:rPr>
          <w:sz w:val="20"/>
          <w:szCs w:val="20"/>
          <w:color w:val="auto"/>
        </w:rPr>
      </w:pPr>
    </w:p>
    <w:p>
      <w:pPr>
        <w:ind w:left="540" w:right="380"/>
        <w:spacing w:after="0" w:line="259"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were $10.8 million for the quarter ended September 30, 2016 compared to $9.2 million for the same period in 2015,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$1.6 million, or 18%. We believe the increase in our net revenues during the third quarter of 2016 primarily reflects the factors previously discussed in the Overview.</w:t>
      </w:r>
    </w:p>
    <w:p>
      <w:pPr>
        <w:spacing w:after="0" w:line="194" w:lineRule="exact"/>
        <w:rPr>
          <w:sz w:val="20"/>
          <w:szCs w:val="20"/>
          <w:color w:val="auto"/>
        </w:rPr>
      </w:pPr>
    </w:p>
    <w:p>
      <w:pPr>
        <w:ind w:left="540" w:right="40"/>
        <w:spacing w:after="0" w:line="289"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Our consolidated gross margin was 52% for the quarter ended September 30, 2016 compared to 47% for the same period in 2015. The</w:t>
      </w:r>
      <w:r>
        <w:rPr>
          <w:rFonts w:ascii="Arial" w:cs="Arial" w:eastAsia="Arial" w:hAnsi="Arial"/>
          <w:sz w:val="16"/>
          <w:szCs w:val="16"/>
          <w:i w:val="1"/>
          <w:iCs w:val="1"/>
          <w:color w:val="auto"/>
        </w:rPr>
        <w:t xml:space="preserve"> </w:t>
      </w:r>
      <w:r>
        <w:rPr>
          <w:rFonts w:ascii="Arial" w:cs="Arial" w:eastAsia="Arial" w:hAnsi="Arial"/>
          <w:sz w:val="16"/>
          <w:szCs w:val="16"/>
          <w:color w:val="auto"/>
        </w:rPr>
        <w:t>improvement in the gross margin was primarily the result of a decrease in our fixed operating costs, which declined $80,000 in absolute dollar terms and represented 13% of our net revenues for the third quarter of 2016 compared to 16% for the same period in 2015. The significant decline in these costs as a percentage of net revenues is primarily a result of the higher net revenues levels recorded in the third quarter of 2016. The $80,000 reduction in the absolute dollar value of these costs primarily reflects lower salary and benefits expense due to a reduction in headcount in our Mechanical Products segment. This headcount reduction was the result of the workforce reduction that we implemented on January 4, 2016, as discussed further in Note 3 to our consolidated financial statements. To a lesser extent, the improvement in gross margin also reflects a reduction in the level of charges for obsolete and excess inventory as a result of the increase in business activity in the third quarter of 2016 as compared to the same period in 2015.</w:t>
      </w:r>
    </w:p>
    <w:p>
      <w:pPr>
        <w:spacing w:after="0" w:line="172" w:lineRule="exact"/>
        <w:rPr>
          <w:sz w:val="20"/>
          <w:szCs w:val="20"/>
          <w:color w:val="auto"/>
        </w:rPr>
      </w:pPr>
    </w:p>
    <w:p>
      <w:pPr>
        <w:ind w:left="540" w:right="180"/>
        <w:spacing w:after="0" w:line="259" w:lineRule="auto"/>
        <w:rPr>
          <w:sz w:val="20"/>
          <w:szCs w:val="20"/>
          <w:color w:val="auto"/>
        </w:rPr>
      </w:pPr>
      <w:r>
        <w:rPr>
          <w:rFonts w:ascii="Arial" w:cs="Arial" w:eastAsia="Arial" w:hAnsi="Arial"/>
          <w:sz w:val="18"/>
          <w:szCs w:val="18"/>
          <w:i w:val="1"/>
          <w:iCs w:val="1"/>
          <w:color w:val="auto"/>
        </w:rPr>
        <w:t xml:space="preserve">Selling Expense. </w:t>
      </w:r>
      <w:r>
        <w:rPr>
          <w:rFonts w:ascii="Arial" w:cs="Arial" w:eastAsia="Arial" w:hAnsi="Arial"/>
          <w:sz w:val="18"/>
          <w:szCs w:val="18"/>
          <w:color w:val="auto"/>
        </w:rPr>
        <w:t>Selling expense was relatively unchanged at $1.4 million in each of the quarters ended September 30, 2016 and 2015. Increases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expense, reflecting the higher net revenue levels, were offset by a reduction in salary and benefits expense in our Mechanical and Electrical Products segments, reflecting reduced headcount.</w:t>
      </w:r>
    </w:p>
    <w:p>
      <w:pPr>
        <w:spacing w:after="0" w:line="194" w:lineRule="exact"/>
        <w:rPr>
          <w:sz w:val="20"/>
          <w:szCs w:val="20"/>
          <w:color w:val="auto"/>
        </w:rPr>
      </w:pPr>
    </w:p>
    <w:p>
      <w:pPr>
        <w:ind w:left="540" w:right="120"/>
        <w:spacing w:after="0" w:line="256"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$905,000 for the quarter ended September 30, 2016</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$1.0 million for the same period in 2015, a decrease of $136,000, or 13%. The decrease in engineering and product development expense primarily reflects reduced spending on materials used in new product development in our Thermal and Mechanical Products segments and decreased salary and benefits expense in our Mechanical Products segment.</w:t>
      </w:r>
    </w:p>
    <w:p>
      <w:pPr>
        <w:spacing w:after="0" w:line="197" w:lineRule="exact"/>
        <w:rPr>
          <w:sz w:val="20"/>
          <w:szCs w:val="20"/>
          <w:color w:val="auto"/>
        </w:rPr>
      </w:pPr>
    </w:p>
    <w:p>
      <w:pPr>
        <w:ind w:left="540" w:right="220"/>
        <w:spacing w:after="0" w:line="298"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$1.6 million for the quarter ended September 30, 2016 compared to $1.5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same period in 2015, an increase of $63,000, or 4%. The increase primarily reflects higher salary and benefits expense as a result of changes in compensation structure for our executive management team, and higher levels of profit-based bonus accruals. These increases were partially offset by a reduction in the use of certain third-party professionals that assist us with various compliance related matters.</w:t>
      </w:r>
    </w:p>
    <w:p>
      <w:pPr>
        <w:spacing w:after="0" w:line="167"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the quarter ended September 30, 2016, we recorded income tax expense of $631,000 compared to $97,000 for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2015. Our effective tax rate was 37% for the quarter ended September 30, 2016 compared to 24% for the same period in 2015. On a quarterly basis, we record income tax expense or benefit based on the expected annualized effective tax rate for the various taxing jurisdictions in which we operate our businesses. The lower effective tax rate in the third quarter of 2015 was primarily the result of a reduction in the valuation allowance recorded against the deferred tax assets of our German operation as that operation generated income sufficient to utilize these assets during that period. To a lesser extent, the increase in the effective tax rate was the result of additional tax expense accrued on a $921,000 dividend repatriated from our German subsidiary during the third quarter of 2016.</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Nine months Ended September 30, 2016 Compared to Nine Months Ended September 30, 2015</w:t>
      </w:r>
    </w:p>
    <w:p>
      <w:pPr>
        <w:spacing w:after="0" w:line="225" w:lineRule="exact"/>
        <w:rPr>
          <w:sz w:val="20"/>
          <w:szCs w:val="20"/>
          <w:color w:val="auto"/>
        </w:rPr>
      </w:pPr>
    </w:p>
    <w:p>
      <w:pPr>
        <w:ind w:left="540" w:right="160"/>
        <w:spacing w:after="0" w:line="332"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Net revenues were $30.0 million for the nine months ended September 30, 2016 compared to $31.0 million for the same period in 2015,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$995,000, or 3%. We believe the decrease in our net revenues primarily reflects the factors previously discussed in the Overview.</w:t>
      </w:r>
    </w:p>
    <w:p>
      <w:pPr>
        <w:spacing w:after="0" w:line="139" w:lineRule="exact"/>
        <w:rPr>
          <w:sz w:val="20"/>
          <w:szCs w:val="20"/>
          <w:color w:val="auto"/>
        </w:rPr>
      </w:pPr>
    </w:p>
    <w:p>
      <w:pPr>
        <w:ind w:left="540" w:right="20"/>
        <w:spacing w:after="0" w:line="253"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Our consolidated gross margin was 50% for the nine months ended September 30, 2016 compared to 49% for the same period in 2015. The</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 in our gross margin primarily reflects a decline in our fixed operating costs. These costs declined $475,000 in absolute dollar terms, and represented 13% of our net revenues for the first nine months of 2016 compared to 14% for the same period in 2015. The $475,000 decline in these costs primarily reflects lower salary and benefits expense in our Mechanical and Thermal Products segments reflecting reduced headcount. For our Mechanical Products segment, the decline in headcount is a result of the aforementioned workforce reduction. To a lesser extent, there were also reduced levels of facility related costs and lower depreciation expense in our Thermal Products segment in the first nine months of 2016 as compared to the same period in 2015.</w:t>
      </w:r>
    </w:p>
    <w:p>
      <w:pPr>
        <w:spacing w:after="0" w:line="201" w:lineRule="exact"/>
        <w:rPr>
          <w:sz w:val="20"/>
          <w:szCs w:val="20"/>
          <w:color w:val="auto"/>
        </w:rPr>
      </w:pPr>
    </w:p>
    <w:p>
      <w:pPr>
        <w:jc w:val="both"/>
        <w:ind w:left="540" w:right="40"/>
        <w:spacing w:after="0" w:line="306" w:lineRule="auto"/>
        <w:rPr>
          <w:sz w:val="20"/>
          <w:szCs w:val="20"/>
          <w:color w:val="auto"/>
        </w:rPr>
      </w:pPr>
      <w:r>
        <w:rPr>
          <w:rFonts w:ascii="Arial" w:cs="Arial" w:eastAsia="Arial" w:hAnsi="Arial"/>
          <w:sz w:val="16"/>
          <w:szCs w:val="16"/>
          <w:i w:val="1"/>
          <w:iCs w:val="1"/>
          <w:color w:val="auto"/>
        </w:rPr>
        <w:t xml:space="preserve">Selling Expense. </w:t>
      </w:r>
      <w:r>
        <w:rPr>
          <w:rFonts w:ascii="Arial" w:cs="Arial" w:eastAsia="Arial" w:hAnsi="Arial"/>
          <w:sz w:val="16"/>
          <w:szCs w:val="16"/>
          <w:color w:val="auto"/>
        </w:rPr>
        <w:t>Selling expense was $4.2 million for the nine months ended September 30, 2016 compared to $4.4 million for the same period in 2015,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$249,000, or 6%. The decrease primarily reflects lower levels of third party commission expense, reflecting the decline in net revenues, along with a reduction in salary and benefits expense in our Mechanical and Electrical Products segment, reflecting reduced headcount.</w:t>
      </w:r>
    </w:p>
    <w:p>
      <w:pPr>
        <w:sectPr>
          <w:pgSz w:w="11900" w:h="16838" w:orient="portrait"/>
          <w:cols w:equalWidth="0" w:num="1">
            <w:col w:w="11420"/>
          </w:cols>
          <w:pgMar w:left="240" w:top="341" w:right="239" w:bottom="0" w:gutter="0" w:footer="0" w:header="0"/>
        </w:sectPr>
      </w:pPr>
    </w:p>
    <w:bookmarkStart w:id="16" w:name="page17"/>
    <w:bookmarkEnd w:id="16"/>
    <w:p>
      <w:pPr>
        <w:spacing w:after="0" w:line="27" w:lineRule="exact"/>
        <w:rPr>
          <w:sz w:val="20"/>
          <w:szCs w:val="20"/>
          <w:color w:val="auto"/>
        </w:rPr>
      </w:pPr>
    </w:p>
    <w:p>
      <w:pPr>
        <w:jc w:val="both"/>
        <w:ind w:left="540" w:right="120"/>
        <w:spacing w:after="0" w:line="335" w:lineRule="auto"/>
        <w:rPr>
          <w:sz w:val="20"/>
          <w:szCs w:val="20"/>
          <w:color w:val="auto"/>
        </w:rPr>
      </w:pPr>
      <w:r>
        <w:rPr>
          <w:rFonts w:ascii="Arial" w:cs="Arial" w:eastAsia="Arial" w:hAnsi="Arial"/>
          <w:sz w:val="15"/>
          <w:szCs w:val="15"/>
          <w:i w:val="1"/>
          <w:iCs w:val="1"/>
          <w:color w:val="auto"/>
        </w:rPr>
        <w:t xml:space="preserve">Engineering and Product Development Expense. </w:t>
      </w:r>
      <w:r>
        <w:rPr>
          <w:rFonts w:ascii="Arial" w:cs="Arial" w:eastAsia="Arial" w:hAnsi="Arial"/>
          <w:sz w:val="15"/>
          <w:szCs w:val="15"/>
          <w:color w:val="auto"/>
        </w:rPr>
        <w:t>Engineering and product development expense was $2.9 million for the nine months ended September</w:t>
      </w:r>
      <w:r>
        <w:rPr>
          <w:rFonts w:ascii="Arial" w:cs="Arial" w:eastAsia="Arial" w:hAnsi="Arial"/>
          <w:sz w:val="15"/>
          <w:szCs w:val="15"/>
          <w:i w:val="1"/>
          <w:iCs w:val="1"/>
          <w:color w:val="auto"/>
        </w:rPr>
        <w:t xml:space="preserve"> </w:t>
      </w:r>
      <w:r>
        <w:rPr>
          <w:rFonts w:ascii="Arial" w:cs="Arial" w:eastAsia="Arial" w:hAnsi="Arial"/>
          <w:sz w:val="15"/>
          <w:szCs w:val="15"/>
          <w:color w:val="auto"/>
        </w:rPr>
        <w:t>30, 2016 compared to $3.0 million for the same period in 2015, a decrease of $152,000, or 5%. The decrease primarily reflects lower salary and benefits expense in our Mechanical Products segment and reduced spending on materials used in new product development in all of our product segments.</w:t>
      </w:r>
    </w:p>
    <w:p>
      <w:pPr>
        <w:spacing w:after="0" w:line="142"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$5.4 million for the nine months ended September 30, 2016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$4.9 million for the same period in 2015, an increase of $477,000, or 10%. Our expenses for the first nine months of 2016 included $479,000 for due diligence and transaction-related costs associated with a potential acquisition which we are no longer pursuing and $99,000 of restructuring charges as a result of the aforementioned workforce reduction implemented on January 4, 2016. Our expenses for the first nine months of 2015 included $329,000 for due diligence and transaction-related costs associated with a potential acquisition which did not close. Adjusted to exclude these costs, our general and administrative expense would have increased $228,000, or 5%, for the first nine months of 2016 as compared to the same period in 2015. The $228,000 increase primarily reflects higher salary and benefits expense as a result of changes in compensation structure for our executive management team, and an increase in stock-based compensation expense as a result of the vesting of restricted stock awards for our independent directors which occurred upon their re-election at our annual meeting of stockholders in June 2016.</w:t>
      </w:r>
    </w:p>
    <w:p>
      <w:pPr>
        <w:spacing w:after="0" w:line="174" w:lineRule="exact"/>
        <w:rPr>
          <w:sz w:val="20"/>
          <w:szCs w:val="20"/>
          <w:color w:val="auto"/>
        </w:rPr>
      </w:pPr>
    </w:p>
    <w:p>
      <w:pPr>
        <w:ind w:left="540" w:right="140"/>
        <w:spacing w:after="0" w:line="294"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the nine months ended September 30, 2016, we recorded income tax expense of $937,000 compared to $909,000 for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2015. Our effective tax rate was 36% for the nine months ended September 30, 2016 compared to 33% for the same period in 2015. On a quarterly basis, we record income tax expense or benefit based on the expected annualized effective tax rate for the various taxing jurisdictions in which we operate our businesses. The lower effective tax rate in 2015 primarily reflects the aforementioned reduction in the valuation allowance recorded against the deferred tax assets of our German operation that occurred during the third quarter of 2015.</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31"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- 20 -</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460"/>
        <w:spacing w:after="0" w:line="259" w:lineRule="auto"/>
        <w:rPr>
          <w:sz w:val="20"/>
          <w:szCs w:val="20"/>
          <w:color w:val="auto"/>
        </w:rPr>
      </w:pPr>
      <w:r>
        <w:rPr>
          <w:rFonts w:ascii="Arial" w:cs="Arial" w:eastAsia="Arial" w:hAnsi="Arial"/>
          <w:sz w:val="18"/>
          <w:szCs w:val="18"/>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for new product research and development, for acquisitions and for stock repurchases.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Liquidity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cash and cash equivalents and working capital were as follows:</w:t>
      </w:r>
    </w:p>
    <w:p>
      <w:pPr>
        <w:spacing w:after="0" w:line="289"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i w:val="1"/>
                <w:iCs w:val="1"/>
                <w:color w:val="auto"/>
                <w:w w:val="84"/>
              </w:rPr>
              <w:t>Sept. 30, 2016</w:t>
            </w:r>
          </w:p>
        </w:tc>
        <w:tc>
          <w:tcPr>
            <w:tcW w:w="920" w:type="dxa"/>
            <w:vAlign w:val="bottom"/>
            <w:gridSpan w:val="2"/>
          </w:tcPr>
          <w:p>
            <w:pPr>
              <w:jc w:val="center"/>
              <w:ind w:left="82"/>
              <w:spacing w:after="0"/>
              <w:rPr>
                <w:sz w:val="20"/>
                <w:szCs w:val="20"/>
                <w:color w:val="auto"/>
              </w:rPr>
            </w:pPr>
            <w:r>
              <w:rPr>
                <w:rFonts w:ascii="Arial" w:cs="Arial" w:eastAsia="Arial" w:hAnsi="Arial"/>
                <w:sz w:val="14"/>
                <w:szCs w:val="14"/>
                <w:b w:val="1"/>
                <w:bCs w:val="1"/>
                <w:i w:val="1"/>
                <w:iCs w:val="1"/>
                <w:color w:val="auto"/>
                <w:w w:val="86"/>
              </w:rPr>
              <w:t>Dec. 31, 2015</w:t>
            </w:r>
          </w:p>
        </w:tc>
      </w:tr>
      <w:tr>
        <w:trPr>
          <w:trHeight w:val="235"/>
        </w:trPr>
        <w:tc>
          <w:tcPr>
            <w:tcW w:w="50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$26,345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$25,710</w:t>
            </w: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Working capital</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$31,828</w:t>
            </w:r>
          </w:p>
        </w:tc>
        <w:tc>
          <w:tcPr>
            <w:tcW w:w="160" w:type="dxa"/>
            <w:vAlign w:val="bottom"/>
          </w:tcPr>
          <w:p>
            <w:pPr>
              <w:spacing w:after="0"/>
              <w:rPr>
                <w:sz w:val="21"/>
                <w:szCs w:val="21"/>
                <w:color w:val="auto"/>
              </w:rPr>
            </w:pPr>
          </w:p>
        </w:tc>
        <w:tc>
          <w:tcPr>
            <w:tcW w:w="920" w:type="dxa"/>
            <w:vAlign w:val="bottom"/>
            <w:gridSpan w:val="2"/>
          </w:tcPr>
          <w:p>
            <w:pPr>
              <w:jc w:val="center"/>
              <w:ind w:left="82"/>
              <w:spacing w:after="0"/>
              <w:rPr>
                <w:sz w:val="20"/>
                <w:szCs w:val="20"/>
                <w:color w:val="auto"/>
              </w:rPr>
            </w:pPr>
            <w:r>
              <w:rPr>
                <w:rFonts w:ascii="Arial" w:cs="Arial" w:eastAsia="Arial" w:hAnsi="Arial"/>
                <w:sz w:val="18"/>
                <w:szCs w:val="18"/>
                <w:color w:val="auto"/>
                <w:w w:val="86"/>
              </w:rPr>
              <w:t>$30,205</w:t>
            </w:r>
          </w:p>
        </w:tc>
      </w:tr>
    </w:tbl>
    <w:p>
      <w:pPr>
        <w:spacing w:after="0" w:line="223" w:lineRule="exact"/>
        <w:rPr>
          <w:sz w:val="20"/>
          <w:szCs w:val="20"/>
          <w:color w:val="auto"/>
        </w:rPr>
      </w:pPr>
    </w:p>
    <w:p>
      <w:pPr>
        <w:ind w:left="540" w:right="100"/>
        <w:spacing w:after="0" w:line="256" w:lineRule="auto"/>
        <w:rPr>
          <w:sz w:val="20"/>
          <w:szCs w:val="20"/>
          <w:color w:val="auto"/>
        </w:rPr>
      </w:pPr>
      <w:r>
        <w:rPr>
          <w:rFonts w:ascii="Arial" w:cs="Arial" w:eastAsia="Arial" w:hAnsi="Arial"/>
          <w:sz w:val="18"/>
          <w:szCs w:val="18"/>
          <w:color w:val="auto"/>
        </w:rPr>
        <w:t>As of September 30, 2016, $1.6 million of our cash and cash equivalents was held by our foreign subsidiaries. When these funds are needed for our operations in the U.S., we may be required to accrue and pay U.S. taxes if we repatriate certain of these funds. On July 26, 2016 we repatriated $921,000 from our German subsidiary. Our estimated annualized effective tax rate for 2016 includes the effect of the additional taxes we expect to incur on these repatriated funds.</w:t>
      </w:r>
    </w:p>
    <w:p>
      <w:pPr>
        <w:spacing w:after="0" w:line="197" w:lineRule="exact"/>
        <w:rPr>
          <w:sz w:val="20"/>
          <w:szCs w:val="20"/>
          <w:color w:val="auto"/>
        </w:rPr>
      </w:pPr>
    </w:p>
    <w:p>
      <w:pPr>
        <w:jc w:val="both"/>
        <w:ind w:left="540" w:right="100"/>
        <w:spacing w:after="0" w:line="294" w:lineRule="auto"/>
        <w:rPr>
          <w:sz w:val="20"/>
          <w:szCs w:val="20"/>
          <w:color w:val="auto"/>
        </w:rPr>
      </w:pPr>
      <w:r>
        <w:rPr>
          <w:rFonts w:ascii="Arial" w:cs="Arial" w:eastAsia="Arial" w:hAnsi="Arial"/>
          <w:sz w:val="16"/>
          <w:szCs w:val="16"/>
          <w:color w:val="auto"/>
        </w:rPr>
        <w:t>We currently expect our cash and cash equivalents and projected future cash flow to be sufficient to support our short term working capital requirements and any future repurchases of shares under the 2015 Repurchase Plan (which is discussed more fully in Note 9 to our consolidated financial statements). However, we may need additional financial resources to consummate a significant acquisition if the consideration in such a transaction would require us to utilize a substantial portion of, or an amount equal to or in excess of, our available cash. We do not currently have any credit facilities under which we can borrow to help fund our working capital or other requirements.</w:t>
      </w:r>
    </w:p>
    <w:p>
      <w:pPr>
        <w:spacing w:after="0" w:line="170" w:lineRule="exact"/>
        <w:rPr>
          <w:sz w:val="20"/>
          <w:szCs w:val="20"/>
          <w:color w:val="auto"/>
        </w:rPr>
      </w:pPr>
    </w:p>
    <w:p>
      <w:pPr>
        <w:ind w:left="540" w:right="40"/>
        <w:spacing w:after="0" w:line="290" w:lineRule="auto"/>
        <w:rPr>
          <w:sz w:val="20"/>
          <w:szCs w:val="20"/>
          <w:color w:val="auto"/>
        </w:rPr>
      </w:pPr>
      <w:r>
        <w:rPr>
          <w:rFonts w:ascii="Arial" w:cs="Arial" w:eastAsia="Arial" w:hAnsi="Arial"/>
          <w:sz w:val="16"/>
          <w:szCs w:val="16"/>
          <w:color w:val="auto"/>
        </w:rPr>
        <w:t>In addition, in recent years, our Mechanical Products segment has experienced significant operating losses. We have undertaken actions at various times over the last few years to address these losses. As previously discussed, on January 4, 2016, we implemented a workforce reduction which resulted in our recording a restructuring charge of $99,000 in the first quarter of 2016. The annualized savings from these actions are estimated to be approximately $690,000. Our review of the operations of this product segment is ongoing with the goal of identifying additional opportunities for cost reduction and revenue growth. We cannot be certain that our efforts to restructure this operation to achieve full-year profitability will be successful. These efforts could require us to utilize additional financial resources to pay severance or fund other costs associated with the restructuring of this operation, which would reduce the amount of our cash and cash equivalents available to fund our short-term working capital requirements.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Cash Flows</w:t>
      </w:r>
    </w:p>
    <w:p>
      <w:pPr>
        <w:spacing w:after="0" w:line="225" w:lineRule="exact"/>
        <w:rPr>
          <w:sz w:val="20"/>
          <w:szCs w:val="20"/>
          <w:color w:val="auto"/>
        </w:rPr>
      </w:pPr>
    </w:p>
    <w:p>
      <w:pPr>
        <w:ind w:left="540" w:right="40"/>
        <w:spacing w:after="0" w:line="314" w:lineRule="auto"/>
        <w:rPr>
          <w:sz w:val="20"/>
          <w:szCs w:val="20"/>
          <w:color w:val="auto"/>
        </w:rPr>
      </w:pPr>
      <w:r>
        <w:rPr>
          <w:rFonts w:ascii="Arial" w:cs="Arial" w:eastAsia="Arial" w:hAnsi="Arial"/>
          <w:sz w:val="15"/>
          <w:szCs w:val="15"/>
          <w:i w:val="1"/>
          <w:iCs w:val="1"/>
          <w:color w:val="auto"/>
        </w:rPr>
        <w:t xml:space="preserve">Operating Activities. </w:t>
      </w:r>
      <w:r>
        <w:rPr>
          <w:rFonts w:ascii="Arial" w:cs="Arial" w:eastAsia="Arial" w:hAnsi="Arial"/>
          <w:sz w:val="15"/>
          <w:szCs w:val="15"/>
          <w:color w:val="auto"/>
        </w:rPr>
        <w:t>Net cash provided by operations for the nine months ended September 30, 2016 was $1.7 million. During the nine months ended</w:t>
      </w:r>
      <w:r>
        <w:rPr>
          <w:rFonts w:ascii="Arial" w:cs="Arial" w:eastAsia="Arial" w:hAnsi="Arial"/>
          <w:sz w:val="15"/>
          <w:szCs w:val="15"/>
          <w:i w:val="1"/>
          <w:iCs w:val="1"/>
          <w:color w:val="auto"/>
        </w:rPr>
        <w:t xml:space="preserve"> </w:t>
      </w:r>
      <w:r>
        <w:rPr>
          <w:rFonts w:ascii="Arial" w:cs="Arial" w:eastAsia="Arial" w:hAnsi="Arial"/>
          <w:sz w:val="15"/>
          <w:szCs w:val="15"/>
          <w:color w:val="auto"/>
        </w:rPr>
        <w:t>September 30, 2016, we recorded net earnings of $1.7 million, which included non-cash charges of $451,000 for depreciation and amortization, $222,000 for deferred compensation related to stock-based awards and $184,000 as a provision for excess and obsolete inventory. During the nine months ended September 30, 2016, accounts receivable and accounts payable increased $2.3 million and $343,000, respectively, compared to the levels at the end of 2015. These increases primarily reflect increased business activity during the third quarter of 2016 as compared to the fourth quarter of 2015. During the nine months ended September 30, 2016, domestic and foreign income taxes payable increased $523,000, as compared to the level at December 31, 2015</w:t>
      </w:r>
    </w:p>
    <w:p>
      <w:pPr>
        <w:sectPr>
          <w:pgSz w:w="11900" w:h="16866" w:orient="portrait"/>
          <w:cols w:equalWidth="0" w:num="1">
            <w:col w:w="11380"/>
          </w:cols>
          <w:pgMar w:left="240" w:top="131" w:right="279" w:bottom="0" w:gutter="0" w:footer="0" w:header="0"/>
        </w:sectPr>
      </w:pPr>
    </w:p>
    <w:bookmarkStart w:id="17" w:name="page18"/>
    <w:bookmarkEnd w:id="17"/>
    <w:p>
      <w:pPr>
        <w:ind w:left="540" w:right="260"/>
        <w:spacing w:after="0" w:line="294" w:lineRule="auto"/>
        <w:rPr>
          <w:sz w:val="20"/>
          <w:szCs w:val="20"/>
          <w:color w:val="auto"/>
        </w:rPr>
      </w:pPr>
      <w:r>
        <w:rPr>
          <w:rFonts w:ascii="Arial" w:cs="Arial" w:eastAsia="Arial" w:hAnsi="Arial"/>
          <w:sz w:val="16"/>
          <w:szCs w:val="16"/>
          <w:color w:val="auto"/>
        </w:rPr>
        <w:t>as a result of accruing taxes due on our income for the first nine months of 2016. During the nine months ended September 30, 2016, prepaid expenses and other current assets decreased $183,000, primarily reflecting a lower level refundable taxes at September 30, 2016 as compared to the level at December 31, 2015. In addition, during the second quarter of 2016, we requested and were granted a $125,000 reduction in the amount of the letter of credit that serves as a security deposit under the terms of the lease for our facility in New Jersey. Accordingly, we reduced the amount of the related restricted certificate of deposit which supported this letter of credit by $125,000 during the second quarter of 2016.</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During the nine months ended September 30, 2016, purchases of property and equipment were $282,000. We have no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commitments for capital expenditures for the balance of 2016; however, depending upon changes in market demand or manufacturing and sales strategies, we may make such purchases or investments as we deem necessary and appropriate.</w:t>
      </w:r>
    </w:p>
    <w:p>
      <w:pPr>
        <w:spacing w:after="0" w:line="194" w:lineRule="exact"/>
        <w:rPr>
          <w:sz w:val="20"/>
          <w:szCs w:val="20"/>
          <w:color w:val="auto"/>
        </w:rPr>
      </w:pPr>
    </w:p>
    <w:p>
      <w:pPr>
        <w:ind w:left="540" w:right="140"/>
        <w:spacing w:after="0" w:line="268"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During the nine months ended September 30, 2016, we utilized $841,000 to repurchase 209,271 shares of our common stock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2015 Repurchase Plan.</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31" w:lineRule="exact"/>
        <w:rPr>
          <w:sz w:val="20"/>
          <w:szCs w:val="20"/>
          <w:color w:val="auto"/>
        </w:rPr>
      </w:pPr>
    </w:p>
    <w:p>
      <w:pPr>
        <w:ind w:left="540" w:right="160"/>
        <w:spacing w:after="0" w:line="268" w:lineRule="auto"/>
        <w:rPr>
          <w:sz w:val="20"/>
          <w:szCs w:val="20"/>
          <w:color w:val="auto"/>
        </w:rPr>
      </w:pPr>
      <w:r>
        <w:rPr>
          <w:rFonts w:ascii="Arial" w:cs="Arial" w:eastAsia="Arial" w:hAnsi="Arial"/>
          <w:sz w:val="18"/>
          <w:szCs w:val="18"/>
          <w:color w:val="auto"/>
        </w:rPr>
        <w:t>See the Notes to the consolidated financial statements for information concerning the implementation and impact of new or recently adopted accounting standards.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31"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and deferred income taxes.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September 30, 2016, there have been no significant changes to the accounting policies that we have deemed critical. These policies are more fully described in our 2015 Form 10-K.</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31" w:lineRule="exact"/>
        <w:rPr>
          <w:sz w:val="20"/>
          <w:szCs w:val="20"/>
          <w:color w:val="auto"/>
        </w:rPr>
      </w:pPr>
    </w:p>
    <w:p>
      <w:pPr>
        <w:ind w:left="540" w:right="240"/>
        <w:spacing w:after="0" w:line="259" w:lineRule="auto"/>
        <w:rPr>
          <w:sz w:val="20"/>
          <w:szCs w:val="20"/>
          <w:color w:val="auto"/>
        </w:rPr>
      </w:pPr>
      <w:r>
        <w:rPr>
          <w:rFonts w:ascii="Arial" w:cs="Arial" w:eastAsia="Arial" w:hAnsi="Arial"/>
          <w:sz w:val="18"/>
          <w:szCs w:val="18"/>
          <w:color w:val="auto"/>
        </w:rPr>
        <w:t>There were no off-balance sheet arrangements during the nine months ended September 30, 2016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31" w:lineRule="exact"/>
        <w:rPr>
          <w:sz w:val="20"/>
          <w:szCs w:val="20"/>
          <w:color w:val="auto"/>
        </w:rPr>
      </w:pPr>
    </w:p>
    <w:p>
      <w:pPr>
        <w:ind w:left="540"/>
        <w:spacing w:after="0" w:line="287" w:lineRule="auto"/>
        <w:rPr>
          <w:sz w:val="20"/>
          <w:szCs w:val="20"/>
          <w:color w:val="auto"/>
        </w:rPr>
      </w:pPr>
      <w:r>
        <w:rPr>
          <w:rFonts w:ascii="Arial" w:cs="Arial" w:eastAsia="Arial" w:hAnsi="Arial"/>
          <w:sz w:val="16"/>
          <w:szCs w:val="16"/>
          <w:color w:val="auto"/>
        </w:rPr>
        <w:t>We maintain disclosure controls and procedures, as such term is defined in Rule 13a-15(e) under the Securities Exchange Act of 1934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our Chief Executive Officer ("CEO") and Chief Financial Officer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CONTROLS AND PROCEDURES </w:t>
      </w:r>
      <w:r>
        <w:rPr>
          <w:rFonts w:ascii="Arial" w:cs="Arial" w:eastAsia="Arial" w:hAnsi="Arial"/>
          <w:sz w:val="18"/>
          <w:szCs w:val="18"/>
          <w:color w:val="auto"/>
        </w:rPr>
        <w:t>(Continued)</w:t>
      </w:r>
    </w:p>
    <w:p>
      <w:pPr>
        <w:spacing w:after="0" w:line="185" w:lineRule="exact"/>
        <w:rPr>
          <w:sz w:val="20"/>
          <w:szCs w:val="20"/>
          <w:color w:val="auto"/>
        </w:rPr>
      </w:pPr>
    </w:p>
    <w:p>
      <w:pPr>
        <w:jc w:val="both"/>
        <w:ind w:left="540" w:right="200"/>
        <w:spacing w:after="0" w:line="258" w:lineRule="auto"/>
        <w:rPr>
          <w:sz w:val="20"/>
          <w:szCs w:val="20"/>
          <w:color w:val="auto"/>
        </w:rPr>
      </w:pPr>
      <w:r>
        <w:rPr>
          <w:rFonts w:ascii="Arial" w:cs="Arial" w:eastAsia="Arial" w:hAnsi="Arial"/>
          <w:sz w:val="18"/>
          <w:szCs w:val="18"/>
          <w:b w:val="1"/>
          <w:bCs w:val="1"/>
          <w:color w:val="auto"/>
        </w:rPr>
        <w:t>CEO/CFO Conclusions about the Effectiveness of the Disclosure Controls and Procedures</w:t>
      </w:r>
      <w:r>
        <w:rPr>
          <w:rFonts w:ascii="Arial" w:cs="Arial" w:eastAsia="Arial" w:hAnsi="Arial"/>
          <w:sz w:val="18"/>
          <w:szCs w:val="18"/>
          <w:color w:val="auto"/>
        </w:rPr>
        <w:t>. As required by Rule 13a-15(b), inTEST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ectPr>
          <w:pgSz w:w="11900" w:h="16838" w:orient="portrait"/>
          <w:cols w:equalWidth="0" w:num="1">
            <w:col w:w="11400"/>
          </w:cols>
          <w:pgMar w:left="240" w:top="131" w:right="259" w:bottom="0" w:gutter="0" w:footer="0" w:header="0"/>
        </w:sectPr>
      </w:pPr>
    </w:p>
    <w:bookmarkStart w:id="18" w:name="page19"/>
    <w:bookmarkEnd w:id="18"/>
    <w:p>
      <w:pPr>
        <w:ind w:left="540" w:right="20"/>
        <w:spacing w:after="0" w:line="259" w:lineRule="auto"/>
        <w:rPr>
          <w:sz w:val="20"/>
          <w:szCs w:val="20"/>
          <w:color w:val="auto"/>
        </w:rPr>
      </w:pPr>
      <w:r>
        <w:rPr>
          <w:rFonts w:ascii="Arial" w:cs="Arial" w:eastAsia="Arial" w:hAnsi="Arial"/>
          <w:sz w:val="18"/>
          <w:szCs w:val="18"/>
          <w:color w:val="auto"/>
        </w:rPr>
        <w:t>During the period covered by this Report, 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370"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___________________________________________________</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1" w:lineRule="exact"/>
        <w:rPr>
          <w:sz w:val="20"/>
          <w:szCs w:val="20"/>
          <w:color w:val="auto"/>
        </w:rPr>
      </w:pPr>
    </w:p>
    <w:p>
      <w:pPr>
        <w:ind w:left="540" w:right="340"/>
        <w:spacing w:after="0" w:line="268"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1" w:lineRule="exact"/>
        <w:rPr>
          <w:sz w:val="20"/>
          <w:szCs w:val="20"/>
          <w:color w:val="auto"/>
        </w:rPr>
      </w:pPr>
    </w:p>
    <w:p>
      <w:pPr>
        <w:jc w:val="both"/>
        <w:ind w:left="540"/>
        <w:spacing w:after="0" w:line="259" w:lineRule="auto"/>
        <w:rPr>
          <w:sz w:val="20"/>
          <w:szCs w:val="20"/>
          <w:color w:val="auto"/>
        </w:rPr>
      </w:pPr>
      <w:r>
        <w:rPr>
          <w:rFonts w:ascii="Arial" w:cs="Arial" w:eastAsia="Arial" w:hAnsi="Arial"/>
          <w:sz w:val="18"/>
          <w:szCs w:val="18"/>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Annual Report on Form 10-K for the year ended December 31, 2015.</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provides information with respect to purchases made by us, or on our behalf, of our common stock during the three months ended</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September 30, 2016:</w:t>
      </w:r>
    </w:p>
    <w:p>
      <w:pPr>
        <w:spacing w:after="0" w:line="177"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i w:val="1"/>
                <w:iCs w:val="1"/>
                <w:color w:val="auto"/>
                <w:w w:val="85"/>
              </w:rPr>
              <w:t>Total Number of</w:t>
            </w:r>
          </w:p>
        </w:tc>
        <w:tc>
          <w:tcPr>
            <w:tcW w:w="4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6"/>
              </w:rPr>
              <w:t>Approximate Dollar</w:t>
            </w:r>
          </w:p>
        </w:tc>
      </w:tr>
      <w:tr>
        <w:trPr>
          <w:trHeight w:val="149"/>
        </w:trPr>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83"/>
              </w:rPr>
              <w:t>Shares Purchased</w:t>
            </w:r>
          </w:p>
        </w:tc>
        <w:tc>
          <w:tcPr>
            <w:tcW w:w="4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Value of Shares</w:t>
            </w:r>
          </w:p>
        </w:tc>
      </w:tr>
      <w:tr>
        <w:trPr>
          <w:trHeight w:val="149"/>
        </w:trPr>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60" w:type="dxa"/>
            <w:vAlign w:val="bottom"/>
            <w:gridSpan w:val="4"/>
          </w:tcPr>
          <w:p>
            <w:pPr>
              <w:jc w:val="center"/>
              <w:ind w:left="316"/>
              <w:spacing w:after="0" w:line="149" w:lineRule="exact"/>
              <w:rPr>
                <w:sz w:val="20"/>
                <w:szCs w:val="20"/>
                <w:color w:val="auto"/>
              </w:rPr>
            </w:pPr>
            <w:r>
              <w:rPr>
                <w:rFonts w:ascii="Arial" w:cs="Arial" w:eastAsia="Arial" w:hAnsi="Arial"/>
                <w:sz w:val="14"/>
                <w:szCs w:val="14"/>
                <w:b w:val="1"/>
                <w:bCs w:val="1"/>
                <w:i w:val="1"/>
                <w:iCs w:val="1"/>
                <w:color w:val="auto"/>
                <w:w w:val="84"/>
              </w:rPr>
              <w:t>Total Number</w:t>
            </w:r>
          </w:p>
        </w:tc>
        <w:tc>
          <w:tcPr>
            <w:tcW w:w="220" w:type="dxa"/>
            <w:vAlign w:val="bottom"/>
          </w:tcPr>
          <w:p>
            <w:pPr>
              <w:spacing w:after="0"/>
              <w:rPr>
                <w:sz w:val="12"/>
                <w:szCs w:val="12"/>
                <w:color w:val="auto"/>
              </w:rPr>
            </w:pPr>
          </w:p>
        </w:tc>
        <w:tc>
          <w:tcPr>
            <w:tcW w:w="10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c>
          <w:tcPr>
            <w:tcW w:w="10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83"/>
              </w:rPr>
              <w:t>as Part of Publicly</w:t>
            </w:r>
          </w:p>
        </w:tc>
        <w:tc>
          <w:tcPr>
            <w:tcW w:w="4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5"/>
              </w:rPr>
              <w:t>That May Yet Be</w:t>
            </w:r>
          </w:p>
        </w:tc>
      </w:tr>
      <w:tr>
        <w:trPr>
          <w:trHeight w:val="149"/>
        </w:trPr>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i w:val="1"/>
                <w:iCs w:val="1"/>
                <w:color w:val="auto"/>
                <w:w w:val="81"/>
              </w:rPr>
              <w:t>of Shares</w:t>
            </w:r>
          </w:p>
        </w:tc>
        <w:tc>
          <w:tcPr>
            <w:tcW w:w="12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i w:val="1"/>
                <w:iCs w:val="1"/>
                <w:color w:val="auto"/>
                <w:w w:val="85"/>
              </w:rPr>
              <w:t>Price Paid</w:t>
            </w:r>
          </w:p>
        </w:tc>
        <w:tc>
          <w:tcPr>
            <w:tcW w:w="10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82"/>
              </w:rPr>
              <w:t>Announced Plans</w:t>
            </w:r>
          </w:p>
        </w:tc>
        <w:tc>
          <w:tcPr>
            <w:tcW w:w="4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Purchased Under</w:t>
            </w:r>
          </w:p>
        </w:tc>
      </w:tr>
      <w:tr>
        <w:trPr>
          <w:trHeight w:val="146"/>
        </w:trPr>
        <w:tc>
          <w:tcPr>
            <w:tcW w:w="1700" w:type="dxa"/>
            <w:vAlign w:val="bottom"/>
            <w:gridSpan w:val="2"/>
          </w:tcPr>
          <w:p>
            <w:pPr>
              <w:spacing w:after="0" w:line="146" w:lineRule="exact"/>
              <w:rPr>
                <w:sz w:val="20"/>
                <w:szCs w:val="20"/>
                <w:color w:val="auto"/>
              </w:rPr>
            </w:pPr>
            <w:r>
              <w:rPr>
                <w:rFonts w:ascii="Arial" w:cs="Arial" w:eastAsia="Arial" w:hAnsi="Arial"/>
                <w:sz w:val="14"/>
                <w:szCs w:val="14"/>
                <w:b w:val="1"/>
                <w:bCs w:val="1"/>
                <w:i w:val="1"/>
                <w:iCs w:val="1"/>
                <w:color w:val="auto"/>
              </w:rPr>
              <w:t>Period</w:t>
            </w:r>
          </w:p>
        </w:tc>
        <w:tc>
          <w:tcPr>
            <w:tcW w:w="620" w:type="dxa"/>
            <w:vAlign w:val="bottom"/>
          </w:tcPr>
          <w:p>
            <w:pPr>
              <w:spacing w:after="0"/>
              <w:rPr>
                <w:sz w:val="12"/>
                <w:szCs w:val="12"/>
                <w:color w:val="auto"/>
              </w:rPr>
            </w:pPr>
          </w:p>
        </w:tc>
        <w:tc>
          <w:tcPr>
            <w:tcW w:w="940" w:type="dxa"/>
            <w:vAlign w:val="bottom"/>
            <w:gridSpan w:val="3"/>
          </w:tcPr>
          <w:p>
            <w:pPr>
              <w:jc w:val="center"/>
              <w:ind w:right="220"/>
              <w:spacing w:after="0" w:line="146" w:lineRule="exact"/>
              <w:rPr>
                <w:sz w:val="20"/>
                <w:szCs w:val="20"/>
                <w:color w:val="auto"/>
              </w:rPr>
            </w:pPr>
            <w:r>
              <w:rPr>
                <w:rFonts w:ascii="Arial" w:cs="Arial" w:eastAsia="Arial" w:hAnsi="Arial"/>
                <w:sz w:val="14"/>
                <w:szCs w:val="14"/>
                <w:b w:val="1"/>
                <w:bCs w:val="1"/>
                <w:i w:val="1"/>
                <w:iCs w:val="1"/>
                <w:color w:val="auto"/>
                <w:w w:val="81"/>
              </w:rPr>
              <w:t>Repurchased</w:t>
            </w:r>
          </w:p>
        </w:tc>
        <w:tc>
          <w:tcPr>
            <w:tcW w:w="1220" w:type="dxa"/>
            <w:vAlign w:val="bottom"/>
            <w:gridSpan w:val="4"/>
          </w:tcPr>
          <w:p>
            <w:pPr>
              <w:jc w:val="center"/>
              <w:ind w:right="220"/>
              <w:spacing w:after="0" w:line="146" w:lineRule="exact"/>
              <w:rPr>
                <w:sz w:val="20"/>
                <w:szCs w:val="20"/>
                <w:color w:val="auto"/>
              </w:rPr>
            </w:pPr>
            <w:r>
              <w:rPr>
                <w:rFonts w:ascii="Arial" w:cs="Arial" w:eastAsia="Arial" w:hAnsi="Arial"/>
                <w:sz w:val="14"/>
                <w:szCs w:val="14"/>
                <w:b w:val="1"/>
                <w:bCs w:val="1"/>
                <w:i w:val="1"/>
                <w:iCs w:val="1"/>
                <w:color w:val="auto"/>
                <w:w w:val="85"/>
              </w:rPr>
              <w:t>Per Share</w:t>
            </w:r>
          </w:p>
        </w:tc>
        <w:tc>
          <w:tcPr>
            <w:tcW w:w="1040" w:type="dxa"/>
            <w:vAlign w:val="bottom"/>
            <w:gridSpan w:val="3"/>
          </w:tcPr>
          <w:p>
            <w:pPr>
              <w:jc w:val="center"/>
              <w:ind w:right="20"/>
              <w:spacing w:after="0" w:line="146" w:lineRule="exact"/>
              <w:rPr>
                <w:sz w:val="20"/>
                <w:szCs w:val="20"/>
                <w:color w:val="auto"/>
              </w:rPr>
            </w:pPr>
            <w:r>
              <w:rPr>
                <w:rFonts w:ascii="Arial" w:cs="Arial" w:eastAsia="Arial" w:hAnsi="Arial"/>
                <w:sz w:val="14"/>
                <w:szCs w:val="14"/>
                <w:b w:val="1"/>
                <w:bCs w:val="1"/>
                <w:i w:val="1"/>
                <w:iCs w:val="1"/>
                <w:color w:val="auto"/>
                <w:w w:val="84"/>
              </w:rPr>
              <w:t>or Programs</w:t>
            </w:r>
          </w:p>
        </w:tc>
        <w:tc>
          <w:tcPr>
            <w:tcW w:w="1680" w:type="dxa"/>
            <w:vAlign w:val="bottom"/>
            <w:gridSpan w:val="2"/>
          </w:tcPr>
          <w:p>
            <w:pPr>
              <w:jc w:val="center"/>
              <w:ind w:left="337"/>
              <w:spacing w:after="0" w:line="146" w:lineRule="exact"/>
              <w:rPr>
                <w:sz w:val="20"/>
                <w:szCs w:val="20"/>
                <w:color w:val="auto"/>
              </w:rPr>
            </w:pPr>
            <w:r>
              <w:rPr>
                <w:rFonts w:ascii="Arial" w:cs="Arial" w:eastAsia="Arial" w:hAnsi="Arial"/>
                <w:sz w:val="14"/>
                <w:szCs w:val="14"/>
                <w:b w:val="1"/>
                <w:bCs w:val="1"/>
                <w:i w:val="1"/>
                <w:iCs w:val="1"/>
                <w:color w:val="auto"/>
                <w:w w:val="84"/>
              </w:rPr>
              <w:t>the Plans or Programs</w:t>
            </w:r>
          </w:p>
        </w:tc>
      </w:tr>
      <w:tr>
        <w:trPr>
          <w:trHeight w:val="20"/>
        </w:trPr>
        <w:tc>
          <w:tcPr>
            <w:tcW w:w="3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r>
        <w:trPr>
          <w:trHeight w:val="451"/>
        </w:trPr>
        <w:tc>
          <w:tcPr>
            <w:tcW w:w="1700" w:type="dxa"/>
            <w:vAlign w:val="bottom"/>
            <w:gridSpan w:val="2"/>
          </w:tcPr>
          <w:p>
            <w:pPr>
              <w:spacing w:after="0"/>
              <w:rPr>
                <w:sz w:val="20"/>
                <w:szCs w:val="20"/>
                <w:color w:val="auto"/>
              </w:rPr>
            </w:pPr>
            <w:r>
              <w:rPr>
                <w:rFonts w:ascii="Arial" w:cs="Arial" w:eastAsia="Arial" w:hAnsi="Arial"/>
                <w:sz w:val="18"/>
                <w:szCs w:val="18"/>
                <w:color w:val="auto"/>
              </w:rPr>
              <w:t>July 1-31</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337"/>
              <w:spacing w:after="0"/>
              <w:rPr>
                <w:sz w:val="20"/>
                <w:szCs w:val="20"/>
                <w:color w:val="auto"/>
              </w:rPr>
            </w:pPr>
            <w:r>
              <w:rPr>
                <w:rFonts w:ascii="Arial" w:cs="Arial" w:eastAsia="Arial" w:hAnsi="Arial"/>
                <w:sz w:val="18"/>
                <w:szCs w:val="18"/>
                <w:color w:val="auto"/>
                <w:w w:val="86"/>
              </w:rPr>
              <w:t>$4,081,000</w:t>
            </w:r>
          </w:p>
        </w:tc>
      </w:tr>
      <w:tr>
        <w:trPr>
          <w:trHeight w:val="459"/>
        </w:trPr>
        <w:tc>
          <w:tcPr>
            <w:tcW w:w="1700" w:type="dxa"/>
            <w:vAlign w:val="bottom"/>
            <w:gridSpan w:val="2"/>
          </w:tcPr>
          <w:p>
            <w:pPr>
              <w:spacing w:after="0"/>
              <w:rPr>
                <w:sz w:val="20"/>
                <w:szCs w:val="20"/>
                <w:color w:val="auto"/>
              </w:rPr>
            </w:pPr>
            <w:r>
              <w:rPr>
                <w:rFonts w:ascii="Arial" w:cs="Arial" w:eastAsia="Arial" w:hAnsi="Arial"/>
                <w:sz w:val="18"/>
                <w:szCs w:val="18"/>
                <w:color w:val="auto"/>
              </w:rPr>
              <w:t>August 1-31</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337"/>
              <w:spacing w:after="0"/>
              <w:rPr>
                <w:sz w:val="20"/>
                <w:szCs w:val="20"/>
                <w:color w:val="auto"/>
              </w:rPr>
            </w:pPr>
            <w:r>
              <w:rPr>
                <w:rFonts w:ascii="Arial" w:cs="Arial" w:eastAsia="Arial" w:hAnsi="Arial"/>
                <w:sz w:val="18"/>
                <w:szCs w:val="18"/>
                <w:color w:val="auto"/>
                <w:w w:val="86"/>
              </w:rPr>
              <w:t>$4,081,000</w:t>
            </w:r>
          </w:p>
        </w:tc>
      </w:tr>
      <w:tr>
        <w:trPr>
          <w:trHeight w:val="421"/>
        </w:trPr>
        <w:tc>
          <w:tcPr>
            <w:tcW w:w="1700" w:type="dxa"/>
            <w:vAlign w:val="bottom"/>
            <w:gridSpan w:val="2"/>
          </w:tcPr>
          <w:p>
            <w:pPr>
              <w:spacing w:after="0"/>
              <w:rPr>
                <w:sz w:val="20"/>
                <w:szCs w:val="20"/>
                <w:color w:val="auto"/>
              </w:rPr>
            </w:pPr>
            <w:r>
              <w:rPr>
                <w:rFonts w:ascii="Arial" w:cs="Arial" w:eastAsia="Arial" w:hAnsi="Arial"/>
                <w:sz w:val="18"/>
                <w:szCs w:val="18"/>
                <w:color w:val="auto"/>
              </w:rPr>
              <w:t>September 1-30</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18,546</w:t>
            </w:r>
          </w:p>
        </w:tc>
        <w:tc>
          <w:tcPr>
            <w:tcW w:w="24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5"/>
              </w:rPr>
              <w:t>3.85</w:t>
            </w:r>
          </w:p>
        </w:tc>
        <w:tc>
          <w:tcPr>
            <w:tcW w:w="440" w:type="dxa"/>
            <w:vAlign w:val="bottom"/>
          </w:tcPr>
          <w:p>
            <w:pPr>
              <w:spacing w:after="0"/>
              <w:rPr>
                <w:sz w:val="24"/>
                <w:szCs w:val="24"/>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18,546</w:t>
            </w:r>
          </w:p>
        </w:tc>
        <w:tc>
          <w:tcPr>
            <w:tcW w:w="1680" w:type="dxa"/>
            <w:vAlign w:val="bottom"/>
            <w:gridSpan w:val="2"/>
          </w:tcPr>
          <w:p>
            <w:pPr>
              <w:jc w:val="center"/>
              <w:ind w:left="337"/>
              <w:spacing w:after="0"/>
              <w:rPr>
                <w:sz w:val="20"/>
                <w:szCs w:val="20"/>
                <w:color w:val="auto"/>
              </w:rPr>
            </w:pPr>
            <w:r>
              <w:rPr>
                <w:rFonts w:ascii="Arial" w:cs="Arial" w:eastAsia="Arial" w:hAnsi="Arial"/>
                <w:sz w:val="18"/>
                <w:szCs w:val="18"/>
                <w:color w:val="auto"/>
                <w:w w:val="86"/>
              </w:rPr>
              <w:t>$4,010,000</w:t>
            </w:r>
          </w:p>
        </w:tc>
      </w:tr>
      <w:tr>
        <w:trPr>
          <w:trHeight w:val="20"/>
        </w:trPr>
        <w:tc>
          <w:tcPr>
            <w:tcW w:w="17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39"/>
        </w:trPr>
        <w:tc>
          <w:tcPr>
            <w:tcW w:w="1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18,546</w:t>
            </w:r>
          </w:p>
        </w:tc>
        <w:tc>
          <w:tcPr>
            <w:tcW w:w="24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5"/>
              </w:rPr>
              <w:t>3.85</w:t>
            </w:r>
          </w:p>
        </w:tc>
        <w:tc>
          <w:tcPr>
            <w:tcW w:w="440" w:type="dxa"/>
            <w:vAlign w:val="bottom"/>
          </w:tcPr>
          <w:p>
            <w:pPr>
              <w:spacing w:after="0"/>
              <w:rPr>
                <w:sz w:val="24"/>
                <w:szCs w:val="24"/>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18,546</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On October 27, 2015, our Board of Directors authorized the repurchase of up to $5.0 million of our common stock from time to time on the open market, in compliance with Rule 10b-18 under the Exchange Act, or in privately negotiated transactions (the "2015 Repurchase Plan"). Repurchases to date were made under a Rule 10b5-1 plan entered into with RW Baird &amp; Co., which permitted shares to be repurchased when we might otherwise be precluded from doing so under insider trading laws. The timing and amount of any shares repurchased under the 2015 Repurchase Plan was determined by our management, based on our evaluation of market conditions and other factors. The 2015 Repurchase Plan does not obligate us to repurchase any particular amount of common stock and may be suspended or discontinued at any time without prior notice. The 2015 Repurchase Plan is funded using our operating cash flow or available cash.</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For the three months ended September 30, 2016, we repurchased 18,546 shares under the 2015 Repurchase Plan at a fair market value of $71,000. All of the repurchased shares were retired. Fees paid to our broker related to the repurchase of these shares were less than $1,000. The 2015 Repurchase Plan was suspended in mid-May 2016 because of our work on a potential acquisition, and resumed in September 2016, when we determined we were no longer going to pursue that particular acquisition.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1" w:lineRule="exact"/>
        <w:rPr>
          <w:sz w:val="20"/>
          <w:szCs w:val="20"/>
          <w:color w:val="auto"/>
        </w:rPr>
      </w:pPr>
    </w:p>
    <w:p>
      <w:pPr>
        <w:ind w:left="540" w:right="560"/>
        <w:spacing w:after="0" w:line="268" w:lineRule="auto"/>
        <w:rPr>
          <w:sz w:val="20"/>
          <w:szCs w:val="20"/>
          <w:color w:val="auto"/>
        </w:rPr>
      </w:pPr>
      <w:r>
        <w:rPr>
          <w:rFonts w:ascii="Arial" w:cs="Arial" w:eastAsia="Arial" w:hAnsi="Arial"/>
          <w:sz w:val="18"/>
          <w:szCs w:val="18"/>
          <w:color w:val="auto"/>
        </w:rPr>
        <w:t>A list of the Exhibits which are required by Item 601 of Regulation S-K and filed with this Report is set forth in the Index to Exhibits immediately following the signature page, which Index to Exhibits is incorporated herein by reference.</w:t>
      </w:r>
    </w:p>
    <w:p>
      <w:pPr>
        <w:sectPr>
          <w:pgSz w:w="11900" w:h="16838" w:orient="portrait"/>
          <w:cols w:equalWidth="0" w:num="1">
            <w:col w:w="11400"/>
          </w:cols>
          <w:pgMar w:left="240" w:top="347" w:right="259" w:bottom="0" w:gutter="0" w:footer="0" w:header="0"/>
        </w:sectPr>
      </w:pPr>
    </w:p>
    <w:bookmarkStart w:id="19" w:name="page20"/>
    <w:bookmarkEnd w:id="19"/>
    <w:p>
      <w:pPr>
        <w:ind w:left="3480"/>
        <w:spacing w:after="0"/>
        <w:rPr>
          <w:sz w:val="20"/>
          <w:szCs w:val="20"/>
          <w:color w:val="auto"/>
        </w:rPr>
      </w:pPr>
      <w:r>
        <w:rPr>
          <w:rFonts w:ascii="Arial" w:cs="Arial" w:eastAsia="Arial" w:hAnsi="Arial"/>
          <w:sz w:val="18"/>
          <w:szCs w:val="18"/>
          <w:color w:val="auto"/>
        </w:rPr>
        <w:t>___________________________________________________</w:t>
      </w:r>
    </w:p>
    <w:p>
      <w:pPr>
        <w:spacing w:after="0" w:line="200" w:lineRule="exact"/>
        <w:rPr>
          <w:sz w:val="20"/>
          <w:szCs w:val="20"/>
          <w:color w:val="auto"/>
        </w:rPr>
      </w:pPr>
    </w:p>
    <w:p>
      <w:pPr>
        <w:spacing w:after="0" w:line="37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3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96" w:lineRule="exact"/>
        <w:rPr>
          <w:sz w:val="20"/>
          <w:szCs w:val="20"/>
          <w:color w:val="auto"/>
        </w:rPr>
      </w:pPr>
    </w:p>
    <w:tbl>
      <w:tblPr>
        <w:tblLayout w:type="fixed"/>
        <w:tblInd w:w="22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60" w:type="dxa"/>
            <w:vAlign w:val="bottom"/>
            <w:gridSpan w:val="4"/>
          </w:tcPr>
          <w:p>
            <w:pPr>
              <w:spacing w:after="0"/>
              <w:rPr>
                <w:sz w:val="20"/>
                <w:szCs w:val="20"/>
                <w:color w:val="auto"/>
              </w:rPr>
            </w:pPr>
            <w:r>
              <w:rPr>
                <w:rFonts w:ascii="Arial" w:cs="Arial" w:eastAsia="Arial" w:hAnsi="Arial"/>
                <w:sz w:val="18"/>
                <w:szCs w:val="18"/>
                <w:b w:val="1"/>
                <w:bCs w:val="1"/>
                <w:color w:val="auto"/>
              </w:rPr>
              <w:t>inTEST Corporation</w:t>
            </w:r>
          </w:p>
        </w:tc>
      </w:tr>
      <w:tr>
        <w:trPr>
          <w:trHeight w:val="63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980" w:type="dxa"/>
            <w:vAlign w:val="bottom"/>
            <w:gridSpan w:val="3"/>
          </w:tcPr>
          <w:p>
            <w:pPr>
              <w:ind w:left="120"/>
              <w:spacing w:after="0"/>
              <w:rPr>
                <w:sz w:val="20"/>
                <w:szCs w:val="20"/>
                <w:color w:val="auto"/>
              </w:rPr>
            </w:pPr>
            <w:r>
              <w:rPr>
                <w:rFonts w:ascii="Arial" w:cs="Arial" w:eastAsia="Arial" w:hAnsi="Arial"/>
                <w:sz w:val="18"/>
                <w:szCs w:val="18"/>
                <w:color w:val="auto"/>
              </w:rPr>
              <w:t>November 14, 2016</w:t>
            </w:r>
          </w:p>
        </w:tc>
        <w:tc>
          <w:tcPr>
            <w:tcW w:w="3660" w:type="dxa"/>
            <w:vAlign w:val="bottom"/>
            <w:gridSpan w:val="4"/>
          </w:tcPr>
          <w:p>
            <w:pPr>
              <w:spacing w:after="0"/>
              <w:rPr>
                <w:sz w:val="20"/>
                <w:szCs w:val="20"/>
                <w:color w:val="auto"/>
              </w:rPr>
            </w:pPr>
            <w:r>
              <w:rPr>
                <w:rFonts w:ascii="Arial" w:cs="Arial" w:eastAsia="Arial" w:hAnsi="Arial"/>
                <w:sz w:val="18"/>
                <w:szCs w:val="18"/>
                <w:color w:val="auto"/>
              </w:rPr>
              <w:t>/s/ Robert E. Matthiessen</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Robert E. Matthiessen</w:t>
            </w:r>
          </w:p>
        </w:tc>
        <w:tc>
          <w:tcPr>
            <w:tcW w:w="1880" w:type="dxa"/>
            <w:vAlign w:val="bottom"/>
            <w:gridSpan w:val="2"/>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60" w:type="dxa"/>
            <w:vAlign w:val="bottom"/>
            <w:gridSpan w:val="4"/>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63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980" w:type="dxa"/>
            <w:vAlign w:val="bottom"/>
            <w:gridSpan w:val="3"/>
          </w:tcPr>
          <w:p>
            <w:pPr>
              <w:ind w:left="120"/>
              <w:spacing w:after="0"/>
              <w:rPr>
                <w:sz w:val="20"/>
                <w:szCs w:val="20"/>
                <w:color w:val="auto"/>
              </w:rPr>
            </w:pPr>
            <w:r>
              <w:rPr>
                <w:rFonts w:ascii="Arial" w:cs="Arial" w:eastAsia="Arial" w:hAnsi="Arial"/>
                <w:sz w:val="18"/>
                <w:szCs w:val="18"/>
                <w:color w:val="auto"/>
              </w:rPr>
              <w:t>November 14, 2016</w:t>
            </w:r>
          </w:p>
        </w:tc>
        <w:tc>
          <w:tcPr>
            <w:tcW w:w="3660" w:type="dxa"/>
            <w:vAlign w:val="bottom"/>
            <w:gridSpan w:val="4"/>
          </w:tcPr>
          <w:p>
            <w:pPr>
              <w:spacing w:after="0"/>
              <w:rPr>
                <w:sz w:val="20"/>
                <w:szCs w:val="20"/>
                <w:color w:val="auto"/>
              </w:rPr>
            </w:pPr>
            <w:r>
              <w:rPr>
                <w:rFonts w:ascii="Arial" w:cs="Arial" w:eastAsia="Arial" w:hAnsi="Arial"/>
                <w:sz w:val="18"/>
                <w:szCs w:val="18"/>
                <w:color w:val="auto"/>
              </w:rPr>
              <w:t>/s/ Hugh T. Regan, Jr.</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Hugh T. Regan, Jr.</w:t>
            </w:r>
          </w:p>
        </w:tc>
        <w:tc>
          <w:tcPr>
            <w:tcW w:w="2140" w:type="dxa"/>
            <w:vAlign w:val="bottom"/>
            <w:gridSpan w:val="3"/>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60" w:type="dxa"/>
            <w:vAlign w:val="bottom"/>
            <w:gridSpan w:val="4"/>
          </w:tcPr>
          <w:p>
            <w:pPr>
              <w:spacing w:after="0"/>
              <w:rPr>
                <w:sz w:val="20"/>
                <w:szCs w:val="20"/>
                <w:color w:val="auto"/>
              </w:rPr>
            </w:pPr>
            <w:r>
              <w:rPr>
                <w:rFonts w:ascii="Arial" w:cs="Arial" w:eastAsia="Arial" w:hAnsi="Arial"/>
                <w:sz w:val="18"/>
                <w:szCs w:val="18"/>
                <w:i w:val="1"/>
                <w:iCs w:val="1"/>
                <w:color w:val="auto"/>
                <w:w w:val="95"/>
              </w:rPr>
              <w:t>Secretary, Treasurer and Chief Financial Officer</w:t>
            </w:r>
          </w:p>
        </w:tc>
      </w:tr>
      <w:tr>
        <w:trPr>
          <w:trHeight w:val="797"/>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60" w:type="dxa"/>
            <w:vAlign w:val="bottom"/>
            <w:gridSpan w:val="4"/>
          </w:tcPr>
          <w:p>
            <w:pPr>
              <w:ind w:left="2820"/>
              <w:spacing w:after="0"/>
              <w:rPr>
                <w:sz w:val="20"/>
                <w:szCs w:val="20"/>
                <w:color w:val="auto"/>
              </w:rPr>
            </w:pPr>
            <w:r>
              <w:rPr>
                <w:rFonts w:ascii="Arial" w:cs="Arial" w:eastAsia="Arial" w:hAnsi="Arial"/>
                <w:sz w:val="18"/>
                <w:szCs w:val="18"/>
                <w:color w:val="auto"/>
              </w:rPr>
              <w:t>- 24 -</w:t>
            </w:r>
          </w:p>
        </w:tc>
      </w:tr>
      <w:tr>
        <w:trPr>
          <w:trHeight w:val="745"/>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7"/>
              </w:rPr>
              <w:t>Index to Exhibits</w:t>
            </w:r>
          </w:p>
        </w:tc>
      </w:tr>
    </w:tbl>
    <w:p>
      <w:pPr>
        <w:spacing w:after="0" w:line="200" w:lineRule="exact"/>
        <w:rPr>
          <w:sz w:val="20"/>
          <w:szCs w:val="20"/>
          <w:color w:val="auto"/>
        </w:rPr>
      </w:pPr>
    </w:p>
    <w:p>
      <w:pPr>
        <w:spacing w:after="0" w:line="38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14</w:t>
        <w:tab/>
        <w:t>Code of Ethics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31.1  Certification of Chief Executive Officer pursuant to Rule 13a-14(a).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31.2  Certification of Chief Financial Officer pursuant to Rule 13a-14(a).</w:t>
      </w:r>
    </w:p>
    <w:p>
      <w:pPr>
        <w:spacing w:after="0" w:line="225" w:lineRule="exact"/>
        <w:rPr>
          <w:sz w:val="20"/>
          <w:szCs w:val="20"/>
          <w:color w:val="auto"/>
        </w:rPr>
      </w:pPr>
    </w:p>
    <w:p>
      <w:pPr>
        <w:ind w:left="440" w:right="4920" w:hanging="438"/>
        <w:spacing w:after="0" w:line="332" w:lineRule="auto"/>
        <w:rPr>
          <w:sz w:val="20"/>
          <w:szCs w:val="20"/>
          <w:color w:val="auto"/>
        </w:rPr>
      </w:pPr>
      <w:r>
        <w:rPr>
          <w:rFonts w:ascii="Arial" w:cs="Arial" w:eastAsia="Arial" w:hAnsi="Arial"/>
          <w:sz w:val="16"/>
          <w:szCs w:val="16"/>
          <w:color w:val="auto"/>
        </w:rPr>
        <w:t>32.1 Certification of Chief Executive Officer pursuant to 18 U.S.C. Section 1350, as adopted pursuant to Section 906 of the Sarbanes-Oxley Act of 2002.</w:t>
      </w:r>
    </w:p>
    <w:p>
      <w:pPr>
        <w:spacing w:after="0" w:line="139" w:lineRule="exact"/>
        <w:rPr>
          <w:sz w:val="20"/>
          <w:szCs w:val="20"/>
          <w:color w:val="auto"/>
        </w:rPr>
      </w:pPr>
    </w:p>
    <w:p>
      <w:pPr>
        <w:ind w:left="440" w:right="4980" w:hanging="438"/>
        <w:spacing w:after="0" w:line="332" w:lineRule="auto"/>
        <w:rPr>
          <w:sz w:val="20"/>
          <w:szCs w:val="20"/>
          <w:color w:val="auto"/>
        </w:rPr>
      </w:pPr>
      <w:r>
        <w:rPr>
          <w:rFonts w:ascii="Arial" w:cs="Arial" w:eastAsia="Arial" w:hAnsi="Arial"/>
          <w:sz w:val="16"/>
          <w:szCs w:val="16"/>
          <w:color w:val="auto"/>
        </w:rPr>
        <w:t>32.2 Certification of Chief Financial Officer pursuant to 18 U.S.C. Section 1350, as adopted pursuant to Section 906 of the Sarbanes-Oxley Act of 2002.</w:t>
      </w:r>
    </w:p>
    <w:p>
      <w:pPr>
        <w:spacing w:after="0" w:line="200" w:lineRule="exact"/>
        <w:rPr>
          <w:sz w:val="20"/>
          <w:szCs w:val="20"/>
          <w:color w:val="auto"/>
        </w:rPr>
      </w:pPr>
    </w:p>
    <w:p>
      <w:pPr>
        <w:spacing w:after="0" w:line="290" w:lineRule="exact"/>
        <w:rPr>
          <w:sz w:val="20"/>
          <w:szCs w:val="20"/>
          <w:color w:val="auto"/>
        </w:rPr>
      </w:pPr>
    </w:p>
    <w:p>
      <w:pPr>
        <w:ind w:left="400" w:right="2000" w:hanging="392"/>
        <w:spacing w:after="0" w:line="268" w:lineRule="auto"/>
        <w:tabs>
          <w:tab w:leader="none" w:pos="385"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June 30, 2016, File No. 001-36117, filed August 12, 2016, and incorporated herein by reference.</w:t>
      </w:r>
    </w:p>
    <w:p>
      <w:pPr>
        <w:spacing w:after="0" w:line="200" w:lineRule="exact"/>
        <w:rPr>
          <w:rFonts w:ascii="Arial" w:cs="Arial" w:eastAsia="Arial" w:hAnsi="Arial"/>
          <w:sz w:val="18"/>
          <w:szCs w:val="18"/>
          <w:color w:val="auto"/>
        </w:rPr>
      </w:pPr>
    </w:p>
    <w:p>
      <w:pPr>
        <w:spacing w:after="0" w:line="337" w:lineRule="exact"/>
        <w:rPr>
          <w:rFonts w:ascii="Arial" w:cs="Arial" w:eastAsia="Arial" w:hAnsi="Arial"/>
          <w:sz w:val="18"/>
          <w:szCs w:val="18"/>
          <w:color w:val="auto"/>
        </w:rPr>
      </w:pPr>
    </w:p>
    <w:p>
      <w:pPr>
        <w:ind w:left="5620" w:hanging="96"/>
        <w:spacing w:after="0"/>
        <w:tabs>
          <w:tab w:leader="none" w:pos="5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0940"/>
          </w:cols>
          <w:pgMar w:left="240" w:top="523" w:right="719" w:bottom="1440" w:gutter="0" w:footer="0" w:header="0"/>
        </w:sectPr>
      </w:pPr>
    </w:p>
    <w:bookmarkStart w:id="20" w:name="page21"/>
    <w:bookmarkEnd w:id="20"/>
    <w:p>
      <w:pPr>
        <w:jc w:val="right"/>
        <w:spacing w:after="0"/>
        <w:rPr>
          <w:sz w:val="20"/>
          <w:szCs w:val="20"/>
          <w:color w:val="auto"/>
        </w:rPr>
      </w:pPr>
      <w:r>
        <w:rPr>
          <w:rFonts w:ascii="Arial" w:cs="Arial" w:eastAsia="Arial" w:hAnsi="Arial"/>
          <w:sz w:val="22"/>
          <w:szCs w:val="22"/>
          <w:b w:val="1"/>
          <w:bCs w:val="1"/>
          <w:u w:val="single" w:color="auto"/>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Robert E. Matthiessen, certify that:</w:t>
      </w:r>
    </w:p>
    <w:p>
      <w:pPr>
        <w:spacing w:after="0" w:line="185" w:lineRule="exact"/>
        <w:rPr>
          <w:sz w:val="20"/>
          <w:szCs w:val="20"/>
          <w:color w:val="auto"/>
        </w:rPr>
      </w:pPr>
    </w:p>
    <w:p>
      <w:pPr>
        <w:ind w:left="760" w:hanging="313"/>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14, 2016</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Robert E. Matthiessen</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Robert E. Matthiessen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1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22"/>
          <w:szCs w:val="22"/>
          <w:b w:val="1"/>
          <w:bCs w:val="1"/>
          <w:u w:val="single" w:color="auto"/>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Hugh T. Regan, Jr., certify that:</w:t>
      </w:r>
    </w:p>
    <w:p>
      <w:pPr>
        <w:spacing w:after="0" w:line="185" w:lineRule="exact"/>
        <w:rPr>
          <w:sz w:val="20"/>
          <w:szCs w:val="20"/>
          <w:color w:val="auto"/>
        </w:rPr>
      </w:pPr>
    </w:p>
    <w:p>
      <w:pPr>
        <w:ind w:left="760" w:hanging="313"/>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14, 2016</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Hugh T. Regan, Jr.</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Secretary, Treasurer and Chief Financial Officer</w:t>
      </w:r>
    </w:p>
    <w:p>
      <w:pPr>
        <w:sectPr>
          <w:pgSz w:w="11900" w:h="16838" w:orient="portrait"/>
          <w:cols w:equalWidth="0" w:num="1">
            <w:col w:w="11420"/>
          </w:cols>
          <w:pgMar w:left="240" w:top="11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24"/>
          <w:szCs w:val="2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60"/>
        <w:spacing w:after="0" w:line="270" w:lineRule="auto"/>
        <w:rPr>
          <w:sz w:val="20"/>
          <w:szCs w:val="20"/>
          <w:color w:val="auto"/>
        </w:rPr>
      </w:pPr>
      <w:r>
        <w:rPr>
          <w:rFonts w:ascii="Arial" w:cs="Arial" w:eastAsia="Arial" w:hAnsi="Arial"/>
          <w:sz w:val="23"/>
          <w:szCs w:val="23"/>
          <w:color w:val="auto"/>
        </w:rPr>
        <w:t>In connection with the Quarterly Report of inTEST Corporation (the "Company") on Form 10-Q for the period ending September 30, 2016 as filed with the Securities and Exchange Commission on the date hereof (the "Report"), I, Robert E. Matthiessen, President and Chief Executive Officer of the Company, certify, pursuant to 18 U.S.C. Section 1350, as adopted pursuant to Section 906 of the Sarbanes-Oxley Act of 2002, that:</w:t>
      </w:r>
    </w:p>
    <w:p>
      <w:pPr>
        <w:spacing w:after="0" w:line="228" w:lineRule="exact"/>
        <w:rPr>
          <w:sz w:val="20"/>
          <w:szCs w:val="20"/>
          <w:color w:val="auto"/>
        </w:rPr>
      </w:pPr>
    </w:p>
    <w:p>
      <w:pPr>
        <w:ind w:right="520" w:firstLine="8"/>
        <w:spacing w:after="0" w:line="275" w:lineRule="auto"/>
        <w:tabs>
          <w:tab w:leader="none" w:pos="344" w:val="left"/>
        </w:tabs>
        <w:numPr>
          <w:ilvl w:val="0"/>
          <w:numId w:val="10"/>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10"/>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November 14, 2016</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Robert E. Matthiessen</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Robert E. Matthiessen</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President and Chief Executive Officer</w:t>
      </w:r>
    </w:p>
    <w:p>
      <w:pPr>
        <w:sectPr>
          <w:pgSz w:w="11900" w:h="16838" w:orient="portrait"/>
          <w:cols w:equalWidth="0" w:num="1">
            <w:col w:w="11420"/>
          </w:cols>
          <w:pgMar w:left="240" w:top="11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24"/>
          <w:szCs w:val="2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286" w:lineRule="auto"/>
        <w:rPr>
          <w:sz w:val="20"/>
          <w:szCs w:val="20"/>
          <w:color w:val="auto"/>
        </w:rPr>
      </w:pPr>
      <w:r>
        <w:rPr>
          <w:rFonts w:ascii="Arial" w:cs="Arial" w:eastAsia="Arial" w:hAnsi="Arial"/>
          <w:sz w:val="22"/>
          <w:szCs w:val="22"/>
          <w:color w:val="auto"/>
        </w:rPr>
        <w:t>In connection with the Quarterly Report of inTEST Corporation (the "Company") on Form 10-Q for the period ending September 30, 2016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212" w:lineRule="exact"/>
        <w:rPr>
          <w:sz w:val="20"/>
          <w:szCs w:val="20"/>
          <w:color w:val="auto"/>
        </w:rPr>
      </w:pPr>
    </w:p>
    <w:p>
      <w:pPr>
        <w:ind w:right="520" w:firstLine="8"/>
        <w:spacing w:after="0" w:line="275" w:lineRule="auto"/>
        <w:tabs>
          <w:tab w:leader="none" w:pos="344" w:val="left"/>
        </w:tabs>
        <w:numPr>
          <w:ilvl w:val="0"/>
          <w:numId w:val="11"/>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11"/>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November 14, 2016</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Hugh T. Regan, Jr.</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Hugh T. Regan, Jr.</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Secretary, Treasurer and Chief Financial Officer</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1)"/>
      <w:numFmt w:val="decimal"/>
      <w:start w:val="2"/>
    </w:lvl>
  </w:abstractNum>
  <w:abstractNum w:abstractNumId="5">
    <w:nsid w:val="515F007C"/>
    <w:multiLevelType w:val="hybridMultilevel"/>
    <w:lvl w:ilvl="0">
      <w:lvlJc w:val="left"/>
      <w:lvlText w:val="(%1)"/>
      <w:numFmt w:val="decimal"/>
      <w:start w:val="4"/>
    </w:lvl>
  </w:abstractNum>
  <w:abstractNum w:abstractNumId="6">
    <w:nsid w:val="5BD062C2"/>
    <w:multiLevelType w:val="hybridMultilevel"/>
    <w:lvl w:ilvl="0">
      <w:lvlJc w:val="left"/>
      <w:lvlText w:val="(%1)"/>
      <w:numFmt w:val="decimal"/>
      <w:start w:val="1"/>
    </w:lvl>
    <w:lvl w:ilvl="1">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2019-12-06T15:44:39Z</dcterms:created>
  <dcterms:modified xsi:type="dcterms:W3CDTF">2019-12-06T15:44:39Z</dcterms:modified>
</cp:coreProperties>
</file>