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135890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2015</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204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118110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10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420" w:type="dxa"/>
            <w:vAlign w:val="bottom"/>
          </w:tcPr>
          <w:p>
            <w:pPr>
              <w:jc w:val="right"/>
              <w:ind w:right="3012"/>
              <w:spacing w:after="0"/>
              <w:rPr>
                <w:sz w:val="20"/>
                <w:szCs w:val="20"/>
                <w:color w:val="auto"/>
              </w:rPr>
            </w:pPr>
            <w:r>
              <w:rPr>
                <w:rFonts w:ascii="Arial" w:cs="Arial" w:eastAsia="Arial" w:hAnsi="Arial"/>
                <w:sz w:val="18"/>
                <w:szCs w:val="18"/>
                <w:color w:val="auto"/>
                <w:w w:val="99"/>
              </w:rPr>
              <w:t>___</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Accelerated filer ___</w:t>
            </w:r>
          </w:p>
        </w:tc>
      </w:tr>
      <w:tr>
        <w:trPr>
          <w:trHeight w:val="367"/>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3420" w:type="dxa"/>
            <w:vAlign w:val="bottom"/>
          </w:tcPr>
          <w:p>
            <w:pPr>
              <w:jc w:val="right"/>
              <w:ind w:right="49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2015:</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10,562,678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135890</wp:posOffset>
            </wp:positionV>
            <wp:extent cx="21996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PART I.  FINANCIAL INFORMATION</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82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838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4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8380" w:type="dxa"/>
            <w:vAlign w:val="bottom"/>
          </w:tcPr>
          <w:p>
            <w:pPr>
              <w:ind w:left="760"/>
              <w:spacing w:after="0"/>
              <w:rPr>
                <w:sz w:val="20"/>
                <w:szCs w:val="20"/>
                <w:color w:val="auto"/>
              </w:rPr>
            </w:pPr>
            <w:r>
              <w:rPr>
                <w:rFonts w:ascii="Arial" w:cs="Arial" w:eastAsia="Arial" w:hAnsi="Arial"/>
                <w:sz w:val="18"/>
                <w:szCs w:val="18"/>
                <w:color w:val="auto"/>
              </w:rPr>
              <w:t>Consolidated Balance Sheets as of June 30, 2015 (Unaudited) and December 31, 2014</w:t>
            </w:r>
          </w:p>
        </w:tc>
        <w:tc>
          <w:tcPr>
            <w:tcW w:w="820" w:type="dxa"/>
            <w:vAlign w:val="bottom"/>
            <w:gridSpan w:val="2"/>
          </w:tcPr>
          <w:p>
            <w:pPr>
              <w:jc w:val="center"/>
              <w:ind w:left="372"/>
              <w:spacing w:after="0"/>
              <w:rPr>
                <w:sz w:val="20"/>
                <w:szCs w:val="20"/>
                <w:color w:val="auto"/>
              </w:rPr>
            </w:pPr>
            <w:r>
              <w:rPr>
                <w:rFonts w:ascii="Arial" w:cs="Arial" w:eastAsia="Arial" w:hAnsi="Arial"/>
                <w:sz w:val="18"/>
                <w:szCs w:val="18"/>
                <w:color w:val="auto"/>
                <w:w w:val="79"/>
              </w:rPr>
              <w:t>1</w:t>
            </w:r>
          </w:p>
        </w:tc>
      </w:tr>
      <w:tr>
        <w:trPr>
          <w:trHeight w:val="237"/>
        </w:trPr>
        <w:tc>
          <w:tcPr>
            <w:tcW w:w="8380" w:type="dxa"/>
            <w:vAlign w:val="bottom"/>
          </w:tcPr>
          <w:p>
            <w:pPr>
              <w:ind w:left="760"/>
              <w:spacing w:after="0"/>
              <w:rPr>
                <w:sz w:val="20"/>
                <w:szCs w:val="20"/>
                <w:color w:val="auto"/>
              </w:rPr>
            </w:pPr>
            <w:r>
              <w:rPr>
                <w:rFonts w:ascii="Arial" w:cs="Arial" w:eastAsia="Arial" w:hAnsi="Arial"/>
                <w:sz w:val="18"/>
                <w:szCs w:val="18"/>
                <w:color w:val="auto"/>
                <w:w w:val="92"/>
              </w:rPr>
              <w:t>Unaudited Consolidated Statements of Operations for the three months and six months ended June 30,</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380" w:type="dxa"/>
            <w:vAlign w:val="bottom"/>
          </w:tcPr>
          <w:p>
            <w:pPr>
              <w:ind w:left="880"/>
              <w:spacing w:after="0"/>
              <w:rPr>
                <w:sz w:val="20"/>
                <w:szCs w:val="20"/>
                <w:color w:val="auto"/>
              </w:rPr>
            </w:pPr>
            <w:r>
              <w:rPr>
                <w:rFonts w:ascii="Arial" w:cs="Arial" w:eastAsia="Arial" w:hAnsi="Arial"/>
                <w:sz w:val="18"/>
                <w:szCs w:val="18"/>
                <w:color w:val="auto"/>
              </w:rPr>
              <w:t>2015 and 2014</w:t>
            </w:r>
          </w:p>
        </w:tc>
        <w:tc>
          <w:tcPr>
            <w:tcW w:w="820" w:type="dxa"/>
            <w:vAlign w:val="bottom"/>
            <w:gridSpan w:val="2"/>
          </w:tcPr>
          <w:p>
            <w:pPr>
              <w:jc w:val="center"/>
              <w:ind w:left="372"/>
              <w:spacing w:after="0"/>
              <w:rPr>
                <w:sz w:val="20"/>
                <w:szCs w:val="20"/>
                <w:color w:val="auto"/>
              </w:rPr>
            </w:pPr>
            <w:r>
              <w:rPr>
                <w:rFonts w:ascii="Arial" w:cs="Arial" w:eastAsia="Arial" w:hAnsi="Arial"/>
                <w:sz w:val="18"/>
                <w:szCs w:val="18"/>
                <w:color w:val="auto"/>
                <w:w w:val="79"/>
              </w:rPr>
              <w:t>2</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w w:val="93"/>
              </w:rPr>
              <w:t>Unaudited Consolidated Statements of Comprehensive Earnings for the three months and six months</w:t>
            </w:r>
          </w:p>
        </w:tc>
        <w:tc>
          <w:tcPr>
            <w:tcW w:w="96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ended June 30, 2015 and 2014</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Unaudited Consolidated Statement of Stockholders' Equity for the six months ended</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June 30, 2015</w:t>
            </w:r>
          </w:p>
        </w:tc>
        <w:tc>
          <w:tcPr>
            <w:tcW w:w="9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six months ended</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June 30, 2015 and 2014</w:t>
            </w:r>
          </w:p>
        </w:tc>
        <w:tc>
          <w:tcPr>
            <w:tcW w:w="96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86"/>
              </w:rPr>
              <w:t>5 - 13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8"/>
              </w:rPr>
              <w:t>Management's Discussion and Analysis of Financial Condition and Results of Operations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14 - 21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21 - 22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96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22</w:t>
            </w:r>
          </w:p>
        </w:tc>
      </w:tr>
      <w:tr>
        <w:trPr>
          <w:trHeight w:val="513"/>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23</w:t>
            </w:r>
          </w:p>
        </w:tc>
      </w:tr>
      <w:tr>
        <w:trPr>
          <w:trHeight w:val="513"/>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74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$23,466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$23,126</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7,380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4,019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3,769</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271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473</w:t>
            </w:r>
          </w:p>
        </w:tc>
        <w:tc>
          <w:tcPr>
            <w:tcW w:w="100" w:type="dxa"/>
            <w:vAlign w:val="bottom"/>
          </w:tcPr>
          <w:p>
            <w:pPr>
              <w:spacing w:after="0"/>
              <w:rPr>
                <w:sz w:val="14"/>
                <w:szCs w:val="14"/>
                <w:color w:val="auto"/>
              </w:rPr>
            </w:pP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35,779</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32,931</w:t>
            </w: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4,358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4,322</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593</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4,953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4,915</w:t>
            </w:r>
          </w:p>
        </w:tc>
        <w:tc>
          <w:tcPr>
            <w:tcW w:w="100" w:type="dxa"/>
            <w:vAlign w:val="bottom"/>
          </w:tcPr>
          <w:p>
            <w:pPr>
              <w:spacing w:after="0"/>
              <w:rPr>
                <w:sz w:val="19"/>
                <w:szCs w:val="19"/>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68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(3,762)</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(3,647)</w:t>
            </w: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6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1,191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1,268</w:t>
            </w:r>
          </w:p>
        </w:tc>
        <w:tc>
          <w:tcPr>
            <w:tcW w:w="100" w:type="dxa"/>
            <w:vAlign w:val="bottom"/>
          </w:tcPr>
          <w:p>
            <w:pPr>
              <w:spacing w:after="0"/>
              <w:rPr>
                <w:sz w:val="15"/>
                <w:szCs w:val="15"/>
                <w:color w:val="auto"/>
              </w:rPr>
            </w:pP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599</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884</w:t>
            </w:r>
          </w:p>
        </w:tc>
        <w:tc>
          <w:tcPr>
            <w:tcW w:w="100" w:type="dxa"/>
            <w:vAlign w:val="bottom"/>
          </w:tcPr>
          <w:p>
            <w:pPr>
              <w:spacing w:after="0"/>
              <w:rPr>
                <w:sz w:val="19"/>
                <w:szCs w:val="19"/>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206</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$41,072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100" w:type="dxa"/>
            <w:vAlign w:val="bottom"/>
          </w:tcPr>
          <w:p>
            <w:pPr>
              <w:spacing w:after="0"/>
              <w:rPr>
                <w:sz w:val="19"/>
                <w:szCs w:val="19"/>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STOCKHOLDERS' EQUITY</w:t>
      </w:r>
    </w:p>
    <w:p>
      <w:pPr>
        <w:sectPr>
          <w:pgSz w:w="11900" w:h="16895" w:orient="portrait"/>
          <w:cols w:equalWidth="0" w:num="1">
            <w:col w:w="10219"/>
          </w:cols>
          <w:pgMar w:left="240" w:top="131"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1,713</w:t>
            </w:r>
          </w:p>
        </w:tc>
        <w:tc>
          <w:tcPr>
            <w:tcW w:w="260" w:type="dxa"/>
            <w:vAlign w:val="bottom"/>
          </w:tcPr>
          <w:p>
            <w:pPr>
              <w:spacing w:after="0"/>
              <w:rPr>
                <w:sz w:val="17"/>
                <w:szCs w:val="17"/>
                <w:color w:val="auto"/>
              </w:rPr>
            </w:pPr>
          </w:p>
        </w:tc>
        <w:tc>
          <w:tcPr>
            <w:tcW w:w="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459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253</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5,350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2" w:lineRule="exact"/>
              <w:rPr>
                <w:sz w:val="20"/>
                <w:szCs w:val="20"/>
                <w:color w:val="auto"/>
              </w:rPr>
            </w:pPr>
            <w:r>
              <w:rPr>
                <w:rFonts w:ascii="Courier New" w:cs="Courier New" w:eastAsia="Courier New" w:hAnsi="Courier New"/>
                <w:sz w:val="18"/>
                <w:szCs w:val="18"/>
                <w:color w:val="auto"/>
              </w:rPr>
              <w:t>4,370</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10,595,755 shares issued, respectively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26,321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8,670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7,152</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35,722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34,368</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41,072</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38,738</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$11,559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$12,343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$21,747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$21,140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5,713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10,983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10,873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5,846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10,267</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4,038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8,444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7,819</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2,044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2,320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2,448</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1,659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2,054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2,330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2,465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$ 1,080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$ 1,357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$ 1,518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$ 1,643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10,471,888 10,436,730 10,468,651 10,415,461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10,494,457 10,456,183 10,489,020 10,452,567</w:t>
            </w:r>
          </w:p>
        </w:tc>
      </w:tr>
    </w:tbl>
    <w:p>
      <w:pPr>
        <w:sectPr>
          <w:pgSz w:w="11900" w:h="16838" w:orient="portrait"/>
          <w:cols w:equalWidth="0" w:num="1">
            <w:col w:w="10219"/>
          </w:cols>
          <w:pgMar w:left="240" w:top="136" w:right="1440" w:bottom="335" w:gutter="0" w:footer="0" w:header="0"/>
        </w:sectPr>
      </w:pPr>
    </w:p>
    <w:bookmarkStart w:id="3" w:name="page4"/>
    <w:bookmarkEnd w:id="3"/>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20" w:type="dxa"/>
            <w:vAlign w:val="bottom"/>
            <w:gridSpan w:val="3"/>
          </w:tcPr>
          <w:p>
            <w:pPr>
              <w:jc w:val="center"/>
              <w:ind w:right="432"/>
              <w:spacing w:after="0"/>
              <w:rPr>
                <w:sz w:val="20"/>
                <w:szCs w:val="20"/>
                <w:color w:val="auto"/>
              </w:rPr>
            </w:pPr>
            <w:r>
              <w:rPr>
                <w:rFonts w:ascii="Arial" w:cs="Arial" w:eastAsia="Arial" w:hAnsi="Arial"/>
                <w:sz w:val="18"/>
                <w:szCs w:val="18"/>
                <w:b w:val="1"/>
                <w:bCs w:val="1"/>
                <w:color w:val="auto"/>
                <w:w w:val="96"/>
              </w:rPr>
              <w:t>inTEST CORPORATION</w:t>
            </w:r>
          </w:p>
        </w:tc>
        <w:tc>
          <w:tcPr>
            <w:tcW w:w="900" w:type="dxa"/>
            <w:vAlign w:val="bottom"/>
          </w:tcPr>
          <w:p>
            <w:pPr>
              <w:spacing w:after="0"/>
              <w:rPr>
                <w:sz w:val="18"/>
                <w:szCs w:val="18"/>
                <w:color w:val="auto"/>
              </w:rPr>
            </w:pPr>
          </w:p>
        </w:tc>
      </w:tr>
      <w:tr>
        <w:trPr>
          <w:trHeight w:val="222"/>
        </w:trPr>
        <w:tc>
          <w:tcPr>
            <w:tcW w:w="8540" w:type="dxa"/>
            <w:vAlign w:val="bottom"/>
            <w:gridSpan w:val="5"/>
          </w:tcPr>
          <w:p>
            <w:pPr>
              <w:jc w:val="center"/>
              <w:ind w:left="279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222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(In thousands)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2220" w:type="dxa"/>
            <w:vAlign w:val="bottom"/>
            <w:gridSpan w:val="2"/>
          </w:tcPr>
          <w:p>
            <w:pPr>
              <w:jc w:val="center"/>
              <w:ind w:left="472"/>
              <w:spacing w:after="0"/>
              <w:rPr>
                <w:sz w:val="20"/>
                <w:szCs w:val="20"/>
                <w:color w:val="auto"/>
              </w:rPr>
            </w:pPr>
            <w:r>
              <w:rPr>
                <w:rFonts w:ascii="Arial" w:cs="Arial" w:eastAsia="Arial" w:hAnsi="Arial"/>
                <w:sz w:val="18"/>
                <w:szCs w:val="18"/>
                <w:color w:val="auto"/>
                <w:w w:val="91"/>
              </w:rPr>
              <w:t>(Unaudited)</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783"/>
        </w:trPr>
        <w:tc>
          <w:tcPr>
            <w:tcW w:w="4320" w:type="dxa"/>
            <w:vAlign w:val="bottom"/>
          </w:tcPr>
          <w:p>
            <w:pPr>
              <w:spacing w:after="0"/>
              <w:rPr>
                <w:sz w:val="24"/>
                <w:szCs w:val="24"/>
                <w:color w:val="auto"/>
              </w:rPr>
            </w:pPr>
          </w:p>
        </w:tc>
        <w:tc>
          <w:tcPr>
            <w:tcW w:w="2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2015</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2014</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2015</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$ 1,080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$ 1,357</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$ 1,518</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$ 1,643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$ 1,184</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$ 1,342</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$ 1,293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$ 1,632</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4" w:lineRule="exact"/>
        <w:rPr>
          <w:sz w:val="20"/>
          <w:szCs w:val="20"/>
          <w:color w:val="auto"/>
        </w:rPr>
      </w:pPr>
    </w:p>
    <w:p>
      <w:pPr>
        <w:ind w:left="4960"/>
        <w:spacing w:after="0"/>
        <w:rPr>
          <w:sz w:val="20"/>
          <w:szCs w:val="20"/>
          <w:color w:val="auto"/>
        </w:rPr>
      </w:pPr>
      <w:r>
        <w:rPr>
          <w:rFonts w:ascii="Courier New" w:cs="Courier New" w:eastAsia="Courier New" w:hAnsi="Courier New"/>
          <w:sz w:val="12"/>
          <w:szCs w:val="12"/>
          <w:color w:val="auto"/>
        </w:rPr>
        <w:t>Accumulated</w:t>
      </w:r>
    </w:p>
    <w:p>
      <w:pPr>
        <w:ind w:left="2340"/>
        <w:spacing w:after="0"/>
        <w:tabs>
          <w:tab w:leader="none" w:pos="3420" w:val="left"/>
          <w:tab w:leader="none" w:pos="5100" w:val="left"/>
          <w:tab w:leader="none" w:pos="6780" w:val="left"/>
        </w:tabs>
        <w:rPr>
          <w:sz w:val="20"/>
          <w:szCs w:val="20"/>
          <w:color w:val="auto"/>
        </w:rPr>
      </w:pPr>
      <w:r>
        <w:rPr>
          <w:rFonts w:ascii="Courier New" w:cs="Courier New" w:eastAsia="Courier New" w:hAnsi="Courier New"/>
          <w:sz w:val="12"/>
          <w:szCs w:val="12"/>
          <w:color w:val="auto"/>
        </w:rPr>
        <w:t>Common Stock</w:t>
      </w:r>
      <w:r>
        <w:rPr>
          <w:sz w:val="20"/>
          <w:szCs w:val="20"/>
          <w:color w:val="auto"/>
        </w:rPr>
        <w:tab/>
      </w:r>
      <w:r>
        <w:rPr>
          <w:rFonts w:ascii="Courier New" w:cs="Courier New" w:eastAsia="Courier New" w:hAnsi="Courier New"/>
          <w:sz w:val="12"/>
          <w:szCs w:val="12"/>
          <w:color w:val="auto"/>
        </w:rPr>
        <w:t>Additional</w:t>
      </w:r>
      <w:r>
        <w:rPr>
          <w:sz w:val="20"/>
          <w:szCs w:val="20"/>
          <w:color w:val="auto"/>
        </w:rPr>
        <w:tab/>
      </w: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1"/>
          <w:szCs w:val="11"/>
          <w:color w:val="auto"/>
        </w:rPr>
        <w:t>Total</w:t>
      </w:r>
    </w:p>
    <w:p>
      <w:pPr>
        <w:ind w:left="2120"/>
        <w:spacing w:after="0"/>
        <w:tabs>
          <w:tab w:leader="none" w:pos="3480" w:val="left"/>
          <w:tab w:leader="none" w:pos="4220" w:val="left"/>
        </w:tabs>
        <w:rPr>
          <w:sz w:val="20"/>
          <w:szCs w:val="20"/>
          <w:color w:val="auto"/>
        </w:rPr>
      </w:pPr>
      <w:r>
        <w:rPr>
          <w:rFonts w:ascii="Courier New" w:cs="Courier New" w:eastAsia="Courier New" w:hAnsi="Courier New"/>
          <w:sz w:val="12"/>
          <w:szCs w:val="12"/>
          <w:color w:val="auto"/>
        </w:rPr>
        <w:t>-----------------</w:t>
        <w:tab/>
        <w:t>Paid-In</w:t>
      </w:r>
      <w:r>
        <w:rPr>
          <w:sz w:val="20"/>
          <w:szCs w:val="20"/>
          <w:color w:val="auto"/>
        </w:rPr>
        <w:tab/>
      </w:r>
      <w:r>
        <w:rPr>
          <w:rFonts w:ascii="Courier New" w:cs="Courier New" w:eastAsia="Courier New" w:hAnsi="Courier New"/>
          <w:sz w:val="12"/>
          <w:szCs w:val="12"/>
          <w:color w:val="auto"/>
        </w:rPr>
        <w:t>Retained Comprehensive Treasury Stockholders'</w:t>
      </w:r>
    </w:p>
    <w:p>
      <w:pPr>
        <w:ind w:left="2200"/>
        <w:spacing w:after="0"/>
        <w:tabs>
          <w:tab w:leader="none" w:pos="2840" w:val="left"/>
          <w:tab w:leader="none" w:pos="3420" w:val="left"/>
          <w:tab w:leader="none" w:pos="4140" w:val="left"/>
          <w:tab w:leader="none" w:pos="4940" w:val="left"/>
          <w:tab w:leader="none" w:pos="5900" w:val="left"/>
          <w:tab w:leader="none" w:pos="6700" w:val="left"/>
        </w:tabs>
        <w:rPr>
          <w:sz w:val="20"/>
          <w:szCs w:val="20"/>
          <w:color w:val="auto"/>
        </w:rPr>
      </w:pPr>
      <w:r>
        <w:rPr>
          <w:rFonts w:ascii="Courier New" w:cs="Courier New" w:eastAsia="Courier New" w:hAnsi="Courier New"/>
          <w:sz w:val="12"/>
          <w:szCs w:val="12"/>
          <w:color w:val="auto"/>
        </w:rPr>
        <w:t>Shares</w:t>
      </w:r>
      <w:r>
        <w:rPr>
          <w:sz w:val="20"/>
          <w:szCs w:val="20"/>
          <w:color w:val="auto"/>
        </w:rPr>
        <w:tab/>
      </w:r>
      <w:r>
        <w:rPr>
          <w:rFonts w:ascii="Courier New" w:cs="Courier New" w:eastAsia="Courier New" w:hAnsi="Courier New"/>
          <w:sz w:val="12"/>
          <w:szCs w:val="12"/>
          <w:color w:val="auto"/>
        </w:rPr>
        <w:t>Amount</w:t>
        <w:tab/>
        <w:t>Capital</w:t>
      </w:r>
      <w:r>
        <w:rPr>
          <w:sz w:val="20"/>
          <w:szCs w:val="20"/>
          <w:color w:val="auto"/>
        </w:rPr>
        <w:tab/>
      </w:r>
      <w:r>
        <w:rPr>
          <w:rFonts w:ascii="Courier New" w:cs="Courier New" w:eastAsia="Courier New" w:hAnsi="Courier New"/>
          <w:sz w:val="12"/>
          <w:szCs w:val="12"/>
          <w:color w:val="auto"/>
        </w:rPr>
        <w:t>Earnings</w:t>
      </w:r>
      <w:r>
        <w:rPr>
          <w:sz w:val="20"/>
          <w:szCs w:val="20"/>
          <w:color w:val="auto"/>
        </w:rPr>
        <w:tab/>
      </w:r>
      <w:r>
        <w:rPr>
          <w:rFonts w:ascii="Courier New" w:cs="Courier New" w:eastAsia="Courier New" w:hAnsi="Courier New"/>
          <w:sz w:val="12"/>
          <w:szCs w:val="12"/>
          <w:color w:val="auto"/>
        </w:rPr>
        <w:t>Earnings</w:t>
      </w:r>
      <w:r>
        <w:rPr>
          <w:sz w:val="20"/>
          <w:szCs w:val="20"/>
          <w:color w:val="auto"/>
        </w:rPr>
        <w:tab/>
      </w:r>
      <w:r>
        <w:rPr>
          <w:rFonts w:ascii="Courier New" w:cs="Courier New" w:eastAsia="Courier New" w:hAnsi="Courier New"/>
          <w:sz w:val="12"/>
          <w:szCs w:val="12"/>
          <w:color w:val="auto"/>
        </w:rPr>
        <w:t>Stock</w:t>
      </w:r>
      <w:r>
        <w:rPr>
          <w:sz w:val="20"/>
          <w:szCs w:val="20"/>
          <w:color w:val="auto"/>
        </w:rPr>
        <w:tab/>
      </w:r>
      <w:r>
        <w:rPr>
          <w:rFonts w:ascii="Courier New" w:cs="Courier New" w:eastAsia="Courier New" w:hAnsi="Courier New"/>
          <w:sz w:val="12"/>
          <w:szCs w:val="12"/>
          <w:color w:val="auto"/>
        </w:rPr>
        <w:t>Equity</w:t>
      </w:r>
    </w:p>
    <w:p>
      <w:pPr>
        <w:ind w:left="2120"/>
        <w:spacing w:after="0"/>
        <w:rPr>
          <w:sz w:val="20"/>
          <w:szCs w:val="20"/>
          <w:color w:val="auto"/>
        </w:rPr>
      </w:pPr>
      <w:r>
        <w:rPr>
          <w:rFonts w:ascii="Courier New" w:cs="Courier New" w:eastAsia="Courier New" w:hAnsi="Courier New"/>
          <w:sz w:val="12"/>
          <w:szCs w:val="12"/>
          <w:color w:val="auto"/>
        </w:rPr>
        <w:t>---------- ------ ---------- -------- ------------- -------- -------------</w:t>
      </w:r>
    </w:p>
    <w:p>
      <w:pPr>
        <w:sectPr>
          <w:pgSz w:w="11900" w:h="16859" w:orient="portrait"/>
          <w:cols w:equalWidth="0" w:num="1">
            <w:col w:w="10219"/>
          </w:cols>
          <w:pgMar w:left="240" w:top="1440" w:right="1440" w:bottom="0" w:gutter="0" w:footer="0" w:header="0"/>
        </w:sectPr>
      </w:pP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January 1, 2015</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2"/>
          <w:szCs w:val="12"/>
          <w:color w:val="auto"/>
        </w:rPr>
        <w:t>10,595,755</w:t>
      </w:r>
      <w:r>
        <w:rPr>
          <w:sz w:val="20"/>
          <w:szCs w:val="20"/>
          <w:color w:val="auto"/>
        </w:rPr>
        <w:tab/>
      </w:r>
      <w:r>
        <w:rPr>
          <w:rFonts w:ascii="Courier New" w:cs="Courier New" w:eastAsia="Courier New" w:hAnsi="Courier New"/>
          <w:sz w:val="11"/>
          <w:szCs w:val="11"/>
          <w:color w:val="auto"/>
        </w:rPr>
        <w:t>$ 106</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$26,321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$7,152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tabs>
          <w:tab w:leader="none" w:pos="120" w:val="left"/>
        </w:tabs>
        <w:rPr>
          <w:sz w:val="20"/>
          <w:szCs w:val="20"/>
          <w:color w:val="auto"/>
        </w:rPr>
      </w:pPr>
      <w:r>
        <w:rPr>
          <w:rFonts w:ascii="Courier New" w:cs="Courier New" w:eastAsia="Courier New" w:hAnsi="Courier New"/>
          <w:sz w:val="12"/>
          <w:szCs w:val="12"/>
          <w:color w:val="auto"/>
        </w:rPr>
        <w:t>$</w:t>
        <w:tab/>
        <w:t>993</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$(204)</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$34,368</w:t>
      </w:r>
    </w:p>
    <w:p>
      <w:pPr>
        <w:spacing w:after="0" w:line="145" w:lineRule="exact"/>
        <w:rPr>
          <w:sz w:val="20"/>
          <w:szCs w:val="20"/>
          <w:color w:val="auto"/>
        </w:rPr>
      </w:pPr>
    </w:p>
    <w:p>
      <w:pPr>
        <w:sectPr>
          <w:pgSz w:w="11900" w:h="16859" w:orient="portrait"/>
          <w:cols w:equalWidth="0" w:num="7">
            <w:col w:w="1760" w:space="360"/>
            <w:col w:w="1240" w:space="220"/>
            <w:col w:w="520" w:space="220"/>
            <w:col w:w="420" w:space="440"/>
            <w:col w:w="440" w:space="440"/>
            <w:col w:w="440" w:space="300"/>
            <w:col w:w="341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Net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1,518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1,518</w:t>
      </w:r>
    </w:p>
    <w:p>
      <w:pPr>
        <w:spacing w:after="0" w:line="145" w:lineRule="exact"/>
        <w:rPr>
          <w:sz w:val="20"/>
          <w:szCs w:val="20"/>
          <w:color w:val="auto"/>
        </w:rPr>
      </w:pPr>
    </w:p>
    <w:p>
      <w:pPr>
        <w:sectPr>
          <w:pgSz w:w="11900" w:h="16859" w:orient="portrait"/>
          <w:cols w:equalWidth="0" w:num="8">
            <w:col w:w="1980" w:space="720"/>
            <w:col w:w="80" w:space="440"/>
            <w:col w:w="60" w:space="660"/>
            <w:col w:w="80" w:space="300"/>
            <w:col w:w="440" w:space="720"/>
            <w:col w:w="80" w:space="720"/>
            <w:col w:w="80" w:space="500"/>
            <w:col w:w="335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Other comprehensive</w:t>
      </w:r>
    </w:p>
    <w:p>
      <w:pPr>
        <w:sectPr>
          <w:pgSz w:w="11900" w:h="16859" w:orient="portrait"/>
          <w:cols w:equalWidth="0" w:num="1">
            <w:col w:w="10219"/>
          </w:cols>
          <w:pgMar w:left="240" w:top="1440" w:right="1440" w:bottom="0" w:gutter="0" w:footer="0" w:header="0"/>
          <w:type w:val="continuous"/>
        </w:sectPr>
      </w:pP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1"/>
          <w:szCs w:val="11"/>
          <w:color w:val="auto"/>
        </w:rPr>
        <w:t>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(225)</w:t>
      </w:r>
    </w:p>
    <w:p>
      <w:pPr>
        <w:spacing w:after="0" w:line="132" w:lineRule="exact"/>
        <w:rPr>
          <w:sz w:val="20"/>
          <w:szCs w:val="20"/>
          <w:color w:val="auto"/>
        </w:rPr>
      </w:pPr>
    </w:p>
    <w:p>
      <w:pPr>
        <w:sectPr>
          <w:pgSz w:w="11900" w:h="16859" w:orient="portrait"/>
          <w:cols w:equalWidth="0" w:num="8">
            <w:col w:w="2060" w:space="720"/>
            <w:col w:w="80" w:space="420"/>
            <w:col w:w="80" w:space="660"/>
            <w:col w:w="80" w:space="580"/>
            <w:col w:w="60" w:space="600"/>
            <w:col w:w="360" w:space="660"/>
            <w:col w:w="60" w:space="580"/>
            <w:col w:w="3219"/>
          </w:cols>
          <w:pgMar w:left="240" w:top="1440" w:right="1440" w:bottom="0" w:gutter="0" w:footer="0" w:header="0"/>
          <w:type w:val="continuous"/>
        </w:sectPr>
      </w:pPr>
    </w:p>
    <w:p>
      <w:pPr>
        <w:jc w:val="center"/>
        <w:ind w:right="8459"/>
        <w:spacing w:after="0"/>
        <w:rPr>
          <w:sz w:val="20"/>
          <w:szCs w:val="20"/>
          <w:color w:val="auto"/>
        </w:rPr>
      </w:pPr>
      <w:r>
        <w:rPr>
          <w:rFonts w:ascii="Courier New" w:cs="Courier New" w:eastAsia="Courier New" w:hAnsi="Courier New"/>
          <w:sz w:val="12"/>
          <w:szCs w:val="12"/>
          <w:color w:val="auto"/>
        </w:rPr>
        <w:t>Amortization of deferred</w:t>
      </w:r>
    </w:p>
    <w:p>
      <w:pPr>
        <w:jc w:val="center"/>
        <w:ind w:right="8459"/>
        <w:spacing w:after="0"/>
        <w:rPr>
          <w:sz w:val="20"/>
          <w:szCs w:val="20"/>
          <w:color w:val="auto"/>
        </w:rPr>
      </w:pPr>
      <w:r>
        <w:rPr>
          <w:rFonts w:ascii="Courier New" w:cs="Courier New" w:eastAsia="Courier New" w:hAnsi="Courier New"/>
          <w:sz w:val="12"/>
          <w:szCs w:val="12"/>
          <w:color w:val="auto"/>
        </w:rPr>
        <w:t>compensation related</w:t>
      </w:r>
    </w:p>
    <w:p>
      <w:pPr>
        <w:sectPr>
          <w:pgSz w:w="11900" w:h="16859" w:orient="portrait"/>
          <w:cols w:equalWidth="0" w:num="1">
            <w:col w:w="10219"/>
          </w:cols>
          <w:pgMar w:left="240" w:top="1440" w:right="1440" w:bottom="0" w:gutter="0" w:footer="0" w:header="0"/>
          <w:type w:val="continuous"/>
        </w:sectPr>
      </w:pPr>
    </w:p>
    <w:p>
      <w:pPr>
        <w:ind w:left="160"/>
        <w:spacing w:after="0"/>
        <w:rPr>
          <w:sz w:val="20"/>
          <w:szCs w:val="20"/>
          <w:color w:val="auto"/>
        </w:rPr>
      </w:pPr>
      <w:r>
        <w:rPr>
          <w:rFonts w:ascii="Courier New" w:cs="Courier New" w:eastAsia="Courier New" w:hAnsi="Courier New"/>
          <w:sz w:val="12"/>
          <w:szCs w:val="12"/>
          <w:color w:val="auto"/>
        </w:rPr>
        <w:t>to restricted stock</w:t>
      </w:r>
    </w:p>
    <w:p>
      <w:pPr>
        <w:spacing w:after="0" w:line="20" w:lineRule="exact"/>
        <w:rPr>
          <w:sz w:val="20"/>
          <w:szCs w:val="20"/>
          <w:color w:val="auto"/>
        </w:rPr>
      </w:pPr>
      <w:r>
        <w:rPr>
          <w:sz w:val="20"/>
          <w:szCs w:val="20"/>
          <w:color w:val="auto"/>
        </w:rPr>
        <w:br w:type="column"/>
      </w:r>
    </w:p>
    <w:p>
      <w:pPr>
        <w:ind w:firstLine="656"/>
        <w:spacing w:after="0" w:line="238" w:lineRule="auto"/>
        <w:rPr>
          <w:sz w:val="20"/>
          <w:szCs w:val="20"/>
          <w:color w:val="auto"/>
        </w:rPr>
      </w:pPr>
      <w:r>
        <w:rPr>
          <w:rFonts w:ascii="Courier New" w:cs="Courier New" w:eastAsia="Courier New" w:hAnsi="Courier New"/>
          <w:sz w:val="12"/>
          <w:szCs w:val="12"/>
          <w:color w:val="auto"/>
        </w:rPr>
        <w:t>- - 61 - ---------- ----- ------- ------</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300"/>
        <w:spacing w:after="0"/>
        <w:tabs>
          <w:tab w:leader="none" w:pos="108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61</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pacing w:after="0" w:line="144" w:lineRule="exact"/>
        <w:rPr>
          <w:sz w:val="20"/>
          <w:szCs w:val="20"/>
          <w:color w:val="auto"/>
        </w:rPr>
      </w:pPr>
    </w:p>
    <w:p>
      <w:pPr>
        <w:sectPr>
          <w:pgSz w:w="11900" w:h="16859" w:orient="portrait"/>
          <w:cols w:equalWidth="0" w:num="4">
            <w:col w:w="1540" w:space="580"/>
            <w:col w:w="2620" w:space="440"/>
            <w:col w:w="440" w:space="440"/>
            <w:col w:w="4159"/>
          </w:cols>
          <w:pgMar w:left="240" w:top="1440"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June 30,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10,595,755 $ 106 $26,382 $8,670 ========== ===== ======= ======</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ourier New" w:cs="Courier New" w:eastAsia="Courier New" w:hAnsi="Courier New"/>
          <w:sz w:val="12"/>
          <w:szCs w:val="12"/>
          <w:color w:val="auto"/>
        </w:rPr>
        <w:t>$</w:t>
        <w:tab/>
        <w:t>768</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$(204)</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$35,722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12" w:lineRule="exact"/>
        <w:rPr>
          <w:sz w:val="20"/>
          <w:szCs w:val="20"/>
          <w:color w:val="auto"/>
        </w:rPr>
      </w:pPr>
    </w:p>
    <w:p>
      <w:pPr>
        <w:sectPr>
          <w:pgSz w:w="11900" w:h="16859" w:orient="portrait"/>
          <w:cols w:equalWidth="0" w:num="5">
            <w:col w:w="1620" w:space="500"/>
            <w:col w:w="2620" w:space="440"/>
            <w:col w:w="440" w:space="440"/>
            <w:col w:w="440" w:space="300"/>
            <w:col w:w="3419"/>
          </w:cols>
          <w:pgMar w:left="240" w:top="1440" w:right="1440" w:bottom="0" w:gutter="0" w:footer="0" w:header="0"/>
          <w:type w:val="continuous"/>
        </w:sectPr>
      </w:pPr>
    </w:p>
    <w:p>
      <w:pPr>
        <w:spacing w:after="0" w:line="188"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59" w:orient="portrait"/>
          <w:cols w:equalWidth="0" w:num="1">
            <w:col w:w="10219"/>
          </w:cols>
          <w:pgMar w:left="240" w:top="1440"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400" w:type="dxa"/>
            <w:vAlign w:val="bottom"/>
            <w:gridSpan w:val="2"/>
          </w:tcPr>
          <w:p>
            <w:pPr>
              <w:jc w:val="right"/>
              <w:ind w:right="319"/>
              <w:spacing w:after="0"/>
              <w:rPr>
                <w:sz w:val="20"/>
                <w:szCs w:val="20"/>
                <w:color w:val="auto"/>
              </w:rPr>
            </w:pPr>
            <w:r>
              <w:rPr>
                <w:rFonts w:ascii="Arial" w:cs="Arial" w:eastAsia="Arial" w:hAnsi="Arial"/>
                <w:sz w:val="18"/>
                <w:szCs w:val="18"/>
                <w:color w:val="auto"/>
                <w:w w:val="86"/>
              </w:rPr>
              <w:t>(In thousands)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19"/>
                <w:szCs w:val="19"/>
                <w:color w:val="auto"/>
              </w:rPr>
            </w:pPr>
          </w:p>
        </w:tc>
        <w:tc>
          <w:tcPr>
            <w:tcW w:w="1400" w:type="dxa"/>
            <w:vAlign w:val="bottom"/>
            <w:gridSpan w:val="2"/>
          </w:tcPr>
          <w:p>
            <w:pPr>
              <w:jc w:val="right"/>
              <w:ind w:right="439"/>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5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3"/>
          </w:tcPr>
          <w:p>
            <w:pPr>
              <w:jc w:val="right"/>
              <w:ind w:right="7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jc w:val="right"/>
              <w:ind w:right="29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1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2015</w:t>
            </w:r>
          </w:p>
        </w:tc>
        <w:tc>
          <w:tcPr>
            <w:tcW w:w="200" w:type="dxa"/>
            <w:vAlign w:val="bottom"/>
          </w:tcPr>
          <w:p>
            <w:pPr>
              <w:spacing w:after="0"/>
              <w:rPr>
                <w:sz w:val="11"/>
                <w:szCs w:val="11"/>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2014</w:t>
            </w:r>
          </w:p>
        </w:tc>
        <w:tc>
          <w:tcPr>
            <w:tcW w:w="0" w:type="dxa"/>
            <w:vAlign w:val="bottom"/>
          </w:tcPr>
          <w:p>
            <w:pPr>
              <w:spacing w:after="0"/>
              <w:rPr>
                <w:sz w:val="1"/>
                <w:szCs w:val="1"/>
                <w:color w:val="auto"/>
              </w:rPr>
            </w:pPr>
          </w:p>
        </w:tc>
      </w:tr>
      <w:tr>
        <w:trPr>
          <w:trHeight w:val="137"/>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$ 1,518</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$ 1,643</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395</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438</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138</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loss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74</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65</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90</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(2,390)</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(1,999)</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(377)</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(768)</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195</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110</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649</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(191)</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92</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127</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534</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112</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853</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1,020</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(424)</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78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(385)</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(416)</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7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(128)</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78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340</w:t>
            </w:r>
          </w:p>
        </w:tc>
        <w:tc>
          <w:tcPr>
            <w:tcW w:w="200" w:type="dxa"/>
            <w:vAlign w:val="bottom"/>
          </w:tcPr>
          <w:p>
            <w:pPr>
              <w:spacing w:after="0"/>
              <w:rPr>
                <w:sz w:val="23"/>
                <w:szCs w:val="23"/>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598</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78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23,126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19,018</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$23,466</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$19,616</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40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419</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199</w:t>
            </w:r>
          </w:p>
        </w:tc>
        <w:tc>
          <w:tcPr>
            <w:tcW w:w="0" w:type="dxa"/>
            <w:vAlign w:val="bottom"/>
          </w:tcPr>
          <w:p>
            <w:pPr>
              <w:spacing w:after="0"/>
              <w:rPr>
                <w:sz w:val="1"/>
                <w:szCs w:val="1"/>
                <w:color w:val="auto"/>
              </w:rPr>
            </w:pPr>
          </w:p>
        </w:tc>
      </w:tr>
      <w:tr>
        <w:trPr>
          <w:trHeight w:val="403"/>
        </w:trPr>
        <w:tc>
          <w:tcPr>
            <w:tcW w:w="52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Issuance of unvested shares of restricted stock</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w:t>
            </w:r>
          </w:p>
        </w:tc>
        <w:tc>
          <w:tcPr>
            <w:tcW w:w="0" w:type="dxa"/>
            <w:vAlign w:val="bottom"/>
          </w:tcPr>
          <w:p>
            <w:pPr>
              <w:spacing w:after="0"/>
              <w:rPr>
                <w:sz w:val="1"/>
                <w:szCs w:val="1"/>
                <w:color w:val="auto"/>
              </w:rPr>
            </w:pPr>
          </w:p>
        </w:tc>
      </w:tr>
      <w:tr>
        <w:trPr>
          <w:trHeight w:val="137"/>
        </w:trPr>
        <w:tc>
          <w:tcPr>
            <w:tcW w:w="52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 of restricted stock</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w:t>
      </w:r>
    </w:p>
    <w:p>
      <w:pPr>
        <w:sectPr>
          <w:pgSz w:w="11900" w:h="16838" w:orient="portrait"/>
          <w:cols w:equalWidth="0" w:num="1">
            <w:col w:w="11380"/>
          </w:cols>
          <w:pgMar w:left="240" w:top="131" w:right="279" w:bottom="0" w:gutter="0" w:footer="0" w:header="0"/>
        </w:sectPr>
      </w:pPr>
    </w:p>
    <w:bookmarkStart w:id="5" w:name="page6"/>
    <w:bookmarkEnd w:id="5"/>
    <w:p>
      <w:pPr>
        <w:spacing w:after="0" w:line="88" w:lineRule="exact"/>
        <w:rPr>
          <w:sz w:val="20"/>
          <w:szCs w:val="20"/>
          <w:color w:val="auto"/>
        </w:rPr>
      </w:pPr>
    </w:p>
    <w:p>
      <w:pPr>
        <w:ind w:left="532" w:right="20"/>
        <w:spacing w:after="0" w:line="332" w:lineRule="auto"/>
        <w:rPr>
          <w:sz w:val="20"/>
          <w:szCs w:val="20"/>
          <w:color w:val="auto"/>
        </w:rPr>
      </w:pPr>
      <w:r>
        <w:rPr>
          <w:rFonts w:ascii="Arial" w:cs="Arial" w:eastAsia="Arial" w:hAnsi="Arial"/>
          <w:sz w:val="16"/>
          <w:szCs w:val="16"/>
          <w:color w:val="auto"/>
        </w:rPr>
        <w:t>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309" w:lineRule="exact"/>
        <w:rPr>
          <w:sz w:val="20"/>
          <w:szCs w:val="20"/>
          <w:color w:val="auto"/>
        </w:rPr>
      </w:pPr>
    </w:p>
    <w:p>
      <w:pPr>
        <w:ind w:left="532" w:right="6520" w:hanging="532"/>
        <w:spacing w:after="0" w:line="541" w:lineRule="auto"/>
        <w:tabs>
          <w:tab w:leader="none" w:pos="2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32"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4"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2014 filed with the Securities and Exchange Commission on March 26, 2015 (the "2014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$110 and $138 for the six months ended June 30, 2015 and 2014,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32"/>
        <w:spacing w:after="0" w:line="323"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w:t>
      </w:r>
    </w:p>
    <w:p>
      <w:pPr>
        <w:sectPr>
          <w:pgSz w:w="11900" w:h="16926" w:orient="portrait"/>
          <w:cols w:equalWidth="0" w:num="1">
            <w:col w:w="11392"/>
          </w:cols>
          <w:pgMar w:left="248" w:top="131" w:right="259" w:bottom="0" w:gutter="0" w:footer="0" w:header="0"/>
        </w:sectPr>
      </w:pPr>
    </w:p>
    <w:bookmarkStart w:id="6" w:name="page7"/>
    <w:bookmarkEnd w:id="6"/>
    <w:p>
      <w:pPr>
        <w:ind w:left="540" w:right="120"/>
        <w:spacing w:after="0" w:line="259" w:lineRule="auto"/>
        <w:rPr>
          <w:sz w:val="20"/>
          <w:szCs w:val="20"/>
          <w:color w:val="auto"/>
        </w:rPr>
      </w:pPr>
      <w:r>
        <w:rPr>
          <w:rFonts w:ascii="Arial" w:cs="Arial" w:eastAsia="Arial" w:hAnsi="Arial"/>
          <w:sz w:val="18"/>
          <w:szCs w:val="18"/>
          <w:color w:val="auto"/>
        </w:rPr>
        <w:t>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which is determined using a discounted cash flow analysis.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jc w:val="both"/>
        <w:ind w:left="540" w:right="60"/>
        <w:spacing w:after="0" w:line="370" w:lineRule="auto"/>
        <w:rPr>
          <w:sz w:val="20"/>
          <w:szCs w:val="20"/>
          <w:color w:val="auto"/>
        </w:rPr>
      </w:pPr>
      <w:r>
        <w:rPr>
          <w:rFonts w:ascii="Arial" w:cs="Arial" w:eastAsia="Arial" w:hAnsi="Arial"/>
          <w:sz w:val="15"/>
          <w:szCs w:val="15"/>
          <w:color w:val="auto"/>
        </w:rPr>
        <w:t>In addition, in our Thermal Products and Mechanical Products segments, we lease certain of our equipment to customers under non-cancellable operating leases. These leases generally have an initial term of six months. We recognize revenue for these leases on a straight-line basis over the term of the lease.</w:t>
      </w:r>
    </w:p>
    <w:p>
      <w:pPr>
        <w:spacing w:after="0" w:line="116"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0"/>
        <w:spacing w:after="0" w:line="335" w:lineRule="auto"/>
        <w:rPr>
          <w:sz w:val="20"/>
          <w:szCs w:val="20"/>
          <w:color w:val="auto"/>
        </w:rPr>
      </w:pPr>
      <w:r>
        <w:rPr>
          <w:rFonts w:ascii="Arial" w:cs="Arial" w:eastAsia="Arial" w:hAnsi="Arial"/>
          <w:sz w:val="15"/>
          <w:szCs w:val="15"/>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w:t>
      </w:r>
    </w:p>
    <w:p>
      <w:pPr>
        <w:sectPr>
          <w:pgSz w:w="11900" w:h="16838" w:orient="portrait"/>
          <w:cols w:equalWidth="0" w:num="1">
            <w:col w:w="11400"/>
          </w:cols>
          <w:pgMar w:left="240" w:top="131" w:right="259" w:bottom="0" w:gutter="0" w:footer="0" w:header="0"/>
        </w:sectPr>
      </w:pPr>
    </w:p>
    <w:bookmarkStart w:id="7" w:name="page8"/>
    <w:bookmarkEnd w:id="7"/>
    <w:p>
      <w:pPr>
        <w:spacing w:after="0" w:line="10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include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4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5"/>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2"/>
          </w:tcPr>
          <w:p>
            <w:pPr>
              <w:spacing w:after="0"/>
              <w:rPr>
                <w:sz w:val="12"/>
                <w:szCs w:val="12"/>
                <w:color w:val="auto"/>
              </w:rPr>
            </w:pPr>
          </w:p>
        </w:tc>
      </w:tr>
      <w:tr>
        <w:trPr>
          <w:trHeight w:val="156"/>
        </w:trPr>
        <w:tc>
          <w:tcPr>
            <w:tcW w:w="4480" w:type="dxa"/>
            <w:vAlign w:val="bottom"/>
          </w:tcPr>
          <w:p>
            <w:pPr>
              <w:spacing w:after="0"/>
              <w:rPr>
                <w:sz w:val="13"/>
                <w:szCs w:val="13"/>
                <w:color w:val="auto"/>
              </w:rPr>
            </w:pPr>
          </w:p>
        </w:tc>
        <w:tc>
          <w:tcPr>
            <w:tcW w:w="840" w:type="dxa"/>
            <w:vAlign w:val="bottom"/>
            <w:gridSpan w:val="5"/>
          </w:tcPr>
          <w:p>
            <w:pPr>
              <w:ind w:left="580"/>
              <w:spacing w:after="0" w:line="155" w:lineRule="exact"/>
              <w:rPr>
                <w:sz w:val="20"/>
                <w:szCs w:val="20"/>
                <w:color w:val="auto"/>
              </w:rPr>
            </w:pPr>
            <w:r>
              <w:rPr>
                <w:rFonts w:ascii="Arial" w:cs="Arial" w:eastAsia="Arial" w:hAnsi="Arial"/>
                <w:sz w:val="14"/>
                <w:szCs w:val="14"/>
                <w:b w:val="1"/>
                <w:bCs w:val="1"/>
                <w:i w:val="1"/>
                <w:iCs w:val="1"/>
                <w:color w:val="auto"/>
                <w:w w:val="76"/>
              </w:rPr>
              <w:t>2015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20" w:type="dxa"/>
            <w:vAlign w:val="bottom"/>
          </w:tcPr>
          <w:p>
            <w:pPr>
              <w:spacing w:after="0"/>
              <w:rPr>
                <w:sz w:val="13"/>
                <w:szCs w:val="13"/>
                <w:color w:val="auto"/>
              </w:rPr>
            </w:pPr>
          </w:p>
        </w:tc>
        <w:tc>
          <w:tcPr>
            <w:tcW w:w="920" w:type="dxa"/>
            <w:vAlign w:val="bottom"/>
            <w:gridSpan w:val="6"/>
          </w:tcPr>
          <w:p>
            <w:pPr>
              <w:jc w:val="right"/>
              <w:ind w:right="23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6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0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10,471,888</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10,436,730</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10,468,651</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10,415,461</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5"/>
        </w:trPr>
        <w:tc>
          <w:tcPr>
            <w:tcW w:w="448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w:t>
            </w:r>
          </w:p>
        </w:tc>
        <w:tc>
          <w:tcPr>
            <w:tcW w:w="1300" w:type="dxa"/>
            <w:vAlign w:val="bottom"/>
            <w:gridSpan w:val="7"/>
          </w:tcPr>
          <w:p>
            <w:pPr>
              <w:jc w:val="right"/>
              <w:ind w:right="140"/>
              <w:spacing w:after="0" w:line="205" w:lineRule="exact"/>
              <w:rPr>
                <w:sz w:val="20"/>
                <w:szCs w:val="20"/>
                <w:color w:val="auto"/>
              </w:rPr>
            </w:pPr>
            <w:r>
              <w:rPr>
                <w:rFonts w:ascii="Arial" w:cs="Arial" w:eastAsia="Arial" w:hAnsi="Arial"/>
                <w:sz w:val="18"/>
                <w:szCs w:val="18"/>
                <w:color w:val="auto"/>
              </w:rPr>
              <w:t>22,569</w:t>
            </w:r>
          </w:p>
        </w:tc>
        <w:tc>
          <w:tcPr>
            <w:tcW w:w="80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19,453</w:t>
            </w: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20,369</w:t>
            </w:r>
          </w:p>
        </w:tc>
        <w:tc>
          <w:tcPr>
            <w:tcW w:w="9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37,106</w:t>
            </w:r>
          </w:p>
        </w:tc>
      </w:tr>
      <w:tr>
        <w:trPr>
          <w:trHeight w:val="255"/>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184"/>
        </w:trPr>
        <w:tc>
          <w:tcPr>
            <w:tcW w:w="448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300" w:type="dxa"/>
            <w:vAlign w:val="bottom"/>
            <w:gridSpan w:val="7"/>
          </w:tcPr>
          <w:p>
            <w:pPr>
              <w:jc w:val="right"/>
              <w:ind w:right="140"/>
              <w:spacing w:after="0" w:line="184" w:lineRule="exact"/>
              <w:rPr>
                <w:sz w:val="20"/>
                <w:szCs w:val="20"/>
                <w:color w:val="auto"/>
              </w:rPr>
            </w:pPr>
            <w:r>
              <w:rPr>
                <w:rFonts w:ascii="Arial" w:cs="Arial" w:eastAsia="Arial" w:hAnsi="Arial"/>
                <w:sz w:val="18"/>
                <w:szCs w:val="18"/>
                <w:color w:val="auto"/>
              </w:rPr>
              <w:t>10,494,457</w:t>
            </w:r>
          </w:p>
        </w:tc>
        <w:tc>
          <w:tcPr>
            <w:tcW w:w="80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6"/>
              </w:rPr>
              <w:t>10,456,183</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10,489,020</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10,452,567</w:t>
            </w:r>
          </w:p>
        </w:tc>
      </w:tr>
      <w:tr>
        <w:trPr>
          <w:trHeight w:val="498"/>
        </w:trPr>
        <w:tc>
          <w:tcPr>
            <w:tcW w:w="448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w:t>
            </w:r>
          </w:p>
        </w:tc>
        <w:tc>
          <w:tcPr>
            <w:tcW w:w="3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222"/>
        </w:trPr>
        <w:tc>
          <w:tcPr>
            <w:tcW w:w="448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300" w:type="dxa"/>
            <w:vAlign w:val="bottom"/>
            <w:gridSpan w:val="7"/>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3,516</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6,758</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91"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In July 2015, the FASB deferred the effective date of this new guidance for one 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88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six months ended June 30,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June 30, 2015 and December 31, 2014:</w:t>
      </w:r>
    </w:p>
    <w:p>
      <w:pPr>
        <w:sectPr>
          <w:pgSz w:w="11900" w:h="16944" w:orient="portrait"/>
          <w:cols w:equalWidth="0" w:num="1">
            <w:col w:w="11420"/>
          </w:cols>
          <w:pgMar w:left="240" w:top="131" w:right="239" w:bottom="0" w:gutter="0" w:footer="0" w:header="0"/>
        </w:sectPr>
      </w:pPr>
    </w:p>
    <w:p>
      <w:pPr>
        <w:spacing w:after="0" w:line="236" w:lineRule="exact"/>
        <w:rPr>
          <w:sz w:val="20"/>
          <w:szCs w:val="20"/>
          <w:color w:val="auto"/>
        </w:rPr>
      </w:pPr>
    </w:p>
    <w:p>
      <w:pPr>
        <w:ind w:left="8020"/>
        <w:spacing w:after="0"/>
        <w:rPr>
          <w:sz w:val="20"/>
          <w:szCs w:val="20"/>
          <w:color w:val="auto"/>
        </w:rPr>
      </w:pPr>
      <w:r>
        <w:rPr>
          <w:rFonts w:ascii="Arial" w:cs="Arial" w:eastAsia="Arial" w:hAnsi="Arial"/>
          <w:sz w:val="12"/>
          <w:szCs w:val="12"/>
          <w:b w:val="1"/>
          <w:bCs w:val="1"/>
          <w:i w:val="1"/>
          <w:iCs w:val="1"/>
          <w:color w:val="auto"/>
        </w:rPr>
        <w:t>June 30 2015</w:t>
      </w:r>
    </w:p>
    <w:p>
      <w:pPr>
        <w:sectPr>
          <w:pgSz w:w="11900" w:h="16944" w:orient="portrait"/>
          <w:cols w:equalWidth="0" w:num="1">
            <w:col w:w="11420"/>
          </w:cols>
          <w:pgMar w:left="240" w:top="131" w:right="239" w:bottom="0" w:gutter="0" w:footer="0" w:header="0"/>
          <w:type w:val="continuous"/>
        </w:sectPr>
      </w:pPr>
    </w:p>
    <w:bookmarkStart w:id="8" w:name="page9"/>
    <w:bookmarkEnd w:id="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5077460</wp:posOffset>
            </wp:positionH>
            <wp:positionV relativeFrom="page">
              <wp:posOffset>114935</wp:posOffset>
            </wp:positionV>
            <wp:extent cx="86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2330" cy="8890"/>
                    </a:xfrm>
                    <a:prstGeom prst="rect">
                      <a:avLst/>
                    </a:prstGeom>
                    <a:noFill/>
                  </pic:spPr>
                </pic:pic>
              </a:graphicData>
            </a:graphic>
          </wp:anchor>
        </w:drawing>
      </w:r>
    </w:p>
    <w:tbl>
      <w:tblPr>
        <w:tblLayout w:type="fixed"/>
        <w:tblInd w:w="18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Net</w:t>
            </w:r>
          </w:p>
        </w:tc>
      </w:tr>
      <w:tr>
        <w:trPr>
          <w:trHeight w:val="149"/>
        </w:trPr>
        <w:tc>
          <w:tcPr>
            <w:tcW w:w="4260" w:type="dxa"/>
            <w:vAlign w:val="bottom"/>
          </w:tcPr>
          <w:p>
            <w:pPr>
              <w:spacing w:after="0"/>
              <w:rPr>
                <w:sz w:val="12"/>
                <w:szCs w:val="12"/>
                <w:color w:val="auto"/>
              </w:rPr>
            </w:pPr>
          </w:p>
        </w:tc>
        <w:tc>
          <w:tcPr>
            <w:tcW w:w="1860" w:type="dxa"/>
            <w:vAlign w:val="bottom"/>
            <w:gridSpan w:val="4"/>
          </w:tcPr>
          <w:p>
            <w:pPr>
              <w:jc w:val="center"/>
              <w:ind w:left="107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7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Carrying</w:t>
            </w:r>
          </w:p>
        </w:tc>
      </w:tr>
      <w:tr>
        <w:trPr>
          <w:trHeight w:val="146"/>
        </w:trPr>
        <w:tc>
          <w:tcPr>
            <w:tcW w:w="4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gridSpan w:val="3"/>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40" w:type="dxa"/>
            <w:vAlign w:val="bottom"/>
            <w:gridSpan w:val="5"/>
          </w:tcPr>
          <w:p>
            <w:pPr>
              <w:spacing w:after="0" w:line="146" w:lineRule="exact"/>
              <w:rPr>
                <w:sz w:val="20"/>
                <w:szCs w:val="20"/>
                <w:color w:val="auto"/>
              </w:rPr>
            </w:pPr>
            <w:r>
              <w:rPr>
                <w:rFonts w:ascii="Arial" w:cs="Arial" w:eastAsia="Arial" w:hAnsi="Arial"/>
                <w:sz w:val="14"/>
                <w:szCs w:val="14"/>
                <w:b w:val="1"/>
                <w:bCs w:val="1"/>
                <w:i w:val="1"/>
                <w:iCs w:val="1"/>
                <w:color w:val="auto"/>
                <w:w w:val="95"/>
              </w:rPr>
              <w:t>Amortization</w:t>
            </w:r>
          </w:p>
        </w:tc>
        <w:tc>
          <w:tcPr>
            <w:tcW w:w="160" w:type="dxa"/>
            <w:vAlign w:val="bottom"/>
          </w:tcPr>
          <w:p>
            <w:pPr>
              <w:spacing w:after="0"/>
              <w:rPr>
                <w:sz w:val="12"/>
                <w:szCs w:val="12"/>
                <w:color w:val="auto"/>
              </w:rPr>
            </w:pPr>
          </w:p>
        </w:tc>
        <w:tc>
          <w:tcPr>
            <w:tcW w:w="600" w:type="dxa"/>
            <w:vAlign w:val="bottom"/>
            <w:gridSpan w:val="5"/>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79"/>
              </w:rPr>
              <w:t>Amount</w:t>
            </w: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4"/>
          </w:tcPr>
          <w:p>
            <w:pPr>
              <w:ind w:left="2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Customer backlog</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4260" w:type="dxa"/>
            <w:vAlign w:val="bottom"/>
          </w:tcPr>
          <w:p>
            <w:pPr>
              <w:ind w:left="120"/>
              <w:spacing w:after="0" w:line="205" w:lineRule="exact"/>
              <w:rPr>
                <w:sz w:val="20"/>
                <w:szCs w:val="20"/>
                <w:color w:val="auto"/>
              </w:rPr>
            </w:pPr>
            <w:r>
              <w:rPr>
                <w:rFonts w:ascii="Arial" w:cs="Arial" w:eastAsia="Arial" w:hAnsi="Arial"/>
                <w:sz w:val="18"/>
                <w:szCs w:val="18"/>
                <w:color w:val="auto"/>
              </w:rPr>
              <w:t>Non-compete/non-solicitation agreement</w:t>
            </w:r>
          </w:p>
        </w:tc>
        <w:tc>
          <w:tcPr>
            <w:tcW w:w="1380" w:type="dxa"/>
            <w:vAlign w:val="bottom"/>
            <w:gridSpan w:val="2"/>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48</w:t>
            </w:r>
          </w:p>
        </w:tc>
        <w:tc>
          <w:tcPr>
            <w:tcW w:w="320" w:type="dxa"/>
            <w:vAlign w:val="bottom"/>
            <w:gridSpan w:val="3"/>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2,598</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738</w:t>
            </w:r>
          </w:p>
        </w:tc>
      </w:tr>
      <w:tr>
        <w:trPr>
          <w:trHeight w:val="262"/>
        </w:trPr>
        <w:tc>
          <w:tcPr>
            <w:tcW w:w="42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426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380" w:type="dxa"/>
            <w:vAlign w:val="bottom"/>
            <w:gridSpan w:val="2"/>
          </w:tcPr>
          <w:p>
            <w:pPr>
              <w:spacing w:after="0"/>
              <w:rPr>
                <w:sz w:val="17"/>
                <w:szCs w:val="17"/>
                <w:color w:val="auto"/>
              </w:rPr>
            </w:pPr>
          </w:p>
        </w:tc>
        <w:tc>
          <w:tcPr>
            <w:tcW w:w="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4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0"/>
        </w:trPr>
        <w:tc>
          <w:tcPr>
            <w:tcW w:w="4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ind w:left="28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1,248</w:t>
            </w:r>
          </w:p>
        </w:tc>
      </w:tr>
      <w:tr>
        <w:trPr>
          <w:trHeight w:val="20"/>
        </w:trPr>
        <w:tc>
          <w:tcPr>
            <w:tcW w:w="4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i w:val="1"/>
                <w:iCs w:val="1"/>
                <w:color w:val="auto"/>
                <w:w w:val="96"/>
              </w:rPr>
              <w:t>December 31, 2014</w:t>
            </w:r>
          </w:p>
        </w:tc>
        <w:tc>
          <w:tcPr>
            <w:tcW w:w="1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gridSpan w:val="4"/>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6"/>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w w:val="90"/>
              </w:rPr>
              <w:t>Net Carrying</w:t>
            </w: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1860" w:type="dxa"/>
            <w:vAlign w:val="bottom"/>
            <w:gridSpan w:val="5"/>
          </w:tcPr>
          <w:p>
            <w:pPr>
              <w:jc w:val="center"/>
              <w:ind w:left="1075"/>
              <w:spacing w:after="0" w:line="146" w:lineRule="exact"/>
              <w:rPr>
                <w:sz w:val="20"/>
                <w:szCs w:val="20"/>
                <w:color w:val="auto"/>
              </w:rPr>
            </w:pPr>
            <w:r>
              <w:rPr>
                <w:rFonts w:ascii="Arial" w:cs="Arial" w:eastAsia="Arial" w:hAnsi="Arial"/>
                <w:sz w:val="14"/>
                <w:szCs w:val="14"/>
                <w:b w:val="1"/>
                <w:bCs w:val="1"/>
                <w:i w:val="1"/>
                <w:iCs w:val="1"/>
                <w:color w:val="auto"/>
                <w:w w:val="86"/>
              </w:rPr>
              <w:t>Carrying</w:t>
            </w:r>
          </w:p>
        </w:tc>
        <w:tc>
          <w:tcPr>
            <w:tcW w:w="92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w w:val="88"/>
              </w:rPr>
              <w:t>Accumulated</w:t>
            </w:r>
          </w:p>
        </w:tc>
        <w:tc>
          <w:tcPr>
            <w:tcW w:w="200" w:type="dxa"/>
            <w:vAlign w:val="bottom"/>
          </w:tcPr>
          <w:p>
            <w:pPr>
              <w:spacing w:after="0"/>
              <w:rPr>
                <w:sz w:val="12"/>
                <w:szCs w:val="12"/>
                <w:color w:val="auto"/>
              </w:rPr>
            </w:pPr>
          </w:p>
        </w:tc>
        <w:tc>
          <w:tcPr>
            <w:tcW w:w="600" w:type="dxa"/>
            <w:vAlign w:val="bottom"/>
            <w:gridSpan w:val="5"/>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79"/>
              </w:rPr>
              <w:t>Amount</w:t>
            </w:r>
          </w:p>
        </w:tc>
        <w:tc>
          <w:tcPr>
            <w:tcW w:w="0" w:type="dxa"/>
            <w:vAlign w:val="bottom"/>
          </w:tcPr>
          <w:p>
            <w:pPr>
              <w:spacing w:after="0"/>
              <w:rPr>
                <w:sz w:val="1"/>
                <w:szCs w:val="1"/>
                <w:color w:val="auto"/>
              </w:rPr>
            </w:pPr>
          </w:p>
        </w:tc>
      </w:tr>
      <w:tr>
        <w:trPr>
          <w:trHeight w:val="129"/>
        </w:trPr>
        <w:tc>
          <w:tcPr>
            <w:tcW w:w="426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300" w:type="dxa"/>
            <w:vAlign w:val="bottom"/>
          </w:tcPr>
          <w:p>
            <w:pPr>
              <w:spacing w:after="0"/>
              <w:rPr>
                <w:sz w:val="11"/>
                <w:szCs w:val="11"/>
                <w:color w:val="auto"/>
              </w:rPr>
            </w:pPr>
          </w:p>
        </w:tc>
        <w:tc>
          <w:tcPr>
            <w:tcW w:w="560" w:type="dxa"/>
            <w:vAlign w:val="bottom"/>
            <w:gridSpan w:val="4"/>
          </w:tcPr>
          <w:p>
            <w:pPr>
              <w:jc w:val="center"/>
              <w:ind w:right="52"/>
              <w:spacing w:after="0" w:line="129"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1"/>
                <w:szCs w:val="11"/>
                <w:color w:val="auto"/>
              </w:rPr>
            </w:pPr>
          </w:p>
        </w:tc>
        <w:tc>
          <w:tcPr>
            <w:tcW w:w="800" w:type="dxa"/>
            <w:vAlign w:val="bottom"/>
            <w:gridSpan w:val="5"/>
          </w:tcPr>
          <w:p>
            <w:pPr>
              <w:spacing w:after="0" w:line="129" w:lineRule="exact"/>
              <w:rPr>
                <w:sz w:val="20"/>
                <w:szCs w:val="20"/>
                <w:color w:val="auto"/>
              </w:rPr>
            </w:pPr>
            <w:r>
              <w:rPr>
                <w:rFonts w:ascii="Arial" w:cs="Arial" w:eastAsia="Arial" w:hAnsi="Arial"/>
                <w:sz w:val="14"/>
                <w:szCs w:val="14"/>
                <w:b w:val="1"/>
                <w:bCs w:val="1"/>
                <w:i w:val="1"/>
                <w:iCs w:val="1"/>
                <w:color w:val="auto"/>
                <w:w w:val="91"/>
              </w:rPr>
              <w:t>Amortization</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26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260" w:type="dxa"/>
            <w:vAlign w:val="bottom"/>
          </w:tcPr>
          <w:p>
            <w:pPr>
              <w:ind w:left="120"/>
              <w:spacing w:after="0"/>
              <w:rPr>
                <w:sz w:val="20"/>
                <w:szCs w:val="20"/>
                <w:color w:val="auto"/>
              </w:rPr>
            </w:pPr>
            <w:r>
              <w:rPr>
                <w:rFonts w:ascii="Arial" w:cs="Arial" w:eastAsia="Arial" w:hAnsi="Arial"/>
                <w:sz w:val="18"/>
                <w:szCs w:val="18"/>
                <w:color w:val="auto"/>
              </w:rPr>
              <w:t>Customer backlog</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260" w:type="dxa"/>
            <w:vAlign w:val="bottom"/>
          </w:tcPr>
          <w:p>
            <w:pPr>
              <w:ind w:left="120"/>
              <w:spacing w:after="0" w:line="205" w:lineRule="exact"/>
              <w:rPr>
                <w:sz w:val="20"/>
                <w:szCs w:val="20"/>
                <w:color w:val="auto"/>
              </w:rPr>
            </w:pPr>
            <w:r>
              <w:rPr>
                <w:rFonts w:ascii="Arial" w:cs="Arial" w:eastAsia="Arial" w:hAnsi="Arial"/>
                <w:sz w:val="18"/>
                <w:szCs w:val="18"/>
                <w:color w:val="auto"/>
              </w:rPr>
              <w:t>Non-compete/non-solicitation agreement</w:t>
            </w:r>
          </w:p>
        </w:tc>
        <w:tc>
          <w:tcPr>
            <w:tcW w:w="1380" w:type="dxa"/>
            <w:vAlign w:val="bottom"/>
            <w:gridSpan w:val="2"/>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86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26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380" w:type="dxa"/>
            <w:vAlign w:val="bottom"/>
            <w:gridSpan w:val="2"/>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8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1,393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40" w:right="1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5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six months ended June 30, 2015 and 2014 was $145 and $185,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2015 (remainder)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144</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2016</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9"/>
        </w:trPr>
        <w:tc>
          <w:tcPr>
            <w:tcW w:w="306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During the six months ended June 30, 2015 and 2014, Hakuto Co., Ltd., one of our distributors, accounted for 12% and 11% of our consolidated net revenues, respectively. These revenues were generated by our Thermal Products segment. During the six months ended June 30, 2014, Texas Instruments Incorporated accounted for 13% of our consolidated net revenues. While all three of our operating segments sold products to this customer, these revenues were primarily generated by our Mechanical Products and our Electrical Products segments. No other customers accounted for 10% or more of our consolidated net revenues during the six months ended June 30, 2015 and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2015 and December 31, 2014 were comprised of the following:</w:t>
      </w:r>
    </w:p>
    <w:p>
      <w:pPr>
        <w:sectPr>
          <w:pgSz w:w="11900" w:h="16870" w:orient="portrait"/>
          <w:cols w:equalWidth="0" w:num="1">
            <w:col w:w="11420"/>
          </w:cols>
          <w:pgMar w:left="240" w:top="292" w:right="239" w:bottom="0" w:gutter="0" w:footer="0" w:header="0"/>
        </w:sectPr>
      </w:pPr>
    </w:p>
    <w:p>
      <w:pPr>
        <w:spacing w:after="0" w:line="224" w:lineRule="exact"/>
        <w:rPr>
          <w:sz w:val="20"/>
          <w:szCs w:val="20"/>
          <w:color w:val="auto"/>
        </w:rPr>
      </w:pPr>
    </w:p>
    <w:tbl>
      <w:tblPr>
        <w:tblLayout w:type="fixed"/>
        <w:tblInd w:w="7300" w:type="dxa"/>
        <w:tblCellMar>
          <w:top w:w="0" w:type="dxa"/>
          <w:left w:w="0" w:type="dxa"/>
          <w:bottom w:w="0" w:type="dxa"/>
          <w:right w:w="0" w:type="dxa"/>
        </w:tblCellMar>
      </w:tblPr>
      <w:tr>
        <w:trPr>
          <w:trHeight w:val="161"/>
        </w:trPr>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5"/>
              </w:rPr>
              <w:t>June 30,</w:t>
            </w:r>
          </w:p>
        </w:tc>
        <w:tc>
          <w:tcPr>
            <w:tcW w:w="4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46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300" w:type="dxa"/>
            <w:vAlign w:val="bottom"/>
          </w:tcPr>
          <w:p>
            <w:pPr>
              <w:spacing w:after="0"/>
              <w:rPr>
                <w:sz w:val="12"/>
                <w:szCs w:val="12"/>
                <w:color w:val="auto"/>
              </w:rPr>
            </w:pPr>
          </w:p>
        </w:tc>
        <w:tc>
          <w:tcPr>
            <w:tcW w:w="48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2014</w:t>
            </w:r>
          </w:p>
        </w:tc>
      </w:tr>
    </w:tbl>
    <w:p>
      <w:pPr>
        <w:sectPr>
          <w:pgSz w:w="11900" w:h="16870" w:orient="portrait"/>
          <w:cols w:equalWidth="0" w:num="1">
            <w:col w:w="11420"/>
          </w:cols>
          <w:pgMar w:left="240" w:top="292"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2760" w:type="dxa"/>
        <w:tblCellMar>
          <w:top w:w="0" w:type="dxa"/>
          <w:left w:w="0" w:type="dxa"/>
          <w:bottom w:w="0" w:type="dxa"/>
          <w:right w:w="0" w:type="dxa"/>
        </w:tblCellMar>
      </w:tblP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Raw materials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$2,505</w:t>
            </w:r>
          </w:p>
        </w:tc>
      </w:tr>
      <w:tr>
        <w:trPr>
          <w:trHeight w:val="257"/>
        </w:trPr>
        <w:tc>
          <w:tcPr>
            <w:tcW w:w="2420" w:type="dxa"/>
            <w:vAlign w:val="bottom"/>
          </w:tcPr>
          <w:p>
            <w:pPr>
              <w:spacing w:after="0"/>
              <w:rPr>
                <w:sz w:val="20"/>
                <w:szCs w:val="20"/>
                <w:color w:val="auto"/>
              </w:rPr>
            </w:pPr>
            <w:r>
              <w:rPr>
                <w:rFonts w:ascii="Arial" w:cs="Arial" w:eastAsia="Arial" w:hAnsi="Arial"/>
                <w:sz w:val="18"/>
                <w:szCs w:val="18"/>
                <w:color w:val="auto"/>
              </w:rPr>
              <w:t>Work in process</w:t>
            </w:r>
          </w:p>
        </w:tc>
        <w:tc>
          <w:tcPr>
            <w:tcW w:w="2660" w:type="dxa"/>
            <w:vAlign w:val="bottom"/>
            <w:gridSpan w:val="2"/>
          </w:tcPr>
          <w:p>
            <w:pPr>
              <w:jc w:val="right"/>
              <w:spacing w:after="0"/>
              <w:rPr>
                <w:sz w:val="20"/>
                <w:szCs w:val="20"/>
                <w:color w:val="auto"/>
              </w:rPr>
            </w:pPr>
            <w:r>
              <w:rPr>
                <w:rFonts w:ascii="Arial" w:cs="Arial" w:eastAsia="Arial" w:hAnsi="Arial"/>
                <w:sz w:val="14"/>
                <w:szCs w:val="14"/>
                <w:color w:val="auto"/>
              </w:rPr>
              <w:t>683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406</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05"/>
        </w:trPr>
        <w:tc>
          <w:tcPr>
            <w:tcW w:w="242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2180" w:type="dxa"/>
            <w:vAlign w:val="bottom"/>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551</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729</w:t>
            </w:r>
          </w:p>
        </w:tc>
      </w:tr>
      <w:tr>
        <w:trPr>
          <w:trHeight w:val="223"/>
        </w:trPr>
        <w:tc>
          <w:tcPr>
            <w:tcW w:w="2420" w:type="dxa"/>
            <w:vAlign w:val="bottom"/>
          </w:tcPr>
          <w:p>
            <w:pPr>
              <w:spacing w:after="0"/>
              <w:rPr>
                <w:sz w:val="19"/>
                <w:szCs w:val="19"/>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4,019</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3,769</w:t>
            </w:r>
          </w:p>
        </w:tc>
      </w:tr>
      <w:tr>
        <w:trPr>
          <w:trHeight w:val="464"/>
        </w:trPr>
        <w:tc>
          <w:tcPr>
            <w:tcW w:w="2420" w:type="dxa"/>
            <w:vAlign w:val="bottom"/>
          </w:tcPr>
          <w:p>
            <w:pPr>
              <w:spacing w:after="0"/>
              <w:rPr>
                <w:sz w:val="24"/>
                <w:szCs w:val="24"/>
                <w:color w:val="auto"/>
              </w:rPr>
            </w:pPr>
          </w:p>
        </w:tc>
        <w:tc>
          <w:tcPr>
            <w:tcW w:w="2180" w:type="dxa"/>
            <w:vAlign w:val="bottom"/>
          </w:tcPr>
          <w:p>
            <w:pPr>
              <w:jc w:val="right"/>
              <w:ind w:right="1376"/>
              <w:spacing w:after="0"/>
              <w:rPr>
                <w:sz w:val="20"/>
                <w:szCs w:val="20"/>
                <w:color w:val="auto"/>
              </w:rPr>
            </w:pPr>
            <w:r>
              <w:rPr>
                <w:rFonts w:ascii="Arial" w:cs="Arial" w:eastAsia="Arial" w:hAnsi="Arial"/>
                <w:sz w:val="18"/>
                <w:szCs w:val="18"/>
                <w:color w:val="auto"/>
              </w:rPr>
              <w:t>- 10 -</w:t>
            </w: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bl>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The terms of our leases also allow us to request a reduction in the amount of these letters of credit at certain points during the lease term if there have been no events of default. As of June 30, 2015, there have been no events of default. Our outstanding letters of credit at June 30, 2015 and December 31, 2014 consisted of the following:</w:t>
      </w:r>
    </w:p>
    <w:p>
      <w:pPr>
        <w:spacing w:after="0" w:line="15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4"/>
                <w:szCs w:val="14"/>
                <w:b w:val="1"/>
                <w:bCs w:val="1"/>
                <w:i w:val="1"/>
                <w:iCs w:val="1"/>
                <w:color w:val="auto"/>
                <w:w w:val="90"/>
              </w:rPr>
              <w:t>Letters of Credit</w:t>
            </w:r>
          </w:p>
        </w:tc>
      </w:tr>
      <w:tr>
        <w:trPr>
          <w:trHeight w:val="146"/>
        </w:trPr>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bottom w:val="single" w:sz="8" w:color="auto"/>
            </w:tcBorders>
            <w:gridSpan w:val="5"/>
          </w:tcPr>
          <w:p>
            <w:pPr>
              <w:jc w:val="right"/>
              <w:spacing w:after="0" w:line="146" w:lineRule="exact"/>
              <w:rPr>
                <w:sz w:val="20"/>
                <w:szCs w:val="20"/>
                <w:color w:val="auto"/>
              </w:rPr>
            </w:pPr>
            <w:r>
              <w:rPr>
                <w:rFonts w:ascii="Arial" w:cs="Arial" w:eastAsia="Arial" w:hAnsi="Arial"/>
                <w:sz w:val="14"/>
                <w:szCs w:val="14"/>
                <w:b w:val="1"/>
                <w:bCs w:val="1"/>
                <w:i w:val="1"/>
                <w:iCs w:val="1"/>
                <w:color w:val="auto"/>
                <w:w w:val="87"/>
              </w:rPr>
              <w:t>Amount Outstanding</w:t>
            </w:r>
          </w:p>
        </w:tc>
        <w:tc>
          <w:tcPr>
            <w:tcW w:w="20" w:type="dxa"/>
            <w:vAlign w:val="bottom"/>
          </w:tcPr>
          <w:p>
            <w:pPr>
              <w:spacing w:after="0"/>
              <w:rPr>
                <w:sz w:val="12"/>
                <w:szCs w:val="12"/>
                <w:color w:val="auto"/>
              </w:rPr>
            </w:pPr>
          </w:p>
        </w:tc>
      </w:tr>
      <w:tr>
        <w:trPr>
          <w:trHeight w:val="158"/>
        </w:trPr>
        <w:tc>
          <w:tcPr>
            <w:tcW w:w="2020" w:type="dxa"/>
            <w:vAlign w:val="bottom"/>
          </w:tcPr>
          <w:p>
            <w:pPr>
              <w:spacing w:after="0"/>
              <w:rPr>
                <w:sz w:val="13"/>
                <w:szCs w:val="13"/>
                <w:color w:val="auto"/>
              </w:rPr>
            </w:pPr>
          </w:p>
        </w:tc>
        <w:tc>
          <w:tcPr>
            <w:tcW w:w="1920" w:type="dxa"/>
            <w:vAlign w:val="bottom"/>
            <w:gridSpan w:val="3"/>
          </w:tcPr>
          <w:p>
            <w:pPr>
              <w:jc w:val="center"/>
              <w:ind w:left="83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16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1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60" w:type="dxa"/>
            <w:vAlign w:val="bottom"/>
            <w:gridSpan w:val="5"/>
          </w:tcPr>
          <w:p>
            <w:pPr>
              <w:ind w:left="180"/>
              <w:spacing w:after="0" w:line="158" w:lineRule="exact"/>
              <w:rPr>
                <w:sz w:val="20"/>
                <w:szCs w:val="20"/>
                <w:color w:val="auto"/>
              </w:rPr>
            </w:pPr>
            <w:r>
              <w:rPr>
                <w:rFonts w:ascii="Arial" w:cs="Arial" w:eastAsia="Arial" w:hAnsi="Arial"/>
                <w:sz w:val="14"/>
                <w:szCs w:val="14"/>
                <w:b w:val="1"/>
                <w:bCs w:val="1"/>
                <w:i w:val="1"/>
                <w:iCs w:val="1"/>
                <w:color w:val="auto"/>
              </w:rPr>
              <w:t>June 30,</w:t>
            </w:r>
          </w:p>
        </w:tc>
        <w:tc>
          <w:tcPr>
            <w:tcW w:w="48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40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2"/>
                <w:szCs w:val="12"/>
                <w:color w:val="auto"/>
              </w:rPr>
            </w:pPr>
          </w:p>
        </w:tc>
      </w:tr>
      <w:tr>
        <w:trPr>
          <w:trHeight w:val="235"/>
        </w:trPr>
        <w:tc>
          <w:tcPr>
            <w:tcW w:w="2020" w:type="dxa"/>
            <w:vAlign w:val="bottom"/>
          </w:tcPr>
          <w:p>
            <w:pPr>
              <w:spacing w:after="0"/>
              <w:rPr>
                <w:sz w:val="20"/>
                <w:szCs w:val="20"/>
                <w:color w:val="auto"/>
              </w:rPr>
            </w:pPr>
            <w:r>
              <w:rPr>
                <w:rFonts w:ascii="Arial" w:cs="Arial" w:eastAsia="Arial" w:hAnsi="Arial"/>
                <w:sz w:val="18"/>
                <w:szCs w:val="18"/>
                <w:color w:val="auto"/>
              </w:rPr>
              <w:t>Mt. Laurel, NJ</w:t>
            </w:r>
          </w:p>
        </w:tc>
        <w:tc>
          <w:tcPr>
            <w:tcW w:w="1920" w:type="dxa"/>
            <w:vAlign w:val="bottom"/>
            <w:gridSpan w:val="3"/>
          </w:tcPr>
          <w:p>
            <w:pPr>
              <w:jc w:val="right"/>
              <w:ind w:right="160"/>
              <w:spacing w:after="0"/>
              <w:rPr>
                <w:sz w:val="20"/>
                <w:szCs w:val="20"/>
                <w:color w:val="auto"/>
              </w:rPr>
            </w:pPr>
            <w:r>
              <w:rPr>
                <w:rFonts w:ascii="Arial" w:cs="Arial" w:eastAsia="Arial" w:hAnsi="Arial"/>
                <w:sz w:val="18"/>
                <w:szCs w:val="18"/>
                <w:color w:val="auto"/>
              </w:rPr>
              <w:t>3/29/2010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4/01/2016</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4/30/2021</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02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1920" w:type="dxa"/>
            <w:vAlign w:val="bottom"/>
            <w:gridSpan w:val="3"/>
          </w:tcPr>
          <w:p>
            <w:pPr>
              <w:jc w:val="right"/>
              <w:ind w:right="160"/>
              <w:spacing w:after="0" w:line="205" w:lineRule="exact"/>
              <w:rPr>
                <w:sz w:val="20"/>
                <w:szCs w:val="20"/>
                <w:color w:val="auto"/>
              </w:rPr>
            </w:pPr>
            <w:r>
              <w:rPr>
                <w:rFonts w:ascii="Arial" w:cs="Arial" w:eastAsia="Arial" w:hAnsi="Arial"/>
                <w:sz w:val="18"/>
                <w:szCs w:val="18"/>
                <w:color w:val="auto"/>
              </w:rPr>
              <w:t>10/27/2010</w:t>
            </w:r>
          </w:p>
        </w:tc>
        <w:tc>
          <w:tcPr>
            <w:tcW w:w="1160" w:type="dxa"/>
            <w:vAlign w:val="bottom"/>
            <w:gridSpan w:val="3"/>
          </w:tcPr>
          <w:p>
            <w:pPr>
              <w:jc w:val="right"/>
              <w:ind w:right="200"/>
              <w:spacing w:after="0" w:line="205" w:lineRule="exact"/>
              <w:rPr>
                <w:sz w:val="20"/>
                <w:szCs w:val="20"/>
                <w:color w:val="auto"/>
              </w:rPr>
            </w:pPr>
            <w:r>
              <w:rPr>
                <w:rFonts w:ascii="Arial" w:cs="Arial" w:eastAsia="Arial" w:hAnsi="Arial"/>
                <w:sz w:val="18"/>
                <w:szCs w:val="18"/>
                <w:color w:val="auto"/>
              </w:rPr>
              <w:t>11/08/2015</w:t>
            </w:r>
          </w:p>
        </w:tc>
        <w:tc>
          <w:tcPr>
            <w:tcW w:w="110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auto"/>
                <w:w w:val="89"/>
              </w:rPr>
              <w:t>8/23/2021</w:t>
            </w:r>
          </w:p>
        </w:tc>
        <w:tc>
          <w:tcPr>
            <w:tcW w:w="320" w:type="dxa"/>
            <w:vAlign w:val="bottom"/>
            <w:gridSpan w:val="3"/>
          </w:tcPr>
          <w:p>
            <w:pPr>
              <w:spacing w:after="0"/>
              <w:rPr>
                <w:sz w:val="17"/>
                <w:szCs w:val="17"/>
                <w:color w:val="auto"/>
              </w:rPr>
            </w:pPr>
          </w:p>
        </w:tc>
        <w:tc>
          <w:tcPr>
            <w:tcW w:w="3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c>
          <w:tcPr>
            <w:tcW w:w="4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20"/>
        </w:trPr>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40"/>
        <w:spacing w:after="0" w:line="332" w:lineRule="auto"/>
        <w:rPr>
          <w:sz w:val="20"/>
          <w:szCs w:val="20"/>
          <w:color w:val="auto"/>
        </w:rPr>
      </w:pPr>
      <w:r>
        <w:rPr>
          <w:rFonts w:ascii="Arial" w:cs="Arial" w:eastAsia="Arial" w:hAnsi="Arial"/>
          <w:sz w:val="16"/>
          <w:szCs w:val="16"/>
          <w:color w:val="auto"/>
        </w:rPr>
        <w:t>As of June 30, 2015, we have unvested restricted stock awards granted under stock-based employee compensation plans that are described more fully in Note 12 to the consolidated financial statements in our 2014 Form 10-K. We did not grant any stock options during 2015 or 2014.</w:t>
      </w:r>
    </w:p>
    <w:p>
      <w:pPr>
        <w:spacing w:after="0" w:line="13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As of June 30, 2015, total compensation expense to be recognized in future periods was $266. The weighted average period over which this expense is expected to be recognized is 2.2 years. The following table shows the allocation of the compensation expense we recorded during the three and six months ended June 30, 2015 and 2014, respectively, related to unvested shares:</w:t>
      </w:r>
    </w:p>
    <w:p>
      <w:pPr>
        <w:spacing w:after="0" w:line="19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40" w:type="dxa"/>
            <w:vAlign w:val="bottom"/>
            <w:gridSpan w:val="8"/>
          </w:tcPr>
          <w:p>
            <w:pPr>
              <w:jc w:val="center"/>
              <w:ind w:left="38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460" w:type="dxa"/>
            <w:vAlign w:val="bottom"/>
          </w:tcPr>
          <w:p>
            <w:pPr>
              <w:spacing w:after="0"/>
              <w:rPr>
                <w:sz w:val="14"/>
                <w:szCs w:val="14"/>
                <w:color w:val="auto"/>
              </w:rPr>
            </w:pPr>
          </w:p>
        </w:tc>
        <w:tc>
          <w:tcPr>
            <w:tcW w:w="1180" w:type="dxa"/>
            <w:vAlign w:val="bottom"/>
            <w:gridSpan w:val="8"/>
          </w:tcPr>
          <w:p>
            <w:pPr>
              <w:jc w:val="center"/>
              <w:ind w:right="160"/>
              <w:spacing w:after="0"/>
              <w:rPr>
                <w:sz w:val="20"/>
                <w:szCs w:val="20"/>
                <w:color w:val="auto"/>
              </w:rPr>
            </w:pPr>
            <w:r>
              <w:rPr>
                <w:rFonts w:ascii="Arial" w:cs="Arial" w:eastAsia="Arial" w:hAnsi="Arial"/>
                <w:sz w:val="14"/>
                <w:szCs w:val="14"/>
                <w:b w:val="1"/>
                <w:bCs w:val="1"/>
                <w:i w:val="1"/>
                <w:iCs w:val="1"/>
                <w:color w:val="auto"/>
                <w:w w:val="84"/>
              </w:rPr>
              <w:t>Six Months Ended</w:t>
            </w:r>
          </w:p>
        </w:tc>
      </w:tr>
      <w:tr>
        <w:trPr>
          <w:trHeight w:val="146"/>
        </w:trPr>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860" w:type="dxa"/>
            <w:vAlign w:val="bottom"/>
          </w:tcPr>
          <w:p>
            <w:pPr>
              <w:spacing w:after="0"/>
              <w:rPr>
                <w:sz w:val="13"/>
                <w:szCs w:val="13"/>
                <w:color w:val="auto"/>
              </w:rPr>
            </w:pPr>
          </w:p>
        </w:tc>
        <w:tc>
          <w:tcPr>
            <w:tcW w:w="1020" w:type="dxa"/>
            <w:vAlign w:val="bottom"/>
            <w:gridSpan w:val="3"/>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380" w:type="dxa"/>
            <w:vAlign w:val="bottom"/>
          </w:tcPr>
          <w:p>
            <w:pPr>
              <w:spacing w:after="0"/>
              <w:rPr>
                <w:sz w:val="13"/>
                <w:szCs w:val="13"/>
                <w:color w:val="auto"/>
              </w:rPr>
            </w:pPr>
          </w:p>
        </w:tc>
        <w:tc>
          <w:tcPr>
            <w:tcW w:w="4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w w:val="89"/>
              </w:rPr>
              <w:t>2014</w:t>
            </w:r>
          </w:p>
        </w:tc>
        <w:tc>
          <w:tcPr>
            <w:tcW w:w="820" w:type="dxa"/>
            <w:vAlign w:val="bottom"/>
            <w:gridSpan w:val="4"/>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400" w:type="dxa"/>
            <w:vAlign w:val="bottom"/>
          </w:tcPr>
          <w:p>
            <w:pPr>
              <w:spacing w:after="0"/>
              <w:rPr>
                <w:sz w:val="13"/>
                <w:szCs w:val="13"/>
                <w:color w:val="auto"/>
              </w:rPr>
            </w:pPr>
          </w:p>
        </w:tc>
        <w:tc>
          <w:tcPr>
            <w:tcW w:w="4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89"/>
              </w:rPr>
              <w:t>2014</w:t>
            </w:r>
          </w:p>
        </w:tc>
      </w:tr>
      <w:tr>
        <w:trPr>
          <w:trHeight w:val="20"/>
        </w:trPr>
        <w:tc>
          <w:tcPr>
            <w:tcW w:w="38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386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380" w:type="dxa"/>
            <w:vAlign w:val="bottom"/>
          </w:tcPr>
          <w:p>
            <w:pPr>
              <w:spacing w:after="0"/>
              <w:rPr>
                <w:sz w:val="20"/>
                <w:szCs w:val="20"/>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$ 3</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$ 5</w:t>
            </w:r>
          </w:p>
        </w:tc>
        <w:tc>
          <w:tcPr>
            <w:tcW w:w="40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$ 6</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05"/>
        </w:trPr>
        <w:tc>
          <w:tcPr>
            <w:tcW w:w="386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700" w:type="dxa"/>
            <w:vAlign w:val="bottom"/>
          </w:tcPr>
          <w:p>
            <w:pPr>
              <w:spacing w:after="0"/>
              <w:rPr>
                <w:sz w:val="17"/>
                <w:szCs w:val="17"/>
                <w:color w:val="auto"/>
              </w:rPr>
            </w:pPr>
          </w:p>
        </w:tc>
        <w:tc>
          <w:tcPr>
            <w:tcW w:w="3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24</w:t>
            </w:r>
          </w:p>
        </w:tc>
        <w:tc>
          <w:tcPr>
            <w:tcW w:w="4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53</w:t>
            </w:r>
          </w:p>
        </w:tc>
      </w:tr>
      <w:tr>
        <w:trPr>
          <w:trHeight w:val="223"/>
        </w:trPr>
        <w:tc>
          <w:tcPr>
            <w:tcW w:w="3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$ 31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$ 33</w:t>
            </w:r>
          </w:p>
        </w:tc>
        <w:tc>
          <w:tcPr>
            <w:tcW w:w="4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$ 61</w:t>
            </w:r>
          </w:p>
        </w:tc>
        <w:tc>
          <w:tcPr>
            <w:tcW w:w="40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$ 74</w:t>
            </w:r>
          </w:p>
        </w:tc>
      </w:tr>
      <w:tr>
        <w:trPr>
          <w:trHeight w:val="20"/>
        </w:trPr>
        <w:tc>
          <w:tcPr>
            <w:tcW w:w="38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six months ended June 30, 2015 or 2014.</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for the six months ended June 30, 2015:</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3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gridSpan w:val="3"/>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336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3360" w:type="dxa"/>
            <w:vAlign w:val="bottom"/>
          </w:tcPr>
          <w:p>
            <w:pPr>
              <w:spacing w:after="0"/>
              <w:rPr>
                <w:sz w:val="20"/>
                <w:szCs w:val="20"/>
                <w:color w:val="auto"/>
              </w:rPr>
            </w:pPr>
            <w:r>
              <w:rPr>
                <w:rFonts w:ascii="Arial" w:cs="Arial" w:eastAsia="Arial" w:hAnsi="Arial"/>
                <w:sz w:val="18"/>
                <w:szCs w:val="18"/>
                <w:color w:val="auto"/>
                <w:w w:val="89"/>
              </w:rPr>
              <w:t>Unvested shares outstanding, January 1, 2015</w:t>
            </w:r>
          </w:p>
        </w:tc>
        <w:tc>
          <w:tcPr>
            <w:tcW w:w="24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101,875</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Granted</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Vested</w:t>
            </w:r>
          </w:p>
        </w:tc>
        <w:tc>
          <w:tcPr>
            <w:tcW w:w="3180" w:type="dxa"/>
            <w:vAlign w:val="bottom"/>
            <w:gridSpan w:val="4"/>
          </w:tcPr>
          <w:p>
            <w:pPr>
              <w:jc w:val="right"/>
              <w:ind w:right="80"/>
              <w:spacing w:after="0"/>
              <w:rPr>
                <w:sz w:val="20"/>
                <w:szCs w:val="20"/>
                <w:color w:val="auto"/>
              </w:rPr>
            </w:pPr>
            <w:r>
              <w:rPr>
                <w:rFonts w:ascii="Arial" w:cs="Arial" w:eastAsia="Arial" w:hAnsi="Arial"/>
                <w:sz w:val="18"/>
                <w:szCs w:val="18"/>
                <w:color w:val="auto"/>
              </w:rPr>
              <w:t>(13,125)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05"/>
        </w:trPr>
        <w:tc>
          <w:tcPr>
            <w:tcW w:w="336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248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w w:val="93"/>
              </w:rPr>
              <w:t>Unvested shares outstanding, June 30, 2015</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88,750</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464"/>
        </w:trPr>
        <w:tc>
          <w:tcPr>
            <w:tcW w:w="3360" w:type="dxa"/>
            <w:vAlign w:val="bottom"/>
          </w:tcPr>
          <w:p>
            <w:pPr>
              <w:spacing w:after="0"/>
              <w:rPr>
                <w:sz w:val="24"/>
                <w:szCs w:val="24"/>
                <w:color w:val="auto"/>
              </w:rPr>
            </w:pPr>
          </w:p>
        </w:tc>
        <w:tc>
          <w:tcPr>
            <w:tcW w:w="2480" w:type="dxa"/>
            <w:vAlign w:val="bottom"/>
          </w:tcPr>
          <w:p>
            <w:pPr>
              <w:jc w:val="right"/>
              <w:ind w:right="1892"/>
              <w:spacing w:after="0"/>
              <w:rPr>
                <w:sz w:val="20"/>
                <w:szCs w:val="20"/>
                <w:color w:val="auto"/>
              </w:rPr>
            </w:pPr>
            <w:r>
              <w:rPr>
                <w:rFonts w:ascii="Arial" w:cs="Arial" w:eastAsia="Arial" w:hAnsi="Arial"/>
                <w:sz w:val="18"/>
                <w:szCs w:val="18"/>
                <w:color w:val="auto"/>
              </w:rPr>
              <w:t>- 11 -</w:t>
            </w: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w:t>
      </w:r>
    </w:p>
    <w:p>
      <w:pPr>
        <w:sectPr>
          <w:pgSz w:w="11900" w:h="16838" w:orient="portrait"/>
          <w:cols w:equalWidth="0" w:num="1">
            <w:col w:w="11280"/>
          </w:cols>
          <w:pgMar w:left="240" w:top="118" w:right="379" w:bottom="0" w:gutter="0" w:footer="0" w:header="0"/>
        </w:sectPr>
      </w:pPr>
    </w:p>
    <w:bookmarkStart w:id="10" w:name="page11"/>
    <w:bookmarkEnd w:id="10"/>
    <w:p>
      <w:pPr>
        <w:ind w:left="540" w:right="420"/>
        <w:spacing w:after="0" w:line="268" w:lineRule="auto"/>
        <w:rPr>
          <w:sz w:val="20"/>
          <w:szCs w:val="20"/>
          <w:color w:val="auto"/>
        </w:rPr>
      </w:pPr>
      <w:r>
        <w:rPr>
          <w:rFonts w:ascii="Arial" w:cs="Arial" w:eastAsia="Arial" w:hAnsi="Arial"/>
          <w:sz w:val="18"/>
          <w:szCs w:val="18"/>
          <w:color w:val="auto"/>
        </w:rPr>
        <w:t>four years. Matching contributions are discretionary. For the six months ended June 30, 2015 and 2014, we recorded $239 and $229 of expense for matching contributions,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6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13"/>
          </w:tcPr>
          <w:p>
            <w:pPr>
              <w:jc w:val="center"/>
              <w:ind w:right="26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14"/>
          </w:tcPr>
          <w:p>
            <w:pPr>
              <w:jc w:val="center"/>
              <w:ind w:right="280"/>
              <w:spacing w:after="0"/>
              <w:rPr>
                <w:sz w:val="20"/>
                <w:szCs w:val="20"/>
                <w:color w:val="auto"/>
              </w:rPr>
            </w:pPr>
            <w:r>
              <w:rPr>
                <w:rFonts w:ascii="Arial" w:cs="Arial" w:eastAsia="Arial" w:hAnsi="Arial"/>
                <w:sz w:val="14"/>
                <w:szCs w:val="14"/>
                <w:b w:val="1"/>
                <w:bCs w:val="1"/>
                <w:i w:val="1"/>
                <w:iCs w:val="1"/>
                <w:color w:val="auto"/>
                <w:w w:val="82"/>
              </w:rPr>
              <w:t>Six Months Ended</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7"/>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9"/>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76"/>
              </w:rPr>
              <w:t>2015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76"/>
              </w:rPr>
              <w:t>2014</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2014</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8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$ 6,659</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$ 6,116</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$12,376</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w w:val="98"/>
              </w:rPr>
              <w:t>$11,359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6,184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180" w:type="dxa"/>
            <w:vAlign w:val="bottom"/>
          </w:tcPr>
          <w:p>
            <w:pPr>
              <w:spacing w:after="0"/>
              <w:rPr>
                <w:sz w:val="17"/>
                <w:szCs w:val="17"/>
                <w:color w:val="auto"/>
              </w:rPr>
            </w:pPr>
          </w:p>
        </w:tc>
        <w:tc>
          <w:tcPr>
            <w:tcW w:w="56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2,413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2,090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4,449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3,597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11,559</w:t>
            </w:r>
          </w:p>
        </w:tc>
        <w:tc>
          <w:tcPr>
            <w:tcW w:w="16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12,343</w:t>
            </w:r>
          </w:p>
        </w:tc>
        <w:tc>
          <w:tcPr>
            <w:tcW w:w="120" w:type="dxa"/>
            <w:vAlign w:val="bottom"/>
          </w:tcPr>
          <w:p>
            <w:pPr>
              <w:spacing w:after="0"/>
              <w:rPr>
                <w:sz w:val="19"/>
                <w:szCs w:val="19"/>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21,747</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w w:val="84"/>
              </w:rPr>
              <w:t>Earnings (loss) before income tax expense (benefit):</w:t>
            </w: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1900" w:type="dxa"/>
            <w:vAlign w:val="bottom"/>
            <w:gridSpan w:val="7"/>
          </w:tcPr>
          <w:p>
            <w:pPr>
              <w:ind w:left="1420"/>
              <w:spacing w:after="0"/>
              <w:rPr>
                <w:sz w:val="20"/>
                <w:szCs w:val="20"/>
                <w:color w:val="auto"/>
              </w:rPr>
            </w:pPr>
            <w:r>
              <w:rPr>
                <w:rFonts w:ascii="Arial" w:cs="Arial" w:eastAsia="Arial" w:hAnsi="Arial"/>
                <w:sz w:val="18"/>
                <w:szCs w:val="18"/>
                <w:color w:val="auto"/>
              </w:rPr>
              <w:t>(196)</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800" w:type="dxa"/>
            <w:vAlign w:val="bottom"/>
            <w:gridSpan w:val="9"/>
          </w:tcPr>
          <w:p>
            <w:pPr>
              <w:jc w:val="right"/>
              <w:ind w:right="80"/>
              <w:spacing w:after="0"/>
              <w:rPr>
                <w:sz w:val="20"/>
                <w:szCs w:val="20"/>
                <w:color w:val="auto"/>
              </w:rPr>
            </w:pPr>
            <w:r>
              <w:rPr>
                <w:rFonts w:ascii="Arial" w:cs="Arial" w:eastAsia="Arial" w:hAnsi="Arial"/>
                <w:sz w:val="18"/>
                <w:szCs w:val="18"/>
                <w:color w:val="auto"/>
              </w:rPr>
              <w:t>(481)</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Electrical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340" w:type="dxa"/>
            <w:vAlign w:val="bottom"/>
            <w:gridSpan w:val="3"/>
          </w:tcPr>
          <w:p>
            <w:pPr>
              <w:spacing w:after="0"/>
              <w:rPr>
                <w:sz w:val="17"/>
                <w:szCs w:val="17"/>
                <w:color w:val="auto"/>
              </w:rPr>
            </w:pPr>
          </w:p>
        </w:tc>
        <w:tc>
          <w:tcPr>
            <w:tcW w:w="560" w:type="dxa"/>
            <w:vAlign w:val="bottom"/>
            <w:gridSpan w:val="4"/>
          </w:tcPr>
          <w:p>
            <w:pPr>
              <w:ind w:left="80"/>
              <w:spacing w:after="0" w:line="205" w:lineRule="exact"/>
              <w:rPr>
                <w:sz w:val="20"/>
                <w:szCs w:val="20"/>
                <w:color w:val="auto"/>
              </w:rPr>
            </w:pPr>
            <w:r>
              <w:rPr>
                <w:rFonts w:ascii="Arial" w:cs="Arial" w:eastAsia="Arial" w:hAnsi="Arial"/>
                <w:sz w:val="18"/>
                <w:szCs w:val="18"/>
                <w:color w:val="auto"/>
              </w:rPr>
              <w:t>(159)</w:t>
            </w:r>
          </w:p>
        </w:tc>
        <w:tc>
          <w:tcPr>
            <w:tcW w:w="780" w:type="dxa"/>
            <w:vAlign w:val="bottom"/>
            <w:gridSpan w:val="8"/>
          </w:tcPr>
          <w:p>
            <w:pPr>
              <w:ind w:left="320"/>
              <w:spacing w:after="0" w:line="205" w:lineRule="exact"/>
              <w:rPr>
                <w:sz w:val="20"/>
                <w:szCs w:val="20"/>
                <w:color w:val="auto"/>
              </w:rPr>
            </w:pPr>
            <w:r>
              <w:rPr>
                <w:rFonts w:ascii="Arial" w:cs="Arial" w:eastAsia="Arial" w:hAnsi="Arial"/>
                <w:sz w:val="18"/>
                <w:szCs w:val="18"/>
                <w:color w:val="auto"/>
              </w:rPr>
              <w:t>(190)</w:t>
            </w:r>
          </w:p>
        </w:tc>
        <w:tc>
          <w:tcPr>
            <w:tcW w:w="800" w:type="dxa"/>
            <w:vAlign w:val="bottom"/>
            <w:gridSpan w:val="9"/>
          </w:tcPr>
          <w:p>
            <w:pPr>
              <w:jc w:val="right"/>
              <w:ind w:right="80"/>
              <w:spacing w:after="0" w:line="205" w:lineRule="exact"/>
              <w:rPr>
                <w:sz w:val="20"/>
                <w:szCs w:val="20"/>
                <w:color w:val="auto"/>
              </w:rPr>
            </w:pPr>
            <w:r>
              <w:rPr>
                <w:rFonts w:ascii="Arial" w:cs="Arial" w:eastAsia="Arial" w:hAnsi="Arial"/>
                <w:sz w:val="18"/>
                <w:szCs w:val="18"/>
                <w:color w:val="auto"/>
              </w:rPr>
              <w:t>(551)</w:t>
            </w:r>
          </w:p>
        </w:tc>
        <w:tc>
          <w:tcPr>
            <w:tcW w:w="720" w:type="dxa"/>
            <w:vAlign w:val="bottom"/>
            <w:gridSpan w:val="8"/>
          </w:tcPr>
          <w:p>
            <w:pPr>
              <w:jc w:val="right"/>
              <w:spacing w:after="0" w:line="205"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40" w:type="dxa"/>
            <w:vAlign w:val="bottom"/>
            <w:tcBorders>
              <w:right w:val="single" w:sz="8" w:color="auto"/>
            </w:tcBorders>
            <w:gridSpan w:val="3"/>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1,659</w:t>
            </w:r>
          </w:p>
        </w:tc>
        <w:tc>
          <w:tcPr>
            <w:tcW w:w="16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Thermal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$ 797</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$1,361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Mechanical Products</w:t>
            </w:r>
          </w:p>
        </w:tc>
        <w:tc>
          <w:tcPr>
            <w:tcW w:w="1900" w:type="dxa"/>
            <w:vAlign w:val="bottom"/>
            <w:gridSpan w:val="7"/>
          </w:tcPr>
          <w:p>
            <w:pPr>
              <w:ind w:left="1420"/>
              <w:spacing w:after="0"/>
              <w:rPr>
                <w:sz w:val="20"/>
                <w:szCs w:val="20"/>
                <w:color w:val="auto"/>
              </w:rPr>
            </w:pPr>
            <w:r>
              <w:rPr>
                <w:rFonts w:ascii="Arial" w:cs="Arial" w:eastAsia="Arial" w:hAnsi="Arial"/>
                <w:sz w:val="18"/>
                <w:szCs w:val="18"/>
                <w:color w:val="auto"/>
              </w:rPr>
              <w:t>(128)</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800" w:type="dxa"/>
            <w:vAlign w:val="bottom"/>
            <w:gridSpan w:val="9"/>
          </w:tcPr>
          <w:p>
            <w:pPr>
              <w:jc w:val="right"/>
              <w:ind w:right="80"/>
              <w:spacing w:after="0"/>
              <w:rPr>
                <w:sz w:val="20"/>
                <w:szCs w:val="20"/>
                <w:color w:val="auto"/>
              </w:rPr>
            </w:pPr>
            <w:r>
              <w:rPr>
                <w:rFonts w:ascii="Arial" w:cs="Arial" w:eastAsia="Arial" w:hAnsi="Arial"/>
                <w:sz w:val="18"/>
                <w:szCs w:val="18"/>
                <w:color w:val="auto"/>
              </w:rPr>
              <w:t>(314)</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Electrical Products</w:t>
            </w:r>
          </w:p>
        </w:tc>
        <w:tc>
          <w:tcPr>
            <w:tcW w:w="1740" w:type="dxa"/>
            <w:vAlign w:val="bottom"/>
            <w:gridSpan w:val="6"/>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340" w:type="dxa"/>
            <w:vAlign w:val="bottom"/>
            <w:gridSpan w:val="3"/>
          </w:tcPr>
          <w:p>
            <w:pPr>
              <w:spacing w:after="0"/>
              <w:rPr>
                <w:sz w:val="17"/>
                <w:szCs w:val="17"/>
                <w:color w:val="auto"/>
              </w:rPr>
            </w:pPr>
          </w:p>
        </w:tc>
        <w:tc>
          <w:tcPr>
            <w:tcW w:w="560" w:type="dxa"/>
            <w:vAlign w:val="bottom"/>
            <w:gridSpan w:val="4"/>
          </w:tcPr>
          <w:p>
            <w:pPr>
              <w:ind w:left="80"/>
              <w:spacing w:after="0" w:line="205" w:lineRule="exact"/>
              <w:rPr>
                <w:sz w:val="20"/>
                <w:szCs w:val="20"/>
                <w:color w:val="auto"/>
              </w:rPr>
            </w:pPr>
            <w:r>
              <w:rPr>
                <w:rFonts w:ascii="Arial" w:cs="Arial" w:eastAsia="Arial" w:hAnsi="Arial"/>
                <w:sz w:val="18"/>
                <w:szCs w:val="18"/>
                <w:color w:val="auto"/>
              </w:rPr>
              <w:t>(104)</w:t>
            </w:r>
          </w:p>
        </w:tc>
        <w:tc>
          <w:tcPr>
            <w:tcW w:w="780" w:type="dxa"/>
            <w:vAlign w:val="bottom"/>
            <w:gridSpan w:val="8"/>
          </w:tcPr>
          <w:p>
            <w:pPr>
              <w:ind w:left="320"/>
              <w:spacing w:after="0" w:line="205" w:lineRule="exact"/>
              <w:rPr>
                <w:sz w:val="20"/>
                <w:szCs w:val="20"/>
                <w:color w:val="auto"/>
              </w:rPr>
            </w:pPr>
            <w:r>
              <w:rPr>
                <w:rFonts w:ascii="Arial" w:cs="Arial" w:eastAsia="Arial" w:hAnsi="Arial"/>
                <w:sz w:val="18"/>
                <w:szCs w:val="18"/>
                <w:color w:val="auto"/>
              </w:rPr>
              <w:t>(125)</w:t>
            </w:r>
          </w:p>
        </w:tc>
        <w:tc>
          <w:tcPr>
            <w:tcW w:w="800" w:type="dxa"/>
            <w:vAlign w:val="bottom"/>
            <w:gridSpan w:val="9"/>
          </w:tcPr>
          <w:p>
            <w:pPr>
              <w:jc w:val="right"/>
              <w:ind w:right="80"/>
              <w:spacing w:after="0" w:line="205" w:lineRule="exact"/>
              <w:rPr>
                <w:sz w:val="20"/>
                <w:szCs w:val="20"/>
                <w:color w:val="auto"/>
              </w:rPr>
            </w:pPr>
            <w:r>
              <w:rPr>
                <w:rFonts w:ascii="Arial" w:cs="Arial" w:eastAsia="Arial" w:hAnsi="Arial"/>
                <w:sz w:val="18"/>
                <w:szCs w:val="18"/>
                <w:color w:val="auto"/>
              </w:rPr>
              <w:t>(360)</w:t>
            </w:r>
          </w:p>
        </w:tc>
        <w:tc>
          <w:tcPr>
            <w:tcW w:w="720" w:type="dxa"/>
            <w:vAlign w:val="bottom"/>
            <w:gridSpan w:val="8"/>
          </w:tcPr>
          <w:p>
            <w:pPr>
              <w:jc w:val="right"/>
              <w:spacing w:after="0" w:line="205"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1,080</w:t>
            </w:r>
          </w:p>
        </w:tc>
        <w:tc>
          <w:tcPr>
            <w:tcW w:w="16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1,357</w:t>
            </w:r>
          </w:p>
        </w:tc>
        <w:tc>
          <w:tcPr>
            <w:tcW w:w="120" w:type="dxa"/>
            <w:vAlign w:val="bottom"/>
          </w:tcPr>
          <w:p>
            <w:pPr>
              <w:spacing w:after="0"/>
              <w:rPr>
                <w:sz w:val="19"/>
                <w:szCs w:val="19"/>
                <w:color w:val="auto"/>
              </w:rPr>
            </w:pPr>
          </w:p>
        </w:tc>
        <w:tc>
          <w:tcPr>
            <w:tcW w:w="68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6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80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Arial" w:cs="Arial" w:eastAsia="Arial" w:hAnsi="Arial"/>
                <w:sz w:val="18"/>
                <w:szCs w:val="18"/>
                <w:color w:val="auto"/>
                <w:w w:val="85"/>
              </w:rPr>
              <w:t>- 12 -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242"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i w:val="1"/>
                <w:iCs w:val="1"/>
                <w:color w:val="auto"/>
                <w:w w:val="85"/>
              </w:rPr>
              <w:t>June 30,</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648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i w:val="1"/>
                <w:iCs w:val="1"/>
                <w:color w:val="auto"/>
              </w:rPr>
              <w:t>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4"/>
                <w:szCs w:val="14"/>
                <w:color w:val="auto"/>
              </w:rPr>
            </w:pPr>
          </w:p>
        </w:tc>
      </w:tr>
      <w:tr>
        <w:trPr>
          <w:trHeight w:val="26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$16,631</w:t>
            </w:r>
          </w:p>
        </w:tc>
        <w:tc>
          <w:tcPr>
            <w:tcW w:w="18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$26,211</w:t>
            </w:r>
          </w:p>
        </w:tc>
      </w:tr>
      <w:tr>
        <w:trPr>
          <w:trHeight w:val="243"/>
        </w:trPr>
        <w:tc>
          <w:tcPr>
            <w:tcW w:w="648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20,472</w:t>
            </w:r>
          </w:p>
        </w:tc>
        <w:tc>
          <w:tcPr>
            <w:tcW w:w="18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7,801</w:t>
            </w:r>
          </w:p>
        </w:tc>
      </w:tr>
      <w:tr>
        <w:trPr>
          <w:trHeight w:val="205"/>
        </w:trPr>
        <w:tc>
          <w:tcPr>
            <w:tcW w:w="64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3,969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4,726</w:t>
            </w:r>
          </w:p>
        </w:tc>
      </w:tr>
      <w:tr>
        <w:trPr>
          <w:trHeight w:val="223"/>
        </w:trPr>
        <w:tc>
          <w:tcPr>
            <w:tcW w:w="64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41,072</w:t>
            </w:r>
          </w:p>
        </w:tc>
        <w:tc>
          <w:tcPr>
            <w:tcW w:w="1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38,738</w:t>
            </w:r>
          </w:p>
        </w:tc>
      </w:tr>
      <w:tr>
        <w:trPr>
          <w:trHeight w:val="20"/>
        </w:trPr>
        <w:tc>
          <w:tcPr>
            <w:tcW w:w="6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gridSpan w:val="7"/>
          </w:tcPr>
          <w:p>
            <w:pPr>
              <w:jc w:val="right"/>
              <w:ind w:right="160"/>
              <w:spacing w:after="0"/>
              <w:rPr>
                <w:sz w:val="20"/>
                <w:szCs w:val="20"/>
                <w:color w:val="auto"/>
              </w:rPr>
            </w:pPr>
            <w:r>
              <w:rPr>
                <w:rFonts w:ascii="Arial" w:cs="Arial" w:eastAsia="Arial" w:hAnsi="Arial"/>
                <w:sz w:val="14"/>
                <w:szCs w:val="14"/>
                <w:b w:val="1"/>
                <w:bCs w:val="1"/>
                <w:i w:val="1"/>
                <w:iCs w:val="1"/>
                <w:color w:val="auto"/>
                <w:w w:val="70"/>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9"/>
          </w:tcPr>
          <w:p>
            <w:pPr>
              <w:jc w:val="right"/>
              <w:ind w:right="22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8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3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3"/>
                <w:szCs w:val="13"/>
                <w:color w:val="auto"/>
              </w:rPr>
            </w:pPr>
          </w:p>
        </w:tc>
      </w:tr>
      <w:tr>
        <w:trPr>
          <w:trHeight w:val="235"/>
        </w:trPr>
        <w:tc>
          <w:tcPr>
            <w:tcW w:w="30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U.S.</w:t>
            </w:r>
          </w:p>
        </w:tc>
        <w:tc>
          <w:tcPr>
            <w:tcW w:w="2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3,830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3,723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7,319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6,872</w:t>
            </w:r>
          </w:p>
        </w:tc>
      </w:tr>
      <w:tr>
        <w:trPr>
          <w:trHeight w:val="205"/>
        </w:trPr>
        <w:tc>
          <w:tcPr>
            <w:tcW w:w="30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75"/>
              </w:rPr>
              <w:t>7,729</w:t>
            </w:r>
          </w:p>
        </w:tc>
        <w:tc>
          <w:tcPr>
            <w:tcW w:w="320" w:type="dxa"/>
            <w:vAlign w:val="bottom"/>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8,620</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87"/>
              </w:rPr>
              <w:t>14,428</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83"/>
              </w:rPr>
              <w:t>14,268</w:t>
            </w:r>
          </w:p>
        </w:tc>
      </w:tr>
      <w:tr>
        <w:trPr>
          <w:trHeight w:val="223"/>
        </w:trPr>
        <w:tc>
          <w:tcPr>
            <w:tcW w:w="3000" w:type="dxa"/>
            <w:vAlign w:val="bottom"/>
          </w:tcPr>
          <w:p>
            <w:pPr>
              <w:spacing w:after="0"/>
              <w:rPr>
                <w:sz w:val="19"/>
                <w:szCs w:val="19"/>
                <w:color w:val="auto"/>
              </w:rPr>
            </w:pPr>
          </w:p>
        </w:tc>
        <w:tc>
          <w:tcPr>
            <w:tcW w:w="2200" w:type="dxa"/>
            <w:vAlign w:val="bottom"/>
          </w:tcPr>
          <w:p>
            <w:pPr>
              <w:jc w:val="right"/>
              <w:ind w:right="32"/>
              <w:spacing w:after="0"/>
              <w:rPr>
                <w:sz w:val="20"/>
                <w:szCs w:val="20"/>
                <w:color w:val="auto"/>
              </w:rPr>
            </w:pPr>
            <w:r>
              <w:rPr>
                <w:rFonts w:ascii="Arial" w:cs="Arial" w:eastAsia="Arial" w:hAnsi="Arial"/>
                <w:sz w:val="18"/>
                <w:szCs w:val="18"/>
                <w:u w:val="single" w:color="auto"/>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w w:val="74"/>
              </w:rPr>
              <w:t>11,559</w:t>
            </w:r>
          </w:p>
        </w:tc>
        <w:tc>
          <w:tcPr>
            <w:tcW w:w="3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12,343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21,747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21,140</w:t>
            </w:r>
          </w:p>
        </w:tc>
      </w:tr>
      <w:tr>
        <w:trPr>
          <w:trHeight w:val="20"/>
        </w:trPr>
        <w:tc>
          <w:tcPr>
            <w:tcW w:w="3000" w:type="dxa"/>
            <w:vAlign w:val="bottom"/>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80"/>
          </w:cols>
          <w:pgMar w:left="240" w:top="131" w:right="379" w:bottom="0" w:gutter="0" w:footer="0" w:header="0"/>
        </w:sectPr>
      </w:pPr>
    </w:p>
    <w:bookmarkStart w:id="11" w:name="page12"/>
    <w:bookmarkEnd w:id="11"/>
    <w:p>
      <w:pPr>
        <w:spacing w:after="0" w:line="6" w:lineRule="exact"/>
        <w:rPr>
          <w:sz w:val="20"/>
          <w:szCs w:val="20"/>
          <w:color w:val="auto"/>
        </w:rPr>
      </w:pPr>
    </w:p>
    <w:tbl>
      <w:tblPr>
        <w:tblLayout w:type="fixed"/>
        <w:tblInd w:w="170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800" w:type="dxa"/>
            <w:vAlign w:val="bottom"/>
            <w:gridSpan w:val="6"/>
          </w:tcPr>
          <w:p>
            <w:pPr>
              <w:ind w:left="20"/>
              <w:spacing w:after="0"/>
              <w:rPr>
                <w:sz w:val="20"/>
                <w:szCs w:val="20"/>
                <w:color w:val="auto"/>
              </w:rPr>
            </w:pPr>
            <w:r>
              <w:rPr>
                <w:rFonts w:ascii="Arial" w:cs="Arial" w:eastAsia="Arial" w:hAnsi="Arial"/>
                <w:sz w:val="14"/>
                <w:szCs w:val="14"/>
                <w:b w:val="1"/>
                <w:bCs w:val="1"/>
                <w:i w:val="1"/>
                <w:iCs w:val="1"/>
                <w:color w:val="auto"/>
              </w:rPr>
              <w:t>June 30,</w:t>
            </w:r>
          </w:p>
        </w:tc>
        <w:tc>
          <w:tcPr>
            <w:tcW w:w="60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90"/>
              </w:rPr>
              <w:t>Dec. 31,</w:t>
            </w:r>
          </w:p>
        </w:tc>
      </w:tr>
      <w:tr>
        <w:trPr>
          <w:trHeight w:val="163"/>
        </w:trPr>
        <w:tc>
          <w:tcPr>
            <w:tcW w:w="6540" w:type="dxa"/>
            <w:vAlign w:val="bottom"/>
          </w:tcPr>
          <w:p>
            <w:pPr>
              <w:spacing w:after="0"/>
              <w:rPr>
                <w:sz w:val="14"/>
                <w:szCs w:val="14"/>
                <w:color w:val="auto"/>
              </w:rPr>
            </w:pPr>
          </w:p>
        </w:tc>
        <w:tc>
          <w:tcPr>
            <w:tcW w:w="5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i w:val="1"/>
                <w:iCs w:val="1"/>
                <w:color w:val="auto"/>
              </w:rPr>
              <w:t>2015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14"/>
                <w:szCs w:val="14"/>
                <w:color w:val="auto"/>
              </w:rPr>
            </w:pPr>
          </w:p>
        </w:tc>
      </w:tr>
      <w:tr>
        <w:trPr>
          <w:trHeight w:val="262"/>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U.S.</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621</w:t>
            </w:r>
          </w:p>
        </w:tc>
      </w:tr>
      <w:tr>
        <w:trPr>
          <w:trHeight w:val="205"/>
        </w:trPr>
        <w:tc>
          <w:tcPr>
            <w:tcW w:w="654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647</w:t>
            </w:r>
          </w:p>
        </w:tc>
      </w:tr>
      <w:tr>
        <w:trPr>
          <w:trHeight w:val="223"/>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1419225</wp:posOffset>
            </wp:positionV>
            <wp:extent cx="22123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jc w:val="both"/>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2014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2014 Form 10-K. Material changes to such risk factors may be reported in subsequent Quarterly Reports on Form 10-Q in Part II, Item 1A. There have been no such changes from the risk factors set forth in our 2014 Form 10-K.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2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2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20" w:right="340"/>
        <w:spacing w:after="0" w:line="332" w:lineRule="auto"/>
        <w:rPr>
          <w:sz w:val="20"/>
          <w:szCs w:val="20"/>
          <w:color w:val="auto"/>
        </w:rPr>
      </w:pPr>
      <w:r>
        <w:rPr>
          <w:rFonts w:ascii="Arial" w:cs="Arial" w:eastAsia="Arial" w:hAnsi="Arial"/>
          <w:sz w:val="16"/>
          <w:szCs w:val="16"/>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w:t>
      </w:r>
    </w:p>
    <w:p>
      <w:pPr>
        <w:sectPr>
          <w:pgSz w:w="11900" w:h="16844" w:orient="portrait"/>
          <w:cols w:equalWidth="0" w:num="1">
            <w:col w:w="11380"/>
          </w:cols>
          <w:pgMar w:left="260" w:top="372" w:right="259" w:bottom="0" w:gutter="0" w:footer="0" w:header="0"/>
        </w:sectPr>
      </w:pPr>
    </w:p>
    <w:bookmarkStart w:id="12" w:name="page13"/>
    <w:bookmarkEnd w:id="12"/>
    <w:p>
      <w:pPr>
        <w:jc w:val="both"/>
        <w:ind w:left="540" w:right="460"/>
        <w:spacing w:after="0" w:line="306" w:lineRule="auto"/>
        <w:rPr>
          <w:sz w:val="20"/>
          <w:szCs w:val="20"/>
          <w:color w:val="auto"/>
        </w:rPr>
      </w:pPr>
      <w:r>
        <w:rPr>
          <w:rFonts w:ascii="Arial" w:cs="Arial" w:eastAsia="Arial" w:hAnsi="Arial"/>
          <w:sz w:val="16"/>
          <w:szCs w:val="16"/>
          <w:color w:val="auto"/>
        </w:rPr>
        <w:t>defense/aerospace, energy, industrial and telecommunications markets. We believe that these markets usually are less cyclical than the ATE market. However, because we are a relatively new market entrant in these markets, we have not yet developed meaningful market shares in these non-ATE markets. Consequently, we are continuing to evaluate customer buying patterns and market trends in these non-ATE markets.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In addition, our orders and net revenues in any given period in these markets do not necessarily reflect the overall trends in these non-ATE markets due to our limited market shares. The level of our orders and net revenues from these non-ATE markets has varied in the past, and we expect will vary significantly in the future, as we work to build our presence in these markets and establish new markets for our products.</w:t>
      </w:r>
    </w:p>
    <w:p>
      <w:pPr>
        <w:spacing w:after="0" w:line="16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8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center"/>
              <w:ind w:right="600"/>
              <w:spacing w:after="0"/>
              <w:rPr>
                <w:sz w:val="20"/>
                <w:szCs w:val="20"/>
                <w:color w:val="auto"/>
              </w:rPr>
            </w:pPr>
            <w:r>
              <w:rPr>
                <w:rFonts w:ascii="Arial" w:cs="Arial" w:eastAsia="Arial" w:hAnsi="Arial"/>
                <w:sz w:val="14"/>
                <w:szCs w:val="14"/>
                <w:b w:val="1"/>
                <w:bCs w:val="1"/>
                <w:i w:val="1"/>
                <w:iCs w:val="1"/>
                <w:color w:val="auto"/>
                <w:w w:val="73"/>
              </w:rPr>
              <w:t>Three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8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4"/>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380" w:type="dxa"/>
            <w:vAlign w:val="bottom"/>
          </w:tcPr>
          <w:p>
            <w:pPr>
              <w:spacing w:after="0"/>
              <w:rPr>
                <w:sz w:val="12"/>
                <w:szCs w:val="12"/>
                <w:color w:val="auto"/>
              </w:rPr>
            </w:pPr>
          </w:p>
        </w:tc>
        <w:tc>
          <w:tcPr>
            <w:tcW w:w="720" w:type="dxa"/>
            <w:vAlign w:val="bottom"/>
            <w:tcBorders>
              <w:bottom w:val="single" w:sz="8" w:color="auto"/>
            </w:tcBorders>
            <w:gridSpan w:val="5"/>
          </w:tcPr>
          <w:p>
            <w:pPr>
              <w:ind w:left="14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40" w:type="dxa"/>
            <w:vAlign w:val="bottom"/>
            <w:gridSpan w:val="2"/>
          </w:tcPr>
          <w:p>
            <w:pPr>
              <w:spacing w:after="0"/>
              <w:rPr>
                <w:sz w:val="12"/>
                <w:szCs w:val="12"/>
                <w:color w:val="auto"/>
              </w:rPr>
            </w:pPr>
          </w:p>
        </w:tc>
      </w:tr>
      <w:tr>
        <w:trPr>
          <w:trHeight w:val="223"/>
        </w:trPr>
        <w:tc>
          <w:tcPr>
            <w:tcW w:w="3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89"/>
              </w:rPr>
              <w:t>2015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9"/>
              </w:rPr>
              <w:t>2015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jc w:val="right"/>
              <w:ind w:right="177"/>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Thermal Products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6,064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6,094</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   (30)</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6,433</w:t>
            </w:r>
          </w:p>
        </w:tc>
        <w:tc>
          <w:tcPr>
            <w:tcW w:w="380" w:type="dxa"/>
            <w:vAlign w:val="bottom"/>
          </w:tcPr>
          <w:p>
            <w:pPr>
              <w:spacing w:after="0"/>
              <w:rPr>
                <w:sz w:val="21"/>
                <w:szCs w:val="21"/>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7"/>
              </w:rPr>
              <w:t>$ (369)</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21"/>
                <w:szCs w:val="21"/>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4,178</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(2,293)</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2,534</w:t>
            </w:r>
          </w:p>
        </w:tc>
        <w:tc>
          <w:tcPr>
            <w:tcW w:w="380" w:type="dxa"/>
            <w:vAlign w:val="bottom"/>
          </w:tcPr>
          <w:p>
            <w:pPr>
              <w:spacing w:after="0"/>
              <w:rPr>
                <w:sz w:val="21"/>
                <w:szCs w:val="21"/>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(649)</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1"/>
              </w:rPr>
              <w:t>(26)%</w:t>
            </w:r>
          </w:p>
        </w:tc>
      </w:tr>
      <w:tr>
        <w:trPr>
          <w:trHeight w:val="205"/>
        </w:trPr>
        <w:tc>
          <w:tcPr>
            <w:tcW w:w="34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2,337</w:t>
            </w:r>
          </w:p>
        </w:tc>
        <w:tc>
          <w:tcPr>
            <w:tcW w:w="220" w:type="dxa"/>
            <w:vAlign w:val="bottom"/>
          </w:tcPr>
          <w:p>
            <w:pPr>
              <w:spacing w:after="0"/>
              <w:rPr>
                <w:sz w:val="17"/>
                <w:szCs w:val="17"/>
                <w:color w:val="auto"/>
              </w:rPr>
            </w:pPr>
          </w:p>
        </w:tc>
        <w:tc>
          <w:tcPr>
            <w:tcW w:w="560" w:type="dxa"/>
            <w:vAlign w:val="bottom"/>
            <w:gridSpan w:val="4"/>
          </w:tcPr>
          <w:p>
            <w:pPr>
              <w:jc w:val="right"/>
              <w:ind w:right="120"/>
              <w:spacing w:after="0" w:line="205" w:lineRule="exact"/>
              <w:rPr>
                <w:sz w:val="20"/>
                <w:szCs w:val="20"/>
                <w:color w:val="auto"/>
              </w:rPr>
            </w:pPr>
            <w:r>
              <w:rPr>
                <w:rFonts w:ascii="Arial" w:cs="Arial" w:eastAsia="Arial" w:hAnsi="Arial"/>
                <w:sz w:val="18"/>
                <w:szCs w:val="18"/>
                <w:color w:val="auto"/>
                <w:w w:val="93"/>
              </w:rPr>
              <w:t>2,366</w:t>
            </w:r>
          </w:p>
        </w:tc>
        <w:tc>
          <w:tcPr>
            <w:tcW w:w="74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(29)</w:t>
            </w:r>
          </w:p>
        </w:tc>
        <w:tc>
          <w:tcPr>
            <w:tcW w:w="5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w w:val="93"/>
              </w:rPr>
              <w:t>2,464</w:t>
            </w:r>
          </w:p>
        </w:tc>
        <w:tc>
          <w:tcPr>
            <w:tcW w:w="380" w:type="dxa"/>
            <w:vAlign w:val="bottom"/>
          </w:tcPr>
          <w:p>
            <w:pPr>
              <w:spacing w:after="0"/>
              <w:rPr>
                <w:sz w:val="17"/>
                <w:szCs w:val="17"/>
                <w:color w:val="auto"/>
              </w:rPr>
            </w:pPr>
          </w:p>
        </w:tc>
        <w:tc>
          <w:tcPr>
            <w:tcW w:w="50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rPr>
              <w:t>(127)</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(5)%</w:t>
            </w:r>
          </w:p>
        </w:tc>
      </w:tr>
      <w:tr>
        <w:trPr>
          <w:trHeight w:val="20"/>
        </w:trPr>
        <w:tc>
          <w:tcPr>
            <w:tcW w:w="34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10,286</w:t>
            </w:r>
          </w:p>
        </w:tc>
        <w:tc>
          <w:tcPr>
            <w:tcW w:w="2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76"/>
              </w:rPr>
              <w:t>12,638</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(2,352) (19)%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76"/>
              </w:rPr>
              <w:t>11,431</w:t>
            </w:r>
          </w:p>
        </w:tc>
        <w:tc>
          <w:tcPr>
            <w:tcW w:w="380" w:type="dxa"/>
            <w:vAlign w:val="bottom"/>
          </w:tcPr>
          <w:p>
            <w:pPr>
              <w:spacing w:after="0"/>
              <w:rPr>
                <w:sz w:val="19"/>
                <w:szCs w:val="19"/>
                <w:color w:val="auto"/>
              </w:rPr>
            </w:pPr>
          </w:p>
        </w:tc>
        <w:tc>
          <w:tcPr>
            <w:tcW w:w="9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(1,145) (10)%</w:t>
            </w: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505"/>
        </w:trPr>
        <w:tc>
          <w:tcPr>
            <w:tcW w:w="3480" w:type="dxa"/>
            <w:vAlign w:val="bottom"/>
          </w:tcPr>
          <w:p>
            <w:pPr>
              <w:spacing w:after="0"/>
              <w:rPr>
                <w:sz w:val="20"/>
                <w:szCs w:val="20"/>
                <w:color w:val="auto"/>
              </w:rPr>
            </w:pPr>
            <w:r>
              <w:rPr>
                <w:rFonts w:ascii="Arial" w:cs="Arial" w:eastAsia="Arial" w:hAnsi="Arial"/>
                <w:sz w:val="18"/>
                <w:szCs w:val="18"/>
                <w:color w:val="auto"/>
              </w:rPr>
              <w:t>ATE market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7,646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9,040</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color w:val="auto"/>
                <w:w w:val="99"/>
              </w:rPr>
              <w:t>$(1,394) (15)%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9,297</w:t>
            </w:r>
          </w:p>
        </w:tc>
        <w:tc>
          <w:tcPr>
            <w:tcW w:w="380" w:type="dxa"/>
            <w:vAlign w:val="bottom"/>
          </w:tcPr>
          <w:p>
            <w:pPr>
              <w:spacing w:after="0"/>
              <w:rPr>
                <w:sz w:val="24"/>
                <w:szCs w:val="24"/>
                <w:color w:val="auto"/>
              </w:rPr>
            </w:pPr>
          </w:p>
        </w:tc>
        <w:tc>
          <w:tcPr>
            <w:tcW w:w="960" w:type="dxa"/>
            <w:vAlign w:val="bottom"/>
            <w:gridSpan w:val="7"/>
          </w:tcPr>
          <w:p>
            <w:pPr>
              <w:jc w:val="right"/>
              <w:spacing w:after="0"/>
              <w:rPr>
                <w:sz w:val="20"/>
                <w:szCs w:val="20"/>
                <w:color w:val="auto"/>
              </w:rPr>
            </w:pPr>
            <w:r>
              <w:rPr>
                <w:rFonts w:ascii="Arial" w:cs="Arial" w:eastAsia="Arial" w:hAnsi="Arial"/>
                <w:sz w:val="18"/>
                <w:szCs w:val="18"/>
                <w:color w:val="auto"/>
                <w:w w:val="78"/>
              </w:rPr>
              <w:t>$(1,651) (18)%</w:t>
            </w:r>
          </w:p>
        </w:tc>
      </w:tr>
      <w:tr>
        <w:trPr>
          <w:trHeight w:val="205"/>
        </w:trPr>
        <w:tc>
          <w:tcPr>
            <w:tcW w:w="34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40" w:type="dxa"/>
            <w:vAlign w:val="bottom"/>
          </w:tcPr>
          <w:p>
            <w:pPr>
              <w:spacing w:after="0"/>
              <w:rPr>
                <w:sz w:val="17"/>
                <w:szCs w:val="17"/>
                <w:color w:val="auto"/>
              </w:rPr>
            </w:pP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2,640</w:t>
            </w:r>
          </w:p>
        </w:tc>
        <w:tc>
          <w:tcPr>
            <w:tcW w:w="220" w:type="dxa"/>
            <w:vAlign w:val="bottom"/>
          </w:tcPr>
          <w:p>
            <w:pPr>
              <w:spacing w:after="0"/>
              <w:rPr>
                <w:sz w:val="17"/>
                <w:szCs w:val="17"/>
                <w:color w:val="auto"/>
              </w:rPr>
            </w:pPr>
          </w:p>
        </w:tc>
        <w:tc>
          <w:tcPr>
            <w:tcW w:w="560" w:type="dxa"/>
            <w:vAlign w:val="bottom"/>
            <w:gridSpan w:val="4"/>
          </w:tcPr>
          <w:p>
            <w:pPr>
              <w:jc w:val="right"/>
              <w:ind w:right="120"/>
              <w:spacing w:after="0" w:line="205" w:lineRule="exact"/>
              <w:rPr>
                <w:sz w:val="20"/>
                <w:szCs w:val="20"/>
                <w:color w:val="auto"/>
              </w:rPr>
            </w:pPr>
            <w:r>
              <w:rPr>
                <w:rFonts w:ascii="Arial" w:cs="Arial" w:eastAsia="Arial" w:hAnsi="Arial"/>
                <w:sz w:val="18"/>
                <w:szCs w:val="18"/>
                <w:color w:val="auto"/>
                <w:w w:val="93"/>
              </w:rPr>
              <w:t>3,598</w:t>
            </w:r>
          </w:p>
        </w:tc>
        <w:tc>
          <w:tcPr>
            <w:tcW w:w="74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(958)</w:t>
            </w:r>
          </w:p>
        </w:tc>
        <w:tc>
          <w:tcPr>
            <w:tcW w:w="52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w w:val="93"/>
              </w:rPr>
              <w:t>2,134</w:t>
            </w:r>
          </w:p>
        </w:tc>
        <w:tc>
          <w:tcPr>
            <w:tcW w:w="380" w:type="dxa"/>
            <w:vAlign w:val="bottom"/>
          </w:tcPr>
          <w:p>
            <w:pPr>
              <w:spacing w:after="0"/>
              <w:rPr>
                <w:sz w:val="17"/>
                <w:szCs w:val="17"/>
                <w:color w:val="auto"/>
              </w:rPr>
            </w:pPr>
          </w:p>
        </w:tc>
        <w:tc>
          <w:tcPr>
            <w:tcW w:w="50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506</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24 %</w:t>
            </w:r>
          </w:p>
        </w:tc>
      </w:tr>
      <w:tr>
        <w:trPr>
          <w:trHeight w:val="20"/>
        </w:trPr>
        <w:tc>
          <w:tcPr>
            <w:tcW w:w="34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10,286</w:t>
            </w:r>
          </w:p>
        </w:tc>
        <w:tc>
          <w:tcPr>
            <w:tcW w:w="2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76"/>
              </w:rPr>
              <w:t>12,638</w:t>
            </w:r>
          </w:p>
        </w:tc>
        <w:tc>
          <w:tcPr>
            <w:tcW w:w="126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(2,352) (19)%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76"/>
              </w:rPr>
              <w:t>11,431</w:t>
            </w:r>
          </w:p>
        </w:tc>
        <w:tc>
          <w:tcPr>
            <w:tcW w:w="380" w:type="dxa"/>
            <w:vAlign w:val="bottom"/>
          </w:tcPr>
          <w:p>
            <w:pPr>
              <w:spacing w:after="0"/>
              <w:rPr>
                <w:sz w:val="19"/>
                <w:szCs w:val="19"/>
                <w:color w:val="auto"/>
              </w:rPr>
            </w:pPr>
          </w:p>
        </w:tc>
        <w:tc>
          <w:tcPr>
            <w:tcW w:w="96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(1,145) (10)%</w:t>
            </w: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5"/>
              </w:rPr>
              <w:t>Six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9"/>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gridSpan w:val="3"/>
          </w:tcPr>
          <w:p>
            <w:pPr>
              <w:jc w:val="right"/>
              <w:ind w:right="40"/>
              <w:spacing w:after="0" w:line="146" w:lineRule="exact"/>
              <w:rPr>
                <w:sz w:val="20"/>
                <w:szCs w:val="20"/>
                <w:color w:val="auto"/>
              </w:rPr>
            </w:pPr>
            <w:r>
              <w:rPr>
                <w:rFonts w:ascii="Arial" w:cs="Arial" w:eastAsia="Arial" w:hAnsi="Arial"/>
                <w:sz w:val="14"/>
                <w:szCs w:val="14"/>
                <w:b w:val="1"/>
                <w:bCs w:val="1"/>
                <w:i w:val="1"/>
                <w:iCs w:val="1"/>
                <w:color w:val="auto"/>
                <w:w w:val="97"/>
              </w:rPr>
              <w:t>Change</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23"/>
        </w:trPr>
        <w:tc>
          <w:tcPr>
            <w:tcW w:w="34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3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spacing w:after="0"/>
              <w:rPr>
                <w:sz w:val="19"/>
                <w:szCs w:val="19"/>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$12,497</w:t>
            </w:r>
          </w:p>
        </w:tc>
        <w:tc>
          <w:tcPr>
            <w:tcW w:w="120" w:type="dxa"/>
            <w:vAlign w:val="bottom"/>
          </w:tcPr>
          <w:p>
            <w:pPr>
              <w:spacing w:after="0"/>
              <w:rPr>
                <w:sz w:val="21"/>
                <w:szCs w:val="21"/>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w w:val="79"/>
              </w:rPr>
              <w:t>$11,738</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759</w:t>
            </w:r>
          </w:p>
        </w:tc>
        <w:tc>
          <w:tcPr>
            <w:tcW w:w="14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21"/>
                <w:szCs w:val="21"/>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7,142</w:t>
            </w:r>
          </w:p>
        </w:tc>
        <w:tc>
          <w:tcPr>
            <w:tcW w:w="1220" w:type="dxa"/>
            <w:vAlign w:val="bottom"/>
            <w:gridSpan w:val="9"/>
          </w:tcPr>
          <w:p>
            <w:pPr>
              <w:jc w:val="right"/>
              <w:spacing w:after="0"/>
              <w:rPr>
                <w:sz w:val="20"/>
                <w:szCs w:val="20"/>
                <w:color w:val="auto"/>
              </w:rPr>
            </w:pPr>
            <w:r>
              <w:rPr>
                <w:rFonts w:ascii="Arial" w:cs="Arial" w:eastAsia="Arial" w:hAnsi="Arial"/>
                <w:sz w:val="18"/>
                <w:szCs w:val="18"/>
                <w:color w:val="auto"/>
              </w:rPr>
              <w:t>(2,723) (38)%</w:t>
            </w: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4,801</w:t>
            </w:r>
          </w:p>
        </w:tc>
        <w:tc>
          <w:tcPr>
            <w:tcW w:w="120" w:type="dxa"/>
            <w:vAlign w:val="bottom"/>
          </w:tcPr>
          <w:p>
            <w:pPr>
              <w:spacing w:after="0"/>
              <w:rPr>
                <w:sz w:val="17"/>
                <w:szCs w:val="17"/>
                <w:color w:val="auto"/>
              </w:rPr>
            </w:pPr>
          </w:p>
        </w:tc>
        <w:tc>
          <w:tcPr>
            <w:tcW w:w="5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3,919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882</w:t>
            </w:r>
          </w:p>
        </w:tc>
        <w:tc>
          <w:tcPr>
            <w:tcW w:w="140" w:type="dxa"/>
            <w:vAlign w:val="bottom"/>
          </w:tcPr>
          <w:p>
            <w:pPr>
              <w:spacing w:after="0"/>
              <w:rPr>
                <w:sz w:val="17"/>
                <w:szCs w:val="17"/>
                <w:color w:val="auto"/>
              </w:rPr>
            </w:pPr>
          </w:p>
        </w:tc>
        <w:tc>
          <w:tcPr>
            <w:tcW w:w="40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2"/>
              </w:rPr>
              <w:t>23 %</w:t>
            </w:r>
          </w:p>
        </w:tc>
      </w:tr>
      <w:tr>
        <w:trPr>
          <w:trHeight w:val="223"/>
        </w:trPr>
        <w:tc>
          <w:tcPr>
            <w:tcW w:w="34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21,717</w:t>
            </w: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22,799</w:t>
            </w:r>
          </w:p>
        </w:tc>
        <w:tc>
          <w:tcPr>
            <w:tcW w:w="100" w:type="dxa"/>
            <w:vAlign w:val="bottom"/>
          </w:tcPr>
          <w:p>
            <w:pPr>
              <w:spacing w:after="0"/>
              <w:rPr>
                <w:sz w:val="19"/>
                <w:szCs w:val="19"/>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99"/>
              </w:rPr>
              <w:t>(5)%</w:t>
            </w:r>
          </w:p>
        </w:tc>
      </w:tr>
      <w:tr>
        <w:trPr>
          <w:trHeight w:val="20"/>
        </w:trPr>
        <w:tc>
          <w:tcPr>
            <w:tcW w:w="3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380"/>
          </w:cols>
          <w:pgMar w:left="240" w:top="131" w:right="279" w:bottom="0" w:gutter="0" w:footer="0" w:header="0"/>
        </w:sectPr>
      </w:pPr>
    </w:p>
    <w:bookmarkStart w:id="13" w:name="page14"/>
    <w:bookmarkEnd w:id="13"/>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ATE market</w:t>
            </w:r>
          </w:p>
        </w:tc>
        <w:tc>
          <w:tcPr>
            <w:tcW w:w="540" w:type="dxa"/>
            <w:vAlign w:val="bottom"/>
          </w:tcPr>
          <w:p>
            <w:pPr>
              <w:jc w:val="right"/>
              <w:spacing w:after="0"/>
              <w:rPr>
                <w:sz w:val="20"/>
                <w:szCs w:val="20"/>
                <w:color w:val="auto"/>
              </w:rPr>
            </w:pPr>
            <w:r>
              <w:rPr>
                <w:rFonts w:ascii="Arial" w:cs="Arial" w:eastAsia="Arial" w:hAnsi="Arial"/>
                <w:sz w:val="18"/>
                <w:szCs w:val="18"/>
                <w:color w:val="auto"/>
                <w:w w:val="79"/>
              </w:rPr>
              <w:t>$16,943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$17,259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5"/>
        </w:trPr>
        <w:tc>
          <w:tcPr>
            <w:tcW w:w="34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40" w:type="dxa"/>
            <w:vAlign w:val="bottom"/>
          </w:tcPr>
          <w:p>
            <w:pPr>
              <w:jc w:val="right"/>
              <w:spacing w:after="0" w:line="205" w:lineRule="exact"/>
              <w:rPr>
                <w:sz w:val="20"/>
                <w:szCs w:val="20"/>
                <w:color w:val="auto"/>
              </w:rPr>
            </w:pPr>
            <w:r>
              <w:rPr>
                <w:rFonts w:ascii="Arial" w:cs="Arial" w:eastAsia="Arial" w:hAnsi="Arial"/>
                <w:sz w:val="18"/>
                <w:szCs w:val="18"/>
                <w:color w:val="auto"/>
              </w:rPr>
              <w:t>4,774</w:t>
            </w:r>
          </w:p>
        </w:tc>
        <w:tc>
          <w:tcPr>
            <w:tcW w:w="120" w:type="dxa"/>
            <w:vAlign w:val="bottom"/>
          </w:tcPr>
          <w:p>
            <w:pPr>
              <w:spacing w:after="0"/>
              <w:rPr>
                <w:sz w:val="17"/>
                <w:szCs w:val="17"/>
                <w:color w:val="auto"/>
              </w:rPr>
            </w:pPr>
          </w:p>
        </w:tc>
        <w:tc>
          <w:tcPr>
            <w:tcW w:w="540" w:type="dxa"/>
            <w:vAlign w:val="bottom"/>
          </w:tcPr>
          <w:p>
            <w:pPr>
              <w:jc w:val="right"/>
              <w:spacing w:after="0" w:line="205" w:lineRule="exact"/>
              <w:rPr>
                <w:sz w:val="20"/>
                <w:szCs w:val="20"/>
                <w:color w:val="auto"/>
              </w:rPr>
            </w:pPr>
            <w:r>
              <w:rPr>
                <w:rFonts w:ascii="Arial" w:cs="Arial" w:eastAsia="Arial" w:hAnsi="Arial"/>
                <w:sz w:val="18"/>
                <w:szCs w:val="18"/>
                <w:color w:val="auto"/>
              </w:rPr>
              <w:t>5,540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(766)</w:t>
            </w: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w w:val="95"/>
              </w:rPr>
              <w:t>(14)%</w:t>
            </w:r>
          </w:p>
        </w:tc>
      </w:tr>
      <w:tr>
        <w:trPr>
          <w:trHeight w:val="20"/>
        </w:trPr>
        <w:tc>
          <w:tcPr>
            <w:tcW w:w="3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21,717</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22,799</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(1,082)</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Total consolidated orders for the quarter ended June 30, 2015 were $10.3 million compared to $12.6 million for the same period in 2014. The decrease in consolidated orders during the second quarter of 2015 as compared to the same period in 2014 primarily reflects reduced demand in the ATE market for our Mechanical Products segment.</w:t>
      </w:r>
    </w:p>
    <w:p>
      <w:pPr>
        <w:spacing w:after="0" w:line="194"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Orders from customers in various markets outside of the ATE market for the quarter ended June 30, 2015 declined 27% as compared to the same period in 2014, reflecting decreased demand from certain existing customers in the telecommunications market. As a percent of our total consolidated orders, non-ATE markets orders were 26% in the second quarter of 2015 compared to 28% for the same period in 2014.</w:t>
      </w:r>
    </w:p>
    <w:p>
      <w:pPr>
        <w:spacing w:after="0" w:line="16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Total consolidated orders for the quarter ended June 30, 2015 were $10.3 million compared to $11.4 million for the quarter ended March 31, 2015. The decrease in consolidated orders during the second quarter of 2015 as compared to the first quarter of 2015 primarily reflects reduced demand in the ATE market for all three of our product segments. This decrease was partially offset for our Thermal Products segment by an increase in demand from certain of our non-ATE market customers. These customers were primarily new customers in the telecommunications market. While we have seen a sequential increase in demand from new customers in the telecommunications market in the second quarter of 2015, demand from existing customers we serve in this market is still significantly below the levels we experienced during the same periods in 2014.</w:t>
      </w:r>
    </w:p>
    <w:p>
      <w:pPr>
        <w:spacing w:after="0" w:line="174" w:lineRule="exact"/>
        <w:rPr>
          <w:sz w:val="20"/>
          <w:szCs w:val="20"/>
          <w:color w:val="auto"/>
        </w:rPr>
      </w:pPr>
    </w:p>
    <w:p>
      <w:pPr>
        <w:ind w:left="540" w:right="100"/>
        <w:spacing w:after="0" w:line="332" w:lineRule="auto"/>
        <w:rPr>
          <w:sz w:val="20"/>
          <w:szCs w:val="20"/>
          <w:color w:val="auto"/>
        </w:rPr>
      </w:pPr>
      <w:r>
        <w:rPr>
          <w:rFonts w:ascii="Arial" w:cs="Arial" w:eastAsia="Arial" w:hAnsi="Arial"/>
          <w:sz w:val="16"/>
          <w:szCs w:val="16"/>
          <w:color w:val="auto"/>
        </w:rPr>
        <w:t>Orders from customers in various markets outside of the ATE market for the quarter ended June 30, 2015 grew by 24% as compared to the quarter ended March 31, 2015, primarily reflecting the aforementioned increased demand from certain new customers in the telecommunications market.</w:t>
      </w:r>
    </w:p>
    <w:p>
      <w:pPr>
        <w:spacing w:after="0" w:line="13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June 30, 2015, our backlog of unfilled orders for all products was approximately $3.8 million compared with approximately $4.8 million at June 30, 2014 and $5.0 million at March 31, 2015. Our backlog includes customer orders which we have accepted, substantially all of which we expect to deliver in 2015.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11"/>
          </w:tcPr>
          <w:p>
            <w:pPr>
              <w:jc w:val="center"/>
              <w:ind w:right="580"/>
              <w:spacing w:after="0"/>
              <w:rPr>
                <w:sz w:val="20"/>
                <w:szCs w:val="20"/>
                <w:color w:val="auto"/>
              </w:rPr>
            </w:pPr>
            <w:r>
              <w:rPr>
                <w:rFonts w:ascii="Arial" w:cs="Arial" w:eastAsia="Arial" w:hAnsi="Arial"/>
                <w:sz w:val="14"/>
                <w:szCs w:val="14"/>
                <w:b w:val="1"/>
                <w:bCs w:val="1"/>
                <w:i w:val="1"/>
                <w:iCs w:val="1"/>
                <w:color w:val="auto"/>
                <w:w w:val="83"/>
              </w:rPr>
              <w:t>Three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6"/>
          </w:tcPr>
          <w:p>
            <w:pPr>
              <w:jc w:val="center"/>
              <w:ind w:right="340"/>
              <w:spacing w:after="0"/>
              <w:rPr>
                <w:sz w:val="20"/>
                <w:szCs w:val="20"/>
                <w:color w:val="auto"/>
              </w:rPr>
            </w:pPr>
            <w:r>
              <w:rPr>
                <w:rFonts w:ascii="Arial" w:cs="Arial" w:eastAsia="Arial" w:hAnsi="Arial"/>
                <w:sz w:val="14"/>
                <w:szCs w:val="14"/>
                <w:b w:val="1"/>
                <w:bCs w:val="1"/>
                <w:i w:val="1"/>
                <w:iCs w:val="1"/>
                <w:color w:val="auto"/>
                <w:w w:val="83"/>
              </w:rPr>
              <w:t>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1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gridSpan w:val="7"/>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gridSpan w:val="5"/>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6"/>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ind w:left="120"/>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6"/>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480" w:type="dxa"/>
            <w:vAlign w:val="bottom"/>
            <w:gridSpan w:val="6"/>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jc w:val="right"/>
              <w:ind w:right="196"/>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b w:val="1"/>
                <w:bCs w:val="1"/>
                <w:i w:val="1"/>
                <w:iCs w:val="1"/>
                <w:color w:val="auto"/>
                <w:w w:val="89"/>
              </w:rPr>
              <w:t>2015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3"/>
                <w:szCs w:val="13"/>
                <w:color w:val="auto"/>
              </w:rPr>
            </w:pPr>
          </w:p>
        </w:tc>
        <w:tc>
          <w:tcPr>
            <w:tcW w:w="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i w:val="1"/>
                <w:iCs w:val="1"/>
                <w:color w:val="auto"/>
                <w:w w:val="96"/>
              </w:rPr>
              <w:t>%</w:t>
            </w:r>
          </w:p>
        </w:tc>
        <w:tc>
          <w:tcPr>
            <w:tcW w:w="0" w:type="dxa"/>
            <w:vAlign w:val="bottom"/>
          </w:tcPr>
          <w:p>
            <w:pPr>
              <w:spacing w:after="0"/>
              <w:rPr>
                <w:sz w:val="1"/>
                <w:szCs w:val="1"/>
                <w:color w:val="auto"/>
              </w:rPr>
            </w:pPr>
          </w:p>
        </w:tc>
      </w:tr>
      <w:tr>
        <w:trPr>
          <w:trHeight w:val="48"/>
        </w:trPr>
        <w:tc>
          <w:tcPr>
            <w:tcW w:w="3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3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Thermal Products</w:t>
            </w:r>
          </w:p>
        </w:tc>
        <w:tc>
          <w:tcPr>
            <w:tcW w:w="40" w:type="dxa"/>
            <w:vAlign w:val="bottom"/>
            <w:gridSpan w:val="2"/>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6,659</w:t>
            </w:r>
          </w:p>
        </w:tc>
        <w:tc>
          <w:tcPr>
            <w:tcW w:w="620" w:type="dxa"/>
            <w:vAlign w:val="bottom"/>
            <w:gridSpan w:val="7"/>
          </w:tcPr>
          <w:p>
            <w:pPr>
              <w:jc w:val="right"/>
              <w:spacing w:after="0"/>
              <w:rPr>
                <w:sz w:val="20"/>
                <w:szCs w:val="20"/>
                <w:color w:val="auto"/>
              </w:rPr>
            </w:pPr>
            <w:r>
              <w:rPr>
                <w:rFonts w:ascii="Arial" w:cs="Arial" w:eastAsia="Arial" w:hAnsi="Arial"/>
                <w:sz w:val="18"/>
                <w:szCs w:val="18"/>
                <w:color w:val="auto"/>
                <w:w w:val="99"/>
              </w:rPr>
              <w:t>$ 6,116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21"/>
                <w:szCs w:val="21"/>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9 %</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5,717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Mechanical Products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2,487</w:t>
            </w:r>
          </w:p>
        </w:tc>
        <w:tc>
          <w:tcPr>
            <w:tcW w:w="620" w:type="dxa"/>
            <w:vAlign w:val="bottom"/>
            <w:gridSpan w:val="7"/>
          </w:tcPr>
          <w:p>
            <w:pPr>
              <w:jc w:val="right"/>
              <w:spacing w:after="0"/>
              <w:rPr>
                <w:sz w:val="20"/>
                <w:szCs w:val="20"/>
                <w:color w:val="auto"/>
              </w:rPr>
            </w:pPr>
            <w:r>
              <w:rPr>
                <w:rFonts w:ascii="Arial" w:cs="Arial" w:eastAsia="Arial" w:hAnsi="Arial"/>
                <w:sz w:val="18"/>
                <w:szCs w:val="18"/>
                <w:color w:val="auto"/>
              </w:rPr>
              <w:t>4,137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10"/>
          </w:tcPr>
          <w:p>
            <w:pPr>
              <w:jc w:val="right"/>
              <w:ind w:right="60"/>
              <w:spacing w:after="0"/>
              <w:rPr>
                <w:sz w:val="20"/>
                <w:szCs w:val="20"/>
                <w:color w:val="auto"/>
              </w:rPr>
            </w:pPr>
            <w:r>
              <w:rPr>
                <w:rFonts w:ascii="Arial" w:cs="Arial" w:eastAsia="Arial" w:hAnsi="Arial"/>
                <w:sz w:val="18"/>
                <w:szCs w:val="18"/>
                <w:color w:val="auto"/>
              </w:rPr>
              <w:t>(1,650) (40)%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2,435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2,413</w:t>
            </w:r>
          </w:p>
        </w:tc>
        <w:tc>
          <w:tcPr>
            <w:tcW w:w="120" w:type="dxa"/>
            <w:vAlign w:val="bottom"/>
          </w:tcPr>
          <w:p>
            <w:pPr>
              <w:spacing w:after="0"/>
              <w:rPr>
                <w:sz w:val="17"/>
                <w:szCs w:val="17"/>
                <w:color w:val="auto"/>
              </w:rPr>
            </w:pPr>
          </w:p>
        </w:tc>
        <w:tc>
          <w:tcPr>
            <w:tcW w:w="50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2,090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center"/>
              <w:ind w:left="36"/>
              <w:spacing w:after="0" w:line="205" w:lineRule="exact"/>
              <w:rPr>
                <w:sz w:val="20"/>
                <w:szCs w:val="20"/>
                <w:color w:val="auto"/>
              </w:rPr>
            </w:pPr>
            <w:r>
              <w:rPr>
                <w:rFonts w:ascii="Arial" w:cs="Arial" w:eastAsia="Arial" w:hAnsi="Arial"/>
                <w:sz w:val="18"/>
                <w:szCs w:val="18"/>
                <w:color w:val="auto"/>
                <w:w w:val="93"/>
              </w:rPr>
              <w:t>323</w:t>
            </w:r>
          </w:p>
        </w:tc>
        <w:tc>
          <w:tcPr>
            <w:tcW w:w="60" w:type="dxa"/>
            <w:vAlign w:val="bottom"/>
          </w:tcPr>
          <w:p>
            <w:pPr>
              <w:spacing w:after="0"/>
              <w:rPr>
                <w:sz w:val="17"/>
                <w:szCs w:val="17"/>
                <w:color w:val="auto"/>
              </w:rPr>
            </w:pPr>
          </w:p>
        </w:tc>
        <w:tc>
          <w:tcPr>
            <w:tcW w:w="46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w w:val="92"/>
              </w:rPr>
              <w:t>15 %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2,036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377</w:t>
            </w:r>
          </w:p>
        </w:tc>
        <w:tc>
          <w:tcPr>
            <w:tcW w:w="200" w:type="dxa"/>
            <w:vAlign w:val="bottom"/>
          </w:tcPr>
          <w:p>
            <w:pPr>
              <w:spacing w:after="0"/>
              <w:rPr>
                <w:sz w:val="17"/>
                <w:szCs w:val="17"/>
                <w:color w:val="auto"/>
              </w:rPr>
            </w:pPr>
          </w:p>
        </w:tc>
        <w:tc>
          <w:tcPr>
            <w:tcW w:w="36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52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11,559</w:t>
            </w:r>
          </w:p>
        </w:tc>
        <w:tc>
          <w:tcPr>
            <w:tcW w:w="120" w:type="dxa"/>
            <w:vAlign w:val="bottom"/>
          </w:tcPr>
          <w:p>
            <w:pPr>
              <w:spacing w:after="0"/>
              <w:rPr>
                <w:sz w:val="19"/>
                <w:szCs w:val="19"/>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12,343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(784)</w:t>
            </w:r>
          </w:p>
        </w:tc>
        <w:tc>
          <w:tcPr>
            <w:tcW w:w="60" w:type="dxa"/>
            <w:vAlign w:val="bottom"/>
          </w:tcPr>
          <w:p>
            <w:pPr>
              <w:spacing w:after="0"/>
              <w:rPr>
                <w:sz w:val="19"/>
                <w:szCs w:val="19"/>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w w:val="99"/>
              </w:rPr>
              <w:t>(6)%</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1,371</w:t>
            </w:r>
          </w:p>
        </w:tc>
        <w:tc>
          <w:tcPr>
            <w:tcW w:w="20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0"/>
        </w:trPr>
        <w:tc>
          <w:tcPr>
            <w:tcW w:w="33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360" w:type="dxa"/>
            <w:vAlign w:val="bottom"/>
          </w:tcPr>
          <w:p>
            <w:pPr>
              <w:spacing w:after="0"/>
              <w:rPr>
                <w:sz w:val="20"/>
                <w:szCs w:val="20"/>
                <w:color w:val="auto"/>
              </w:rPr>
            </w:pPr>
            <w:r>
              <w:rPr>
                <w:rFonts w:ascii="Arial" w:cs="Arial" w:eastAsia="Arial" w:hAnsi="Arial"/>
                <w:sz w:val="18"/>
                <w:szCs w:val="18"/>
                <w:color w:val="auto"/>
              </w:rPr>
              <w:t>ATE market</w:t>
            </w:r>
          </w:p>
        </w:tc>
        <w:tc>
          <w:tcPr>
            <w:tcW w:w="40" w:type="dxa"/>
            <w:vAlign w:val="bottom"/>
            <w:gridSpan w:val="2"/>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8,548</w:t>
            </w:r>
          </w:p>
        </w:tc>
        <w:tc>
          <w:tcPr>
            <w:tcW w:w="120" w:type="dxa"/>
            <w:vAlign w:val="bottom"/>
          </w:tcPr>
          <w:p>
            <w:pPr>
              <w:spacing w:after="0"/>
              <w:rPr>
                <w:sz w:val="24"/>
                <w:szCs w:val="24"/>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color w:val="auto"/>
                <w:w w:val="79"/>
              </w:rPr>
              <w:t>$ 9,482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8"/>
          </w:tcPr>
          <w:p>
            <w:pPr>
              <w:jc w:val="right"/>
              <w:ind w:right="60"/>
              <w:spacing w:after="0"/>
              <w:rPr>
                <w:sz w:val="20"/>
                <w:szCs w:val="20"/>
                <w:color w:val="auto"/>
              </w:rPr>
            </w:pPr>
            <w:r>
              <w:rPr>
                <w:rFonts w:ascii="Arial" w:cs="Arial" w:eastAsia="Arial" w:hAnsi="Arial"/>
                <w:sz w:val="18"/>
                <w:szCs w:val="18"/>
                <w:color w:val="auto"/>
                <w:w w:val="88"/>
              </w:rPr>
              <w:t>(934) (10)%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8,347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3,011</w:t>
            </w:r>
          </w:p>
        </w:tc>
        <w:tc>
          <w:tcPr>
            <w:tcW w:w="120" w:type="dxa"/>
            <w:vAlign w:val="bottom"/>
          </w:tcPr>
          <w:p>
            <w:pPr>
              <w:spacing w:after="0"/>
              <w:rPr>
                <w:sz w:val="17"/>
                <w:szCs w:val="17"/>
                <w:color w:val="auto"/>
              </w:rPr>
            </w:pPr>
          </w:p>
        </w:tc>
        <w:tc>
          <w:tcPr>
            <w:tcW w:w="50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2,861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c>
          <w:tcPr>
            <w:tcW w:w="46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1,841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4"/>
              </w:rPr>
              <w:t>1,170</w:t>
            </w:r>
          </w:p>
        </w:tc>
        <w:tc>
          <w:tcPr>
            <w:tcW w:w="200" w:type="dxa"/>
            <w:vAlign w:val="bottom"/>
          </w:tcPr>
          <w:p>
            <w:pPr>
              <w:spacing w:after="0"/>
              <w:rPr>
                <w:sz w:val="17"/>
                <w:szCs w:val="17"/>
                <w:color w:val="auto"/>
              </w:rPr>
            </w:pPr>
          </w:p>
        </w:tc>
        <w:tc>
          <w:tcPr>
            <w:tcW w:w="36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4"/>
              </w:rPr>
              <w:t>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tcPr>
          <w:p>
            <w:pPr>
              <w:spacing w:after="0"/>
              <w:rPr>
                <w:sz w:val="19"/>
                <w:szCs w:val="19"/>
                <w:color w:val="auto"/>
              </w:rPr>
            </w:pPr>
          </w:p>
        </w:tc>
        <w:tc>
          <w:tcPr>
            <w:tcW w:w="52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11,559</w:t>
            </w:r>
          </w:p>
        </w:tc>
        <w:tc>
          <w:tcPr>
            <w:tcW w:w="120" w:type="dxa"/>
            <w:vAlign w:val="bottom"/>
          </w:tcPr>
          <w:p>
            <w:pPr>
              <w:spacing w:after="0"/>
              <w:rPr>
                <w:sz w:val="19"/>
                <w:szCs w:val="19"/>
                <w:color w:val="auto"/>
              </w:rPr>
            </w:pPr>
          </w:p>
        </w:tc>
        <w:tc>
          <w:tcPr>
            <w:tcW w:w="50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12,343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(784)</w:t>
            </w:r>
          </w:p>
        </w:tc>
        <w:tc>
          <w:tcPr>
            <w:tcW w:w="60" w:type="dxa"/>
            <w:vAlign w:val="bottom"/>
          </w:tcPr>
          <w:p>
            <w:pPr>
              <w:spacing w:after="0"/>
              <w:rPr>
                <w:sz w:val="19"/>
                <w:szCs w:val="19"/>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w w:val="99"/>
              </w:rPr>
              <w:t>(6)%</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10,188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1,371</w:t>
            </w:r>
          </w:p>
        </w:tc>
        <w:tc>
          <w:tcPr>
            <w:tcW w:w="20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0"/>
        </w:trPr>
        <w:tc>
          <w:tcPr>
            <w:tcW w:w="33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10"/>
          </w:tcPr>
          <w:p>
            <w:pPr>
              <w:jc w:val="center"/>
              <w:ind w:right="580"/>
              <w:spacing w:after="0"/>
              <w:rPr>
                <w:sz w:val="20"/>
                <w:szCs w:val="20"/>
                <w:color w:val="auto"/>
              </w:rPr>
            </w:pPr>
            <w:r>
              <w:rPr>
                <w:rFonts w:ascii="Arial" w:cs="Arial" w:eastAsia="Arial" w:hAnsi="Arial"/>
                <w:sz w:val="14"/>
                <w:szCs w:val="14"/>
                <w:b w:val="1"/>
                <w:bCs w:val="1"/>
                <w:i w:val="1"/>
                <w:iCs w:val="1"/>
                <w:color w:val="auto"/>
                <w:w w:val="85"/>
              </w:rPr>
              <w:t>Six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1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gridSpan w:val="7"/>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gridSpan w:val="5"/>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w w:val="96"/>
              </w:rPr>
              <w:t>2015</w:t>
            </w:r>
          </w:p>
        </w:tc>
        <w:tc>
          <w:tcPr>
            <w:tcW w:w="140" w:type="dxa"/>
            <w:vAlign w:val="bottom"/>
          </w:tcPr>
          <w:p>
            <w:pPr>
              <w:spacing w:after="0"/>
              <w:rPr>
                <w:sz w:val="13"/>
                <w:szCs w:val="13"/>
                <w:color w:val="auto"/>
              </w:rPr>
            </w:pPr>
          </w:p>
        </w:tc>
        <w:tc>
          <w:tcPr>
            <w:tcW w:w="620" w:type="dxa"/>
            <w:vAlign w:val="bottom"/>
            <w:gridSpan w:val="7"/>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jc w:val="right"/>
              <w:ind w:right="196"/>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Thermal Products</w:t>
            </w:r>
          </w:p>
        </w:tc>
        <w:tc>
          <w:tcPr>
            <w:tcW w:w="40" w:type="dxa"/>
            <w:vAlign w:val="bottom"/>
            <w:gridSpan w:val="2"/>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w w:val="83"/>
              </w:rPr>
              <w:t>12,376</w:t>
            </w:r>
          </w:p>
        </w:tc>
        <w:tc>
          <w:tcPr>
            <w:tcW w:w="740" w:type="dxa"/>
            <w:vAlign w:val="bottom"/>
            <w:gridSpan w:val="9"/>
          </w:tcPr>
          <w:p>
            <w:pPr>
              <w:jc w:val="right"/>
              <w:ind w:right="80"/>
              <w:spacing w:after="0"/>
              <w:rPr>
                <w:sz w:val="20"/>
                <w:szCs w:val="20"/>
                <w:color w:val="auto"/>
              </w:rPr>
            </w:pPr>
            <w:r>
              <w:rPr>
                <w:rFonts w:ascii="Arial" w:cs="Arial" w:eastAsia="Arial" w:hAnsi="Arial"/>
                <w:sz w:val="18"/>
                <w:szCs w:val="18"/>
                <w:color w:val="auto"/>
                <w:w w:val="98"/>
              </w:rPr>
              <w:t>$11,359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Mechanical Products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4,922</w:t>
            </w:r>
          </w:p>
        </w:tc>
        <w:tc>
          <w:tcPr>
            <w:tcW w:w="740" w:type="dxa"/>
            <w:vAlign w:val="bottom"/>
            <w:gridSpan w:val="9"/>
          </w:tcPr>
          <w:p>
            <w:pPr>
              <w:jc w:val="right"/>
              <w:ind w:right="80"/>
              <w:spacing w:after="0"/>
              <w:rPr>
                <w:sz w:val="20"/>
                <w:szCs w:val="20"/>
                <w:color w:val="auto"/>
              </w:rPr>
            </w:pPr>
            <w:r>
              <w:rPr>
                <w:rFonts w:ascii="Arial" w:cs="Arial" w:eastAsia="Arial" w:hAnsi="Arial"/>
                <w:sz w:val="18"/>
                <w:szCs w:val="18"/>
                <w:color w:val="auto"/>
              </w:rPr>
              <w:t>6,184</w:t>
            </w:r>
          </w:p>
        </w:tc>
        <w:tc>
          <w:tcPr>
            <w:tcW w:w="1200" w:type="dxa"/>
            <w:vAlign w:val="bottom"/>
            <w:gridSpan w:val="10"/>
          </w:tcPr>
          <w:p>
            <w:pPr>
              <w:jc w:val="right"/>
              <w:ind w:right="80"/>
              <w:spacing w:after="0"/>
              <w:rPr>
                <w:sz w:val="20"/>
                <w:szCs w:val="20"/>
                <w:color w:val="auto"/>
              </w:rPr>
            </w:pPr>
            <w:r>
              <w:rPr>
                <w:rFonts w:ascii="Arial" w:cs="Arial" w:eastAsia="Arial" w:hAnsi="Arial"/>
                <w:sz w:val="18"/>
                <w:szCs w:val="18"/>
                <w:color w:val="auto"/>
                <w:w w:val="99"/>
              </w:rPr>
              <w:t>(1,262) (20)%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4,449</w:t>
            </w:r>
          </w:p>
        </w:tc>
        <w:tc>
          <w:tcPr>
            <w:tcW w:w="120" w:type="dxa"/>
            <w:vAlign w:val="bottom"/>
          </w:tcPr>
          <w:p>
            <w:pPr>
              <w:spacing w:after="0"/>
              <w:rPr>
                <w:sz w:val="17"/>
                <w:szCs w:val="17"/>
                <w:color w:val="auto"/>
              </w:rPr>
            </w:pPr>
          </w:p>
        </w:tc>
        <w:tc>
          <w:tcPr>
            <w:tcW w:w="54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3,597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852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5"/>
          </w:tcPr>
          <w:p>
            <w:pPr>
              <w:jc w:val="right"/>
              <w:ind w:right="80"/>
              <w:spacing w:after="0" w:line="205" w:lineRule="exact"/>
              <w:rPr>
                <w:sz w:val="20"/>
                <w:szCs w:val="20"/>
                <w:color w:val="auto"/>
              </w:rPr>
            </w:pPr>
            <w:r>
              <w:rPr>
                <w:rFonts w:ascii="Arial" w:cs="Arial" w:eastAsia="Arial" w:hAnsi="Arial"/>
                <w:sz w:val="18"/>
                <w:szCs w:val="18"/>
                <w:color w:val="auto"/>
                <w:w w:val="87"/>
              </w:rPr>
              <w:t>24 %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w w:val="83"/>
              </w:rPr>
              <w:t>21,747</w:t>
            </w:r>
          </w:p>
        </w:tc>
        <w:tc>
          <w:tcPr>
            <w:tcW w:w="120" w:type="dxa"/>
            <w:vAlign w:val="bottom"/>
          </w:tcPr>
          <w:p>
            <w:pPr>
              <w:spacing w:after="0"/>
              <w:rPr>
                <w:sz w:val="19"/>
                <w:szCs w:val="19"/>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21,140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80" w:type="dxa"/>
            <w:vAlign w:val="bottom"/>
            <w:gridSpan w:val="6"/>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gridSpan w:val="7"/>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360" w:type="dxa"/>
            <w:vAlign w:val="bottom"/>
          </w:tcPr>
          <w:p>
            <w:pPr>
              <w:spacing w:after="0"/>
              <w:rPr>
                <w:sz w:val="20"/>
                <w:szCs w:val="20"/>
                <w:color w:val="auto"/>
              </w:rPr>
            </w:pPr>
            <w:r>
              <w:rPr>
                <w:rFonts w:ascii="Arial" w:cs="Arial" w:eastAsia="Arial" w:hAnsi="Arial"/>
                <w:sz w:val="18"/>
                <w:szCs w:val="18"/>
                <w:color w:val="auto"/>
              </w:rPr>
              <w:t>ATE market</w:t>
            </w:r>
          </w:p>
        </w:tc>
        <w:tc>
          <w:tcPr>
            <w:tcW w:w="40" w:type="dxa"/>
            <w:vAlign w:val="bottom"/>
            <w:gridSpan w:val="2"/>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w w:val="83"/>
              </w:rPr>
              <w:t>16,895</w:t>
            </w:r>
          </w:p>
        </w:tc>
        <w:tc>
          <w:tcPr>
            <w:tcW w:w="12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w w:val="79"/>
              </w:rPr>
              <w:t>$17,089</w:t>
            </w:r>
          </w:p>
        </w:tc>
        <w:tc>
          <w:tcPr>
            <w:tcW w:w="80" w:type="dxa"/>
            <w:vAlign w:val="bottom"/>
          </w:tcPr>
          <w:p>
            <w:pPr>
              <w:spacing w:after="0"/>
              <w:rPr>
                <w:sz w:val="24"/>
                <w:szCs w:val="24"/>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 (194)</w:t>
            </w:r>
          </w:p>
        </w:tc>
        <w:tc>
          <w:tcPr>
            <w:tcW w:w="60" w:type="dxa"/>
            <w:vAlign w:val="bottom"/>
          </w:tcPr>
          <w:p>
            <w:pPr>
              <w:spacing w:after="0"/>
              <w:rPr>
                <w:sz w:val="24"/>
                <w:szCs w:val="24"/>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4,852</w:t>
            </w:r>
          </w:p>
        </w:tc>
        <w:tc>
          <w:tcPr>
            <w:tcW w:w="120" w:type="dxa"/>
            <w:vAlign w:val="bottom"/>
          </w:tcPr>
          <w:p>
            <w:pPr>
              <w:spacing w:after="0"/>
              <w:rPr>
                <w:sz w:val="17"/>
                <w:szCs w:val="17"/>
                <w:color w:val="auto"/>
              </w:rPr>
            </w:pPr>
          </w:p>
        </w:tc>
        <w:tc>
          <w:tcPr>
            <w:tcW w:w="54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4,051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801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5"/>
          </w:tcPr>
          <w:p>
            <w:pPr>
              <w:jc w:val="right"/>
              <w:ind w:right="80"/>
              <w:spacing w:after="0" w:line="205" w:lineRule="exact"/>
              <w:rPr>
                <w:sz w:val="20"/>
                <w:szCs w:val="20"/>
                <w:color w:val="auto"/>
              </w:rPr>
            </w:pPr>
            <w:r>
              <w:rPr>
                <w:rFonts w:ascii="Arial" w:cs="Arial" w:eastAsia="Arial" w:hAnsi="Arial"/>
                <w:sz w:val="18"/>
                <w:szCs w:val="18"/>
                <w:color w:val="auto"/>
                <w:w w:val="87"/>
              </w:rPr>
              <w:t>20 %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40" w:type="dxa"/>
            <w:vAlign w:val="bottom"/>
            <w:tcBorders>
              <w:bottom w:val="single" w:sz="8" w:color="auto"/>
            </w:tcBorders>
            <w:gridSpan w:val="2"/>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3"/>
              </w:rPr>
              <w:t>21,747</w:t>
            </w:r>
          </w:p>
        </w:tc>
        <w:tc>
          <w:tcPr>
            <w:tcW w:w="120" w:type="dxa"/>
            <w:vAlign w:val="bottom"/>
          </w:tcPr>
          <w:p>
            <w:pPr>
              <w:spacing w:after="0"/>
              <w:rPr>
                <w:sz w:val="19"/>
                <w:szCs w:val="19"/>
                <w:color w:val="auto"/>
              </w:rPr>
            </w:pPr>
          </w:p>
        </w:tc>
        <w:tc>
          <w:tcPr>
            <w:tcW w:w="5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21,140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5"/>
          </w:tcPr>
          <w:p>
            <w:pPr>
              <w:jc w:val="right"/>
              <w:ind w:right="8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74" w:right="279" w:bottom="0" w:gutter="0" w:footer="0" w:header="0"/>
        </w:sectPr>
      </w:pPr>
    </w:p>
    <w:bookmarkStart w:id="14" w:name="page15"/>
    <w:bookmarkEnd w:id="14"/>
    <w:p>
      <w:pPr>
        <w:ind w:left="540" w:right="920"/>
        <w:spacing w:after="0" w:line="332" w:lineRule="auto"/>
        <w:rPr>
          <w:sz w:val="20"/>
          <w:szCs w:val="20"/>
          <w:color w:val="auto"/>
        </w:rPr>
      </w:pPr>
      <w:r>
        <w:rPr>
          <w:rFonts w:ascii="Arial" w:cs="Arial" w:eastAsia="Arial" w:hAnsi="Arial"/>
          <w:sz w:val="16"/>
          <w:szCs w:val="16"/>
          <w:color w:val="auto"/>
        </w:rPr>
        <w:t>Our consolidated net revenues for the quarter ended June 30, 2015 decreased $784,000 as compared to the same period in 2014, reflecting the aforementioned decrease in demand experienced by our Mechanical Products segment during the second quarter of 2015.</w:t>
      </w:r>
    </w:p>
    <w:p>
      <w:pPr>
        <w:spacing w:after="0" w:line="139"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Net revenues from customers in various markets outside of the ATE market for the quarter ended June 30, 2015 grew by 5% as compared to the same period in 2014, reflecting increased demand from almost all of our non-ATE served markets with the exception of the telecommunications market, where we saw a decline in demand from certain existing customers in the second quarter of 2015 as compared to the same period in 2014. As a percent of our total consolidated net revenues, net revenues from non-ATE markets increased from 23% in the second quarter of 2014 to 26% in the second quarter of 2015.</w:t>
      </w:r>
    </w:p>
    <w:p>
      <w:pPr>
        <w:spacing w:after="0" w:line="197"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Our consolidated net revenues for the quarter ended June 30, 2015 increased $1.4 million compared to the first quarter of 2015. Although the net revenues of all three of our product segments increased, the lower percentage increase in the net revenues of our Mechanical Products segment reflects the recent decline in demand that this segment has experienced from the ATE market. Our Thermal Products segment also experienced reduced demand from the ATE market during the second quarter of 2015 as compared to the first quarter of 2015, but the impact of this reduction in demand was offset by an increase in demand from certain of their existing customers in the defense/aerospace market and from certain new customers in the telecommunications market.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Net revenues from customers in various markets outside of the ATE market for the quarter ended June 30, 2015 grew by 64% as compared to the quarter ended March 31, 2015, primarily reflecting the aforementioned increased demand from certain existing customers in the defense/aerospace market and certain new customers in the telecommunications market.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six months ended June 30, 2015 and 2014, our OEM sales as a percentage of net revenues were 8% and 11%, respectively.</w:t>
      </w:r>
    </w:p>
    <w:p>
      <w:pPr>
        <w:spacing w:after="0" w:line="1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2015 Compared to Quarter Ended June 30, 2014</w:t>
      </w:r>
    </w:p>
    <w:p>
      <w:pPr>
        <w:spacing w:after="0" w:line="225"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$11.6 million for the quarter ended June 30, 2015 compared to $12.3 million for the same period in 2014,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$784,000 or 6%. We believe the decrease in our net revenues during the second quarter of 2015 primarily reflects the factors previously discussed in the Overview.</w:t>
      </w:r>
    </w:p>
    <w:p>
      <w:pPr>
        <w:spacing w:after="0" w:line="19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51% for the quarter ended June 30, 2015 compared to 49% for the same period in 2014.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gross margin primarily reflects a reduction in our component material costs as a percentage of net revenues reflecting changes in product mix. This increase was partially offset by our fixed operating costs not being as fully absorbed due to the lower net revenue levels in the second quarter of 2015 as compared to the same period in 2014. Although our fixed operating costs were relatively unchanged in absolute dollar terms at $1.5 million in each of the quarters ended June 30, 2015 and 2014, as a percentage of net revenues, these costs increased from 12% in the second quarter of 2014 to 13% in the second quarter of 2015.</w:t>
      </w:r>
    </w:p>
    <w:p>
      <w:pPr>
        <w:spacing w:after="0" w:line="198"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$1.6 million for the quarter ended June 30, 2015 compared to $1.5 million for the same period in 2014,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$62,000 or 4%. The increase primarily reflects higher levels of travel expense from our in-house sales personnel attending trade shows and visiting customers both internationally and domestically. To a lesser extent, there was also an increase in warranty claims expense in our Thermal Products segment.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11420"/>
          </w:cols>
          <w:pgMar w:left="240" w:top="131" w:right="23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80"/>
        <w:spacing w:after="0" w:line="298"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$1.0 million for the quarter ended June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$887,000 for the same period in 2014, an increase of $160,000 or 18%. The increase in engineering and product development expense primarily reflects increased salary and benefits expense and higher spending on materials used in new product development. The increase in salary and benefits expense reflects both an increase in headcount as well as annual salary increases for existing staff.</w:t>
      </w:r>
    </w:p>
    <w:p>
      <w:pPr>
        <w:spacing w:after="0" w:line="167"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$1.6 million in each of the quarters ended June 30, 2015 and 2014.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no significant changes in any of the components of our general and administrative expense for the second quarter of 2015 as compared to the same period in 2014.</w:t>
      </w:r>
    </w:p>
    <w:p>
      <w:pPr>
        <w:spacing w:after="0" w:line="194" w:lineRule="exact"/>
        <w:rPr>
          <w:sz w:val="20"/>
          <w:szCs w:val="20"/>
          <w:color w:val="auto"/>
        </w:rPr>
      </w:pPr>
    </w:p>
    <w:p>
      <w:pPr>
        <w:ind w:left="540" w:right="18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June 30, 2015, we recorded income tax expense of $579,000 compared to $697,000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Our effective tax rate for the quarter ended June 30, 2015 was 35% compared to an effective tax rate of 34% for the same period in 2014. On a quarterly basis, we record income tax expense or benefit based on the expected annualized effective tax rate for the various taxing jurisdictions in which we operate our businesses. The increase in our effective tax rate in the second quarter of 2015 as compared to the same period in 2014 primarily reflects that a greater proportion of our total pretax income was generated by our domestic operations in the first quarter of 2015 and is therefore subject to the higher U.S. income tax rates.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2015 Compared to Six Months Ended June 30, 2014</w:t>
      </w:r>
    </w:p>
    <w:p>
      <w:pPr>
        <w:spacing w:after="0" w:line="225"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$21.7 million for the six months ended June 30, 2015 compared to $21.1 million for the same period in 2014,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$607,000 or 3%. For the six months ended June 30, 2015, the net revenues of our Thermal and Electrical Products segments increased $1.0 million and $852,000, respectively, while the net revenues of our Mechanical Products segment decreased $1.3 million, as compared to the same period in 2014. We believe the decrease in the net revenues of our Mechanical Products segment during the first half of 2015 reflects reduced demand from customers of this segment within the ATE market, primarily during the second quarter of 2015. While our Thermal and Electrical Products segments also experienced some slowing in demand from their customers within the ATE market during the second quarter of 2015, the level of reduction was not as significant and did not result in an overall decrease for the six months ended June 30, 2015 as compared to the same period in 2014. Furthermore, for our Thermal Products segment, the slowing levels of demand from customers in the ATE market were offset by increased demand from this segment's customers in markets outside of the ATE market, in particular in the automotive, defense/aerospace and industrial markets.</w:t>
      </w:r>
    </w:p>
    <w:p>
      <w:pPr>
        <w:spacing w:after="0" w:line="17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50% for the six months ended June 30, 2015 compared to 49% for the same period in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our gross margin was primarily a result of a reduction in our component material costs as a percentage of net revenues, reflecting changes in product and customer mix.</w:t>
      </w:r>
    </w:p>
    <w:p>
      <w:pPr>
        <w:spacing w:after="0" w:line="194"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$3.1 million for the six months ended June 30, 2015 compared to $2.9 million for the same period in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$223,000 or 8%. The increase primarily reflects an increase in commissions paid to third party sales representatives as a result of both the overall increase in net revenue levels as well as the increase in the percentage of our total net revenues that were derived from sales to end user customers rather than to OEM customers.</w:t>
      </w:r>
    </w:p>
    <w:p>
      <w:pPr>
        <w:spacing w:after="0" w:line="197"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i w:val="1"/>
          <w:iCs w:val="1"/>
          <w:color w:val="auto"/>
        </w:rPr>
        <w:t xml:space="preserve">Engineering and Product Development Expense. </w:t>
      </w:r>
      <w:r>
        <w:rPr>
          <w:rFonts w:ascii="Arial" w:cs="Arial" w:eastAsia="Arial" w:hAnsi="Arial"/>
          <w:sz w:val="15"/>
          <w:szCs w:val="15"/>
          <w:color w:val="auto"/>
        </w:rPr>
        <w:t>Engineering and product development expense was $2.0 million for the six months ended June 30, 2015</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$1.8 million for the same period in 2014 an increase of $179,000 or 10%. The increase in engineering and product development expense primarily reflects higher levels of salaries and benefits expense as a result of both additional headcount as well as annual salary increases for existing staff.</w:t>
      </w:r>
    </w:p>
    <w:p>
      <w:pPr>
        <w:spacing w:after="0" w:line="142"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$3.4 million for the six months ended June 30, 2015 compared to $3.2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2014 an increase of $223,000 or 7%. The increase primarily reflects increased spending related to our strategic initiatives, including $320,000 for due diligence and transaction related costs associated with a potential acquisition that we have decided not to pursue.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six months ended June 30, 2015, we recorded income tax expense of $812,000 compared to $822,000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2014. Our effective tax rate for the six months ended June 30, 2015 was 35% compared to 33% for the same period in 2014. On a quarterly basis, we record income tax expense or benefit based on the expected annualized effective tax rate for the various taxing jurisdictions in which we operate our businesses. The increase in our effective tax rate in the first six months of 2015 as compared to the same period in 2014 primarily reflects that a greater proportion of our total pretax income was generated by our domestic operations in the first six months of 2015 and is therefore subject to the higher U.S. income tax rates.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ectPr>
          <w:pgSz w:w="11900" w:h="16838" w:orient="portrait"/>
          <w:cols w:equalWidth="0" w:num="1">
            <w:col w:w="11420"/>
          </w:cols>
          <w:pgMar w:left="240" w:top="341" w:right="239" w:bottom="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8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June 30, 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Dec. 31, 2014</w:t>
            </w: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$23,466</w:t>
            </w:r>
          </w:p>
        </w:tc>
        <w:tc>
          <w:tcPr>
            <w:tcW w:w="140" w:type="dxa"/>
            <w:vAlign w:val="bottom"/>
          </w:tcPr>
          <w:p>
            <w:pPr>
              <w:spacing w:after="0"/>
              <w:rPr>
                <w:sz w:val="20"/>
                <w:szCs w:val="20"/>
                <w:color w:val="auto"/>
              </w:rPr>
            </w:pP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$23,126</w:t>
            </w: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Working capital</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$30,429</w:t>
            </w:r>
          </w:p>
        </w:tc>
        <w:tc>
          <w:tcPr>
            <w:tcW w:w="140" w:type="dxa"/>
            <w:vAlign w:val="bottom"/>
          </w:tcPr>
          <w:p>
            <w:pPr>
              <w:spacing w:after="0"/>
              <w:rPr>
                <w:sz w:val="21"/>
                <w:szCs w:val="21"/>
                <w:color w:val="auto"/>
              </w:rPr>
            </w:pPr>
          </w:p>
        </w:tc>
        <w:tc>
          <w:tcPr>
            <w:tcW w:w="9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$28,561</w:t>
            </w:r>
          </w:p>
        </w:tc>
      </w:tr>
    </w:tbl>
    <w:p>
      <w:pPr>
        <w:spacing w:after="0" w:line="200" w:lineRule="exact"/>
        <w:rPr>
          <w:sz w:val="20"/>
          <w:szCs w:val="20"/>
          <w:color w:val="auto"/>
        </w:rPr>
      </w:pPr>
    </w:p>
    <w:p>
      <w:pPr>
        <w:spacing w:after="0" w:line="239" w:lineRule="exact"/>
        <w:rPr>
          <w:sz w:val="20"/>
          <w:szCs w:val="20"/>
          <w:color w:val="auto"/>
        </w:rPr>
      </w:pPr>
    </w:p>
    <w:p>
      <w:pPr>
        <w:jc w:val="both"/>
        <w:ind w:left="540" w:right="80"/>
        <w:spacing w:after="0" w:line="298" w:lineRule="auto"/>
        <w:rPr>
          <w:sz w:val="20"/>
          <w:szCs w:val="20"/>
          <w:color w:val="auto"/>
        </w:rPr>
      </w:pPr>
      <w:r>
        <w:rPr>
          <w:rFonts w:ascii="Arial" w:cs="Arial" w:eastAsia="Arial" w:hAnsi="Arial"/>
          <w:sz w:val="16"/>
          <w:szCs w:val="16"/>
          <w:color w:val="auto"/>
        </w:rPr>
        <w:t>As of June 30, 2015, $2.9 million of our cash and cash equivalents was held by our foreign subsidiaries. When these funds are needed for our operations in the U.S., we may be required to accrue and pay U.S. taxes if we repatriate certain of these funds. On February 25, 2015 we repatriated $883,000 from our subsidiary in Singapore. We currently plan to repatriate up to $1.0 million from our German subsidiary during the second half of 2015. Our estimated annualized effective tax rate for 2015 includes the effect of the additional taxes we expect to incur on these repatriated funds.</w:t>
      </w:r>
    </w:p>
    <w:p>
      <w:pPr>
        <w:spacing w:after="0" w:line="167" w:lineRule="exact"/>
        <w:rPr>
          <w:sz w:val="20"/>
          <w:szCs w:val="20"/>
          <w:color w:val="auto"/>
        </w:rPr>
      </w:pPr>
    </w:p>
    <w:p>
      <w:pPr>
        <w:jc w:val="both"/>
        <w:ind w:left="540" w:right="100"/>
        <w:spacing w:after="0" w:line="256" w:lineRule="auto"/>
        <w:rPr>
          <w:sz w:val="20"/>
          <w:szCs w:val="20"/>
          <w:color w:val="auto"/>
        </w:rPr>
      </w:pPr>
      <w:r>
        <w:rPr>
          <w:rFonts w:ascii="Arial" w:cs="Arial" w:eastAsia="Arial" w:hAnsi="Arial"/>
          <w:sz w:val="18"/>
          <w:szCs w:val="18"/>
          <w:color w:val="auto"/>
        </w:rPr>
        <w:t>We currently expect our cash and cash equivalents and projected future cash flow to be sufficient to support our short term working capital requirements.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six months ended June 30, 2015 was $853,000. During the six months ended June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recorded net earnings of $1.5 million, which included non-cash charges of $395,000 for depreciation and amortization. During the six months ended June 30, 2015, accounts receivable, accounts payable and inventories increased $2.4 million, $480,000 and $377,000, respectively, compared to the levels at the end of 2014. These increases primarily reflect increased business activity during the first six months of 2015 as compared to the levels experienced at the end of 2014, particularly for our Thermal and Electrical Products segments.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During the six months ended June 30, 2015 purchases of property and equipment were $385,000 which primarily represent additions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leased systems in our Thermal Products segment and computer hardware and software purchases related to a system upgrade for our domestic operations. We have no significant commitments for capital expenditures for the balance of 2015, however, depending upon changes in market demand or manufacturing and sales strategies, we may make such purchases or investments as we deem necessary and appropriate.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six months ended June 30, 2015 there were no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2015, there have been no significant changes to the accounting policies that we have deemed critical. These policies are more fully described in our 2014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There were no off-balance sheet arrangements during the six months ended June 30,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ectPr>
          <w:pgSz w:w="11900" w:h="16838" w:orient="portrait"/>
          <w:cols w:equalWidth="0" w:num="1">
            <w:col w:w="11400"/>
          </w:cols>
          <w:pgMar w:left="240" w:top="131" w:right="259" w:bottom="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ectPr>
          <w:pgSz w:w="11900" w:h="16838" w:orient="portrait"/>
          <w:cols w:equalWidth="0" w:num="1">
            <w:col w:w="11400"/>
          </w:cols>
          <w:pgMar w:left="240" w:top="131" w:right="259" w:bottom="0" w:gutter="0" w:footer="0" w:header="0"/>
          <w:type w:val="continuous"/>
        </w:sectPr>
      </w:pPr>
    </w:p>
    <w:bookmarkStart w:id="17" w:name="page18"/>
    <w:bookmarkEnd w:id="17"/>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364490</wp:posOffset>
            </wp:positionV>
            <wp:extent cx="22123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When we reported our first quarter results on April 29, 2015, we disclosed that our due diligence efforts on a potential acquisition were on hold and would be continued following receipt of the target's second quarter results. On August 5, 2015, when we reported our second quarter results, we updated investors that we had not yet received the target company's second quarter 2015 results, but noted that we had been aware that the target had been experiencing less than expected bookings during the quarter. Subsequent to our earnings announcement on August 5, 2015, we met with the target company's management who confirmed the reduced level of bookings in the second quarter. As a result, we have decided not to further pursue this acquisition opportunity.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Signatures</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14, 2015</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14, 2015</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880745</wp:posOffset>
            </wp:positionV>
            <wp:extent cx="221234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40"/>
          </w:cols>
          <w:pgMar w:left="240" w:top="523" w:right="71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14,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14, 2015</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2015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14,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2015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14, 2015</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2019-12-06T21:41:38Z</dcterms:created>
  <dcterms:modified xsi:type="dcterms:W3CDTF">2019-12-06T21:41:38Z</dcterms:modified>
</cp:coreProperties>
</file>