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6.gif" ContentType="image/gif"/>
  <Override PartName="/word/media/image10.jpeg" ContentType="image/jpeg"/>
  <Override PartName="/word/media/image7.gif" ContentType="image/gif"/>
  <Override PartName="/word/media/image8.jpeg" ContentType="image/jpeg"/>
  <Override PartName="/word/media/image9.jpeg" ContentType="image/jpeg"/>
  <Override PartName="/word/media/image1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UNITED STATES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AND EXCHANGE COMMISSION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Arial;sans-serif" w:hAnsi="Arial;sans-serif"/>
          <w:b/>
          <w:color w:val="000000"/>
          <w:sz w:val="18"/>
        </w:rPr>
      </w:pPr>
      <w:r>
        <w:rPr>
          <w:rFonts w:ascii="Arial;sans-serif" w:hAnsi="Arial;sans-serif"/>
          <w:b/>
          <w:color w:val="000000"/>
          <w:sz w:val="18"/>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(Mark One)</w:t>
      </w:r>
    </w:p>
    <w:tbl>
      <w:tblPr>
        <w:tblW w:w="9372" w:type="dxa"/>
        <w:jc w:val="center"/>
        <w:tblInd w:w="0" w:type="dxa"/>
        <w:tblLayout w:type="fixed"/>
        <w:tblCellMar>
          <w:top w:w="28" w:type="dxa"/>
          <w:left w:w="28" w:type="dxa"/>
          <w:bottom w:w="28" w:type="dxa"/>
          <w:right w:w="28" w:type="dxa"/>
        </w:tblCellMar>
      </w:tblPr>
      <w:tblGrid>
        <w:gridCol w:w="124"/>
        <w:gridCol w:w="109"/>
        <w:gridCol w:w="109"/>
        <w:gridCol w:w="2641"/>
        <w:gridCol w:w="2641"/>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ANNUAL REPORT PURSUANT TO SECTION 13 OR 15(d) OF THE SECURITIES EXCHANGE ACT OF 1934</w:t>
            </w:r>
          </w:p>
        </w:tc>
      </w:tr>
    </w:tbl>
    <w:p>
      <w:pPr>
        <w:pStyle w:val="TextBody"/>
        <w:bidi w:val="0"/>
        <w:spacing w:lineRule="auto" w:line="288" w:before="0" w:after="80"/>
        <w:jc w:val="center"/>
        <w:rPr>
          <w:rFonts w:ascii="Arial;sans-serif" w:hAnsi="Arial;sans-serif"/>
          <w:b w:val="false"/>
          <w:color w:val="000000"/>
          <w:sz w:val="18"/>
        </w:rPr>
      </w:pPr>
      <w:r>
        <w:rPr>
          <w:rFonts w:ascii="Arial;sans-serif" w:hAnsi="Arial;sans-serif"/>
          <w:b w:val="false"/>
          <w:color w:val="000000"/>
          <w:sz w:val="18"/>
        </w:rPr>
        <w:t>For the fiscal year ended December 31, 2025</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For the transition period from _______ to _______</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 xml:space="preserve">Commission File Number 001-36117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InTest Corporation</w:t>
      </w:r>
    </w:p>
    <w:p>
      <w:pPr>
        <w:pStyle w:val="TextBody"/>
        <w:bidi w:val="0"/>
        <w:spacing w:lineRule="auto" w:line="288" w:before="0" w:after="8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398" w:type="dxa"/>
        <w:jc w:val="center"/>
        <w:tblInd w:w="0" w:type="dxa"/>
        <w:tblLayout w:type="fixed"/>
        <w:tblCellMar>
          <w:top w:w="28" w:type="dxa"/>
          <w:left w:w="28" w:type="dxa"/>
          <w:bottom w:w="28" w:type="dxa"/>
          <w:right w:w="28" w:type="dxa"/>
        </w:tblCellMar>
      </w:tblPr>
      <w:tblGrid>
        <w:gridCol w:w="1820"/>
        <w:gridCol w:w="1598"/>
        <w:gridCol w:w="1606"/>
        <w:gridCol w:w="987"/>
        <w:gridCol w:w="987"/>
        <w:gridCol w:w="1400"/>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Delaware</w:t>
            </w:r>
          </w:p>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8"/>
              </w:rPr>
              <w:t>(State or Other Jurisdiction of Incorporation or Organization)</w:t>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22-2370659</w:t>
            </w:r>
          </w:p>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8"/>
              </w:rPr>
              <w:t>(I.R.S. Employer Identification Number)</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804 East Gate Drive, Suite 200</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Mt. Laurel, New Jersey</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08054</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160"/>
        <w:jc w:val="center"/>
        <w:rPr>
          <w:rFonts w:ascii="Arial;sans-serif" w:hAnsi="Arial;sans-serif"/>
          <w:b/>
          <w:color w:val="000000"/>
          <w:sz w:val="18"/>
        </w:rPr>
      </w:pPr>
      <w:r>
        <w:rPr>
          <w:rFonts w:ascii="Arial;sans-serif" w:hAnsi="Arial;sans-serif"/>
          <w:b/>
          <w:color w:val="000000"/>
          <w:sz w:val="18"/>
        </w:rPr>
        <w:t>Registrant’s telephone number, including area code: (856) 505-8800</w:t>
      </w:r>
    </w:p>
    <w:p>
      <w:pPr>
        <w:pStyle w:val="TextBody"/>
        <w:bidi w:val="0"/>
        <w:spacing w:lineRule="auto" w:line="288" w:before="0" w:after="8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117" w:type="dxa"/>
        <w:jc w:val="center"/>
        <w:tblInd w:w="0" w:type="dxa"/>
        <w:tblLayout w:type="fixed"/>
        <w:tblCellMar>
          <w:top w:w="28" w:type="dxa"/>
          <w:left w:w="28" w:type="dxa"/>
          <w:bottom w:w="28" w:type="dxa"/>
          <w:right w:w="28" w:type="dxa"/>
        </w:tblCellMar>
      </w:tblPr>
      <w:tblGrid>
        <w:gridCol w:w="1308"/>
        <w:gridCol w:w="1149"/>
        <w:gridCol w:w="1157"/>
        <w:gridCol w:w="479"/>
        <w:gridCol w:w="479"/>
        <w:gridCol w:w="481"/>
        <w:gridCol w:w="1190"/>
        <w:gridCol w:w="1190"/>
        <w:gridCol w:w="168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Title of Each Class</w:t>
            </w:r>
          </w:p>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Trading Symbol</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Securities registered pursuant to Section 12(g) of the Act: None</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if the registrant is a well-known seasoned issuer, as defined in Rule 405 of the Securities Act. Yes ☐ No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if the registrant is not required to file reports pursuant to Section 13 or Section 15(d) of the Act. Yes ☐ No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612" w:type="dxa"/>
        <w:jc w:val="center"/>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2"/>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 standards provided pursuant to Section 13(a) of the Exchange Act.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Act). Yes ☐ No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The aggregate market value of the voting and non-voting common equity held by non-affiliates computed by reference to the price at which the common equity was last sold on June 30, 2025 (the last business day of the registrant's most recently completed second fiscal quarter), was: $85,351,987.</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The number of shares outstanding of the registrant’s Common Stock, at February 27, 2026, was 12,495,544.</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DOCUMENTS INCORPORATED BY REFERENCE</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Portions of the Definitive Proxy Statement of the Registrant for the Registrant’s 2026 Annual Meeting of Stockholders, to be filed with the Securities and Exchange Commission within 120 days after the end of the fiscal year covered by this Report, are incorporated by reference into Part III of this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tbl>
      <w:tblPr>
        <w:tblW w:w="4335" w:type="dxa"/>
        <w:jc w:val="center"/>
        <w:tblInd w:w="0" w:type="dxa"/>
        <w:tblLayout w:type="fixed"/>
        <w:tblCellMar>
          <w:top w:w="28" w:type="dxa"/>
          <w:left w:w="28" w:type="dxa"/>
          <w:bottom w:w="28" w:type="dxa"/>
          <w:right w:w="28" w:type="dxa"/>
        </w:tblCellMar>
      </w:tblPr>
      <w:tblGrid>
        <w:gridCol w:w="1387"/>
        <w:gridCol w:w="1220"/>
        <w:gridCol w:w="1728"/>
      </w:tblGrid>
      <w:tr>
        <w:trPr/>
        <w:tc>
          <w:tcPr>
            <w:tcW w:w="138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20"/>
              </w:rPr>
            </w:pPr>
            <w:r>
              <w:rPr>
                <w:rFonts w:ascii="Arial;sans-serif" w:hAnsi="Arial;sans-serif"/>
                <w:b/>
                <w:color w:val="000000"/>
                <w:sz w:val="20"/>
              </w:rPr>
              <w:t>InTest CORPORATION</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20"/>
              </w:rPr>
            </w:pPr>
            <w:r>
              <w:rPr>
                <w:rFonts w:ascii="Arial;sans-serif" w:hAnsi="Arial;sans-serif"/>
                <w:b/>
                <w:color w:val="000000"/>
                <w:sz w:val="20"/>
              </w:rPr>
              <w:t>FORM 10-K</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YEAR ENDED DECEMBER 31, 2025</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c>
      </w:tr>
    </w:tbl>
    <w:tbl>
      <w:tblPr>
        <w:tblW w:w="10205" w:type="dxa"/>
        <w:jc w:val="center"/>
        <w:tblInd w:w="0" w:type="dxa"/>
        <w:tblLayout w:type="fixed"/>
        <w:tblCellMar>
          <w:top w:w="28" w:type="dxa"/>
          <w:left w:w="28" w:type="dxa"/>
          <w:bottom w:w="28" w:type="dxa"/>
          <w:right w:w="28" w:type="dxa"/>
        </w:tblCellMar>
      </w:tblPr>
      <w:tblGrid>
        <w:gridCol w:w="298"/>
        <w:gridCol w:w="261"/>
        <w:gridCol w:w="264"/>
        <w:gridCol w:w="2950"/>
        <w:gridCol w:w="2903"/>
        <w:gridCol w:w="2912"/>
        <w:gridCol w:w="180"/>
        <w:gridCol w:w="180"/>
        <w:gridCol w:w="257"/>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Page</w:t>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3">
              <w:r>
                <w:rPr>
                  <w:rStyle w:val="InternetLink"/>
                  <w:rFonts w:ascii="Arial;sans-serif" w:hAnsi="Arial;sans-serif"/>
                  <w:b/>
                  <w:strike w:val="false"/>
                  <w:dstrike w:val="false"/>
                  <w:color w:val="000000"/>
                  <w:sz w:val="20"/>
                  <w:u w:val="none"/>
                  <w:effect w:val="none"/>
                </w:rPr>
                <w:t>PART I</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6">
              <w:r>
                <w:rPr>
                  <w:rStyle w:val="InternetLink"/>
                  <w:rFonts w:ascii="Arial;sans-serif" w:hAnsi="Arial;sans-serif"/>
                  <w:b w:val="false"/>
                  <w:strike w:val="false"/>
                  <w:dstrike w:val="false"/>
                  <w:color w:val="000000"/>
                  <w:sz w:val="20"/>
                  <w:u w:val="none"/>
                  <w:effect w:val="none"/>
                </w:rPr>
                <w:t>Item 1.</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6">
              <w:r>
                <w:rPr>
                  <w:rStyle w:val="InternetLink"/>
                  <w:rFonts w:ascii="Arial;sans-serif" w:hAnsi="Arial;sans-serif"/>
                  <w:b w:val="false"/>
                  <w:strike w:val="false"/>
                  <w:dstrike w:val="false"/>
                  <w:color w:val="000000"/>
                  <w:sz w:val="20"/>
                  <w:u w:val="none"/>
                  <w:effect w:val="none"/>
                </w:rPr>
                <w:t>Business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6">
              <w:r>
                <w:rPr>
                  <w:rStyle w:val="InternetLink"/>
                  <w:rFonts w:ascii="Arial;sans-serif" w:hAnsi="Arial;sans-serif"/>
                  <w:b w:val="false"/>
                  <w:strike w:val="false"/>
                  <w:dstrike w:val="false"/>
                  <w:color w:val="000000"/>
                  <w:sz w:val="20"/>
                  <w:u w:val="none"/>
                  <w:effect w:val="none"/>
                </w:rPr>
                <w:t>4</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9">
              <w:r>
                <w:rPr>
                  <w:rStyle w:val="InternetLink"/>
                  <w:rFonts w:ascii="Arial;sans-serif" w:hAnsi="Arial;sans-serif"/>
                  <w:b w:val="false"/>
                  <w:strike w:val="false"/>
                  <w:dstrike w:val="false"/>
                  <w:color w:val="000000"/>
                  <w:sz w:val="20"/>
                  <w:u w:val="none"/>
                  <w:effect w:val="none"/>
                </w:rPr>
                <w:t>Item 1A.</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9">
              <w:r>
                <w:rPr>
                  <w:rStyle w:val="InternetLink"/>
                  <w:rFonts w:ascii="Arial;sans-serif" w:hAnsi="Arial;sans-serif"/>
                  <w:b w:val="false"/>
                  <w:strike w:val="false"/>
                  <w:dstrike w:val="false"/>
                  <w:color w:val="000000"/>
                  <w:sz w:val="20"/>
                  <w:u w:val="none"/>
                  <w:effect w:val="none"/>
                </w:rPr>
                <w:t>Risk Factors</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9">
              <w:r>
                <w:rPr>
                  <w:rStyle w:val="InternetLink"/>
                  <w:rFonts w:ascii="Arial;sans-serif" w:hAnsi="Arial;sans-serif"/>
                  <w:b w:val="false"/>
                  <w:strike w:val="false"/>
                  <w:dstrike w:val="false"/>
                  <w:color w:val="000000"/>
                  <w:sz w:val="20"/>
                  <w:u w:val="none"/>
                  <w:effect w:val="none"/>
                </w:rPr>
                <w:t>18</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22">
              <w:r>
                <w:rPr>
                  <w:rStyle w:val="InternetLink"/>
                  <w:rFonts w:ascii="Arial;sans-serif" w:hAnsi="Arial;sans-serif"/>
                  <w:b w:val="false"/>
                  <w:strike w:val="false"/>
                  <w:dstrike w:val="false"/>
                  <w:color w:val="000000"/>
                  <w:sz w:val="20"/>
                  <w:u w:val="none"/>
                  <w:effect w:val="none"/>
                </w:rPr>
                <w:t>Item 1B.</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22">
              <w:r>
                <w:rPr>
                  <w:rStyle w:val="InternetLink"/>
                  <w:rFonts w:ascii="Arial;sans-serif" w:hAnsi="Arial;sans-serif"/>
                  <w:b w:val="false"/>
                  <w:strike w:val="false"/>
                  <w:dstrike w:val="false"/>
                  <w:color w:val="000000"/>
                  <w:sz w:val="20"/>
                  <w:u w:val="none"/>
                  <w:effect w:val="none"/>
                </w:rPr>
                <w:t>Unresolved Staff Comments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22">
              <w:r>
                <w:rPr>
                  <w:rStyle w:val="InternetLink"/>
                  <w:rFonts w:ascii="Arial;sans-serif" w:hAnsi="Arial;sans-serif"/>
                  <w:b w:val="false"/>
                  <w:strike w:val="false"/>
                  <w:dstrike w:val="false"/>
                  <w:color w:val="000000"/>
                  <w:sz w:val="20"/>
                  <w:u w:val="none"/>
                  <w:effect w:val="none"/>
                </w:rPr>
                <w:t>29</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25">
              <w:r>
                <w:rPr>
                  <w:rStyle w:val="InternetLink"/>
                  <w:rFonts w:ascii="Arial;sans-serif" w:hAnsi="Arial;sans-serif"/>
                  <w:b w:val="false"/>
                  <w:strike w:val="false"/>
                  <w:dstrike w:val="false"/>
                  <w:color w:val="000000"/>
                  <w:sz w:val="20"/>
                  <w:u w:val="none"/>
                  <w:effect w:val="none"/>
                </w:rPr>
                <w:t>Item 1C.</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25">
              <w:r>
                <w:rPr>
                  <w:rStyle w:val="InternetLink"/>
                  <w:rFonts w:ascii="Arial;sans-serif" w:hAnsi="Arial;sans-serif"/>
                  <w:b w:val="false"/>
                  <w:strike w:val="false"/>
                  <w:dstrike w:val="false"/>
                  <w:color w:val="000000"/>
                  <w:sz w:val="20"/>
                  <w:u w:val="none"/>
                  <w:effect w:val="none"/>
                </w:rPr>
                <w:t>Cybersecurity</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25">
              <w:r>
                <w:rPr>
                  <w:rStyle w:val="InternetLink"/>
                  <w:rFonts w:ascii="Arial;sans-serif" w:hAnsi="Arial;sans-serif"/>
                  <w:b w:val="false"/>
                  <w:strike w:val="false"/>
                  <w:dstrike w:val="false"/>
                  <w:color w:val="000000"/>
                  <w:sz w:val="20"/>
                  <w:u w:val="none"/>
                  <w:effect w:val="none"/>
                </w:rPr>
                <w:t>29</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31">
              <w:r>
                <w:rPr>
                  <w:rStyle w:val="InternetLink"/>
                  <w:rFonts w:ascii="Arial;sans-serif" w:hAnsi="Arial;sans-serif"/>
                  <w:b w:val="false"/>
                  <w:strike w:val="false"/>
                  <w:dstrike w:val="false"/>
                  <w:color w:val="000000"/>
                  <w:sz w:val="20"/>
                  <w:u w:val="none"/>
                  <w:effect w:val="none"/>
                </w:rPr>
                <w:t>Item 2.</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31">
              <w:r>
                <w:rPr>
                  <w:rStyle w:val="InternetLink"/>
                  <w:rFonts w:ascii="Arial;sans-serif" w:hAnsi="Arial;sans-serif"/>
                  <w:b w:val="false"/>
                  <w:strike w:val="false"/>
                  <w:dstrike w:val="false"/>
                  <w:color w:val="000000"/>
                  <w:sz w:val="20"/>
                  <w:u w:val="none"/>
                  <w:effect w:val="none"/>
                </w:rPr>
                <w:t>Properties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31">
              <w:r>
                <w:rPr>
                  <w:rStyle w:val="InternetLink"/>
                  <w:rFonts w:ascii="Arial;sans-serif" w:hAnsi="Arial;sans-serif"/>
                  <w:b w:val="false"/>
                  <w:strike w:val="false"/>
                  <w:dstrike w:val="false"/>
                  <w:color w:val="000000"/>
                  <w:sz w:val="20"/>
                  <w:u w:val="none"/>
                  <w:effect w:val="none"/>
                </w:rPr>
                <w:t>30</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34">
              <w:r>
                <w:rPr>
                  <w:rStyle w:val="InternetLink"/>
                  <w:rFonts w:ascii="Arial;sans-serif" w:hAnsi="Arial;sans-serif"/>
                  <w:b w:val="false"/>
                  <w:strike w:val="false"/>
                  <w:dstrike w:val="false"/>
                  <w:color w:val="000000"/>
                  <w:sz w:val="20"/>
                  <w:u w:val="none"/>
                  <w:effect w:val="none"/>
                </w:rPr>
                <w:t>Item 3.</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34">
              <w:r>
                <w:rPr>
                  <w:rStyle w:val="InternetLink"/>
                  <w:rFonts w:ascii="Arial;sans-serif" w:hAnsi="Arial;sans-serif"/>
                  <w:b w:val="false"/>
                  <w:strike w:val="false"/>
                  <w:dstrike w:val="false"/>
                  <w:color w:val="000000"/>
                  <w:sz w:val="20"/>
                  <w:u w:val="none"/>
                  <w:effect w:val="none"/>
                </w:rPr>
                <w:t>Legal Proceedings</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34">
              <w:r>
                <w:rPr>
                  <w:rStyle w:val="InternetLink"/>
                  <w:rFonts w:ascii="Arial;sans-serif" w:hAnsi="Arial;sans-serif"/>
                  <w:b w:val="false"/>
                  <w:strike w:val="false"/>
                  <w:dstrike w:val="false"/>
                  <w:color w:val="000000"/>
                  <w:sz w:val="20"/>
                  <w:u w:val="none"/>
                  <w:effect w:val="none"/>
                </w:rPr>
                <w:t>30</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37">
              <w:r>
                <w:rPr>
                  <w:rStyle w:val="InternetLink"/>
                  <w:rFonts w:ascii="Arial;sans-serif" w:hAnsi="Arial;sans-serif"/>
                  <w:b w:val="false"/>
                  <w:strike w:val="false"/>
                  <w:dstrike w:val="false"/>
                  <w:color w:val="000000"/>
                  <w:sz w:val="20"/>
                  <w:u w:val="none"/>
                  <w:effect w:val="none"/>
                </w:rPr>
                <w:t>Item 4.</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37">
              <w:r>
                <w:rPr>
                  <w:rStyle w:val="InternetLink"/>
                  <w:rFonts w:ascii="Arial;sans-serif" w:hAnsi="Arial;sans-serif"/>
                  <w:b w:val="false"/>
                  <w:strike w:val="false"/>
                  <w:dstrike w:val="false"/>
                  <w:color w:val="000000"/>
                  <w:sz w:val="20"/>
                  <w:u w:val="none"/>
                  <w:effect w:val="none"/>
                </w:rPr>
                <w:t>Mine Safety Disclosures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37">
              <w:r>
                <w:rPr>
                  <w:rStyle w:val="InternetLink"/>
                  <w:rFonts w:ascii="Arial;sans-serif" w:hAnsi="Arial;sans-serif"/>
                  <w:b w:val="false"/>
                  <w:strike w:val="false"/>
                  <w:dstrike w:val="false"/>
                  <w:color w:val="000000"/>
                  <w:sz w:val="20"/>
                  <w:u w:val="none"/>
                  <w:effect w:val="none"/>
                </w:rPr>
                <w:t>30</w:t>
              </w:r>
            </w:hyperlink>
          </w:p>
        </w:tc>
      </w:tr>
      <w:tr>
        <w:trPr/>
        <w:tc>
          <w:tcPr>
            <w:tcW w:w="958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40">
              <w:r>
                <w:rPr>
                  <w:rStyle w:val="InternetLink"/>
                  <w:rFonts w:ascii="Arial;sans-serif" w:hAnsi="Arial;sans-serif"/>
                  <w:b/>
                  <w:strike w:val="false"/>
                  <w:dstrike w:val="false"/>
                  <w:color w:val="000000"/>
                  <w:sz w:val="20"/>
                  <w:u w:val="none"/>
                  <w:effect w:val="none"/>
                </w:rPr>
                <w:t>PART II</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43">
              <w:r>
                <w:rPr>
                  <w:rStyle w:val="InternetLink"/>
                  <w:rFonts w:ascii="Arial;sans-serif" w:hAnsi="Arial;sans-serif"/>
                  <w:b w:val="false"/>
                  <w:strike w:val="false"/>
                  <w:dstrike w:val="false"/>
                  <w:color w:val="000000"/>
                  <w:sz w:val="20"/>
                  <w:u w:val="none"/>
                  <w:effect w:val="none"/>
                </w:rPr>
                <w:t>Item 5.</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c48d90a8909c40e38470f605b7a7d73f_43">
              <w:r>
                <w:rPr>
                  <w:rStyle w:val="InternetLink"/>
                  <w:rFonts w:ascii="Arial;sans-serif" w:hAnsi="Arial;sans-serif"/>
                  <w:b w:val="false"/>
                  <w:strike w:val="false"/>
                  <w:dstrike w:val="false"/>
                  <w:color w:val="000000"/>
                  <w:sz w:val="20"/>
                  <w:u w:val="none"/>
                  <w:effect w:val="none"/>
                </w:rPr>
                <w:t>Market for Registrant’s Common Equity, Related Stockholder Matters and Issuer Purchases of Equity Securities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43">
              <w:r>
                <w:rPr>
                  <w:rStyle w:val="InternetLink"/>
                  <w:rFonts w:ascii="Arial;sans-serif" w:hAnsi="Arial;sans-serif"/>
                  <w:b w:val="false"/>
                  <w:strike w:val="false"/>
                  <w:dstrike w:val="false"/>
                  <w:color w:val="000000"/>
                  <w:sz w:val="20"/>
                  <w:u w:val="none"/>
                  <w:effect w:val="none"/>
                </w:rPr>
                <w:t>31</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46">
              <w:r>
                <w:rPr>
                  <w:rStyle w:val="InternetLink"/>
                  <w:rFonts w:ascii="Arial;sans-serif" w:hAnsi="Arial;sans-serif"/>
                  <w:b w:val="false"/>
                  <w:strike w:val="false"/>
                  <w:dstrike w:val="false"/>
                  <w:color w:val="000000"/>
                  <w:sz w:val="20"/>
                  <w:u w:val="none"/>
                  <w:effect w:val="none"/>
                </w:rPr>
                <w:t>Item 6.</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46">
              <w:r>
                <w:rPr>
                  <w:rStyle w:val="InternetLink"/>
                  <w:rFonts w:ascii="Arial;sans-serif" w:hAnsi="Arial;sans-serif"/>
                  <w:b w:val="false"/>
                  <w:strike w:val="false"/>
                  <w:dstrike w:val="false"/>
                  <w:color w:val="000000"/>
                  <w:sz w:val="20"/>
                  <w:u w:val="none"/>
                  <w:effect w:val="none"/>
                </w:rPr>
                <w:t>[Reserved]</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46">
              <w:r>
                <w:rPr>
                  <w:rStyle w:val="InternetLink"/>
                  <w:rFonts w:ascii="Arial;sans-serif" w:hAnsi="Arial;sans-serif"/>
                  <w:b w:val="false"/>
                  <w:strike w:val="false"/>
                  <w:dstrike w:val="false"/>
                  <w:color w:val="000000"/>
                  <w:sz w:val="20"/>
                  <w:u w:val="none"/>
                  <w:effect w:val="none"/>
                </w:rPr>
                <w:t>31</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49">
              <w:r>
                <w:rPr>
                  <w:rStyle w:val="InternetLink"/>
                  <w:rFonts w:ascii="Arial;sans-serif" w:hAnsi="Arial;sans-serif"/>
                  <w:b w:val="false"/>
                  <w:strike w:val="false"/>
                  <w:dstrike w:val="false"/>
                  <w:color w:val="000000"/>
                  <w:sz w:val="20"/>
                  <w:u w:val="none"/>
                  <w:effect w:val="none"/>
                </w:rPr>
                <w:t>Item 7.</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49">
              <w:r>
                <w:rPr>
                  <w:rStyle w:val="InternetLink"/>
                  <w:rFonts w:ascii="Arial;sans-serif" w:hAnsi="Arial;sans-serif"/>
                  <w:b w:val="false"/>
                  <w:strike w:val="false"/>
                  <w:dstrike w:val="false"/>
                  <w:color w:val="000000"/>
                  <w:sz w:val="20"/>
                  <w:u w:val="none"/>
                  <w:effect w:val="none"/>
                </w:rPr>
                <w:t>Management’s Discussion and Analysis of Financial Condition and Results of Operations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49">
              <w:r>
                <w:rPr>
                  <w:rStyle w:val="InternetLink"/>
                  <w:rFonts w:ascii="Arial;sans-serif" w:hAnsi="Arial;sans-serif"/>
                  <w:b w:val="false"/>
                  <w:strike w:val="false"/>
                  <w:dstrike w:val="false"/>
                  <w:color w:val="000000"/>
                  <w:sz w:val="20"/>
                  <w:u w:val="none"/>
                  <w:effect w:val="none"/>
                </w:rPr>
                <w:t>31</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82">
              <w:r>
                <w:rPr>
                  <w:rStyle w:val="InternetLink"/>
                  <w:rFonts w:ascii="Arial;sans-serif" w:hAnsi="Arial;sans-serif"/>
                  <w:b w:val="false"/>
                  <w:strike w:val="false"/>
                  <w:dstrike w:val="false"/>
                  <w:color w:val="000000"/>
                  <w:sz w:val="20"/>
                  <w:u w:val="none"/>
                  <w:effect w:val="none"/>
                </w:rPr>
                <w:t>Item 7A.</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82">
              <w:r>
                <w:rPr>
                  <w:rStyle w:val="InternetLink"/>
                  <w:rFonts w:ascii="Arial;sans-serif" w:hAnsi="Arial;sans-serif"/>
                  <w:b w:val="false"/>
                  <w:strike w:val="false"/>
                  <w:dstrike w:val="false"/>
                  <w:color w:val="000000"/>
                  <w:sz w:val="20"/>
                  <w:u w:val="none"/>
                  <w:effect w:val="none"/>
                </w:rPr>
                <w:t>Quantitative and Qualitative Disclosures About Market Risk</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82">
              <w:r>
                <w:rPr>
                  <w:rStyle w:val="InternetLink"/>
                  <w:rFonts w:ascii="Arial;sans-serif" w:hAnsi="Arial;sans-serif"/>
                  <w:b w:val="false"/>
                  <w:strike w:val="false"/>
                  <w:dstrike w:val="false"/>
                  <w:color w:val="000000"/>
                  <w:sz w:val="20"/>
                  <w:u w:val="none"/>
                  <w:effect w:val="none"/>
                </w:rPr>
                <w:t>43</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85">
              <w:r>
                <w:rPr>
                  <w:rStyle w:val="InternetLink"/>
                  <w:rFonts w:ascii="Arial;sans-serif" w:hAnsi="Arial;sans-serif"/>
                  <w:b w:val="false"/>
                  <w:strike w:val="false"/>
                  <w:dstrike w:val="false"/>
                  <w:color w:val="000000"/>
                  <w:sz w:val="20"/>
                  <w:u w:val="none"/>
                  <w:effect w:val="none"/>
                </w:rPr>
                <w:t>Item 8.</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85">
              <w:r>
                <w:rPr>
                  <w:rStyle w:val="InternetLink"/>
                  <w:rFonts w:ascii="Arial;sans-serif" w:hAnsi="Arial;sans-serif"/>
                  <w:b w:val="false"/>
                  <w:strike w:val="false"/>
                  <w:dstrike w:val="false"/>
                  <w:color w:val="000000"/>
                  <w:sz w:val="20"/>
                  <w:u w:val="none"/>
                  <w:effect w:val="none"/>
                </w:rPr>
                <w:t>Financial Statements and Supplementary Data</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85">
              <w:r>
                <w:rPr>
                  <w:rStyle w:val="InternetLink"/>
                  <w:rFonts w:ascii="Arial;sans-serif" w:hAnsi="Arial;sans-serif"/>
                  <w:b w:val="false"/>
                  <w:strike w:val="false"/>
                  <w:dstrike w:val="false"/>
                  <w:color w:val="000000"/>
                  <w:sz w:val="20"/>
                  <w:u w:val="none"/>
                  <w:effect w:val="none"/>
                </w:rPr>
                <w:t>43</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88">
              <w:r>
                <w:rPr>
                  <w:rStyle w:val="InternetLink"/>
                  <w:rFonts w:ascii="Arial;sans-serif" w:hAnsi="Arial;sans-serif"/>
                  <w:b w:val="false"/>
                  <w:strike w:val="false"/>
                  <w:dstrike w:val="false"/>
                  <w:color w:val="000000"/>
                  <w:sz w:val="20"/>
                  <w:u w:val="none"/>
                  <w:effect w:val="none"/>
                </w:rPr>
                <w:t>Item 9.</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88">
              <w:r>
                <w:rPr>
                  <w:rStyle w:val="InternetLink"/>
                  <w:rFonts w:ascii="Arial;sans-serif" w:hAnsi="Arial;sans-serif"/>
                  <w:b w:val="false"/>
                  <w:strike w:val="false"/>
                  <w:dstrike w:val="false"/>
                  <w:color w:val="000000"/>
                  <w:sz w:val="20"/>
                  <w:u w:val="none"/>
                  <w:effect w:val="none"/>
                </w:rPr>
                <w:t>Changes in and Disagreements with Accountants on Accounting and Financial Disclosure</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88">
              <w:r>
                <w:rPr>
                  <w:rStyle w:val="InternetLink"/>
                  <w:rFonts w:ascii="Arial;sans-serif" w:hAnsi="Arial;sans-serif"/>
                  <w:b w:val="false"/>
                  <w:strike w:val="false"/>
                  <w:dstrike w:val="false"/>
                  <w:color w:val="000000"/>
                  <w:sz w:val="20"/>
                  <w:u w:val="none"/>
                  <w:effect w:val="none"/>
                </w:rPr>
                <w:t>43</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91">
              <w:r>
                <w:rPr>
                  <w:rStyle w:val="InternetLink"/>
                  <w:rFonts w:ascii="Arial;sans-serif" w:hAnsi="Arial;sans-serif"/>
                  <w:b w:val="false"/>
                  <w:strike w:val="false"/>
                  <w:dstrike w:val="false"/>
                  <w:color w:val="000000"/>
                  <w:sz w:val="20"/>
                  <w:u w:val="none"/>
                  <w:effect w:val="none"/>
                </w:rPr>
                <w:t>Item 9A.</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91">
              <w:r>
                <w:rPr>
                  <w:rStyle w:val="InternetLink"/>
                  <w:rFonts w:ascii="Arial;sans-serif" w:hAnsi="Arial;sans-serif"/>
                  <w:b w:val="false"/>
                  <w:strike w:val="false"/>
                  <w:dstrike w:val="false"/>
                  <w:color w:val="000000"/>
                  <w:sz w:val="20"/>
                  <w:u w:val="none"/>
                  <w:effect w:val="none"/>
                </w:rPr>
                <w:t>Controls and Procedures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91">
              <w:r>
                <w:rPr>
                  <w:rStyle w:val="InternetLink"/>
                  <w:rFonts w:ascii="Arial;sans-serif" w:hAnsi="Arial;sans-serif"/>
                  <w:b w:val="false"/>
                  <w:strike w:val="false"/>
                  <w:dstrike w:val="false"/>
                  <w:color w:val="000000"/>
                  <w:sz w:val="20"/>
                  <w:u w:val="none"/>
                  <w:effect w:val="none"/>
                </w:rPr>
                <w:t>43</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94">
              <w:r>
                <w:rPr>
                  <w:rStyle w:val="InternetLink"/>
                  <w:rFonts w:ascii="Arial;sans-serif" w:hAnsi="Arial;sans-serif"/>
                  <w:b w:val="false"/>
                  <w:strike w:val="false"/>
                  <w:dstrike w:val="false"/>
                  <w:color w:val="000000"/>
                  <w:sz w:val="20"/>
                  <w:u w:val="none"/>
                  <w:effect w:val="none"/>
                </w:rPr>
                <w:t>Item 9B.</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94">
              <w:r>
                <w:rPr>
                  <w:rStyle w:val="InternetLink"/>
                  <w:rFonts w:ascii="Arial;sans-serif" w:hAnsi="Arial;sans-serif"/>
                  <w:b w:val="false"/>
                  <w:strike w:val="false"/>
                  <w:dstrike w:val="false"/>
                  <w:color w:val="000000"/>
                  <w:sz w:val="20"/>
                  <w:u w:val="none"/>
                  <w:effect w:val="none"/>
                </w:rPr>
                <w:t>Other Information</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94">
              <w:r>
                <w:rPr>
                  <w:rStyle w:val="InternetLink"/>
                  <w:rFonts w:ascii="Arial;sans-serif" w:hAnsi="Arial;sans-serif"/>
                  <w:b w:val="false"/>
                  <w:strike w:val="false"/>
                  <w:dstrike w:val="false"/>
                  <w:color w:val="000000"/>
                  <w:sz w:val="20"/>
                  <w:u w:val="none"/>
                  <w:effect w:val="none"/>
                </w:rPr>
                <w:t>44</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97">
              <w:r>
                <w:rPr>
                  <w:rStyle w:val="InternetLink"/>
                  <w:rFonts w:ascii="Arial;sans-serif" w:hAnsi="Arial;sans-serif"/>
                  <w:b w:val="false"/>
                  <w:strike w:val="false"/>
                  <w:dstrike w:val="false"/>
                  <w:color w:val="000000"/>
                  <w:sz w:val="20"/>
                  <w:u w:val="none"/>
                  <w:effect w:val="none"/>
                </w:rPr>
                <w:t>Item 9C</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97">
              <w:r>
                <w:rPr>
                  <w:rStyle w:val="InternetLink"/>
                  <w:rFonts w:ascii="Arial;sans-serif" w:hAnsi="Arial;sans-serif"/>
                  <w:b w:val="false"/>
                  <w:strike w:val="false"/>
                  <w:dstrike w:val="false"/>
                  <w:color w:val="000000"/>
                  <w:sz w:val="20"/>
                  <w:u w:val="none"/>
                  <w:effect w:val="none"/>
                </w:rPr>
                <w:t>Disclosure Regarding Foreign Jurisdictions that Prevent Inspections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97">
              <w:r>
                <w:rPr>
                  <w:rStyle w:val="InternetLink"/>
                  <w:rFonts w:ascii="Arial;sans-serif" w:hAnsi="Arial;sans-serif"/>
                  <w:b w:val="false"/>
                  <w:strike w:val="false"/>
                  <w:dstrike w:val="false"/>
                  <w:color w:val="000000"/>
                  <w:sz w:val="20"/>
                  <w:u w:val="none"/>
                  <w:effect w:val="none"/>
                </w:rPr>
                <w:t>44</w:t>
              </w:r>
            </w:hyperlink>
          </w:p>
        </w:tc>
      </w:tr>
      <w:tr>
        <w:trPr/>
        <w:tc>
          <w:tcPr>
            <w:tcW w:w="958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00">
              <w:r>
                <w:rPr>
                  <w:rStyle w:val="InternetLink"/>
                  <w:rFonts w:ascii="Arial;sans-serif" w:hAnsi="Arial;sans-serif"/>
                  <w:b/>
                  <w:strike w:val="false"/>
                  <w:dstrike w:val="false"/>
                  <w:color w:val="000000"/>
                  <w:sz w:val="20"/>
                  <w:u w:val="none"/>
                  <w:effect w:val="none"/>
                </w:rPr>
                <w:t>PART III</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03">
              <w:r>
                <w:rPr>
                  <w:rStyle w:val="InternetLink"/>
                  <w:rFonts w:ascii="Arial;sans-serif" w:hAnsi="Arial;sans-serif"/>
                  <w:b w:val="false"/>
                  <w:strike w:val="false"/>
                  <w:dstrike w:val="false"/>
                  <w:color w:val="000000"/>
                  <w:sz w:val="20"/>
                  <w:u w:val="none"/>
                  <w:effect w:val="none"/>
                </w:rPr>
                <w:t>Item 10.</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03">
              <w:r>
                <w:rPr>
                  <w:rStyle w:val="InternetLink"/>
                  <w:rFonts w:ascii="Arial;sans-serif" w:hAnsi="Arial;sans-serif"/>
                  <w:b w:val="false"/>
                  <w:strike w:val="false"/>
                  <w:dstrike w:val="false"/>
                  <w:color w:val="000000"/>
                  <w:sz w:val="20"/>
                  <w:u w:val="none"/>
                  <w:effect w:val="none"/>
                </w:rPr>
                <w:t>Directors, Executive Officers and Corporate Governance</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03">
              <w:r>
                <w:rPr>
                  <w:rStyle w:val="InternetLink"/>
                  <w:rFonts w:ascii="Arial;sans-serif" w:hAnsi="Arial;sans-serif"/>
                  <w:b w:val="false"/>
                  <w:strike w:val="false"/>
                  <w:dstrike w:val="false"/>
                  <w:color w:val="000000"/>
                  <w:sz w:val="20"/>
                  <w:u w:val="none"/>
                  <w:effect w:val="none"/>
                </w:rPr>
                <w:t>44</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06">
              <w:r>
                <w:rPr>
                  <w:rStyle w:val="InternetLink"/>
                  <w:rFonts w:ascii="Arial;sans-serif" w:hAnsi="Arial;sans-serif"/>
                  <w:b w:val="false"/>
                  <w:strike w:val="false"/>
                  <w:dstrike w:val="false"/>
                  <w:color w:val="000000"/>
                  <w:sz w:val="20"/>
                  <w:u w:val="none"/>
                  <w:effect w:val="none"/>
                </w:rPr>
                <w:t>Item 11.</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06">
              <w:r>
                <w:rPr>
                  <w:rStyle w:val="InternetLink"/>
                  <w:rFonts w:ascii="Arial;sans-serif" w:hAnsi="Arial;sans-serif"/>
                  <w:b w:val="false"/>
                  <w:strike w:val="false"/>
                  <w:dstrike w:val="false"/>
                  <w:color w:val="000000"/>
                  <w:sz w:val="20"/>
                  <w:u w:val="none"/>
                  <w:effect w:val="none"/>
                </w:rPr>
                <w:t>Executive Compensation</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06">
              <w:r>
                <w:rPr>
                  <w:rStyle w:val="InternetLink"/>
                  <w:rFonts w:ascii="Arial;sans-serif" w:hAnsi="Arial;sans-serif"/>
                  <w:b w:val="false"/>
                  <w:strike w:val="false"/>
                  <w:dstrike w:val="false"/>
                  <w:color w:val="000000"/>
                  <w:sz w:val="20"/>
                  <w:u w:val="none"/>
                  <w:effect w:val="none"/>
                </w:rPr>
                <w:t>45</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09">
              <w:r>
                <w:rPr>
                  <w:rStyle w:val="InternetLink"/>
                  <w:rFonts w:ascii="Arial;sans-serif" w:hAnsi="Arial;sans-serif"/>
                  <w:b w:val="false"/>
                  <w:strike w:val="false"/>
                  <w:dstrike w:val="false"/>
                  <w:color w:val="000000"/>
                  <w:sz w:val="20"/>
                  <w:u w:val="none"/>
                  <w:effect w:val="none"/>
                </w:rPr>
                <w:t>Item 12.</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09">
              <w:r>
                <w:rPr>
                  <w:rStyle w:val="InternetLink"/>
                  <w:rFonts w:ascii="Arial;sans-serif" w:hAnsi="Arial;sans-serif"/>
                  <w:b w:val="false"/>
                  <w:strike w:val="false"/>
                  <w:dstrike w:val="false"/>
                  <w:color w:val="000000"/>
                  <w:sz w:val="20"/>
                  <w:u w:val="none"/>
                  <w:effect w:val="none"/>
                </w:rPr>
                <w:t>Security Ownership of Certain Beneficial Owners and Management and Related Stockholder Matters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09">
              <w:r>
                <w:rPr>
                  <w:rStyle w:val="InternetLink"/>
                  <w:rFonts w:ascii="Arial;sans-serif" w:hAnsi="Arial;sans-serif"/>
                  <w:b w:val="false"/>
                  <w:strike w:val="false"/>
                  <w:dstrike w:val="false"/>
                  <w:color w:val="000000"/>
                  <w:sz w:val="20"/>
                  <w:u w:val="none"/>
                  <w:effect w:val="none"/>
                </w:rPr>
                <w:t>45</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12">
              <w:r>
                <w:rPr>
                  <w:rStyle w:val="InternetLink"/>
                  <w:rFonts w:ascii="Arial;sans-serif" w:hAnsi="Arial;sans-serif"/>
                  <w:b w:val="false"/>
                  <w:strike w:val="false"/>
                  <w:dstrike w:val="false"/>
                  <w:color w:val="000000"/>
                  <w:sz w:val="20"/>
                  <w:u w:val="none"/>
                  <w:effect w:val="none"/>
                </w:rPr>
                <w:t>Item 13.</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12">
              <w:r>
                <w:rPr>
                  <w:rStyle w:val="InternetLink"/>
                  <w:rFonts w:ascii="Arial;sans-serif" w:hAnsi="Arial;sans-serif"/>
                  <w:b w:val="false"/>
                  <w:strike w:val="false"/>
                  <w:dstrike w:val="false"/>
                  <w:color w:val="000000"/>
                  <w:sz w:val="20"/>
                  <w:u w:val="none"/>
                  <w:effect w:val="none"/>
                </w:rPr>
                <w:t>Certain Relationships and Related Transactions, and Director Independence</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12">
              <w:r>
                <w:rPr>
                  <w:rStyle w:val="InternetLink"/>
                  <w:rFonts w:ascii="Arial;sans-serif" w:hAnsi="Arial;sans-serif"/>
                  <w:b w:val="false"/>
                  <w:strike w:val="false"/>
                  <w:dstrike w:val="false"/>
                  <w:color w:val="000000"/>
                  <w:sz w:val="20"/>
                  <w:u w:val="none"/>
                  <w:effect w:val="none"/>
                </w:rPr>
                <w:t>45</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15">
              <w:r>
                <w:rPr>
                  <w:rStyle w:val="InternetLink"/>
                  <w:rFonts w:ascii="Arial;sans-serif" w:hAnsi="Arial;sans-serif"/>
                  <w:b w:val="false"/>
                  <w:strike w:val="false"/>
                  <w:dstrike w:val="false"/>
                  <w:color w:val="000000"/>
                  <w:sz w:val="20"/>
                  <w:u w:val="none"/>
                  <w:effect w:val="none"/>
                </w:rPr>
                <w:t>Item 14.</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15">
              <w:r>
                <w:rPr>
                  <w:rStyle w:val="InternetLink"/>
                  <w:rFonts w:ascii="Arial;sans-serif" w:hAnsi="Arial;sans-serif"/>
                  <w:b w:val="false"/>
                  <w:strike w:val="false"/>
                  <w:dstrike w:val="false"/>
                  <w:color w:val="000000"/>
                  <w:sz w:val="20"/>
                  <w:u w:val="none"/>
                  <w:effect w:val="none"/>
                </w:rPr>
                <w:t>Principal Accounting Fees and Services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15">
              <w:r>
                <w:rPr>
                  <w:rStyle w:val="InternetLink"/>
                  <w:rFonts w:ascii="Arial;sans-serif" w:hAnsi="Arial;sans-serif"/>
                  <w:b w:val="false"/>
                  <w:strike w:val="false"/>
                  <w:dstrike w:val="false"/>
                  <w:color w:val="000000"/>
                  <w:sz w:val="20"/>
                  <w:u w:val="none"/>
                  <w:effect w:val="none"/>
                </w:rPr>
                <w:t>45</w:t>
              </w:r>
            </w:hyperlink>
          </w:p>
        </w:tc>
      </w:tr>
      <w:tr>
        <w:trPr/>
        <w:tc>
          <w:tcPr>
            <w:tcW w:w="958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18">
              <w:r>
                <w:rPr>
                  <w:rStyle w:val="InternetLink"/>
                  <w:rFonts w:ascii="Arial;sans-serif" w:hAnsi="Arial;sans-serif"/>
                  <w:b/>
                  <w:strike w:val="false"/>
                  <w:dstrike w:val="false"/>
                  <w:color w:val="000000"/>
                  <w:sz w:val="20"/>
                  <w:u w:val="none"/>
                  <w:effect w:val="none"/>
                </w:rPr>
                <w:t>PART IV</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21">
              <w:r>
                <w:rPr>
                  <w:rStyle w:val="InternetLink"/>
                  <w:rFonts w:ascii="Arial;sans-serif" w:hAnsi="Arial;sans-serif"/>
                  <w:b w:val="false"/>
                  <w:strike w:val="false"/>
                  <w:dstrike w:val="false"/>
                  <w:color w:val="000000"/>
                  <w:sz w:val="20"/>
                  <w:u w:val="none"/>
                  <w:effect w:val="none"/>
                </w:rPr>
                <w:t>Item 15.</w:t>
              </w:r>
            </w:hyperlink>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21">
              <w:r>
                <w:rPr>
                  <w:rStyle w:val="InternetLink"/>
                  <w:rFonts w:ascii="Arial;sans-serif" w:hAnsi="Arial;sans-serif"/>
                  <w:b w:val="false"/>
                  <w:strike w:val="false"/>
                  <w:dstrike w:val="false"/>
                  <w:color w:val="000000"/>
                  <w:sz w:val="20"/>
                  <w:u w:val="none"/>
                  <w:effect w:val="none"/>
                </w:rPr>
                <w:t>Exhibits and Financial Statement Schedules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21">
              <w:r>
                <w:rPr>
                  <w:rStyle w:val="InternetLink"/>
                  <w:rFonts w:ascii="Arial;sans-serif" w:hAnsi="Arial;sans-serif"/>
                  <w:b w:val="false"/>
                  <w:strike w:val="false"/>
                  <w:dstrike w:val="false"/>
                  <w:color w:val="000000"/>
                  <w:sz w:val="20"/>
                  <w:u w:val="none"/>
                  <w:effect w:val="none"/>
                </w:rPr>
                <w:t>46</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24">
              <w:r>
                <w:rPr>
                  <w:rStyle w:val="InternetLink"/>
                  <w:rFonts w:ascii="Arial;sans-serif" w:hAnsi="Arial;sans-serif"/>
                  <w:b w:val="false"/>
                  <w:strike w:val="false"/>
                  <w:dstrike w:val="false"/>
                  <w:color w:val="000000"/>
                  <w:sz w:val="20"/>
                  <w:u w:val="none"/>
                  <w:effect w:val="none"/>
                </w:rPr>
                <w:t>Item 16.</w:t>
              </w:r>
            </w:hyperlink>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24">
              <w:r>
                <w:rPr>
                  <w:rStyle w:val="InternetLink"/>
                  <w:rFonts w:ascii="Arial;sans-serif" w:hAnsi="Arial;sans-serif"/>
                  <w:b w:val="false"/>
                  <w:strike w:val="false"/>
                  <w:dstrike w:val="false"/>
                  <w:color w:val="000000"/>
                  <w:sz w:val="20"/>
                  <w:u w:val="none"/>
                  <w:effect w:val="none"/>
                </w:rPr>
                <w:t>Form 10-K Summary</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24">
              <w:r>
                <w:rPr>
                  <w:rStyle w:val="InternetLink"/>
                  <w:rFonts w:ascii="Arial;sans-serif" w:hAnsi="Arial;sans-serif"/>
                  <w:b w:val="false"/>
                  <w:strike w:val="false"/>
                  <w:dstrike w:val="false"/>
                  <w:color w:val="000000"/>
                  <w:sz w:val="20"/>
                  <w:u w:val="none"/>
                  <w:effect w:val="none"/>
                </w:rPr>
                <w:t>46</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27">
              <w:r>
                <w:rPr>
                  <w:rStyle w:val="InternetLink"/>
                  <w:rFonts w:ascii="Arial;sans-serif" w:hAnsi="Arial;sans-serif"/>
                  <w:b w:val="false"/>
                  <w:strike w:val="false"/>
                  <w:dstrike w:val="false"/>
                  <w:color w:val="000000"/>
                  <w:sz w:val="20"/>
                  <w:u w:val="none"/>
                  <w:effect w:val="none"/>
                </w:rPr>
                <w:t>Index to Exhibits</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27">
              <w:r>
                <w:rPr>
                  <w:rStyle w:val="InternetLink"/>
                  <w:rFonts w:ascii="Arial;sans-serif" w:hAnsi="Arial;sans-serif"/>
                  <w:b w:val="false"/>
                  <w:strike w:val="false"/>
                  <w:dstrike w:val="false"/>
                  <w:color w:val="000000"/>
                  <w:sz w:val="20"/>
                  <w:u w:val="none"/>
                  <w:effect w:val="none"/>
                </w:rPr>
                <w:t>47</w:t>
              </w:r>
            </w:hyperlink>
          </w:p>
        </w:tc>
      </w:tr>
      <w:tr>
        <w:trPr/>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30">
              <w:r>
                <w:rPr>
                  <w:rStyle w:val="InternetLink"/>
                  <w:rFonts w:ascii="Arial;sans-serif" w:hAnsi="Arial;sans-serif"/>
                  <w:b w:val="false"/>
                  <w:strike w:val="false"/>
                  <w:dstrike w:val="false"/>
                  <w:color w:val="000000"/>
                  <w:sz w:val="20"/>
                  <w:u w:val="none"/>
                  <w:effect w:val="none"/>
                </w:rPr>
                <w:t>Signatures</w:t>
              </w:r>
            </w:hyperlink>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30">
              <w:r>
                <w:rPr>
                  <w:rStyle w:val="InternetLink"/>
                  <w:rFonts w:ascii="Arial;sans-serif" w:hAnsi="Arial;sans-serif"/>
                  <w:b w:val="false"/>
                  <w:strike w:val="false"/>
                  <w:dstrike w:val="false"/>
                  <w:color w:val="000000"/>
                  <w:sz w:val="20"/>
                  <w:u w:val="none"/>
                  <w:effect w:val="none"/>
                </w:rPr>
                <w:t>51</w:t>
              </w:r>
            </w:hyperlink>
          </w:p>
        </w:tc>
      </w:tr>
      <w:tr>
        <w:trPr/>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33">
              <w:r>
                <w:rPr>
                  <w:rStyle w:val="InternetLink"/>
                  <w:rFonts w:ascii="Arial;sans-serif" w:hAnsi="Arial;sans-serif"/>
                  <w:b w:val="false"/>
                  <w:strike w:val="false"/>
                  <w:dstrike w:val="false"/>
                  <w:color w:val="000000"/>
                  <w:sz w:val="20"/>
                  <w:u w:val="none"/>
                  <w:effect w:val="none"/>
                </w:rPr>
                <w:t>Index to Consolidated Financial Statements and Financial Statement Schedule</w:t>
              </w:r>
            </w:hyperlink>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8d90a8909c40e38470f605b7a7d73f_133">
              <w:r>
                <w:rPr>
                  <w:rStyle w:val="InternetLink"/>
                  <w:rFonts w:ascii="Arial;sans-serif" w:hAnsi="Arial;sans-serif"/>
                  <w:b w:val="false"/>
                  <w:strike w:val="false"/>
                  <w:dstrike w:val="false"/>
                  <w:color w:val="000000"/>
                  <w:sz w:val="20"/>
                  <w:u w:val="none"/>
                  <w:effect w:val="none"/>
                </w:rPr>
                <w:t>F</w:t>
              </w:r>
            </w:hyperlink>
            <w:r>
              <w:rPr>
                <w:rFonts w:ascii="Arial;sans-serif" w:hAnsi="Arial;sans-serif"/>
                <w:b w:val="false"/>
                <w:color w:val="000000"/>
                <w:sz w:val="20"/>
              </w:rPr>
              <w:t>-</w:t>
            </w:r>
            <w:hyperlink w:anchor="ic48d90a8909c40e38470f605b7a7d73f_133">
              <w:r>
                <w:rPr>
                  <w:rStyle w:val="InternetLink"/>
                  <w:rFonts w:ascii="Arial;sans-serif" w:hAnsi="Arial;sans-serif"/>
                  <w:b w:val="false"/>
                  <w:strike w:val="false"/>
                  <w:dstrike w:val="false"/>
                  <w:color w:val="000000"/>
                  <w:sz w:val="20"/>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10-K</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YEAR ENDED DECEMBER 31, 2025</w:t>
      </w:r>
    </w:p>
    <w:p>
      <w:pPr>
        <w:pStyle w:val="TextBody"/>
        <w:bidi w:val="0"/>
        <w:spacing w:before="0" w:after="0"/>
        <w:jc w:val="center"/>
        <w:rPr/>
      </w:pPr>
      <w:r>
        <w:rPr/>
      </w:r>
    </w:p>
    <w:p>
      <w:pPr>
        <w:pStyle w:val="TextBody"/>
        <w:bidi w:val="0"/>
        <w:spacing w:lineRule="auto" w:line="288" w:before="0" w:after="200"/>
        <w:jc w:val="left"/>
        <w:rPr/>
      </w:pPr>
      <w:r>
        <w:rPr>
          <w:rFonts w:ascii="Arial;sans-serif" w:hAnsi="Arial;sans-serif"/>
          <w:b w:val="false"/>
          <w:i/>
          <w:color w:val="000000"/>
          <w:sz w:val="20"/>
        </w:rPr>
        <w:t>Unless the context otherwise indicates or requires, the terms “</w:t>
      </w:r>
      <w:r>
        <w:rPr>
          <w:rFonts w:ascii="Arial;sans-serif" w:hAnsi="Arial;sans-serif"/>
          <w:b/>
          <w:i/>
          <w:color w:val="000000"/>
          <w:sz w:val="20"/>
          <w:u w:val="single"/>
        </w:rPr>
        <w:t>InTest</w:t>
      </w:r>
      <w:r>
        <w:rPr>
          <w:rFonts w:ascii="Arial;sans-serif" w:hAnsi="Arial;sans-serif"/>
          <w:b w:val="false"/>
          <w:i/>
          <w:color w:val="000000"/>
          <w:sz w:val="20"/>
        </w:rPr>
        <w:t>,” “</w:t>
      </w:r>
      <w:r>
        <w:rPr>
          <w:rFonts w:ascii="Arial;sans-serif" w:hAnsi="Arial;sans-serif"/>
          <w:b/>
          <w:i/>
          <w:color w:val="000000"/>
          <w:sz w:val="20"/>
          <w:u w:val="single"/>
        </w:rPr>
        <w:t>we</w:t>
      </w:r>
      <w:r>
        <w:rPr>
          <w:rFonts w:ascii="Arial;sans-serif" w:hAnsi="Arial;sans-serif"/>
          <w:b w:val="false"/>
          <w:i/>
          <w:color w:val="000000"/>
          <w:sz w:val="20"/>
        </w:rPr>
        <w:t>,” “</w:t>
      </w:r>
      <w:r>
        <w:rPr>
          <w:rFonts w:ascii="Arial;sans-serif" w:hAnsi="Arial;sans-serif"/>
          <w:b/>
          <w:i/>
          <w:color w:val="000000"/>
          <w:sz w:val="20"/>
          <w:u w:val="single"/>
        </w:rPr>
        <w:t>our</w:t>
      </w:r>
      <w:r>
        <w:rPr>
          <w:rFonts w:ascii="Arial;sans-serif" w:hAnsi="Arial;sans-serif"/>
          <w:b w:val="false"/>
          <w:i/>
          <w:color w:val="000000"/>
          <w:sz w:val="20"/>
        </w:rPr>
        <w:t>,” “</w:t>
      </w:r>
      <w:r>
        <w:rPr>
          <w:rFonts w:ascii="Arial;sans-serif" w:hAnsi="Arial;sans-serif"/>
          <w:b/>
          <w:i/>
          <w:color w:val="000000"/>
          <w:sz w:val="20"/>
          <w:u w:val="single"/>
        </w:rPr>
        <w:t>us</w:t>
      </w:r>
      <w:r>
        <w:rPr>
          <w:color w:val="000000"/>
        </w:rPr>
        <w:t xml:space="preserve">” </w:t>
      </w:r>
      <w:r>
        <w:rPr>
          <w:rFonts w:ascii="Arial;sans-serif" w:hAnsi="Arial;sans-serif"/>
          <w:b w:val="false"/>
          <w:i/>
          <w:color w:val="000000"/>
          <w:sz w:val="20"/>
        </w:rPr>
        <w:t>and the “</w:t>
      </w:r>
      <w:r>
        <w:rPr>
          <w:rFonts w:ascii="Arial;sans-serif" w:hAnsi="Arial;sans-serif"/>
          <w:b/>
          <w:i/>
          <w:color w:val="000000"/>
          <w:sz w:val="20"/>
          <w:u w:val="single"/>
        </w:rPr>
        <w:t>Company</w:t>
      </w:r>
      <w:r>
        <w:rPr>
          <w:rFonts w:ascii="Arial;sans-serif" w:hAnsi="Arial;sans-serif"/>
          <w:b w:val="false"/>
          <w:i/>
          <w:color w:val="000000"/>
          <w:sz w:val="20"/>
        </w:rPr>
        <w:t>,” as used in this Annual Report on Form 10-K (this “</w:t>
      </w:r>
      <w:r>
        <w:rPr>
          <w:rFonts w:ascii="Arial;sans-serif" w:hAnsi="Arial;sans-serif"/>
          <w:b/>
          <w:i/>
          <w:color w:val="000000"/>
          <w:sz w:val="20"/>
          <w:u w:val="single"/>
        </w:rPr>
        <w:t>Report</w:t>
      </w:r>
      <w:r>
        <w:rPr>
          <w:color w:val="000000"/>
        </w:rPr>
        <w:t>”</w:t>
      </w:r>
      <w:r>
        <w:rPr>
          <w:rFonts w:ascii="Arial;sans-serif" w:hAnsi="Arial;sans-serif"/>
          <w:b w:val="false"/>
          <w:i/>
          <w:color w:val="000000"/>
          <w:sz w:val="20"/>
        </w:rPr>
        <w:t xml:space="preserve">), refer to InTest Corporation and our consolidated subsidiaries as a combined entity. We do not use the </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0"/>
        </w:rPr>
        <w:t xml:space="preserve">or </w:t>
      </w:r>
      <w:r>
        <w:rPr>
          <w:color w:val="000000"/>
        </w:rPr>
        <w:t xml:space="preserve">™ </w:t>
      </w:r>
      <w:r>
        <w:rPr>
          <w:rFonts w:ascii="Arial;sans-serif" w:hAnsi="Arial;sans-serif"/>
          <w:b w:val="false"/>
          <w:i/>
          <w:color w:val="000000"/>
          <w:sz w:val="20"/>
        </w:rPr>
        <w:t>symbol in each instance in which one of our registered or common law trademarks appears in this Annual Report on Form 10-K, but this should not be construed as any indication that we will not assert our rights thereto to the fullest extent permissible under applicable law.</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lineRule="auto" w:line="288" w:before="0" w:after="200"/>
        <w:jc w:val="left"/>
        <w:rPr/>
      </w:pPr>
      <w:r>
        <w:rPr>
          <w:rFonts w:ascii="Arial;sans-serif" w:hAnsi="Arial;sans-serif"/>
          <w:b w:val="false"/>
          <w:color w:val="000000"/>
          <w:sz w:val="20"/>
        </w:rPr>
        <w:t>From time to time, we make written or oral “forward-looking statements” within the meaning of the Private Securities Litigation Reform Act of 1995, as amended, including statements contained in our filings with the Securities and Exchange Commission (the “</w:t>
      </w:r>
      <w:r>
        <w:rPr>
          <w:rFonts w:ascii="Arial;sans-serif" w:hAnsi="Arial;sans-serif"/>
          <w:b/>
          <w:color w:val="000000"/>
          <w:sz w:val="20"/>
          <w:u w:val="single"/>
        </w:rPr>
        <w:t>SEC</w:t>
      </w:r>
      <w:r>
        <w:rPr>
          <w:color w:val="000000"/>
        </w:rPr>
        <w:t>”</w:t>
      </w:r>
      <w:r>
        <w:rPr>
          <w:rFonts w:ascii="Arial;sans-serif" w:hAnsi="Arial;sans-serif"/>
          <w:b w:val="false"/>
          <w:color w:val="000000"/>
          <w:sz w:val="20"/>
        </w:rPr>
        <w:t>) (including this Report for the year ended December 31, 2025), in our annual report to stockholders and in other communications.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“aim,” “believe,” “expect,” “intend,” “may,” “could,” “continue,” “will,” “should,” “plans,” “depending,” “projects,” “forecasts,” “focus,” “seeks,” “anticipates,” “goal,” “objective,” “target,” “estimates,” “future,” “strategy,” “vision,”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execute on our VISION 2030 Strategy;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grow our presence in the Auto/Electric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international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of future acquisitions or dispositions and the successful integration of any acquired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our strategy to diversify our business by entering markets outside the semiconductor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indications of a change in the market cycles in the semiconductor (“</w:t>
      </w:r>
      <w:r>
        <w:rPr>
          <w:rFonts w:ascii="Arial;sans-serif" w:hAnsi="Arial;sans-serif"/>
          <w:b/>
          <w:color w:val="000000"/>
          <w:sz w:val="20"/>
          <w:u w:val="single"/>
        </w:rPr>
        <w:t>Semi</w:t>
      </w:r>
      <w:r>
        <w:rPr>
          <w:color w:val="000000"/>
        </w:rPr>
        <w:t>”</w:t>
      </w:r>
      <w:r>
        <w:rPr>
          <w:rFonts w:ascii="Arial;sans-serif" w:hAnsi="Arial;sans-serif"/>
          <w:b w:val="false"/>
          <w:color w:val="000000"/>
          <w:sz w:val="20"/>
        </w:rPr>
        <w:t>) market, or other markets we serve;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and trends in the Semi market, including changes in the demand for semiconductors;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convert backlog to sales and to ship product in a timely manner;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loss of any one or more of our largest customers, or a reduction in orders by a major customer;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materials used to manufacture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interruptions in our supply chain caused by external factors;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sufficiency of cash balances, lines of credit and net cash from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stock price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borrow funds or raise capital to finance potential acquisitions or for working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meet the terms and covenants related to our credit facility;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rate of, and timing of, capital expenditures by our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exchange rate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progress of product development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anticipated market for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failure to maintain a proper and effective system of disclosure controls and internal control over financial reporting;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and retention of key personnel or our ability to hire personnel at anticipated costs;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changes in U.S. and/or foreign trade policy and/or general economic conditions both domestically and globally.</w:t>
      </w:r>
    </w:p>
    <w:p>
      <w:pPr>
        <w:pStyle w:val="TextBody"/>
        <w:bidi w:val="0"/>
        <w:spacing w:lineRule="auto" w:line="288" w:before="0" w:after="200"/>
        <w:jc w:val="left"/>
        <w:rPr/>
      </w:pPr>
      <w:r>
        <w:rPr>
          <w:rFonts w:ascii="Arial;sans-serif" w:hAnsi="Arial;sans-serif"/>
          <w:b w:val="false"/>
          <w:color w:val="000000"/>
          <w:sz w:val="20"/>
        </w:rPr>
        <w:t>We discuss many of these risks and uncertainties and others under “</w:t>
      </w:r>
      <w:r>
        <w:rPr>
          <w:rFonts w:ascii="Arial;sans-serif" w:hAnsi="Arial;sans-serif"/>
          <w:b/>
          <w:color w:val="000000"/>
          <w:sz w:val="20"/>
        </w:rPr>
        <w:t>Part I; Item 1A. Risk Factors</w:t>
      </w:r>
      <w:r>
        <w:rPr>
          <w:rFonts w:ascii="Arial;sans-serif" w:hAnsi="Arial;sans-serif"/>
          <w:b w:val="false"/>
          <w:color w:val="000000"/>
          <w:sz w:val="20"/>
        </w:rPr>
        <w:t xml:space="preserve">,” in this Report, and elsewhere in this Report.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1.     BUSINESS</w:t>
      </w:r>
    </w:p>
    <w:p>
      <w:pPr>
        <w:pStyle w:val="TextBody"/>
        <w:bidi w:val="0"/>
        <w:spacing w:lineRule="auto" w:line="288" w:before="0" w:after="240"/>
        <w:jc w:val="left"/>
        <w:rPr>
          <w:rFonts w:ascii="Arial;sans-serif" w:hAnsi="Arial;sans-serif"/>
          <w:b/>
          <w:color w:val="C02026"/>
          <w:sz w:val="20"/>
          <w:u w:val="single"/>
        </w:rPr>
      </w:pPr>
      <w:r>
        <w:rPr>
          <w:rFonts w:ascii="Arial;sans-serif" w:hAnsi="Arial;sans-serif"/>
          <w:b/>
          <w:color w:val="C02026"/>
          <w:sz w:val="20"/>
          <w:u w:val="single"/>
        </w:rPr>
        <w:t>OVERVIEW</w:t>
      </w:r>
    </w:p>
    <w:p>
      <w:pPr>
        <w:pStyle w:val="TextBody"/>
        <w:bidi w:val="0"/>
        <w:spacing w:lineRule="auto" w:line="288" w:before="0" w:after="200"/>
        <w:jc w:val="left"/>
        <w:rPr/>
      </w:pPr>
      <w:r>
        <w:rPr>
          <w:rFonts w:ascii="Arial;sans-serif" w:hAnsi="Arial;sans-serif"/>
          <w:b w:val="false"/>
          <w:color w:val="000000"/>
          <w:sz w:val="20"/>
        </w:rPr>
        <w:t>InTest Corporation, headquartered in Mount Laurel, New Jersey, was incorporated in New Jersey in 1981 and reincorporated in Delaware in April 1997. We completed our initial public offering in June 1997 and currently trade on the NYSE American stock exchange under the symbol “</w:t>
      </w:r>
      <w:r>
        <w:rPr>
          <w:rFonts w:ascii="Arial;sans-serif" w:hAnsi="Arial;sans-serif"/>
          <w:b/>
          <w:color w:val="000000"/>
          <w:sz w:val="20"/>
          <w:u w:val="single"/>
        </w:rPr>
        <w:t>INTT</w:t>
      </w:r>
      <w:r>
        <w:rPr>
          <w:rFonts w:ascii="Arial;sans-serif" w:hAnsi="Arial;sans-serif"/>
          <w:b w:val="false"/>
          <w:color w:val="000000"/>
          <w:sz w:val="20"/>
        </w:rPr>
        <w:t>.” The consolidated entity is comprised of InTest Corporation and our wholly owned subsidiaries which comprise our six businesses: Electro Mechanical Semiconductor (“</w:t>
      </w:r>
      <w:r>
        <w:rPr>
          <w:rFonts w:ascii="Arial;sans-serif" w:hAnsi="Arial;sans-serif"/>
          <w:b/>
          <w:color w:val="000000"/>
          <w:sz w:val="20"/>
          <w:u w:val="single"/>
        </w:rPr>
        <w:t>EMS</w:t>
      </w:r>
      <w:r>
        <w:rPr>
          <w:color w:val="000000"/>
        </w:rPr>
        <w:t>”</w:t>
      </w:r>
      <w:r>
        <w:rPr>
          <w:rFonts w:ascii="Arial;sans-serif" w:hAnsi="Arial;sans-serif"/>
          <w:b w:val="false"/>
          <w:color w:val="000000"/>
          <w:sz w:val="20"/>
        </w:rPr>
        <w:t>), Acculogic, Alfamation</w:t>
      </w:r>
      <w:r>
        <w:rPr>
          <w:color w:val="000000"/>
        </w:rPr>
        <w:t>™</w:t>
      </w:r>
      <w:r>
        <w:rPr>
          <w:rFonts w:ascii="Arial;sans-serif" w:hAnsi="Arial;sans-serif"/>
          <w:b w:val="false"/>
          <w:color w:val="000000"/>
          <w:sz w:val="20"/>
        </w:rPr>
        <w:t>, InTest Thermal Solutions (“</w:t>
      </w:r>
      <w:r>
        <w:rPr>
          <w:rFonts w:ascii="Arial;sans-serif" w:hAnsi="Arial;sans-serif"/>
          <w:b/>
          <w:color w:val="000000"/>
          <w:sz w:val="20"/>
          <w:u w:val="single"/>
        </w:rPr>
        <w:t>ITS</w:t>
      </w:r>
      <w:r>
        <w:rPr>
          <w:color w:val="000000"/>
        </w:rPr>
        <w:t>”</w:t>
      </w:r>
      <w:r>
        <w:rPr>
          <w:rFonts w:ascii="Arial;sans-serif" w:hAnsi="Arial;sans-serif"/>
          <w:b w:val="false"/>
          <w:color w:val="000000"/>
          <w:sz w:val="20"/>
        </w:rPr>
        <w:t>),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are a global supplier of innovative test and process technology solutions for use in manufacturing and testing across a wide range of markets including Semi, Auto/EV, Defense/Aerospace, Industrial, Life Sciences, Safety/Security and Other. We operate our business worldwide, sell our products both domestically and internationally and manufacture our products in the U.S., Canada, Italy and began limited manufacturing in Malaysia in the fourth quarter of 2025. Marketing and support activities are conducted worldwide from our facilities in the U.S., Canada, Italy, Germany, Singapore, Malaysia, and the U.K. We have three operating segments which are also our reportable segments and reporting units: Electronic Test, Environmental Technologies and Process Technologies.</w:t>
      </w:r>
    </w:p>
    <w:p>
      <w:pPr>
        <w:pStyle w:val="TextBody"/>
        <w:bidi w:val="0"/>
        <w:spacing w:before="0" w:after="200"/>
        <w:jc w:val="left"/>
        <w:rPr/>
      </w:pPr>
      <w:r>
        <w:rPr/>
      </w:r>
    </w:p>
    <w:p>
      <w:pPr>
        <w:pStyle w:val="TextBody"/>
        <w:bidi w:val="0"/>
        <w:spacing w:lineRule="auto" w:line="288" w:before="0" w:after="240"/>
        <w:jc w:val="left"/>
        <w:rPr>
          <w:rFonts w:ascii="Arial;sans-serif" w:hAnsi="Arial;sans-serif"/>
          <w:b/>
          <w:color w:val="C02026"/>
          <w:sz w:val="20"/>
          <w:u w:val="single"/>
        </w:rPr>
      </w:pPr>
      <w:r>
        <w:rPr>
          <w:rFonts w:ascii="Arial;sans-serif" w:hAnsi="Arial;sans-serif"/>
          <w:b/>
          <w:color w:val="C02026"/>
          <w:sz w:val="20"/>
          <w:u w:val="single"/>
        </w:rPr>
        <w:t>STRATEGY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InTest’s vision is to be the partner of choice for innovative test and process technology solutions. Our mission is to deliver value to our stakeholders by leveraging our deep industry knowledge and expertise to develop and deliver high quality, innovative customer solutions and superior support for complex worldwide challenges. We are committed to becoming recognized as a leader in our target markets for engineering and manufacturing capabilities that help solve our customers’ most complex challenges in their production, research and development and quality control processes. Our products provide highly engineered, high quality and cost-effective test and process technology solutions which are delivered with a customer focus that are intended to drive a high level of customer satisfaction. We aim to consistently expand our unique and differentiated solutions through innovative new product development and acquisitions. We expect to drive revenue and earnings growth by creating increased value for our customers through this expansion of our portfolio of products, services and support.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VISION 2030 begins by building upon the foundation established in our core growth strategies:</w:t>
      </w:r>
    </w:p>
    <w:p>
      <w:pPr>
        <w:pStyle w:val="TextBody"/>
        <w:bidi w:val="0"/>
        <w:spacing w:lineRule="auto" w:line="288" w:before="0" w:after="200"/>
        <w:jc w:val="left"/>
        <w:rPr/>
      </w:pPr>
      <w:r>
        <w:rPr>
          <w:rFonts w:ascii="Arial;sans-serif" w:hAnsi="Arial;sans-serif"/>
          <w:b/>
          <w:i/>
          <w:color w:val="000000"/>
          <w:sz w:val="20"/>
        </w:rPr>
        <w:t>Global &amp; Market Expansion</w:t>
      </w:r>
      <w:r>
        <w:rPr>
          <w:color w:val="000000"/>
        </w:rPr>
        <w:t xml:space="preserve"> </w:t>
      </w:r>
      <w:r>
        <w:rPr>
          <w:rFonts w:ascii="Arial;sans-serif" w:hAnsi="Arial;sans-serif"/>
          <w:b w:val="false"/>
          <w:color w:val="000000"/>
          <w:sz w:val="20"/>
        </w:rPr>
        <w:t>- Creating a larger global presence that will enable us to better serve customers around the world. We are working to expand our international customer base with more channel partners as well as direct coverage in key geographic markets. A good example of this is our Malaysia operations which we initiated at the end of 2023 as a shared service location to boost our “in-the-region, for-the-region” operational strategy.</w:t>
      </w:r>
    </w:p>
    <w:p>
      <w:pPr>
        <w:pStyle w:val="TextBody"/>
        <w:bidi w:val="0"/>
        <w:spacing w:lineRule="auto" w:line="288" w:before="0" w:after="200"/>
        <w:jc w:val="left"/>
        <w:rPr/>
      </w:pPr>
      <w:r>
        <w:rPr>
          <w:rFonts w:ascii="Arial;sans-serif" w:hAnsi="Arial;sans-serif"/>
          <w:b/>
          <w:i/>
          <w:color w:val="000000"/>
          <w:sz w:val="20"/>
        </w:rPr>
        <w:t>Innovation &amp; Differentiation</w:t>
      </w:r>
      <w:r>
        <w:rPr>
          <w:color w:val="000000"/>
        </w:rPr>
        <w:t xml:space="preserve"> – </w:t>
      </w:r>
      <w:r>
        <w:rPr>
          <w:rFonts w:ascii="Arial;sans-serif" w:hAnsi="Arial;sans-serif"/>
          <w:b w:val="false"/>
          <w:color w:val="000000"/>
          <w:sz w:val="20"/>
        </w:rPr>
        <w:t>Leveraging our expertise to design and deliver highly-valued solutions for our customers. While doing so, striving to shift our new product development efforts towards more market-driven solutions which enable higher levels of standardization across our portfolio.</w:t>
      </w:r>
    </w:p>
    <w:p>
      <w:pPr>
        <w:pStyle w:val="TextBody"/>
        <w:bidi w:val="0"/>
        <w:spacing w:lineRule="auto" w:line="288" w:before="0" w:after="200"/>
        <w:jc w:val="left"/>
        <w:rPr/>
      </w:pPr>
      <w:r>
        <w:rPr>
          <w:rFonts w:ascii="Arial;sans-serif" w:hAnsi="Arial;sans-serif"/>
          <w:b/>
          <w:i/>
          <w:color w:val="000000"/>
          <w:sz w:val="20"/>
        </w:rPr>
        <w:t>Service &amp; Support</w:t>
      </w:r>
      <w:r>
        <w:rPr>
          <w:color w:val="000000"/>
        </w:rPr>
        <w:t xml:space="preserve"> – </w:t>
      </w:r>
      <w:r>
        <w:rPr>
          <w:rFonts w:ascii="Arial;sans-serif" w:hAnsi="Arial;sans-serif"/>
          <w:b w:val="false"/>
          <w:color w:val="000000"/>
          <w:sz w:val="20"/>
        </w:rPr>
        <w:t xml:space="preserve">Expanding our geographic service coverage, infrastructure and repair/calibration centers to be more responsive to our customers. Enhancing our service offering with improved service agreements, extended warranties, preventative maintenance and calibration programs as well as adding remote services such as asset health monitoring. </w:t>
      </w:r>
    </w:p>
    <w:p>
      <w:pPr>
        <w:pStyle w:val="TextBody"/>
        <w:bidi w:val="0"/>
        <w:spacing w:lineRule="auto" w:line="288" w:before="0" w:after="200"/>
        <w:jc w:val="left"/>
        <w:rPr/>
      </w:pPr>
      <w:r>
        <w:rPr>
          <w:rFonts w:ascii="Arial;sans-serif" w:hAnsi="Arial;sans-serif"/>
          <w:b/>
          <w:i/>
          <w:color w:val="000000"/>
          <w:sz w:val="20"/>
        </w:rPr>
        <w:t>Talent &amp; Culture</w:t>
      </w:r>
      <w:r>
        <w:rPr>
          <w:color w:val="000000"/>
        </w:rPr>
        <w:t xml:space="preserve"> – </w:t>
      </w:r>
      <w:r>
        <w:rPr>
          <w:rFonts w:ascii="Arial;sans-serif" w:hAnsi="Arial;sans-serif"/>
          <w:b w:val="false"/>
          <w:color w:val="000000"/>
          <w:sz w:val="20"/>
        </w:rPr>
        <w:t>We have established and will continue to foster a culture and environment of openness, one that is results-oriented and drives accountability across the organization. The objective is to attract, develop and retain the top talent that will enable us to deliver on our vision.</w:t>
      </w:r>
    </w:p>
    <w:p>
      <w:pPr>
        <w:pStyle w:val="TextBody"/>
        <w:bidi w:val="0"/>
        <w:spacing w:lineRule="auto" w:line="288" w:before="0" w:after="200"/>
        <w:jc w:val="left"/>
        <w:rPr/>
      </w:pPr>
      <w:r>
        <w:rPr>
          <w:rFonts w:ascii="Arial;sans-serif" w:hAnsi="Arial;sans-serif"/>
          <w:b/>
          <w:i/>
          <w:color w:val="000000"/>
          <w:sz w:val="20"/>
        </w:rPr>
        <w:t>Strategic Acquisitions &amp; Partnerships</w:t>
      </w:r>
      <w:r>
        <w:rPr>
          <w:color w:val="000000"/>
        </w:rPr>
        <w:t xml:space="preserve"> – </w:t>
      </w:r>
      <w:r>
        <w:rPr>
          <w:rFonts w:ascii="Arial;sans-serif" w:hAnsi="Arial;sans-serif"/>
          <w:b w:val="false"/>
          <w:color w:val="000000"/>
          <w:sz w:val="20"/>
        </w:rPr>
        <w:t xml:space="preserve">Our strategy includes acquiring businesses, technologies or products that are complementary to our current product offerings or that open attractive adjacent markets. The focus is on privately owned businesses who would benefit from being a part of a larger strategic company. The acquisition of Alfamation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S.p.A. in 2024 expanded our global footprint, deepened our automotive test capabilities and created exposure into the consumer electronics market.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continue InTest’s evolution under VISION 2030, we aim to advance our growth strategy by pursuing several initiatives:</w:t>
      </w:r>
    </w:p>
    <w:p>
      <w:pPr>
        <w:pStyle w:val="TextBody"/>
        <w:bidi w:val="0"/>
        <w:spacing w:lineRule="auto" w:line="288" w:before="0" w:after="200"/>
        <w:jc w:val="left"/>
        <w:rPr/>
      </w:pPr>
      <w:r>
        <w:rPr>
          <w:rFonts w:ascii="Arial;sans-serif" w:hAnsi="Arial;sans-serif"/>
          <w:b/>
          <w:i/>
          <w:color w:val="000000"/>
          <w:sz w:val="20"/>
        </w:rPr>
        <w:t>Drive Innovation and Acquisitions</w:t>
      </w:r>
      <w:r>
        <w:rPr>
          <w:color w:val="000000"/>
        </w:rPr>
        <w:t xml:space="preserve"> </w:t>
      </w:r>
      <w:r>
        <w:rPr>
          <w:rFonts w:ascii="Arial;sans-serif" w:hAnsi="Arial;sans-serif"/>
          <w:b w:val="false"/>
          <w:color w:val="000000"/>
          <w:sz w:val="20"/>
        </w:rPr>
        <w:t>- By the end of fiscal 2030, we aim to have 25% of our total revenue derived from new products developed and launched within the prior five years. New opportunities exist in electronification and power management as well as addressing the needs in Semi related to increased end-product complexity. We continue to assess target companies to drive further inorganic growth, targeting those where we could achieve synergies, either as a roll-up or service revenue enhancing, that deepen our reach in target markets and/or expand our geographic footprint.</w:t>
      </w:r>
    </w:p>
    <w:p>
      <w:pPr>
        <w:pStyle w:val="TextBody"/>
        <w:bidi w:val="0"/>
        <w:spacing w:lineRule="auto" w:line="288" w:before="0" w:after="200"/>
        <w:jc w:val="left"/>
        <w:rPr/>
      </w:pPr>
      <w:r>
        <w:rPr>
          <w:rFonts w:ascii="Arial;sans-serif" w:hAnsi="Arial;sans-serif"/>
          <w:b/>
          <w:i/>
          <w:color w:val="000000"/>
          <w:sz w:val="20"/>
        </w:rPr>
        <w:t>Operational Excellence</w:t>
      </w:r>
      <w:r>
        <w:rPr>
          <w:color w:val="000000"/>
        </w:rPr>
        <w:t xml:space="preserve"> </w:t>
      </w:r>
      <w:r>
        <w:rPr>
          <w:rFonts w:ascii="Arial;sans-serif" w:hAnsi="Arial;sans-serif"/>
          <w:b w:val="false"/>
          <w:color w:val="000000"/>
          <w:sz w:val="20"/>
        </w:rPr>
        <w:t>- We have begun rolling out Lean/6S/6 Sigma across the organization to optimize processes, eliminate waste, improve quality, reduce costs, shorten lead-times, enhance customer satisfaction, improve employee engagement and increase productivity.</w:t>
      </w:r>
    </w:p>
    <w:p>
      <w:pPr>
        <w:pStyle w:val="TextBody"/>
        <w:bidi w:val="0"/>
        <w:spacing w:lineRule="auto" w:line="288" w:before="0" w:after="200"/>
        <w:jc w:val="left"/>
        <w:rPr/>
      </w:pPr>
      <w:r>
        <w:rPr>
          <w:rFonts w:ascii="Arial;sans-serif" w:hAnsi="Arial;sans-serif"/>
          <w:b/>
          <w:i/>
          <w:color w:val="000000"/>
          <w:sz w:val="20"/>
        </w:rPr>
        <w:t>Branding &amp; Collaboration</w:t>
      </w:r>
      <w:r>
        <w:rPr>
          <w:color w:val="000000"/>
        </w:rPr>
        <w:t xml:space="preserve"> – </w:t>
      </w:r>
      <w:r>
        <w:rPr>
          <w:rFonts w:ascii="Arial;sans-serif" w:hAnsi="Arial;sans-serif"/>
          <w:b w:val="false"/>
          <w:color w:val="000000"/>
          <w:sz w:val="20"/>
        </w:rPr>
        <w:t>Elevation of the InTest brand across businesses and customer solutions, such as joint participation at trade shows under the InTest umbrella and shared service centers to collaborate across businesses.</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ACQUISITION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12, 2024, we entered into a stock purchase agreement to acquire all of the outstanding capital shares of Alfamation S.p.A., a leading global provider of state-of-the-art test and measurement solutions for the Auto/EV, Life Sciences and specialty consumer electronics markets. Alfamation™ was founded in 1991 and is headquartered in Milan, Italy. Alfamation™ also has a small sales and service subsidiary based in Suzhou City, China. Alfamation™ is a part of our Electronic Test operating segment. The aggregate purchase price was approximately €20 million comprised of €18 million in cash (approximately $19.7 million) and 187,432 shares of our common stock (valued at $2.1 million based on the closing price of our stock on the date of acquisition). The cash portion of the purchase price was subject to customary working capital adjustments which were finalized in June 2024 and resulted in recording an additional €0.1 million (approximately $0.1 million) of cash purchase price for assets delivered at closing in excess of agreed upon thresholds. The liabilities assumed in connection with the acquisition included debt of approximately €10.3 million (approximately $11.3 million). After all closing adjustments, the total purchase price was $21.9 million. We finalized our allocation of the purchase price to assets acquired and liabilities assumed during the fourth quarter of 2024.</w:t>
      </w:r>
    </w:p>
    <w:p>
      <w:pPr>
        <w:pStyle w:val="TextBody"/>
        <w:bidi w:val="0"/>
        <w:spacing w:lineRule="auto" w:line="288" w:before="0" w:after="200"/>
        <w:jc w:val="left"/>
        <w:rPr/>
      </w:pPr>
      <w:r>
        <w:rPr>
          <w:rFonts w:ascii="Arial;sans-serif" w:hAnsi="Arial;sans-serif"/>
          <w:b w:val="false"/>
          <w:color w:val="000000"/>
          <w:sz w:val="20"/>
        </w:rPr>
        <w:t>In connection with the acquisition, we entered into a related-party lease agreement (the “</w:t>
      </w:r>
      <w:r>
        <w:rPr>
          <w:rFonts w:ascii="Arial;sans-serif" w:hAnsi="Arial;sans-serif"/>
          <w:b/>
          <w:color w:val="000000"/>
          <w:sz w:val="20"/>
          <w:u w:val="single"/>
        </w:rPr>
        <w:t>Alfamation Lease Agreement</w:t>
      </w:r>
      <w:r>
        <w:rPr>
          <w:color w:val="000000"/>
        </w:rPr>
        <w:t>”</w:t>
      </w:r>
      <w:r>
        <w:rPr>
          <w:rFonts w:ascii="Arial;sans-serif" w:hAnsi="Arial;sans-serif"/>
          <w:b w:val="false"/>
          <w:color w:val="000000"/>
          <w:sz w:val="20"/>
        </w:rPr>
        <w:t>) with the former owner of Alfamation</w:t>
      </w:r>
      <w:r>
        <w:rPr>
          <w:color w:val="000000"/>
        </w:rPr>
        <w:t xml:space="preserve">™ </w:t>
      </w:r>
      <w:r>
        <w:rPr>
          <w:rFonts w:ascii="Arial;sans-serif" w:hAnsi="Arial;sans-serif"/>
          <w:b w:val="false"/>
          <w:color w:val="000000"/>
          <w:sz w:val="20"/>
        </w:rPr>
        <w:t>who will continue to serve as managing director of Alfamation under our ownership. The Alfamation Lease Agreement commenced on March 12, 2024, will last for six years and will be automatically renewed for the same period of time unless terminated by either party. Under the terms of the Alfamation Lease Agreement, Alfamation™ will lease warehouse and office space totaling about 51,871 square feet. Alfamation™ will pay a yearly lease payment of approximately €0.3 million broken up into four equal payments. At the date of the signing of the Alfamation Lease Agreement, the yearly lease payment equated to approximately $0.2 million.</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MARKETS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Overview</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are focused on specific target markets which include Semi, Auto/EV, Defense/Aerospace, Industrial, Life Sciences, Safety/Security and Other. Currently, our largest market in terms of annual revenue is Semi.</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Semi</w:t>
      </w:r>
    </w:p>
    <w:p>
      <w:pPr>
        <w:pStyle w:val="TextBody"/>
        <w:bidi w:val="0"/>
        <w:spacing w:lineRule="auto" w:line="288" w:before="0" w:after="200"/>
        <w:jc w:val="left"/>
        <w:rPr/>
      </w:pPr>
      <w:r>
        <w:rPr>
          <w:rFonts w:ascii="Arial;sans-serif" w:hAnsi="Arial;sans-serif"/>
          <w:b w:val="false"/>
          <w:color w:val="000000"/>
          <w:sz w:val="20"/>
        </w:rPr>
        <w:t>The Semi market includes both the broader semiconductor manufacturing industry as well as the front-end and back-end sectors within the broader semiconductor market. The roots of InTest’s engineered product history are in the back-end of Semi in integrated circuit (“</w:t>
      </w:r>
      <w:r>
        <w:rPr>
          <w:rFonts w:ascii="Arial;sans-serif" w:hAnsi="Arial;sans-serif"/>
          <w:b/>
          <w:color w:val="000000"/>
          <w:sz w:val="20"/>
          <w:u w:val="single"/>
        </w:rPr>
        <w:t>IC</w:t>
      </w:r>
      <w:r>
        <w:rPr>
          <w:color w:val="000000"/>
        </w:rPr>
        <w:t>”</w:t>
      </w:r>
      <w:r>
        <w:rPr>
          <w:rFonts w:ascii="Arial;sans-serif" w:hAnsi="Arial;sans-serif"/>
          <w:b w:val="false"/>
          <w:color w:val="000000"/>
          <w:sz w:val="20"/>
        </w:rPr>
        <w:t>) testing. Today, our products and equipment sold into Semi are generally delineated as being part of either specialized wafer manufacturing (“</w:t>
      </w:r>
      <w:r>
        <w:rPr>
          <w:rFonts w:ascii="Arial;sans-serif" w:hAnsi="Arial;sans-serif"/>
          <w:b/>
          <w:color w:val="000000"/>
          <w:sz w:val="20"/>
          <w:u w:val="single"/>
        </w:rPr>
        <w:t>front-end</w:t>
      </w:r>
      <w:r>
        <w:rPr>
          <w:color w:val="000000"/>
        </w:rPr>
        <w:t>”</w:t>
      </w:r>
      <w:r>
        <w:rPr>
          <w:rFonts w:ascii="Arial;sans-serif" w:hAnsi="Arial;sans-serif"/>
          <w:b w:val="false"/>
          <w:color w:val="000000"/>
          <w:sz w:val="20"/>
        </w:rPr>
        <w:t>) or semiconductor ATE (“</w:t>
      </w:r>
      <w:r>
        <w:rPr>
          <w:rFonts w:ascii="Arial;sans-serif" w:hAnsi="Arial;sans-serif"/>
          <w:b/>
          <w:color w:val="000000"/>
          <w:sz w:val="20"/>
          <w:u w:val="single"/>
        </w:rPr>
        <w:t>back-end</w:t>
      </w:r>
      <w:r>
        <w:rPr>
          <w:color w:val="000000"/>
        </w:rPr>
        <w:t>”</w:t>
      </w:r>
      <w:r>
        <w:rPr>
          <w:rFonts w:ascii="Arial;sans-serif" w:hAnsi="Arial;sans-serif"/>
          <w:b w:val="false"/>
          <w:color w:val="000000"/>
          <w:sz w:val="20"/>
        </w:rPr>
        <w:t>). With our induction heating products, we serve the front-end of the semiconductor manufacturing process including silicon carbide crystal growth and epitaxial reactors. A variety of our electronic test and environmental technologies segments’ products are used in the back-end of the semiconductor manufacturing process, which includes the testing of 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i/>
          <w:color w:val="000000"/>
          <w:sz w:val="20"/>
        </w:rPr>
        <w:t>IC Testing</w:t>
      </w:r>
      <w:r>
        <w:rPr>
          <w:rFonts w:ascii="Arial;sans-serif" w:hAnsi="Arial;sans-serif"/>
          <w:b w:val="false"/>
          <w:color w:val="000000"/>
          <w:sz w:val="20"/>
        </w:rPr>
        <w:t>. Semiconductor manufacturers typically produce ICs in multiples of several hundred or more on a silicon wafer that is later separated or “</w:t>
      </w:r>
      <w:r>
        <w:rPr>
          <w:rFonts w:ascii="Arial;sans-serif" w:hAnsi="Arial;sans-serif"/>
          <w:b/>
          <w:color w:val="000000"/>
          <w:sz w:val="20"/>
          <w:u w:val="single"/>
        </w:rPr>
        <w:t>diced</w:t>
      </w:r>
      <w:r>
        <w:rPr>
          <w:color w:val="000000"/>
        </w:rPr>
        <w:t xml:space="preserve">” </w:t>
      </w:r>
      <w:r>
        <w:rPr>
          <w:rFonts w:ascii="Arial;sans-serif" w:hAnsi="Arial;sans-serif"/>
          <w:b w:val="false"/>
          <w:color w:val="000000"/>
          <w:sz w:val="20"/>
        </w:rPr>
        <w:t>into individual ICs. Extended leads are then attached to the individual ICs for later connection to other electrical components. In most cases, the ICs are then encapsulated in a plastic, ceramic or other protective housing. These process steps are called “</w:t>
      </w:r>
      <w:r>
        <w:rPr>
          <w:rFonts w:ascii="Arial;sans-serif" w:hAnsi="Arial;sans-serif"/>
          <w:b/>
          <w:color w:val="000000"/>
          <w:sz w:val="20"/>
          <w:u w:val="single"/>
        </w:rPr>
        <w:t>packaging</w:t>
      </w:r>
      <w:r>
        <w:rPr>
          <w:rFonts w:ascii="Arial;sans-serif" w:hAnsi="Arial;sans-serif"/>
          <w:b w:val="false"/>
          <w:color w:val="000000"/>
          <w:sz w:val="20"/>
        </w:rPr>
        <w:t>.”</w:t>
      </w:r>
    </w:p>
    <w:p>
      <w:pPr>
        <w:pStyle w:val="TextBody"/>
        <w:bidi w:val="0"/>
        <w:spacing w:lineRule="auto" w:line="288" w:before="0" w:after="200"/>
        <w:jc w:val="left"/>
        <w:rPr/>
      </w:pPr>
      <w:r>
        <w:rPr>
          <w:rFonts w:ascii="Arial;sans-serif" w:hAnsi="Arial;sans-serif"/>
          <w:b w:val="false"/>
          <w:color w:val="000000"/>
          <w:sz w:val="20"/>
        </w:rPr>
        <w:t>Wafers are tested before being diced and packaged to ensure that only properly functioning ICs are packaged. This testing step has several names, including “</w:t>
      </w:r>
      <w:r>
        <w:rPr>
          <w:rFonts w:ascii="Arial;sans-serif" w:hAnsi="Arial;sans-serif"/>
          <w:b/>
          <w:color w:val="000000"/>
          <w:sz w:val="20"/>
          <w:u w:val="single"/>
        </w:rPr>
        <w:t>front-end test</w:t>
      </w:r>
      <w:r>
        <w:rPr>
          <w:rFonts w:ascii="Arial;sans-serif" w:hAnsi="Arial;sans-serif"/>
          <w:b w:val="false"/>
          <w:color w:val="000000"/>
          <w:sz w:val="20"/>
        </w:rPr>
        <w:t>,” “</w:t>
      </w:r>
      <w:r>
        <w:rPr>
          <w:rFonts w:ascii="Arial;sans-serif" w:hAnsi="Arial;sans-serif"/>
          <w:b/>
          <w:color w:val="000000"/>
          <w:sz w:val="20"/>
          <w:u w:val="single"/>
        </w:rPr>
        <w:t>wafer test</w:t>
      </w:r>
      <w:r>
        <w:rPr>
          <w:rFonts w:ascii="Arial;sans-serif" w:hAnsi="Arial;sans-serif"/>
          <w:b w:val="false"/>
          <w:color w:val="000000"/>
          <w:sz w:val="20"/>
        </w:rPr>
        <w:t>,” “</w:t>
      </w:r>
      <w:r>
        <w:rPr>
          <w:rFonts w:ascii="Arial;sans-serif" w:hAnsi="Arial;sans-serif"/>
          <w:b/>
          <w:color w:val="000000"/>
          <w:sz w:val="20"/>
          <w:u w:val="single"/>
        </w:rPr>
        <w:t>wafer probe</w:t>
      </w:r>
      <w:r>
        <w:rPr>
          <w:color w:val="000000"/>
        </w:rPr>
        <w:t xml:space="preserve">” </w:t>
      </w:r>
      <w:r>
        <w:rPr>
          <w:rFonts w:ascii="Arial;sans-serif" w:hAnsi="Arial;sans-serif"/>
          <w:b w:val="false"/>
          <w:color w:val="000000"/>
          <w:sz w:val="20"/>
        </w:rPr>
        <w:t>or “</w:t>
      </w:r>
      <w:r>
        <w:rPr>
          <w:rFonts w:ascii="Arial;sans-serif" w:hAnsi="Arial;sans-serif"/>
          <w:b/>
          <w:color w:val="000000"/>
          <w:sz w:val="20"/>
          <w:u w:val="single"/>
        </w:rPr>
        <w:t>wafer sort</w:t>
      </w:r>
      <w:r>
        <w:rPr>
          <w:rFonts w:ascii="Arial;sans-serif" w:hAnsi="Arial;sans-serif"/>
          <w:b w:val="false"/>
          <w:color w:val="000000"/>
          <w:sz w:val="20"/>
        </w:rPr>
        <w:t>.” In front-end testing, an electronic handling device known as a wafer prober automatically positions the wafer under a probe card that is electronically connected to a “test head,” which connects electrically to a test system. During front-end testing, there is a growing trend of thermally conditioning the wafer. Once the good ICs have been identified, they are packaged.</w:t>
      </w:r>
    </w:p>
    <w:p>
      <w:pPr>
        <w:pStyle w:val="TextBody"/>
        <w:bidi w:val="0"/>
        <w:spacing w:lineRule="auto" w:line="288" w:before="0" w:after="200"/>
        <w:jc w:val="left"/>
        <w:rPr/>
      </w:pPr>
      <w:r>
        <w:rPr>
          <w:rFonts w:ascii="Arial;sans-serif" w:hAnsi="Arial;sans-serif"/>
          <w:b w:val="false"/>
          <w:color w:val="000000"/>
          <w:sz w:val="20"/>
        </w:rPr>
        <w:t>The packaged ICs also require testing, called “</w:t>
      </w:r>
      <w:r>
        <w:rPr>
          <w:rFonts w:ascii="Arial;sans-serif" w:hAnsi="Arial;sans-serif"/>
          <w:b/>
          <w:color w:val="000000"/>
          <w:sz w:val="20"/>
          <w:u w:val="single"/>
        </w:rPr>
        <w:t>back-end test</w:t>
      </w:r>
      <w:r>
        <w:rPr>
          <w:color w:val="000000"/>
        </w:rPr>
        <w:t xml:space="preserve">” </w:t>
      </w:r>
      <w:r>
        <w:rPr>
          <w:rFonts w:ascii="Arial;sans-serif" w:hAnsi="Arial;sans-serif"/>
          <w:b w:val="false"/>
          <w:color w:val="000000"/>
          <w:sz w:val="20"/>
        </w:rPr>
        <w:t>or “</w:t>
      </w:r>
      <w:r>
        <w:rPr>
          <w:rFonts w:ascii="Arial;sans-serif" w:hAnsi="Arial;sans-serif"/>
          <w:b/>
          <w:color w:val="000000"/>
          <w:sz w:val="20"/>
          <w:u w:val="single"/>
        </w:rPr>
        <w:t>final test</w:t>
      </w:r>
      <w:r>
        <w:rPr>
          <w:rFonts w:ascii="Arial;sans-serif" w:hAnsi="Arial;sans-serif"/>
          <w:b w:val="false"/>
          <w:color w:val="000000"/>
          <w:sz w:val="20"/>
        </w:rPr>
        <w:t>,” to determine if they meet design and performance specifications. Packaged ICs are tested after loading into another type of electronic handling device called a “</w:t>
      </w:r>
      <w:r>
        <w:rPr>
          <w:rFonts w:ascii="Arial;sans-serif" w:hAnsi="Arial;sans-serif"/>
          <w:b/>
          <w:color w:val="000000"/>
          <w:sz w:val="20"/>
          <w:u w:val="single"/>
        </w:rPr>
        <w:t>package handler</w:t>
      </w:r>
      <w:r>
        <w:rPr>
          <w:color w:val="000000"/>
        </w:rPr>
        <w:t xml:space="preserve">” </w:t>
      </w:r>
      <w:r>
        <w:rPr>
          <w:rFonts w:ascii="Arial;sans-serif" w:hAnsi="Arial;sans-serif"/>
          <w:b w:val="false"/>
          <w:color w:val="000000"/>
          <w:sz w:val="20"/>
        </w:rPr>
        <w:t>or “</w:t>
      </w:r>
      <w:r>
        <w:rPr>
          <w:rFonts w:ascii="Arial;sans-serif" w:hAnsi="Arial;sans-serif"/>
          <w:b/>
          <w:color w:val="000000"/>
          <w:sz w:val="20"/>
          <w:u w:val="single"/>
        </w:rPr>
        <w:t>handler</w:t>
      </w:r>
      <w:r>
        <w:rPr>
          <w:rFonts w:ascii="Arial;sans-serif" w:hAnsi="Arial;sans-serif"/>
          <w:b w:val="false"/>
          <w:color w:val="000000"/>
          <w:sz w:val="20"/>
        </w:rPr>
        <w:t>,” which then transfers the packaged ICs into a test socket that is attached to the test head. These handlers may be temperature controlled for testing.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Auto/EV</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the Auto/EV market, we provide solutions that help in the quality and productivity of both internal combustion and EV manufacturing and onboard electronics. Our EV solutions include, but are not limited to, induction heating solutions for motor manufacturing, automated test equipment for battery cells, and industrial process chillers and thermal test chambers for inverter and battery testing and automated test solutions for automotive infotainment systems (for EVs, Hybrids and internal combustion engine vehicles) in both production and quality control. We believe there is a strong global growth trend in the continued electronification of vehicles and that our differentiated solutions can be applied to more customers in more geographic regions. Our Auto/EV electronics testing solutions include functional test platforms that address a broad range of test requirements, from wireless communication telematics through automotive infotainment, computer control units and touch displays and instrument clusters.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Defense/Aerospace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the Defense/Aerospace market, we provide ATE to prime and subcontract manufacturers to ensure quality control is maintained while also providing quicker, more accurate test times of electronic circuit boards. We also provide solutions for thermal testing of equipment to ensure it will function over the specified temperature range. We believe this market is growing, in part, due to recent global political and/or economic instability.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Industrial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Industrial market is the broadest, most diverse area we serve with a majority of our products serving a variety of applications. Applications for our induction heating products include annealing, bonding, brazing, curing, forging, heat treating, melting and shrink-fitting. Applications for our thermal test and process products include pressure-sensor testing, printed circuit board testing and cold-trap cooling for industrial processes. We believe the trend toward the use of green energy, automation, increased productivity and expanding manufacturing technology present opportunities for us to help our customers solve their complex challenges.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Life Sciences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the Life Sciences market, we provide image capture products, electronic test systems, and heating systems for medical device manufacturing, as well as equipment for critical applications within the medical cold chain for pharmaceuticals chillers used in chemical extraction and distillation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Safety/Security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the Safety/Security market, our image capture and data management technologies are used in a broad variety of applications primarily related to safety and monitoring.</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Other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Other end markets that we serve include, but are not limited to, specialty consumer electronics products, university research and telecom.</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Market Trends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believe the Semi market, a historically highly cyclical industry, will experience increased growth in the overall size of the market over the next several years as a result of billions of dollars of investments in new fabrication facilities around the world. These investments are being driven by the continued growth of the use of electronics and artificial intelligence, the need for powering an ever-growing number of devices, and the continued economic development of less wealthy nations. We believe the COVID-19 pandemic and an increase in geopolitical tensions in recent years have made the high concentration of semiconductor manufacturing in China and Taiwan very apparent to more wealthy nations and has spurred the investment in expansion of this industry in areas outside of these regions. While we believe the Semi market will continue to experience its historical pattern of cyclicality, we expect the effect on our business to be reduced due to our efforts to expand our customer base and the release of new products. Nonetheless, we expect the shifts in demand in the industry from periods of expansion to periods of contraction may be significant, as has been the case for the analog mixed-signal and front-end silicon carbide Semi markets in 2023, 2024, and 2025, when the industry was in a period of slowing growth and overall declines as compared to 2021 and 2022.</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believe that semiconductor manufacturers remain under pressure to maximize production yields and reduce testing costs. At the same time, the growing complexity of ICs has increased the difficulty of maximizing test yields. To address these market trends, we believe semiconductor manufacturers strive for more effective utilization of ATE, smaller test areas and increased wafer level testing which requires our differentiated solutions that include test head manipulators, test head docking stations and test interfaces. As technology advances and ICs become increasingly more complex, we believe the need for increased capabilities in the test process should drive greater demand for our equipment. We expect that more front-end testing is going to be required to ensure maximum yield from the massive capital investments being made in fabrication expansion. We have seen increased U.S. and European defense spending through defense contractors as countries provide more of their own defense. The Safety/Security market is also expected to benefit as a result of this increased defense spending. Industrial continues to be strong for thermal control products and new enhancements, along with new products in Life Sciences.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OUR SOLUTIONS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focus our development efforts on designing and producing high quality products and highly engineered solutions that deliver superior performance and cost-effectiveness for our customers. We seek to address each manufacturer’s individual needs through innovative and customized designs, use of the best materials available, quality manufacturing practices and personalized service. We design solutions to overcome the evolving challenges facing the Semi market and the other markets that we serve, which we believe provide the following advantages:</w:t>
      </w:r>
    </w:p>
    <w:tbl>
      <w:tblPr>
        <w:tblW w:w="10205" w:type="dxa"/>
        <w:jc w:val="left"/>
        <w:tblInd w:w="0" w:type="dxa"/>
        <w:tblLayout w:type="fixed"/>
        <w:tblCellMar>
          <w:top w:w="28" w:type="dxa"/>
          <w:left w:w="28" w:type="dxa"/>
          <w:bottom w:w="28" w:type="dxa"/>
          <w:right w:w="28" w:type="dxa"/>
        </w:tblCellMar>
      </w:tblPr>
      <w:tblGrid>
        <w:gridCol w:w="2699"/>
        <w:gridCol w:w="2369"/>
        <w:gridCol w:w="2376"/>
        <w:gridCol w:w="866"/>
        <w:gridCol w:w="782"/>
        <w:gridCol w:w="1113"/>
      </w:tblGrid>
      <w:tr>
        <w:trPr/>
        <w:tc>
          <w:tcPr>
            <w:tcW w:w="269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7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20"/>
              </w:rPr>
              <w:t>Temperature-Controlled Testing</w:t>
            </w:r>
            <w:r>
              <w:rPr>
                <w:color w:val="000000"/>
              </w:rPr>
              <w:t xml:space="preserve"> </w:t>
            </w:r>
            <w:r>
              <w:rPr>
                <w:rFonts w:ascii="Arial;sans-serif" w:hAnsi="Arial;sans-serif"/>
                <w:b w:val="false"/>
                <w:color w:val="000000"/>
                <w:sz w:val="20"/>
              </w:rPr>
              <w:t>- Our ThermoStream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products are used by manufacturers in a number of markets to stress test a variety of semiconductor and electronic components, printed circuit boards and sub-assemblies. Factors motivating manufacturers to use temperature testing include design characterization, failure analysis and quality control, as well as determining performance under extreme operating temperatures, all of which contribute to manufacturing cost savings. Our thermal platforms and temperature chambers, sold under our Sigma Systems product line, can accommodate large thermal masses and are found in both laboratory and production environments.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products provide a range of precision temperature forcing systems and have been incorporated into Temptronic</w:t>
            </w:r>
            <w:r>
              <w:rPr>
                <w:rFonts w:ascii="Arial;sans-serif" w:hAnsi="Arial;sans-serif"/>
                <w:b w:val="false"/>
                <w:color w:val="000000"/>
                <w:sz w:val="13"/>
              </w:rPr>
              <w:t>®</w:t>
            </w:r>
            <w:r>
              <w:rPr>
                <w:color w:val="000000"/>
              </w:rPr>
              <w:t>’</w:t>
            </w:r>
            <w:r>
              <w:rPr>
                <w:rFonts w:ascii="Arial;sans-serif" w:hAnsi="Arial;sans-serif"/>
                <w:b w:val="false"/>
                <w:color w:val="000000"/>
                <w:sz w:val="20"/>
              </w:rPr>
              <w:t>s ATS ThermoStream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 line. The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is now used to market a family of process chillers for test and industrial applications.</w:t>
            </w:r>
          </w:p>
        </w:tc>
        <w:tc>
          <w:tcPr>
            <w:tcW w:w="27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81150" cy="23717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581150" cy="2371725"/>
                          </a:xfrm>
                          <a:prstGeom prst="rect">
                            <a:avLst/>
                          </a:prstGeom>
                        </pic:spPr>
                      </pic:pic>
                    </a:graphicData>
                  </a:graphic>
                </wp:inline>
              </w:drawing>
            </w:r>
            <w:bookmarkStart w:id="0" w:name="i-1"/>
            <w:bookmarkEnd w:id="0"/>
          </w:p>
        </w:tc>
      </w:tr>
      <w:tr>
        <w:trPr/>
        <w:tc>
          <w:tcPr>
            <w:tcW w:w="7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20"/>
              </w:rPr>
              <w:t>Induction Heating</w:t>
            </w:r>
            <w:r>
              <w:rPr>
                <w:color w:val="000000"/>
              </w:rPr>
              <w:t xml:space="preserve"> </w:t>
            </w:r>
            <w:r>
              <w:rPr>
                <w:rFonts w:ascii="Arial;sans-serif" w:hAnsi="Arial;sans-serif"/>
                <w:b w:val="false"/>
                <w:color w:val="000000"/>
                <w:sz w:val="20"/>
              </w:rPr>
              <w:t>- Our induction heating products are used in process applications where precision-controlled heating is needed. Customers use our induction heating products in conjunction with other technologies in various manufacturing environments to improve production efficiencies and reduce or eliminate greenhouse gas emissions. Applications for our EKOHEAT</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or EASYHEAT</w:t>
            </w:r>
            <w:r>
              <w:rPr>
                <w:color w:val="000000"/>
              </w:rPr>
              <w:t xml:space="preserve">™ </w:t>
            </w:r>
            <w:r>
              <w:rPr>
                <w:rFonts w:ascii="Arial;sans-serif" w:hAnsi="Arial;sans-serif"/>
                <w:b w:val="false"/>
                <w:color w:val="000000"/>
                <w:sz w:val="20"/>
              </w:rPr>
              <w:t>induction heating products include annealing, bonding, brazing, curing, forging, heat treating, melting, shrink-fitting, crystal growing, semi-wafer heating and material testing.</w:t>
            </w:r>
          </w:p>
        </w:tc>
        <w:tc>
          <w:tcPr>
            <w:tcW w:w="27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876300" cy="12763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876300" cy="1276350"/>
                          </a:xfrm>
                          <a:prstGeom prst="rect">
                            <a:avLst/>
                          </a:prstGeom>
                        </pic:spPr>
                      </pic:pic>
                    </a:graphicData>
                  </a:graphic>
                </wp:inline>
              </w:drawing>
            </w:r>
            <w:bookmarkStart w:id="1" w:name="i-2"/>
            <w:bookmarkEnd w:id="1"/>
            <w:r>
              <w:rPr>
                <w:color w:val="000000"/>
              </w:rPr>
              <w:t xml:space="preserve"> </w:t>
            </w:r>
            <w:r>
              <w:rPr/>
              <w:drawing>
                <wp:inline distT="0" distB="0" distL="0" distR="0">
                  <wp:extent cx="1190625" cy="9144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190625" cy="914400"/>
                          </a:xfrm>
                          <a:prstGeom prst="rect">
                            <a:avLst/>
                          </a:prstGeom>
                        </pic:spPr>
                      </pic:pic>
                    </a:graphicData>
                  </a:graphic>
                </wp:inline>
              </w:drawing>
            </w:r>
            <w:bookmarkStart w:id="2" w:name="i-3"/>
            <w:bookmarkEnd w:id="2"/>
          </w:p>
        </w:tc>
      </w:tr>
      <w:tr>
        <w:trPr/>
        <w:tc>
          <w:tcPr>
            <w:tcW w:w="7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20"/>
              </w:rPr>
              <w:t>Digital Streaming and Image Capturing Solutions</w:t>
            </w:r>
            <w:r>
              <w:rPr>
                <w:color w:val="000000"/>
              </w:rPr>
              <w:t xml:space="preserve"> </w:t>
            </w:r>
            <w:r>
              <w:rPr>
                <w:rFonts w:ascii="Arial;sans-serif" w:hAnsi="Arial;sans-serif"/>
                <w:b w:val="false"/>
                <w:color w:val="000000"/>
                <w:sz w:val="20"/>
              </w:rPr>
              <w:t>-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offers industrial-grade circuit board mounted digital imaging solutions, Zoom Block cameras and complete image capture systems.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also offers OEMs imaging solutions designed to the customers’ specifications and that can interface with the customers’ software.</w:t>
            </w:r>
          </w:p>
        </w:tc>
        <w:tc>
          <w:tcPr>
            <w:tcW w:w="27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638300" cy="8191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638300" cy="819150"/>
                          </a:xfrm>
                          <a:prstGeom prst="rect">
                            <a:avLst/>
                          </a:prstGeom>
                        </pic:spPr>
                      </pic:pic>
                    </a:graphicData>
                  </a:graphic>
                </wp:inline>
              </w:drawing>
            </w:r>
            <w:bookmarkStart w:id="3" w:name="i-4"/>
            <w:bookmarkEnd w:id="3"/>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2"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76"/>
        <w:gridCol w:w="1649"/>
        <w:gridCol w:w="1657"/>
        <w:gridCol w:w="1471"/>
        <w:gridCol w:w="1471"/>
        <w:gridCol w:w="2081"/>
      </w:tblGrid>
      <w:tr>
        <w:trPr/>
        <w:tc>
          <w:tcPr>
            <w:tcW w:w="187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20"/>
              </w:rPr>
              <w:t>Scalable, Universal, High Performance ATE Integration Solutions</w:t>
            </w:r>
            <w:r>
              <w:rPr>
                <w:color w:val="000000"/>
              </w:rPr>
              <w:t xml:space="preserve"> </w:t>
            </w:r>
            <w:r>
              <w:rPr>
                <w:rFonts w:ascii="Arial;sans-serif" w:hAnsi="Arial;sans-serif"/>
                <w:b w:val="false"/>
                <w:color w:val="000000"/>
                <w:sz w:val="20"/>
              </w:rPr>
              <w:t>- Our universal test head manipulators provide a high degree of positioning flexibility with a minimum amount of effort. As a result, our products can be used in virtually any test setting. Our manipulator products are designed to accommodate the increased size of test heads and can now support test heads weighing up to 1,200kg. Our docking hardware products offer precise control over the connection to test sockets, probing assemblies and interface boards, reducing downtime and minimizing costly damage to fragile components. Our newest manipulator and docking hardware designs offer automated capabilities that allow for reduced downtime and increased productivity through predictable and repeatable production setup with reduced risk of operator error. Our tester interface products optimize the integrity of the signals transmitted between the test head and the device under test by being virtually transparent to the test signals, which results in increased accuracy of the test data and may thus enable improved test yields. Our interface product offerings have recently been expanded to serve the growing market for testing higher powered devices. A hallmark of our Semi market product offerings has been, and continues to be, compatibility with a wide variety of ATE. Our manipulator and 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tc>
        <w:tc>
          <w:tcPr>
            <w:tcW w:w="50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05150" cy="31051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3105150" cy="3105150"/>
                          </a:xfrm>
                          <a:prstGeom prst="rect">
                            <a:avLst/>
                          </a:prstGeom>
                        </pic:spPr>
                      </pic:pic>
                    </a:graphicData>
                  </a:graphic>
                </wp:inline>
              </w:drawing>
            </w:r>
            <w:bookmarkStart w:id="4" w:name="i-5"/>
            <w:bookmarkEnd w:id="4"/>
          </w:p>
        </w:tc>
      </w:tr>
    </w:tbl>
    <w:p>
      <w:pPr>
        <w:pStyle w:val="TextBody"/>
        <w:bidi w:val="0"/>
        <w:spacing w:lineRule="auto" w:line="288" w:before="200" w:after="200"/>
        <w:jc w:val="left"/>
        <w:rPr/>
      </w:pPr>
      <w:r>
        <w:rPr>
          <w:rFonts w:ascii="Arial;sans-serif" w:hAnsi="Arial;sans-serif"/>
          <w:b w:val="false"/>
          <w:i/>
          <w:color w:val="000000"/>
          <w:sz w:val="20"/>
        </w:rPr>
        <w:t xml:space="preserve">Robotics-Based Electronic Production Test Equipment. </w:t>
      </w:r>
      <w:r>
        <w:rPr>
          <w:rFonts w:ascii="Arial;sans-serif" w:hAnsi="Arial;sans-serif"/>
          <w:b w:val="false"/>
          <w:color w:val="000000"/>
          <w:sz w:val="20"/>
        </w:rPr>
        <w:t>Acculogic adds to our electronic test platform offerings beyond those which exclusively serve the Semi market. Acculogic designs and manufactures robotics-based electronic production test equipment and provides application support services which are sold to electronic manufacturers including OEM and contract electronic manufacturers as well as battery manufacturers.</w:t>
      </w:r>
    </w:p>
    <w:p>
      <w:pPr>
        <w:pStyle w:val="TextBody"/>
        <w:bidi w:val="0"/>
        <w:spacing w:lineRule="auto" w:line="288" w:before="0" w:after="200"/>
        <w:jc w:val="left"/>
        <w:rPr/>
      </w:pPr>
      <w:r>
        <w:rPr>
          <w:rFonts w:ascii="Arial;sans-serif" w:hAnsi="Arial;sans-serif"/>
          <w:b w:val="false"/>
          <w:i/>
          <w:color w:val="000000"/>
          <w:sz w:val="20"/>
        </w:rPr>
        <w:t>Functional Test Equipment for Auto/EV, Life Sciences and Specialty Consumer Electronics Markets</w:t>
      </w:r>
      <w:r>
        <w:rPr>
          <w:rFonts w:ascii="Arial;sans-serif" w:hAnsi="Arial;sans-serif"/>
          <w:b w:val="false"/>
          <w:color w:val="000000"/>
          <w:sz w:val="20"/>
        </w:rPr>
        <w:t xml:space="preserve">. Alfamation designs, builds, and supports a wide range of products, from individual functional test modules to fully automated systems for production quality control and product development. In automotive electronics, these systems are sold to Tier One manufacturers, whose products are delivered to car manufacturers (OEMs). </w:t>
      </w:r>
    </w:p>
    <w:p>
      <w:pPr>
        <w:pStyle w:val="TextBody"/>
        <w:bidi w:val="0"/>
        <w:spacing w:lineRule="auto" w:line="288" w:before="0" w:after="200"/>
        <w:jc w:val="left"/>
        <w:rPr/>
      </w:pPr>
      <w:r>
        <w:rPr>
          <w:rFonts w:ascii="Arial;sans-serif" w:hAnsi="Arial;sans-serif"/>
          <w:b w:val="false"/>
          <w:i/>
          <w:color w:val="000000"/>
          <w:sz w:val="20"/>
        </w:rPr>
        <w:t>Worldwide Customer Service and Support</w:t>
      </w:r>
      <w:r>
        <w:rPr>
          <w:rFonts w:ascii="Arial;sans-serif" w:hAnsi="Arial;sans-serif"/>
          <w:b w:val="false"/>
          <w:color w:val="000000"/>
          <w:sz w:val="20"/>
        </w:rPr>
        <w:t>. We have long recognized the need to maintain a physical presence near our customers’ facilities. At December 31, 2025, we had manufacturing facilities in the U.S. in Massachusetts, New Jersey, and New York as well as outside the U.S. in Canada, Germany and Italy. We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pStyle w:val="TextBody"/>
        <w:bidi w:val="0"/>
        <w:spacing w:lineRule="auto" w:line="288" w:before="0" w:after="200"/>
        <w:jc w:val="left"/>
        <w:rPr/>
      </w:pPr>
      <w:r>
        <w:rPr>
          <w:rFonts w:ascii="Arial;sans-serif" w:hAnsi="Arial;sans-serif"/>
          <w:b w:val="false"/>
          <w:color w:val="000000"/>
          <w:sz w:val="20"/>
        </w:rPr>
        <w:t>As noted above, we have a facility in Penang, Malaysia which supports applications engineering, product development and localized manufacturing for nearly all InTest brands. It serves as the main location in the region for customer product demonstrations, customer service and applications training. This facility began engineering and supply chain operations in the third quarter of 2024 and began limited manufacturing and support operations in the fourth quarter of 2025 with expansion to production of approximately 25% of all ThermoStream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products expected by mid-2026.</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OUR SEGMENTS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have three operating segments, which are also our reportable segments and reporting units: Electronic Test, Environmental Technologies and Process Technologies. All of our operating segments have multiple products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4"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tbl>
      <w:tblPr>
        <w:tblW w:w="10205" w:type="dxa"/>
        <w:jc w:val="left"/>
        <w:tblInd w:w="0" w:type="dxa"/>
        <w:tblLayout w:type="fixed"/>
        <w:tblCellMar>
          <w:top w:w="28" w:type="dxa"/>
          <w:left w:w="28" w:type="dxa"/>
          <w:bottom w:w="28" w:type="dxa"/>
          <w:right w:w="28" w:type="dxa"/>
        </w:tblCellMar>
      </w:tblPr>
      <w:tblGrid>
        <w:gridCol w:w="2023"/>
        <w:gridCol w:w="1779"/>
        <w:gridCol w:w="1786"/>
        <w:gridCol w:w="1352"/>
        <w:gridCol w:w="1352"/>
        <w:gridCol w:w="1913"/>
      </w:tblGrid>
      <w:tr>
        <w:trPr/>
        <w:tc>
          <w:tcPr>
            <w:tcW w:w="202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558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Our Electronic Test segment consists of (i) InTest EMS which has operations in New Jersey and California, (ii) Acculogic, which has operations in Canada, California and Germany and (iii) Alfamation</w:t>
            </w:r>
            <w:r>
              <w:rPr>
                <w:color w:val="000000"/>
              </w:rPr>
              <w:t>™</w:t>
            </w:r>
            <w:r>
              <w:rPr>
                <w:rFonts w:ascii="Arial;sans-serif" w:hAnsi="Arial;sans-serif"/>
                <w:b w:val="false"/>
                <w:color w:val="000000"/>
                <w:sz w:val="20"/>
              </w:rPr>
              <w:t>, which has operations in Italy and China. Semiconductor manufacturers use our InTest EMS solutions in back-end testing where our mechanical and electrical products serve production testing of wafers and specialized packaged ICs. These ICs include microprocessors, digital signal processing chips, mixed signal devices, micro-electro-mechanical systems (“</w:t>
            </w:r>
            <w:r>
              <w:rPr>
                <w:rFonts w:ascii="Arial;sans-serif" w:hAnsi="Arial;sans-serif"/>
                <w:b/>
                <w:color w:val="000000"/>
                <w:sz w:val="20"/>
                <w:u w:val="single"/>
              </w:rPr>
              <w:t>MEMS</w:t>
            </w:r>
            <w:r>
              <w:rPr>
                <w:color w:val="000000"/>
              </w:rPr>
              <w:t>”</w:t>
            </w:r>
            <w:r>
              <w:rPr>
                <w:rFonts w:ascii="Arial;sans-serif" w:hAnsi="Arial;sans-serif"/>
                <w:b w:val="false"/>
                <w:color w:val="000000"/>
                <w:sz w:val="20"/>
              </w:rPr>
              <w:t>), application specific ICs and specialized memory ICs, and are used primarily in the Auto/EV, consumer electronics, Industrial, and mobile communication markets. Our products are a combination of standard designs based on industry requirements and those designed specifically to meet a customer’s particular combination of ATE. Acculogic’s product offerings include robotics-based electronic test equipment and application support services used primarily in defense/aerospace, automotive, battery, life sciences and electronic manufacturing services industries. Alfamation</w:t>
            </w:r>
            <w:r>
              <w:rPr>
                <w:color w:val="000000"/>
              </w:rPr>
              <w:t>™’</w:t>
            </w:r>
            <w:r>
              <w:rPr>
                <w:rFonts w:ascii="Arial;sans-serif" w:hAnsi="Arial;sans-serif"/>
                <w:b w:val="false"/>
                <w:color w:val="000000"/>
                <w:sz w:val="20"/>
              </w:rPr>
              <w:t>s product offerings include functional test equipment for production quality control and product development.</w:t>
            </w:r>
          </w:p>
        </w:tc>
        <w:tc>
          <w:tcPr>
            <w:tcW w:w="461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47975" cy="11811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2847975" cy="1181100"/>
                          </a:xfrm>
                          <a:prstGeom prst="rect">
                            <a:avLst/>
                          </a:prstGeom>
                        </pic:spPr>
                      </pic:pic>
                    </a:graphicData>
                  </a:graphic>
                </wp:inline>
              </w:drawing>
            </w:r>
            <w:bookmarkStart w:id="5" w:name="i-6"/>
            <w:bookmarkEnd w:id="5"/>
          </w:p>
          <w:p>
            <w:pPr>
              <w:pStyle w:val="TableContents"/>
              <w:bidi w:val="0"/>
              <w:spacing w:before="0" w:after="240"/>
              <w:jc w:val="center"/>
              <w:rPr/>
            </w:pPr>
            <w:r>
              <w:rPr/>
              <w:drawing>
                <wp:inline distT="0" distB="0" distL="0" distR="0">
                  <wp:extent cx="2828925" cy="6096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2828925" cy="609600"/>
                          </a:xfrm>
                          <a:prstGeom prst="rect">
                            <a:avLst/>
                          </a:prstGeom>
                        </pic:spPr>
                      </pic:pic>
                    </a:graphicData>
                  </a:graphic>
                </wp:inline>
              </w:drawing>
            </w:r>
            <w:bookmarkStart w:id="6" w:name="i-7"/>
            <w:bookmarkEnd w:id="6"/>
          </w:p>
          <w:p>
            <w:pPr>
              <w:pStyle w:val="TableContents"/>
              <w:bidi w:val="0"/>
              <w:spacing w:before="0" w:after="240"/>
              <w:jc w:val="center"/>
              <w:rPr/>
            </w:pPr>
            <w:r>
              <w:rPr/>
              <w:drawing>
                <wp:inline distT="0" distB="0" distL="0" distR="0">
                  <wp:extent cx="2381250" cy="8191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2381250" cy="819150"/>
                          </a:xfrm>
                          <a:prstGeom prst="rect">
                            <a:avLst/>
                          </a:prstGeom>
                        </pic:spPr>
                      </pic:pic>
                    </a:graphicData>
                  </a:graphic>
                </wp:inline>
              </w:drawing>
            </w:r>
            <w:bookmarkStart w:id="7" w:name="i-8"/>
            <w:bookmarkEnd w:id="7"/>
          </w:p>
        </w:tc>
      </w:tr>
      <w:tr>
        <w:trPr/>
        <w:tc>
          <w:tcPr>
            <w:tcW w:w="558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Our Environmental Technologies segment consists of ITS, which manufactures and sells products under the Temptronic</w:t>
            </w:r>
            <w:r>
              <w:rPr>
                <w:rFonts w:ascii="Arial;sans-serif" w:hAnsi="Arial;sans-serif"/>
                <w:b w:val="false"/>
                <w:color w:val="000000"/>
                <w:sz w:val="13"/>
              </w:rPr>
              <w:t>®</w:t>
            </w:r>
            <w:r>
              <w:rPr>
                <w:rFonts w:ascii="Arial;sans-serif" w:hAnsi="Arial;sans-serif"/>
                <w:b w:val="false"/>
                <w:color w:val="000000"/>
                <w:sz w:val="20"/>
              </w:rPr>
              <w:t>, Sigma,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North Sciences brand names and has operations in Massachusetts, Germany and Singapore. Customers use the thermal solutions produced by ITS for product development, characterization and production testing. This segment also offers ultra-cold storage solutions for the life sciences cold chain market. Our Environmental Technologies segment provides these solutions across an array of industries including automotive, defense/aerospace, industrial, life sciences and semiconductor.</w:t>
            </w:r>
          </w:p>
        </w:tc>
        <w:tc>
          <w:tcPr>
            <w:tcW w:w="461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95575" cy="9144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2695575" cy="914400"/>
                          </a:xfrm>
                          <a:prstGeom prst="rect">
                            <a:avLst/>
                          </a:prstGeom>
                        </pic:spPr>
                      </pic:pic>
                    </a:graphicData>
                  </a:graphic>
                </wp:inline>
              </w:drawing>
            </w:r>
            <w:bookmarkStart w:id="8" w:name="i-9"/>
            <w:bookmarkEnd w:id="8"/>
          </w:p>
        </w:tc>
      </w:tr>
      <w:tr>
        <w:trPr/>
        <w:tc>
          <w:tcPr>
            <w:tcW w:w="558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Our Process Technologies segment consists of (i)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which has operations in New York, the Netherlands and the U.K. and (ii) Videology</w:t>
            </w:r>
            <w:r>
              <w:rPr>
                <w:rFonts w:ascii="Arial;sans-serif" w:hAnsi="Arial;sans-serif"/>
                <w:b w:val="false"/>
                <w:color w:val="000000"/>
                <w:sz w:val="13"/>
              </w:rPr>
              <w:t>®</w:t>
            </w:r>
            <w:r>
              <w:rPr>
                <w:rFonts w:ascii="Arial;sans-serif" w:hAnsi="Arial;sans-serif"/>
                <w:b w:val="false"/>
                <w:color w:val="000000"/>
                <w:sz w:val="20"/>
              </w:rPr>
              <w:t>, which has operations in Massachusetts.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provides customers with induction heating solutions for a wide variety of manufacturing processes.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is a designer, developer and manufacturer of digital streaming and image capturing solutions. Our Process Technologies segment provides these solutions across an array of industries including automotive, defense/aerospace, industrial, life sciences, security and semiconductor.</w:t>
            </w:r>
          </w:p>
        </w:tc>
        <w:tc>
          <w:tcPr>
            <w:tcW w:w="461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33575" cy="7239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1933575" cy="723900"/>
                          </a:xfrm>
                          <a:prstGeom prst="rect">
                            <a:avLst/>
                          </a:prstGeom>
                        </pic:spPr>
                      </pic:pic>
                    </a:graphicData>
                  </a:graphic>
                </wp:inline>
              </w:drawing>
            </w:r>
            <w:bookmarkStart w:id="9" w:name="i-10"/>
            <w:bookmarkEnd w:id="9"/>
          </w:p>
          <w:p>
            <w:pPr>
              <w:pStyle w:val="TableContents"/>
              <w:bidi w:val="0"/>
              <w:spacing w:before="0" w:after="240"/>
              <w:jc w:val="center"/>
              <w:rPr/>
            </w:pPr>
            <w:r>
              <w:rPr/>
              <w:drawing>
                <wp:inline distT="0" distB="0" distL="0" distR="0">
                  <wp:extent cx="1981200" cy="63817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1981200" cy="638175"/>
                          </a:xfrm>
                          <a:prstGeom prst="rect">
                            <a:avLst/>
                          </a:prstGeom>
                        </pic:spPr>
                      </pic:pic>
                    </a:graphicData>
                  </a:graphic>
                </wp:inline>
              </w:drawing>
            </w:r>
            <w:bookmarkStart w:id="10" w:name="i-11"/>
            <w:bookmarkEnd w:id="10"/>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February 25, 2025, we notified employees of our wholly-owned subsidiary, Videology Imaging Corporation, of our intention to consolidate all operations in the Netherlands into our facility located in Mansfield, Massachusetts. This plan resulted in the closure of the Netherlands facility and the termination of certain employees at that location. The consolidation of the Netherlands operations was undertaken to increase efficiencies and lower operating costs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with the current operation of Videology</w:t>
      </w:r>
      <w:r>
        <w:rPr>
          <w:rFonts w:ascii="Arial;sans-serif" w:hAnsi="Arial;sans-serif"/>
          <w:b w:val="false"/>
          <w:color w:val="000000"/>
          <w:sz w:val="13"/>
        </w:rPr>
        <w:t>®</w:t>
      </w:r>
      <w:r>
        <w:rPr>
          <w:rFonts w:ascii="Arial;sans-serif" w:hAnsi="Arial;sans-serif"/>
          <w:b w:val="false"/>
          <w:color w:val="000000"/>
          <w:sz w:val="20"/>
        </w:rPr>
        <w:t>. The consolidation was substantially completed by the end of 2025 at which point we vacated the Netherlands facility.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a result of this action, through December 31, 2025, we recognized cash charges for severance and other one-time termination benefits of $0.8 million. While we have substantially completed this action, we expect to incur facility costs on the remaining lease until the earlier of lease termination or expiry of approximately $0.3 million.</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Electronic Test Products</w:t>
      </w:r>
    </w:p>
    <w:p>
      <w:pPr>
        <w:pStyle w:val="TextBody"/>
        <w:bidi w:val="0"/>
        <w:spacing w:lineRule="auto" w:line="288" w:before="0" w:after="200"/>
        <w:jc w:val="left"/>
        <w:rPr/>
      </w:pPr>
      <w:r>
        <w:rPr>
          <w:rFonts w:ascii="Arial;sans-serif" w:hAnsi="Arial;sans-serif"/>
          <w:b w:val="false"/>
          <w:i/>
          <w:color w:val="000000"/>
          <w:sz w:val="20"/>
        </w:rPr>
        <w:t>Manipulator Products</w:t>
      </w:r>
      <w:r>
        <w:rPr>
          <w:rFonts w:ascii="Arial;sans-serif" w:hAnsi="Arial;sans-serif"/>
          <w:b w:val="false"/>
          <w:color w:val="000000"/>
          <w:sz w:val="20"/>
        </w:rPr>
        <w:t>. We provide a range of manipulators, including the Cobal and the LS Series, to accommodate the unique testing needs and test head weights ranging from 115kg to 1,200kg. Our manipulator line includes hinge, universal and probe only manipulators to hold a variety of test heads, enabling operators to easily reposition them for use with any of several probers or handlers on a test floor.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manipulator products incorporate a balanced floating-head design. This design permits a test head weighing up to 1,200kg to be held in an effectively weightless state, so it can be moved manually or with optional powered assistance, up or down, right or left, forward or backward and rotated around each axis (known as six degrees of motion freedom) by an operator using a modest amount of force or with a computer controlled pendant. The same design features enable the operator to dock the test head without causing inadvertent damage to the fragile electrical contacts. As a result, after testing a particular production lot of ICs, the operator can quickly and easily disconnect a test head that is held in an InTest manipulator and equipped with our docking hardware and dock it to another electronic device handler for testing either a subsequent lot of the same packaged ICs or to test different ICs. With the LS Series manipulators, the undocking, movement of the test head and redocking can be done automatically through the computer-controlled pendant. </w:t>
      </w:r>
    </w:p>
    <w:p>
      <w:pPr>
        <w:pStyle w:val="TextBody"/>
        <w:bidi w:val="0"/>
        <w:spacing w:lineRule="auto" w:line="288" w:before="0" w:after="200"/>
        <w:jc w:val="left"/>
        <w:rPr/>
      </w:pPr>
      <w:r>
        <w:rPr>
          <w:rFonts w:ascii="Arial;sans-serif" w:hAnsi="Arial;sans-serif"/>
          <w:b w:val="false"/>
          <w:i/>
          <w:color w:val="000000"/>
          <w:sz w:val="20"/>
        </w:rPr>
        <w:t>Docking Hardware Products</w:t>
      </w:r>
      <w:r>
        <w:rPr>
          <w:rFonts w:ascii="Arial;sans-serif" w:hAnsi="Arial;sans-serif"/>
          <w:b w:val="false"/>
          <w:color w:val="000000"/>
          <w:sz w:val="20"/>
        </w:rPr>
        <w:t>. We offer three lines of docking hardware products: fixed manual docking, AERODOCK</w:t>
      </w:r>
      <w:r>
        <w:rPr>
          <w:color w:val="000000"/>
        </w:rPr>
        <w:t xml:space="preserve">™ </w:t>
      </w:r>
      <w:r>
        <w:rPr>
          <w:rFonts w:ascii="Arial;sans-serif" w:hAnsi="Arial;sans-serif"/>
          <w:b w:val="false"/>
          <w:color w:val="000000"/>
          <w:sz w:val="20"/>
        </w:rPr>
        <w:t>and INTELLIDOCK</w:t>
      </w:r>
      <w:r>
        <w:rPr>
          <w:color w:val="000000"/>
        </w:rPr>
        <w:t xml:space="preserve">™ </w:t>
      </w:r>
      <w:r>
        <w:rPr>
          <w:rFonts w:ascii="Arial;sans-serif" w:hAnsi="Arial;sans-serif"/>
          <w:b w:val="false"/>
          <w:color w:val="000000"/>
          <w:sz w:val="20"/>
        </w:rPr>
        <w:t>pin and cup docking. All of our docking hardware products protect the delicate interface contacts and ensure proper repeatable and precise alignment between the test head’s interface board and the prober’s probing assembly or the handler’s test socket as they are brought together, or “</w:t>
      </w:r>
      <w:r>
        <w:rPr>
          <w:rFonts w:ascii="Arial;sans-serif" w:hAnsi="Arial;sans-serif"/>
          <w:b/>
          <w:color w:val="000000"/>
          <w:sz w:val="20"/>
          <w:u w:val="single"/>
        </w:rPr>
        <w:t>docked</w:t>
      </w:r>
      <w:r>
        <w:rPr>
          <w:rFonts w:ascii="Arial;sans-serif" w:hAnsi="Arial;sans-serif"/>
          <w:b w:val="false"/>
          <w:color w:val="000000"/>
          <w:sz w:val="20"/>
        </w:rPr>
        <w:t>.” Fixed manual docking includes a mechanical cam mechanism to dock and lock the test head to the prober or handler. AERODOCK</w:t>
      </w:r>
      <w:r>
        <w:rPr>
          <w:color w:val="000000"/>
        </w:rPr>
        <w:t xml:space="preserve">™ </w:t>
      </w:r>
      <w:r>
        <w:rPr>
          <w:rFonts w:ascii="Arial;sans-serif" w:hAnsi="Arial;sans-serif"/>
          <w:b w:val="false"/>
          <w:color w:val="000000"/>
          <w:sz w:val="20"/>
        </w:rPr>
        <w:t>is a new design in our docking hardware product line, bringing to market a cost-effective, pneumatically driven, active docking system. INTELLIDOCK</w:t>
      </w:r>
      <w:r>
        <w:rPr>
          <w:color w:val="000000"/>
        </w:rPr>
        <w:t xml:space="preserve">™ </w:t>
      </w:r>
      <w:r>
        <w:rPr>
          <w:rFonts w:ascii="Arial;sans-serif" w:hAnsi="Arial;sans-serif"/>
          <w:b w:val="false"/>
          <w:color w:val="000000"/>
          <w:sz w:val="20"/>
        </w:rPr>
        <w:t>is an automated docking solution that provides operator feedback for each docking step via a touchscreen display, and when coupled with the LS Series manipulator, redeployment of the test head can be done automatically and accurately via the computer pendant. All of our docking hardware products eliminate motion of the test head relative to the prober or handler once docked. This minimizes deterioration of the interface boards, test sockets and probing assemblies that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optimized floor support and reduced repairs and replacements of expensive ATE interface products.</w:t>
      </w:r>
    </w:p>
    <w:p>
      <w:pPr>
        <w:pStyle w:val="TextBody"/>
        <w:bidi w:val="0"/>
        <w:spacing w:lineRule="auto" w:line="288" w:before="0" w:after="200"/>
        <w:jc w:val="left"/>
        <w:rPr/>
      </w:pPr>
      <w:r>
        <w:rPr>
          <w:rFonts w:ascii="Arial;sans-serif" w:hAnsi="Arial;sans-serif"/>
          <w:b w:val="false"/>
          <w:color w:val="000000"/>
          <w:sz w:val="20"/>
        </w:rPr>
        <w:t>We believe our docking hardware products offer our customers the ability to make various competing brands of test heads compatible with various brands of probers and handlers by only changing interface boards (“</w:t>
      </w:r>
      <w:r>
        <w:rPr>
          <w:rFonts w:ascii="Arial;sans-serif" w:hAnsi="Arial;sans-serif"/>
          <w:b/>
          <w:color w:val="000000"/>
          <w:sz w:val="20"/>
          <w:u w:val="single"/>
        </w:rPr>
        <w:t>plug-compatibility</w:t>
      </w:r>
      <w:r>
        <w:rPr>
          <w:color w:val="000000"/>
        </w:rPr>
        <w:t>”</w:t>
      </w:r>
      <w:r>
        <w:rPr>
          <w:rFonts w:ascii="Arial;sans-serif" w:hAnsi="Arial;sans-serif"/>
          <w:b w:val="false"/>
          <w:color w:val="000000"/>
          <w:sz w:val="20"/>
        </w:rPr>
        <w:t>).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w:t>
      </w:r>
    </w:p>
    <w:p>
      <w:pPr>
        <w:pStyle w:val="TextBody"/>
        <w:bidi w:val="0"/>
        <w:spacing w:lineRule="auto" w:line="288" w:before="0" w:after="200"/>
        <w:jc w:val="left"/>
        <w:rPr/>
      </w:pPr>
      <w:r>
        <w:rPr>
          <w:rFonts w:ascii="Arial;sans-serif" w:hAnsi="Arial;sans-serif"/>
          <w:b w:val="false"/>
          <w:i/>
          <w:color w:val="000000"/>
          <w:sz w:val="20"/>
        </w:rPr>
        <w:t>Interface Products</w:t>
      </w:r>
      <w:r>
        <w:rPr>
          <w:rFonts w:ascii="Arial;sans-serif" w:hAnsi="Arial;sans-serif"/>
          <w:b w:val="false"/>
          <w:color w:val="000000"/>
          <w:sz w:val="20"/>
        </w:rPr>
        <w:t>. Our tester interface products provide the electrical connections between the tester and the wafer prober or IC handler to carry the 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modular interface is designed to provide flexibility and scalability through the use of replaceable signal modules which can be easily changed on the test floor as our customers’ testing requirements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In addition to the Centaur</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modular interface, we also offer over 200 different types of tester interface models that we custom designed for our customers’ specific applications.</w:t>
      </w:r>
    </w:p>
    <w:p>
      <w:pPr>
        <w:pStyle w:val="TextBody"/>
        <w:bidi w:val="0"/>
        <w:spacing w:lineRule="auto" w:line="288" w:before="0" w:after="200"/>
        <w:jc w:val="left"/>
        <w:rPr/>
      </w:pPr>
      <w:r>
        <w:rPr>
          <w:rFonts w:ascii="Arial;sans-serif" w:hAnsi="Arial;sans-serif"/>
          <w:b w:val="false"/>
          <w:i/>
          <w:color w:val="000000"/>
          <w:sz w:val="20"/>
        </w:rPr>
        <w:t>Acculogic Scorpion Flying Probe Test Systems</w:t>
      </w:r>
      <w:r>
        <w:rPr>
          <w:rFonts w:ascii="Arial;sans-serif" w:hAnsi="Arial;sans-serif"/>
          <w:b w:val="false"/>
          <w:color w:val="000000"/>
          <w:sz w:val="20"/>
        </w:rPr>
        <w:t>. Acculogic designs and manufactures robotics-based electronic test equipment and provides application support services for OEMs, contract electronic manufacturers and battery manufacturers. These systems are used to structurally test an electronic device including printed circuit board assembly (“</w:t>
      </w:r>
      <w:r>
        <w:rPr>
          <w:rFonts w:ascii="Arial;sans-serif" w:hAnsi="Arial;sans-serif"/>
          <w:b/>
          <w:color w:val="000000"/>
          <w:sz w:val="20"/>
          <w:u w:val="single"/>
        </w:rPr>
        <w:t>PCBA</w:t>
      </w:r>
      <w:r>
        <w:rPr>
          <w:color w:val="000000"/>
        </w:rPr>
        <w:t>”</w:t>
      </w:r>
      <w:r>
        <w:rPr>
          <w:rFonts w:ascii="Arial;sans-serif" w:hAnsi="Arial;sans-serif"/>
          <w:b w:val="false"/>
          <w:color w:val="000000"/>
          <w:sz w:val="20"/>
        </w:rPr>
        <w:t>) and battery interconnect test. Structural testing provides confirmation that the device was manufactured properly by confirming circuits are functioning properly. In addition to testing of the basic circuitry of a PCBA, our Acculogic solutions can integrate various functional testing capabilities such as boundary scan and radio frequency measurement to confirm that the device will perform the functions for which it is designed. Acculogic’s Scorpion Flying Probe system can be quickly programmed to test almost any printed circuit board. This programming is done with computer-aided design or design data of the device to be tested. Traditional in-circuit testing systems require a dedicated fixture for each board to be tested. Acculogic’s Flying Probe system can test a virtually unlimited number of boards without any hardware modifications.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Using the flying probe configuration, The STINGRAY Battery Tester employs a set of test heads to measure the electrical resistance of each bond in the battery array. By utilizing the four-wire technique, the tester can perform electrical tests on low-resistance interconnects, even as low as 200uΩ. Each test is completed within milliseconds, ensuring rapid testing of each battery array. The STINGRAY was the first to market a non-contact probe module in 2024. Using advanced magnetic field measurement techniques to assess the interconnect quality without physical contact, this allows for accurate and complete test coverage for both laser-welded and wire bonded interconnects.</w:t>
      </w:r>
    </w:p>
    <w:p>
      <w:pPr>
        <w:pStyle w:val="TextBody"/>
        <w:bidi w:val="0"/>
        <w:spacing w:lineRule="auto" w:line="288" w:before="0" w:after="200"/>
        <w:jc w:val="left"/>
        <w:rPr/>
      </w:pPr>
      <w:r>
        <w:rPr>
          <w:rFonts w:ascii="Arial;sans-serif" w:hAnsi="Arial;sans-serif"/>
          <w:b w:val="false"/>
          <w:i/>
          <w:color w:val="000000"/>
          <w:sz w:val="20"/>
        </w:rPr>
        <w:t>Acculogic BRiZ Automated Test and Programming Services</w:t>
      </w:r>
      <w:r>
        <w:rPr>
          <w:rFonts w:ascii="Arial;sans-serif" w:hAnsi="Arial;sans-serif"/>
          <w:b w:val="false"/>
          <w:color w:val="000000"/>
          <w:sz w:val="20"/>
        </w:rPr>
        <w:t>: BRiZ is an automated test platform that can consolidate any variety of circuit board test and programming into a single, compact, low-cost test station.</w:t>
      </w:r>
    </w:p>
    <w:p>
      <w:pPr>
        <w:pStyle w:val="TextBody"/>
        <w:bidi w:val="0"/>
        <w:spacing w:lineRule="auto" w:line="288" w:before="0" w:after="200"/>
        <w:jc w:val="left"/>
        <w:rPr/>
      </w:pPr>
      <w:r>
        <w:rPr>
          <w:rFonts w:ascii="Arial;sans-serif" w:hAnsi="Arial;sans-serif"/>
          <w:b w:val="false"/>
          <w:i/>
          <w:color w:val="000000"/>
          <w:sz w:val="20"/>
        </w:rPr>
        <w:t>Alfamation Hyperion</w:t>
      </w:r>
      <w:r>
        <w:rPr>
          <w:color w:val="000000"/>
        </w:rPr>
        <w:t xml:space="preserve">™ </w:t>
      </w:r>
      <w:r>
        <w:rPr>
          <w:rFonts w:ascii="Arial;sans-serif" w:hAnsi="Arial;sans-serif"/>
          <w:b w:val="false"/>
          <w:i/>
          <w:color w:val="000000"/>
          <w:sz w:val="20"/>
        </w:rPr>
        <w:t>Functional Test Platform</w:t>
      </w:r>
      <w:r>
        <w:rPr>
          <w:rFonts w:ascii="Arial;sans-serif" w:hAnsi="Arial;sans-serif"/>
          <w:b w:val="false"/>
          <w:color w:val="000000"/>
          <w:sz w:val="20"/>
        </w:rPr>
        <w:t>: Hyperion</w:t>
      </w:r>
      <w:r>
        <w:rPr>
          <w:color w:val="000000"/>
        </w:rPr>
        <w:t xml:space="preserve">™ </w:t>
      </w:r>
      <w:r>
        <w:rPr>
          <w:rFonts w:ascii="Arial;sans-serif" w:hAnsi="Arial;sans-serif"/>
          <w:b w:val="false"/>
          <w:color w:val="000000"/>
          <w:sz w:val="20"/>
        </w:rPr>
        <w:t>is an automated Test Platform for PCBA &amp; Assembly level testing, modular and configurable to quickly fit different customer applications. It addresses End-of-Line testing of a broad range of devices, from wireless communication telematics through automotive infotainment and computer control units.</w:t>
      </w:r>
    </w:p>
    <w:p>
      <w:pPr>
        <w:pStyle w:val="TextBody"/>
        <w:bidi w:val="0"/>
        <w:spacing w:lineRule="auto" w:line="288" w:before="0" w:after="200"/>
        <w:jc w:val="left"/>
        <w:rPr/>
      </w:pPr>
      <w:r>
        <w:rPr>
          <w:rFonts w:ascii="Arial;sans-serif" w:hAnsi="Arial;sans-serif"/>
          <w:b w:val="false"/>
          <w:i/>
          <w:color w:val="000000"/>
          <w:sz w:val="20"/>
        </w:rPr>
        <w:t>Alfamation Pixelshooter</w:t>
      </w:r>
      <w:r>
        <w:rPr>
          <w:color w:val="000000"/>
        </w:rPr>
        <w:t xml:space="preserve">™ </w:t>
      </w:r>
      <w:r>
        <w:rPr>
          <w:rFonts w:ascii="Arial;sans-serif" w:hAnsi="Arial;sans-serif"/>
          <w:b w:val="false"/>
          <w:i/>
          <w:color w:val="000000"/>
          <w:sz w:val="20"/>
        </w:rPr>
        <w:t>Touch Display Tester</w:t>
      </w:r>
      <w:r>
        <w:rPr>
          <w:rFonts w:ascii="Arial;sans-serif" w:hAnsi="Arial;sans-serif"/>
          <w:b w:val="false"/>
          <w:color w:val="000000"/>
          <w:sz w:val="20"/>
        </w:rPr>
        <w:t>: Pixelshooter</w:t>
      </w:r>
      <w:r>
        <w:rPr>
          <w:color w:val="000000"/>
        </w:rPr>
        <w:t xml:space="preserve">™ </w:t>
      </w:r>
      <w:r>
        <w:rPr>
          <w:rFonts w:ascii="Arial;sans-serif" w:hAnsi="Arial;sans-serif"/>
          <w:b w:val="false"/>
          <w:color w:val="000000"/>
          <w:sz w:val="20"/>
        </w:rPr>
        <w:t>is comprehensive and scalable solution for electrical and optical testing of touch displays, including automotive instrument clusters and touch screens, with integrated robotics for haptic feedback, buttons and knobs assessment. It is conceived for 24/7 high volume manufacturing operations and provides hi-res defective pixel detection, color calibration, brightness uniformity and flicker measurement.</w:t>
      </w:r>
    </w:p>
    <w:p>
      <w:pPr>
        <w:pStyle w:val="TextBody"/>
        <w:bidi w:val="0"/>
        <w:spacing w:lineRule="auto" w:line="288" w:before="0" w:after="200"/>
        <w:jc w:val="left"/>
        <w:rPr/>
      </w:pPr>
      <w:r>
        <w:rPr>
          <w:rFonts w:ascii="Arial;sans-serif" w:hAnsi="Arial;sans-serif"/>
          <w:b w:val="false"/>
          <w:i/>
          <w:color w:val="000000"/>
          <w:sz w:val="20"/>
        </w:rPr>
        <w:t>Alfamation Wafer-Level Optical component Tester (WALOT</w:t>
      </w:r>
      <w:r>
        <w:rPr>
          <w:color w:val="000000"/>
        </w:rPr>
        <w:t>™</w:t>
      </w:r>
      <w:r>
        <w:rPr>
          <w:rFonts w:ascii="Arial;sans-serif" w:hAnsi="Arial;sans-serif"/>
          <w:b w:val="false"/>
          <w:i/>
          <w:color w:val="000000"/>
          <w:sz w:val="20"/>
        </w:rPr>
        <w:t>)</w:t>
      </w:r>
      <w:r>
        <w:rPr>
          <w:rFonts w:ascii="Arial;sans-serif" w:hAnsi="Arial;sans-serif"/>
          <w:b w:val="false"/>
          <w:color w:val="000000"/>
          <w:sz w:val="20"/>
        </w:rPr>
        <w:t>: WALOT</w:t>
      </w:r>
      <w:r>
        <w:rPr>
          <w:color w:val="000000"/>
        </w:rPr>
        <w:t xml:space="preserve">™ </w:t>
      </w:r>
      <w:r>
        <w:rPr>
          <w:rFonts w:ascii="Arial;sans-serif" w:hAnsi="Arial;sans-serif"/>
          <w:b w:val="false"/>
          <w:color w:val="000000"/>
          <w:sz w:val="20"/>
        </w:rPr>
        <w:t>is a fully automated test system designed to test passive optical components at Wafer-level, such as diffractive optical elements (“</w:t>
      </w:r>
      <w:r>
        <w:rPr>
          <w:rFonts w:ascii="Arial;sans-serif" w:hAnsi="Arial;sans-serif"/>
          <w:b/>
          <w:color w:val="000000"/>
          <w:sz w:val="20"/>
          <w:u w:val="single"/>
        </w:rPr>
        <w:t>DOE</w:t>
      </w:r>
      <w:r>
        <w:rPr>
          <w:color w:val="000000"/>
        </w:rPr>
        <w:t>”</w:t>
      </w:r>
      <w:r>
        <w:rPr>
          <w:rFonts w:ascii="Arial;sans-serif" w:hAnsi="Arial;sans-serif"/>
          <w:b w:val="false"/>
          <w:color w:val="000000"/>
          <w:sz w:val="20"/>
        </w:rPr>
        <w:t>), meta optical elements (“</w:t>
      </w:r>
      <w:r>
        <w:rPr>
          <w:rFonts w:ascii="Arial;sans-serif" w:hAnsi="Arial;sans-serif"/>
          <w:b/>
          <w:color w:val="000000"/>
          <w:sz w:val="20"/>
          <w:u w:val="single"/>
        </w:rPr>
        <w:t>MOE</w:t>
      </w:r>
      <w:r>
        <w:rPr>
          <w:color w:val="000000"/>
        </w:rPr>
        <w:t>”</w:t>
      </w:r>
      <w:r>
        <w:rPr>
          <w:rFonts w:ascii="Arial;sans-serif" w:hAnsi="Arial;sans-serif"/>
          <w:b w:val="false"/>
          <w:color w:val="000000"/>
          <w:sz w:val="20"/>
        </w:rPr>
        <w:t>) and micro lens array (“</w:t>
      </w:r>
      <w:r>
        <w:rPr>
          <w:rFonts w:ascii="Arial;sans-serif" w:hAnsi="Arial;sans-serif"/>
          <w:b/>
          <w:color w:val="000000"/>
          <w:sz w:val="20"/>
          <w:u w:val="single"/>
        </w:rPr>
        <w:t>MLA</w:t>
      </w:r>
      <w:r>
        <w:rPr>
          <w:color w:val="000000"/>
        </w:rPr>
        <w:t>”</w:t>
      </w:r>
      <w:r>
        <w:rPr>
          <w:rFonts w:ascii="Arial;sans-serif" w:hAnsi="Arial;sans-serif"/>
          <w:b w:val="false"/>
          <w:color w:val="000000"/>
          <w:sz w:val="20"/>
        </w:rPr>
        <w:t>). These optical components are used in consumer electronics devices (i.e. facial recognition) and automotive decorative lighting applications. It combines efficient automation with the capability of handling a wide range of functional tests and is equipped with air-bearing wafer handling system combined with a flexible measurement setup architecture which requires little to no maintenance.</w:t>
      </w:r>
    </w:p>
    <w:p>
      <w:pPr>
        <w:pStyle w:val="TextBody"/>
        <w:bidi w:val="0"/>
        <w:spacing w:lineRule="auto" w:line="288" w:before="0" w:after="200"/>
        <w:jc w:val="left"/>
        <w:rPr/>
      </w:pPr>
      <w:r>
        <w:rPr>
          <w:rFonts w:ascii="Arial;sans-serif" w:hAnsi="Arial;sans-serif"/>
          <w:b w:val="false"/>
          <w:i/>
          <w:color w:val="000000"/>
          <w:sz w:val="20"/>
        </w:rPr>
        <w:t>Alfamation Flexmedia XM</w:t>
      </w:r>
      <w:r>
        <w:rPr>
          <w:rFonts w:ascii="Arial;sans-serif" w:hAnsi="Arial;sans-serif"/>
          <w:b w:val="false"/>
          <w:color w:val="000000"/>
          <w:sz w:val="13"/>
        </w:rPr>
        <w:t>®</w:t>
      </w:r>
      <w:r>
        <w:rPr>
          <w:color w:val="000000"/>
        </w:rPr>
        <w:t xml:space="preserve"> </w:t>
      </w:r>
      <w:r>
        <w:rPr>
          <w:rFonts w:ascii="Arial;sans-serif" w:hAnsi="Arial;sans-serif"/>
          <w:b w:val="false"/>
          <w:i/>
          <w:color w:val="000000"/>
          <w:sz w:val="20"/>
        </w:rPr>
        <w:t>Specialty Test Modules</w:t>
      </w:r>
      <w:r>
        <w:rPr>
          <w:rFonts w:ascii="Arial;sans-serif" w:hAnsi="Arial;sans-serif"/>
          <w:b w:val="false"/>
          <w:color w:val="000000"/>
          <w:sz w:val="20"/>
        </w:rPr>
        <w:t>: Flexmedia XM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is a modular, robust and cost-effective solution for building flexible, scalable, functional testers for applications that include audio and video generators and analyzers, automotive ethernet and communication interfaces, and analog measurements. They address the requirements of many automotive infotainment and wireless telematics functional testing needs.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Environmental Technologies Products</w:t>
      </w:r>
    </w:p>
    <w:p>
      <w:pPr>
        <w:pStyle w:val="TextBody"/>
        <w:bidi w:val="0"/>
        <w:spacing w:lineRule="auto" w:line="288" w:before="0" w:after="200"/>
        <w:jc w:val="left"/>
        <w:rPr/>
      </w:pPr>
      <w:r>
        <w:rPr>
          <w:rFonts w:ascii="Arial;sans-serif" w:hAnsi="Arial;sans-serif"/>
          <w:b w:val="false"/>
          <w:i/>
          <w:color w:val="000000"/>
          <w:sz w:val="20"/>
        </w:rPr>
        <w:t>ThermoStream</w:t>
      </w:r>
      <w:r>
        <w:rPr>
          <w:rFonts w:ascii="Arial;sans-serif" w:hAnsi="Arial;sans-serif"/>
          <w:b w:val="false"/>
          <w:color w:val="000000"/>
          <w:sz w:val="13"/>
        </w:rPr>
        <w:t>®</w:t>
      </w:r>
      <w:r>
        <w:rPr>
          <w:color w:val="000000"/>
        </w:rPr>
        <w:t xml:space="preserve"> </w:t>
      </w:r>
      <w:r>
        <w:rPr>
          <w:rFonts w:ascii="Arial;sans-serif" w:hAnsi="Arial;sans-serif"/>
          <w:b w:val="false"/>
          <w:i/>
          <w:color w:val="000000"/>
          <w:sz w:val="20"/>
        </w:rPr>
        <w:t>Products</w:t>
      </w:r>
      <w:r>
        <w:rPr>
          <w:rFonts w:ascii="Arial;sans-serif" w:hAnsi="Arial;sans-serif"/>
          <w:b w:val="false"/>
          <w:color w:val="000000"/>
          <w:sz w:val="20"/>
        </w:rPr>
        <w:t>: Our ThermoStream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products are used in the Semi market as a stand-alone temperature management tool, or in a variety of electronic test applications as part of our MobileTemp systems. ThermoStream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products provide a source of heated and cooled air that can be directed over the component or device under test. These systems are capable of controlling temperatures to within +/- 0.1</w:t>
      </w:r>
      <w:r>
        <w:rPr>
          <w:rFonts w:ascii="null;sans-serif" w:hAnsi="null;sans-serif"/>
          <w:b w:val="false"/>
          <w:color w:val="000000"/>
          <w:sz w:val="20"/>
        </w:rPr>
        <w:t>°</w:t>
      </w:r>
      <w:r>
        <w:rPr>
          <w:color w:val="000000"/>
        </w:rPr>
        <w:t xml:space="preserve"> </w:t>
      </w:r>
      <w:r>
        <w:rPr>
          <w:rFonts w:ascii="Arial;sans-serif" w:hAnsi="Arial;sans-serif"/>
          <w:b w:val="false"/>
          <w:color w:val="000000"/>
          <w:sz w:val="20"/>
        </w:rPr>
        <w:t>Celsius over a range of -100</w:t>
      </w:r>
      <w:r>
        <w:rPr>
          <w:rFonts w:ascii="null;sans-serif" w:hAnsi="null;sans-serif"/>
          <w:b w:val="false"/>
          <w:color w:val="000000"/>
          <w:sz w:val="20"/>
        </w:rPr>
        <w:t>°</w:t>
      </w:r>
      <w:r>
        <w:rPr>
          <w:color w:val="000000"/>
        </w:rPr>
        <w:t xml:space="preserve"> </w:t>
      </w:r>
      <w:r>
        <w:rPr>
          <w:rFonts w:ascii="Arial;sans-serif" w:hAnsi="Arial;sans-serif"/>
          <w:b w:val="false"/>
          <w:color w:val="000000"/>
          <w:sz w:val="20"/>
        </w:rPr>
        <w:t>to +300</w:t>
      </w:r>
      <w:r>
        <w:rPr>
          <w:rFonts w:ascii="null;sans-serif" w:hAnsi="null;sans-serif"/>
          <w:b w:val="false"/>
          <w:color w:val="000000"/>
          <w:sz w:val="20"/>
        </w:rPr>
        <w:t>°</w:t>
      </w:r>
      <w:r>
        <w:rPr>
          <w:color w:val="000000"/>
        </w:rPr>
        <w:t xml:space="preserve"> </w:t>
      </w:r>
      <w:r>
        <w:rPr>
          <w:rFonts w:ascii="Arial;sans-serif" w:hAnsi="Arial;sans-serif"/>
          <w:b w:val="false"/>
          <w:color w:val="000000"/>
          <w:sz w:val="20"/>
        </w:rPr>
        <w:t>Celsius within 1.0</w:t>
      </w:r>
      <w:r>
        <w:rPr>
          <w:rFonts w:ascii="null;sans-serif" w:hAnsi="null;sans-serif"/>
          <w:b w:val="false"/>
          <w:color w:val="000000"/>
          <w:sz w:val="20"/>
        </w:rPr>
        <w:t>°</w:t>
      </w:r>
      <w:r>
        <w:rPr>
          <w:color w:val="000000"/>
        </w:rPr>
        <w:t xml:space="preserve"> </w:t>
      </w:r>
      <w:r>
        <w:rPr>
          <w:rFonts w:ascii="Arial;sans-serif" w:hAnsi="Arial;sans-serif"/>
          <w:b w:val="false"/>
          <w:color w:val="000000"/>
          <w:sz w:val="20"/>
        </w:rPr>
        <w:t>Celsius of accuracy. As a stand-alone tool, ThermoStreams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provide a temperature-controlled air stream to rapidly change and stabilize the temperature of packaged ICs and other devices.</w:t>
      </w:r>
    </w:p>
    <w:p>
      <w:pPr>
        <w:pStyle w:val="TextBody"/>
        <w:bidi w:val="0"/>
        <w:spacing w:lineRule="auto" w:line="288" w:before="0" w:after="200"/>
        <w:jc w:val="left"/>
        <w:rPr/>
      </w:pPr>
      <w:r>
        <w:rPr>
          <w:rFonts w:ascii="Arial;sans-serif" w:hAnsi="Arial;sans-serif"/>
          <w:b w:val="false"/>
          <w:color w:val="000000"/>
          <w:sz w:val="20"/>
        </w:rPr>
        <w:t>Our MobileTemp Series combines our ThermoStream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products with our family of exclusive, high-speed ThermoChambers to offer thermal test systems with fast, uniform temperature control in a compact package enabling temperature testing at the test location. MobileTemp Systems are designed specifically for small thermal-mass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applications beyond the Semi market and have found applications in the automotive, electronic, fiber optic and oil field service markets testing such things as electronic sub-assemblies, sensor assemblies and printed circuit boards.</w:t>
      </w:r>
    </w:p>
    <w:p>
      <w:pPr>
        <w:pStyle w:val="TextBody"/>
        <w:bidi w:val="0"/>
        <w:spacing w:lineRule="auto" w:line="288" w:before="0" w:after="200"/>
        <w:jc w:val="left"/>
        <w:rPr/>
      </w:pPr>
      <w:r>
        <w:rPr>
          <w:rFonts w:ascii="Arial;sans-serif" w:hAnsi="Arial;sans-serif"/>
          <w:b w:val="false"/>
          <w:color w:val="000000"/>
          <w:sz w:val="20"/>
        </w:rPr>
        <w:t>Traditionally, our customers use ThermoStream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products primarily in engineering, quality assurance and small-run manufacturing environments.</w:t>
      </w:r>
    </w:p>
    <w:p>
      <w:pPr>
        <w:pStyle w:val="TextBody"/>
        <w:bidi w:val="0"/>
        <w:spacing w:lineRule="auto" w:line="288" w:before="0" w:after="200"/>
        <w:jc w:val="left"/>
        <w:rPr/>
      </w:pPr>
      <w:r>
        <w:rPr>
          <w:rFonts w:ascii="Arial;sans-serif" w:hAnsi="Arial;sans-serif"/>
          <w:b w:val="false"/>
          <w:i/>
          <w:color w:val="000000"/>
          <w:sz w:val="20"/>
        </w:rPr>
        <w:t>Thermal Chambers</w:t>
      </w:r>
      <w:r>
        <w:rPr>
          <w:rFonts w:ascii="Arial;sans-serif" w:hAnsi="Arial;sans-serif"/>
          <w:b w:val="false"/>
          <w:color w:val="000000"/>
          <w:sz w:val="20"/>
        </w:rPr>
        <w:t>: Our thermal chamber products are available in a variety of sizes, from small bench-top units to chambers with internal volumes of twenty-seven cubic feet and greater and with temperature ranges as wide as from -190</w:t>
      </w:r>
      <w:r>
        <w:rPr>
          <w:rFonts w:ascii="null;sans-serif" w:hAnsi="null;sans-serif"/>
          <w:b w:val="false"/>
          <w:color w:val="000000"/>
          <w:sz w:val="20"/>
        </w:rPr>
        <w:t>°</w:t>
      </w:r>
      <w:r>
        <w:rPr>
          <w:color w:val="000000"/>
        </w:rPr>
        <w:t xml:space="preserve"> </w:t>
      </w:r>
      <w:r>
        <w:rPr>
          <w:rFonts w:ascii="Arial;sans-serif" w:hAnsi="Arial;sans-serif"/>
          <w:b w:val="false"/>
          <w:color w:val="000000"/>
          <w:sz w:val="20"/>
        </w:rPr>
        <w:t>to +500</w:t>
      </w:r>
      <w:r>
        <w:rPr>
          <w:rFonts w:ascii="null;sans-serif" w:hAnsi="null;sans-serif"/>
          <w:b w:val="false"/>
          <w:color w:val="000000"/>
          <w:sz w:val="20"/>
        </w:rPr>
        <w:t>°</w:t>
      </w:r>
      <w:r>
        <w:rPr>
          <w:color w:val="000000"/>
        </w:rPr>
        <w:t xml:space="preserve"> </w:t>
      </w:r>
      <w:r>
        <w:rPr>
          <w:rFonts w:ascii="Arial;sans-serif" w:hAnsi="Arial;sans-serif"/>
          <w:b w:val="false"/>
          <w:color w:val="000000"/>
          <w:sz w:val="20"/>
        </w:rPr>
        <w:t>Celsius. Chambers can be designed to utilize liquid nitrogen or liquid carbon dioxide cooling or mechanical refrigeration, and sometimes both. These chambers can accommodate large thermal masses and are found in both laboratory and production environments.</w:t>
      </w:r>
    </w:p>
    <w:p>
      <w:pPr>
        <w:pStyle w:val="TextBody"/>
        <w:bidi w:val="0"/>
        <w:spacing w:lineRule="auto" w:line="288" w:before="0" w:after="200"/>
        <w:jc w:val="left"/>
        <w:rPr/>
      </w:pPr>
      <w:r>
        <w:rPr>
          <w:rFonts w:ascii="Arial;sans-serif" w:hAnsi="Arial;sans-serif"/>
          <w:b w:val="false"/>
          <w:i/>
          <w:color w:val="000000"/>
          <w:sz w:val="20"/>
        </w:rPr>
        <w:t>Thermal Platforms</w:t>
      </w:r>
      <w:r>
        <w:rPr>
          <w:rFonts w:ascii="Arial;sans-serif" w:hAnsi="Arial;sans-serif"/>
          <w:b w:val="false"/>
          <w:color w:val="000000"/>
          <w:sz w:val="20"/>
        </w:rPr>
        <w:t>: Our thermal platforms are available in surface sizes ranging from 7.2 square inches to 616 square inches (approximately 46.5 cm</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to 3,974.2 cm</w:t>
      </w:r>
      <w:r>
        <w:rPr>
          <w:rFonts w:ascii="Arial;sans-serif" w:hAnsi="Arial;sans-serif"/>
          <w:b w:val="false"/>
          <w:color w:val="000000"/>
          <w:sz w:val="13"/>
        </w:rPr>
        <w:t>2</w:t>
      </w:r>
      <w:r>
        <w:rPr>
          <w:rFonts w:ascii="Arial;sans-serif" w:hAnsi="Arial;sans-serif"/>
          <w:b w:val="false"/>
          <w:color w:val="000000"/>
          <w:sz w:val="20"/>
        </w:rPr>
        <w:t>). They provide a flat, thermally conductive, precisely temperature controllable surface that is ideal for conditioning of testing devices with a flat surface. Platforms are available with temperature ranges as broad as -100</w:t>
      </w:r>
      <w:r>
        <w:rPr>
          <w:rFonts w:ascii="null;sans-serif" w:hAnsi="null;sans-serif"/>
          <w:b w:val="false"/>
          <w:color w:val="000000"/>
          <w:sz w:val="20"/>
        </w:rPr>
        <w:t>°</w:t>
      </w:r>
      <w:r>
        <w:rPr>
          <w:color w:val="000000"/>
        </w:rPr>
        <w:t xml:space="preserve"> </w:t>
      </w:r>
      <w:r>
        <w:rPr>
          <w:rFonts w:ascii="Arial;sans-serif" w:hAnsi="Arial;sans-serif"/>
          <w:b w:val="false"/>
          <w:color w:val="000000"/>
          <w:sz w:val="20"/>
        </w:rPr>
        <w:t>to +250</w:t>
      </w:r>
      <w:r>
        <w:rPr>
          <w:rFonts w:ascii="null;sans-serif" w:hAnsi="null;sans-serif"/>
          <w:b w:val="false"/>
          <w:color w:val="000000"/>
          <w:sz w:val="20"/>
        </w:rPr>
        <w:t>°</w:t>
      </w:r>
      <w:r>
        <w:rPr>
          <w:color w:val="000000"/>
        </w:rPr>
        <w:t xml:space="preserve"> </w:t>
      </w:r>
      <w:r>
        <w:rPr>
          <w:rFonts w:ascii="Arial;sans-serif" w:hAnsi="Arial;sans-serif"/>
          <w:b w:val="false"/>
          <w:color w:val="000000"/>
          <w:sz w:val="20"/>
        </w:rPr>
        <w:t>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w:t>
      </w:r>
    </w:p>
    <w:p>
      <w:pPr>
        <w:pStyle w:val="TextBody"/>
        <w:bidi w:val="0"/>
        <w:spacing w:lineRule="auto" w:line="288" w:before="0" w:after="200"/>
        <w:jc w:val="left"/>
        <w:rPr/>
      </w:pPr>
      <w:r>
        <w:rPr>
          <w:rFonts w:ascii="Arial;sans-serif" w:hAnsi="Arial;sans-serif"/>
          <w:b w:val="false"/>
          <w:i/>
          <w:color w:val="000000"/>
          <w:sz w:val="20"/>
        </w:rPr>
        <w:t>Thermonics</w:t>
      </w:r>
      <w:r>
        <w:rPr>
          <w:rFonts w:ascii="Arial;sans-serif" w:hAnsi="Arial;sans-serif"/>
          <w:b w:val="false"/>
          <w:color w:val="000000"/>
          <w:sz w:val="13"/>
        </w:rPr>
        <w:t>®</w:t>
      </w:r>
      <w:r>
        <w:rPr>
          <w:color w:val="000000"/>
        </w:rPr>
        <w:t xml:space="preserve"> </w:t>
      </w:r>
      <w:r>
        <w:rPr>
          <w:rFonts w:ascii="Arial;sans-serif" w:hAnsi="Arial;sans-serif"/>
          <w:b w:val="false"/>
          <w:i/>
          <w:color w:val="000000"/>
          <w:sz w:val="20"/>
        </w:rPr>
        <w:t>Products</w:t>
      </w:r>
      <w:r>
        <w:rPr>
          <w:rFonts w:ascii="Arial;sans-serif" w:hAnsi="Arial;sans-serif"/>
          <w:b w:val="false"/>
          <w:color w:val="000000"/>
          <w:sz w:val="20"/>
        </w:rPr>
        <w:t>: Our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temperature conditioning products, which include our process chillers, provide tempered gas or fluid to enable customers to maintain desired thermal conditions within their tool or process. Applications include general industrial, chemical processing, energy, electronics, automotive, defense/aerospace and semiconductor markets.</w:t>
      </w:r>
    </w:p>
    <w:p>
      <w:pPr>
        <w:pStyle w:val="TextBody"/>
        <w:bidi w:val="0"/>
        <w:spacing w:lineRule="auto" w:line="288" w:before="0" w:after="200"/>
        <w:jc w:val="left"/>
        <w:rPr/>
      </w:pPr>
      <w:r>
        <w:rPr>
          <w:rFonts w:ascii="Arial;sans-serif" w:hAnsi="Arial;sans-serif"/>
          <w:b w:val="false"/>
          <w:i/>
          <w:color w:val="000000"/>
          <w:sz w:val="20"/>
        </w:rPr>
        <w:t>Ultra-Cold Storage Solutions</w:t>
      </w:r>
      <w:r>
        <w:rPr>
          <w:rFonts w:ascii="Arial;sans-serif" w:hAnsi="Arial;sans-serif"/>
          <w:b w:val="false"/>
          <w:color w:val="000000"/>
          <w:sz w:val="20"/>
        </w:rPr>
        <w:t>: Our high-performance biomedical freezers, refrigerators and mobile storage solutions meet versatile applications, including ultra-cold storage solutions for biological sample banks, blood safety, vaccine safety, medical supplies and reagent safety.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Process Technologies Products</w:t>
      </w:r>
    </w:p>
    <w:p>
      <w:pPr>
        <w:pStyle w:val="TextBody"/>
        <w:bidi w:val="0"/>
        <w:spacing w:lineRule="auto" w:line="288" w:before="0" w:after="200"/>
        <w:jc w:val="left"/>
        <w:rPr/>
      </w:pPr>
      <w:r>
        <w:rPr>
          <w:rFonts w:ascii="Arial;sans-serif" w:hAnsi="Arial;sans-serif"/>
          <w:b w:val="false"/>
          <w:i/>
          <w:color w:val="000000"/>
          <w:sz w:val="20"/>
        </w:rPr>
        <w:t>EKOHEAT</w:t>
      </w:r>
      <w:r>
        <w:rPr>
          <w:rFonts w:ascii="Arial;sans-serif" w:hAnsi="Arial;sans-serif"/>
          <w:b w:val="false"/>
          <w:color w:val="000000"/>
          <w:sz w:val="13"/>
        </w:rPr>
        <w:t>®</w:t>
      </w:r>
      <w:r>
        <w:rPr>
          <w:color w:val="000000"/>
        </w:rPr>
        <w:t xml:space="preserve"> </w:t>
      </w:r>
      <w:r>
        <w:rPr>
          <w:rFonts w:ascii="Arial;sans-serif" w:hAnsi="Arial;sans-serif"/>
          <w:b w:val="false"/>
          <w:i/>
          <w:color w:val="000000"/>
          <w:sz w:val="20"/>
        </w:rPr>
        <w:t>Products</w:t>
      </w:r>
      <w:r>
        <w:rPr>
          <w:rFonts w:ascii="Arial;sans-serif" w:hAnsi="Arial;sans-serif"/>
          <w:b w:val="false"/>
          <w:color w:val="000000"/>
          <w:sz w:val="20"/>
        </w:rPr>
        <w:t>: Our EKOHEAT</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induction heating systems with power ratings from 10 kW to 1 MW are manufactured by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are used to conduct fast, efficient, repeatable non-contact heating of metals or other electrically conductive materials in order to transform raw materials into finished parts.</w:t>
      </w:r>
    </w:p>
    <w:p>
      <w:pPr>
        <w:pStyle w:val="TextBody"/>
        <w:bidi w:val="0"/>
        <w:spacing w:lineRule="auto" w:line="288" w:before="0" w:after="200"/>
        <w:jc w:val="left"/>
        <w:rPr/>
      </w:pPr>
      <w:r>
        <w:rPr>
          <w:rFonts w:ascii="Arial;sans-serif" w:hAnsi="Arial;sans-serif"/>
          <w:b w:val="false"/>
          <w:i/>
          <w:color w:val="000000"/>
          <w:sz w:val="20"/>
        </w:rPr>
        <w:t>EASYHEAT</w:t>
      </w:r>
      <w:r>
        <w:rPr>
          <w:color w:val="000000"/>
        </w:rPr>
        <w:t xml:space="preserve">™ </w:t>
      </w:r>
      <w:r>
        <w:rPr>
          <w:rFonts w:ascii="Arial;sans-serif" w:hAnsi="Arial;sans-serif"/>
          <w:b w:val="false"/>
          <w:i/>
          <w:color w:val="000000"/>
          <w:sz w:val="20"/>
        </w:rPr>
        <w:t>Products</w:t>
      </w:r>
      <w:r>
        <w:rPr>
          <w:rFonts w:ascii="Arial;sans-serif" w:hAnsi="Arial;sans-serif"/>
          <w:b w:val="false"/>
          <w:color w:val="000000"/>
          <w:sz w:val="20"/>
        </w:rPr>
        <w:t>: Our compact EASYHEAT</w:t>
      </w:r>
      <w:r>
        <w:rPr>
          <w:color w:val="000000"/>
        </w:rPr>
        <w:t xml:space="preserve">™ </w:t>
      </w:r>
      <w:r>
        <w:rPr>
          <w:rFonts w:ascii="Arial;sans-serif" w:hAnsi="Arial;sans-serif"/>
          <w:b w:val="false"/>
          <w:color w:val="000000"/>
          <w:sz w:val="20"/>
        </w:rPr>
        <w:t>induction heating systems with power ratings from 0.5 kW to 10 kW are manufactured by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used to conduct fast, efficient, repeatable non-contact heating of metals or other electrically conductive materials in order to transform raw materials into finished parts.</w:t>
      </w:r>
    </w:p>
    <w:p>
      <w:pPr>
        <w:pStyle w:val="TextBody"/>
        <w:bidi w:val="0"/>
        <w:spacing w:lineRule="auto" w:line="288" w:before="0" w:after="200"/>
        <w:jc w:val="left"/>
        <w:rPr/>
      </w:pPr>
      <w:r>
        <w:rPr>
          <w:rFonts w:ascii="Arial;sans-serif" w:hAnsi="Arial;sans-serif"/>
          <w:b w:val="false"/>
          <w:color w:val="000000"/>
          <w:sz w:val="20"/>
        </w:rPr>
        <w:t>Applications for both EKOHEAT</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EASYHEAT</w:t>
      </w:r>
      <w:r>
        <w:rPr>
          <w:color w:val="000000"/>
        </w:rPr>
        <w:t xml:space="preserve">™ </w:t>
      </w:r>
      <w:r>
        <w:rPr>
          <w:rFonts w:ascii="Arial;sans-serif" w:hAnsi="Arial;sans-serif"/>
          <w:b w:val="false"/>
          <w:color w:val="000000"/>
          <w:sz w:val="20"/>
        </w:rPr>
        <w:t>products include annealing, bonding, brazing, curing, forging, heat treating, melting, shrink-fitting, soldering and testing.</w:t>
      </w:r>
    </w:p>
    <w:p>
      <w:pPr>
        <w:pStyle w:val="TextBody"/>
        <w:bidi w:val="0"/>
        <w:spacing w:lineRule="auto" w:line="288" w:before="0" w:after="200"/>
        <w:jc w:val="left"/>
        <w:rPr/>
      </w:pPr>
      <w:r>
        <w:rPr>
          <w:rFonts w:ascii="Arial;sans-serif" w:hAnsi="Arial;sans-serif"/>
          <w:b w:val="false"/>
          <w:i/>
          <w:color w:val="000000"/>
          <w:sz w:val="20"/>
        </w:rPr>
        <w:t>Digital Streaming and Image Capturing Solutions:</w:t>
      </w:r>
      <w:r>
        <w:rPr>
          <w:color w:val="000000"/>
        </w:rPr>
        <w:t xml:space="preserve"> </w:t>
      </w:r>
      <w:r>
        <w:rPr>
          <w:rFonts w:ascii="Arial;sans-serif" w:hAnsi="Arial;sans-serif"/>
          <w:b w:val="false"/>
          <w:color w:val="000000"/>
          <w:sz w:val="20"/>
        </w:rPr>
        <w:t>Our industrial-grade imaging solutions are designed and manufactured by Videology</w:t>
      </w:r>
      <w:r>
        <w:rPr>
          <w:rFonts w:ascii="Arial;sans-serif" w:hAnsi="Arial;sans-serif"/>
          <w:b w:val="false"/>
          <w:color w:val="000000"/>
          <w:sz w:val="13"/>
        </w:rPr>
        <w:t>®</w:t>
      </w:r>
      <w:r>
        <w:rPr>
          <w:rFonts w:ascii="Arial;sans-serif" w:hAnsi="Arial;sans-serif"/>
          <w:b w:val="false"/>
          <w:color w:val="000000"/>
          <w:sz w:val="20"/>
        </w:rPr>
        <w:t>. They provide custom solutions for OEMs and end users and specialize in meeting customers’ design specifications for imaging systems.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Financial Information About Operating Segments and Geographic Areas</w:t>
      </w:r>
    </w:p>
    <w:p>
      <w:pPr>
        <w:pStyle w:val="TextBody"/>
        <w:bidi w:val="0"/>
        <w:spacing w:lineRule="auto" w:line="288" w:before="0" w:after="200"/>
        <w:jc w:val="left"/>
        <w:rPr/>
      </w:pPr>
      <w:r>
        <w:rPr>
          <w:rFonts w:ascii="Arial;sans-serif" w:hAnsi="Arial;sans-serif"/>
          <w:b w:val="false"/>
          <w:color w:val="000000"/>
          <w:sz w:val="20"/>
        </w:rPr>
        <w:t>Please see “</w:t>
      </w:r>
      <w:r>
        <w:rPr>
          <w:rFonts w:ascii="Arial;sans-serif" w:hAnsi="Arial;sans-serif"/>
          <w:b/>
          <w:color w:val="000000"/>
          <w:sz w:val="20"/>
        </w:rPr>
        <w:t>Part II; Item 8. Financial Statements and Supplementary Data; Notes to Consolidated Financial Statements; Note (19) Segment and Geographic Area Information</w:t>
      </w:r>
      <w:r>
        <w:rPr>
          <w:color w:val="000000"/>
        </w:rPr>
        <w:t xml:space="preserve">” </w:t>
      </w:r>
      <w:r>
        <w:rPr>
          <w:rFonts w:ascii="Arial;sans-serif" w:hAnsi="Arial;sans-serif"/>
          <w:b w:val="false"/>
          <w:color w:val="000000"/>
          <w:sz w:val="20"/>
        </w:rPr>
        <w:t>of this Report for additional data regarding revenue, profit or loss and total assets of each of our segments and revenue attributable to foreign countries.</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MARKETING, SALES AND CUSTOMER SUPPORT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market and sell our products globally and across multiple markets. North American and European semiconductor manufacturers, as well as third-party foundries, test and assembly providers, have located most of their back-end factories in China, Taiwan and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i/>
          <w:color w:val="000000"/>
          <w:sz w:val="20"/>
        </w:rPr>
        <w:t>Electronic Test Products</w:t>
      </w:r>
      <w:r>
        <w:rPr>
          <w:rFonts w:ascii="Arial;sans-serif" w:hAnsi="Arial;sans-serif"/>
          <w:b w:val="false"/>
          <w:color w:val="000000"/>
          <w:sz w:val="20"/>
        </w:rPr>
        <w:t>: In North America, we sell our InTest EMS products to semiconductor manufacturers through internal account representatives and independent, commissioned sales representatives. North American sales representatives also coordinate product installation and support with our technical staff and participate in trade shows.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by employees based in New Jersey, California and Texas.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Europe, we sell to semiconductor and ATE manufacturers through our internal sales staff. Technical support is provided by our staff in the U.K. In China, Japan, the Philippines, South Korea, and Thailand, we sell using independent sales representatives who are supervised by our internal sales staff. In Malaysia, Singapore and Taiwan,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robotics-based electronic test equipment and automated test programming services are sold in North America through a combination of internal sales staff and manufacturer representatives. Customer support is supplied by a team located throughout North America. In Europe, these products and services are sold through manufacturer representatives and supported with our employees based in Germany. In Asia, these products and services are sold through a mixture of distributors and manufacturer representatives. Customer support is provided by trained distributors and supplemented by direct employees from North America and Europe.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Alfamation products are sold globally through our internal sales staff. Customer support is supplied by teams located in Italy and China.</w:t>
      </w:r>
    </w:p>
    <w:p>
      <w:pPr>
        <w:pStyle w:val="TextBody"/>
        <w:bidi w:val="0"/>
        <w:spacing w:lineRule="auto" w:line="288" w:before="0" w:after="200"/>
        <w:jc w:val="left"/>
        <w:rPr/>
      </w:pPr>
      <w:r>
        <w:rPr>
          <w:rFonts w:ascii="Arial;sans-serif" w:hAnsi="Arial;sans-serif"/>
          <w:b w:val="false"/>
          <w:i/>
          <w:color w:val="000000"/>
          <w:sz w:val="20"/>
        </w:rPr>
        <w:t>Environmental Technologies Products</w:t>
      </w:r>
      <w:r>
        <w:rPr>
          <w:rFonts w:ascii="Arial;sans-serif" w:hAnsi="Arial;sans-serif"/>
          <w:b w:val="false"/>
          <w:color w:val="000000"/>
          <w:sz w:val="20"/>
        </w:rPr>
        <w:t>: We market our Temptronic</w:t>
      </w:r>
      <w:r>
        <w:rPr>
          <w:rFonts w:ascii="Arial;sans-serif" w:hAnsi="Arial;sans-serif"/>
          <w:b w:val="false"/>
          <w:color w:val="000000"/>
          <w:sz w:val="13"/>
        </w:rPr>
        <w:t>®</w:t>
      </w:r>
      <w:r>
        <w:rPr>
          <w:rFonts w:ascii="Arial;sans-serif" w:hAnsi="Arial;sans-serif"/>
          <w:b w:val="false"/>
          <w:color w:val="000000"/>
          <w:sz w:val="20"/>
        </w:rPr>
        <w:t>, Sigma, Thermonics</w:t>
      </w:r>
      <w:r>
        <w:rPr>
          <w:rFonts w:ascii="Arial;sans-serif" w:hAnsi="Arial;sans-serif"/>
          <w:b w:val="false"/>
          <w:color w:val="000000"/>
          <w:sz w:val="13"/>
        </w:rPr>
        <w:t>®</w:t>
      </w:r>
      <w:r>
        <w:rPr>
          <w:rFonts w:ascii="Arial;sans-serif" w:hAnsi="Arial;sans-serif"/>
          <w:b w:val="false"/>
          <w:color w:val="000000"/>
          <w:sz w:val="20"/>
        </w:rPr>
        <w:t>, and North Sciences brands under the umbrella name of InTest Thermal Solutions and sales to ATE manufacturers are handled directly by our own sales force and our network of independent representatives and distributors. Sales to Life Sciences customers worldwide are handled directly by our own sales force and by our network of independent representatives and distributors. Sales to semiconductor manufacturers and customers in other markets in the U.S. are handled directly by our own sales force and through independent sales representative organizations. In Singapore, Malaysia, and Philippines, our sales and service are handled directly by our own sales force and through independent sales representative organizations. In the rest of Asia, our sales are handled through distributors. In Europe, sales managers at our office in Germany, as well as regional distributors and independent sales representatives, sell to semiconductor manufacturers and customers in other markets. We communicate with our distributors regularly and have trained them to sell and service our thermal products.</w:t>
      </w:r>
    </w:p>
    <w:p>
      <w:pPr>
        <w:pStyle w:val="TextBody"/>
        <w:bidi w:val="0"/>
        <w:spacing w:lineRule="auto" w:line="288" w:before="0" w:after="200"/>
        <w:jc w:val="left"/>
        <w:rPr/>
      </w:pPr>
      <w:r>
        <w:rPr>
          <w:rFonts w:ascii="Arial;sans-serif" w:hAnsi="Arial;sans-serif"/>
          <w:b w:val="false"/>
          <w:i/>
          <w:color w:val="000000"/>
          <w:sz w:val="20"/>
        </w:rPr>
        <w:t>Process Technologies Products</w:t>
      </w:r>
      <w:r>
        <w:rPr>
          <w:rFonts w:ascii="Arial;sans-serif" w:hAnsi="Arial;sans-serif"/>
          <w:b w:val="false"/>
          <w:color w:val="000000"/>
          <w:sz w:val="20"/>
        </w:rPr>
        <w:t>: We market our EASYHEAT</w:t>
      </w:r>
      <w:r>
        <w:rPr>
          <w:color w:val="000000"/>
        </w:rPr>
        <w:t xml:space="preserve">™ </w:t>
      </w:r>
      <w:r>
        <w:rPr>
          <w:rFonts w:ascii="Arial;sans-serif" w:hAnsi="Arial;sans-serif"/>
          <w:b w:val="false"/>
          <w:color w:val="000000"/>
          <w:sz w:val="20"/>
        </w:rPr>
        <w:t>and EKOHEAT</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precision induction heating equipment to manufacturers who require specialized industrial heating in a wide array of industries, including automotive, aerospace and semiconductor, and are sold globally through a combination of regional sales managers and independent distributors. In North America, direct regional sales managers provide sales coverage augmented by independent sales representatives. In Europe, direct sales managers provide sales coverage augmented by independent distributors. In Asia, distributors have responsibility for sales and service of our products. We generate a significant portion of our sales leads through our website as well as through trade show attendance where we display our products and technology.</w:t>
      </w:r>
    </w:p>
    <w:p>
      <w:pPr>
        <w:pStyle w:val="TextBody"/>
        <w:bidi w:val="0"/>
        <w:spacing w:lineRule="auto" w:line="288" w:before="0" w:after="200"/>
        <w:jc w:val="left"/>
        <w:rPr/>
      </w:pPr>
      <w:r>
        <w:rPr>
          <w:rFonts w:ascii="Arial;sans-serif" w:hAnsi="Arial;sans-serif"/>
          <w:b w:val="false"/>
          <w:color w:val="000000"/>
          <w:sz w:val="20"/>
        </w:rPr>
        <w:t>We also provide induction heating product support through our SmartCARE</w:t>
      </w:r>
      <w:r>
        <w:rPr>
          <w:color w:val="000000"/>
        </w:rPr>
        <w:t xml:space="preserve">™ </w:t>
      </w:r>
      <w:r>
        <w:rPr>
          <w:rFonts w:ascii="Arial;sans-serif" w:hAnsi="Arial;sans-serif"/>
          <w:b w:val="false"/>
          <w:color w:val="000000"/>
          <w:sz w:val="20"/>
        </w:rPr>
        <w:t>Service offering, which includes equipment repairs and training, preventative maintenance, enhanced warranties and spare parts. Our field service engineers, located in the U.S. and Europe, provide service and support globally. Additionally, several distributors in Europe and Asia have factory-trained service technicians.</w:t>
      </w:r>
    </w:p>
    <w:p>
      <w:pPr>
        <w:pStyle w:val="TextBody"/>
        <w:bidi w:val="0"/>
        <w:spacing w:lineRule="auto" w:line="288" w:before="0" w:after="200"/>
        <w:jc w:val="left"/>
        <w:rPr/>
      </w:pPr>
      <w:r>
        <w:rPr>
          <w:rFonts w:ascii="Arial;sans-serif" w:hAnsi="Arial;sans-serif"/>
          <w:b w:val="false"/>
          <w:color w:val="000000"/>
          <w:sz w:val="20"/>
        </w:rPr>
        <w:t>We market our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industrial camera solutions to OEMs and end users both directly and through distributors. We have both manufacturing and service capabilities in the U.S. We acquire our sales from repeat long-term customers, new leads through our website, regional sales managers and distributors as well as through trade show attendance where we display our products and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CUSTOMERS</w:t>
      </w:r>
    </w:p>
    <w:p>
      <w:pPr>
        <w:pStyle w:val="TextBody"/>
        <w:bidi w:val="0"/>
        <w:spacing w:lineRule="auto" w:line="288" w:before="0" w:after="200"/>
        <w:jc w:val="left"/>
        <w:rPr/>
      </w:pPr>
      <w:r>
        <w:rPr>
          <w:rFonts w:ascii="Arial;sans-serif" w:hAnsi="Arial;sans-serif"/>
          <w:b w:val="false"/>
          <w:color w:val="000000"/>
          <w:sz w:val="20"/>
        </w:rPr>
        <w:t>We market our products to end users including semiconductor manufacturers, third-party foundries and test and assembly providers, as well as to OEMs, which include ATE manufacturers and their third-party outsource manufacturing partners. We also market our products to independent testers of semiconductors, manufacturers of automotive, defense/aerospace, industrial, life sciences and security products, semiconductor research facilities, and manufacturers and manufacturing process integrators for a variety of industrial process applications. Our customers use our products principally in production testing or process/manufacturing applications, although our ThermoStream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products traditionally have been used largely in engineering development and quality assurance. We believe that we sell to most of the major semiconductor manufacturers in the world.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During the year ended December 31, 2025, no customer accounted for more than 10% of our consolidated revenue. During the year ended December 31, 2024, one customer accounted for 13% of our consolidated revenue. This revenue was primarily generated by our Electronic Test segment.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 important aspect of our VISION 2030 includes broadening and diversifying our customer base. We plan to do this both through acquisitions as well as through leveraging current customer relationships, increasing our portfolio of product offerings and expanding our global footprint to better serve existing and new customers. The list of our largest customers in any given period continues to shift as we advance the applications of our technologies, acquire new technologies and grow the business. The loss of any one or more of our largest customers, or a reduction in orders by a major customer, could materially reduce our revenue or otherwise materially affect our business, financial condition or results of operations.</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MANUFACTURING AND SUPPLY</w:t>
      </w:r>
    </w:p>
    <w:p>
      <w:pPr>
        <w:pStyle w:val="TextBody"/>
        <w:bidi w:val="0"/>
        <w:spacing w:lineRule="auto" w:line="288" w:before="0" w:after="200"/>
        <w:jc w:val="left"/>
        <w:rPr/>
      </w:pPr>
      <w:r>
        <w:rPr>
          <w:rFonts w:ascii="Arial;sans-serif" w:hAnsi="Arial;sans-serif"/>
          <w:b w:val="false"/>
          <w:color w:val="000000"/>
          <w:sz w:val="20"/>
        </w:rPr>
        <w:t>At December 31, 2025, our principal manufacturing operations consisted of assembly and testing at our facilities in the U.S. (New York, Massachusetts and New Jersey), Canada and Italy. We assemble most of our products from a combination of standard components and custom parts that have been fabricated to our specifications by either third-party manufacturers or our own facilities. Our practice is to use high quality raw materials and components in our products. The primary raw materials used in fabricated parts are widely available. Substantially all of our components are purchased from multiple suppliers; however, certain raw materials and components are sourced from single suppliers, as discussed further in “</w:t>
      </w:r>
      <w:r>
        <w:rPr>
          <w:rFonts w:ascii="Arial;sans-serif" w:hAnsi="Arial;sans-serif"/>
          <w:b/>
          <w:color w:val="000000"/>
          <w:sz w:val="20"/>
        </w:rPr>
        <w:t>Part II; Item 7. Management’s Discussion and Analysis of Financial Condition and Results of Operations; Global Supply Chain Constraints</w:t>
      </w:r>
      <w:r>
        <w:rPr>
          <w:rFonts w:ascii="Arial;sans-serif" w:hAnsi="Arial;sans-serif"/>
          <w:b w:val="false"/>
          <w:color w:val="000000"/>
          <w:sz w:val="20"/>
        </w:rPr>
        <w:t>.” Although, from time to time, certain components may be in short supply due to high demand or inability of vendors to meet quality or delivery requirements, we believe that all materials and components are available in adequate amounts from other sources, except as noted above.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Each of our Massachusetts, New York, and Canada facilities are ISO 9001:2015 certified. Our New Jersey facility manufactures products only for the semiconductor industry where ISO certification is not required, so we do not maintain any ISO certifications there. However, this location does employ the practices embodied in the ISO 9001:2008.</w:t>
      </w:r>
    </w:p>
    <w:p>
      <w:pPr>
        <w:pStyle w:val="TextBody"/>
        <w:bidi w:val="0"/>
        <w:spacing w:lineRule="auto" w:line="288" w:before="0" w:after="200"/>
        <w:jc w:val="left"/>
        <w:rPr/>
      </w:pPr>
      <w:r>
        <w:rPr>
          <w:rFonts w:ascii="Arial;sans-serif" w:hAnsi="Arial;sans-serif"/>
          <w:b w:val="false"/>
          <w:color w:val="000000"/>
          <w:sz w:val="20"/>
        </w:rPr>
        <w:t>Our Massachusetts facility is International Traffic in Arms Regulations (“</w:t>
      </w:r>
      <w:r>
        <w:rPr>
          <w:rFonts w:ascii="Arial;sans-serif" w:hAnsi="Arial;sans-serif"/>
          <w:b/>
          <w:color w:val="000000"/>
          <w:sz w:val="20"/>
          <w:u w:val="single"/>
        </w:rPr>
        <w:t>ITAR</w:t>
      </w:r>
      <w:r>
        <w:rPr>
          <w:color w:val="000000"/>
        </w:rPr>
        <w:t>”</w:t>
      </w:r>
      <w:r>
        <w:rPr>
          <w:rFonts w:ascii="Arial;sans-serif" w:hAnsi="Arial;sans-serif"/>
          <w:b w:val="false"/>
          <w:color w:val="000000"/>
          <w:sz w:val="20"/>
        </w:rPr>
        <w:t>) compliant enabling them to support the specific requirement of the U.S. Department of Defense. Our Canadian facility is compliant with the Canadian Controlled Goods Program, enabling them to support the Canadian Department of Defense and this certification also allows the Canadian facility to handle ITAR controlled products vie the ITAR Canadian Exemption.</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ENGINEERING AND PRODUCT DEVELOPMENT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success depends on our ability to provide our customers with products and solutions that are well engineered and to design those products and solutions before, or at least no later than, our competitors. At December 31, 2025, we employed approximately 100 engineers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high-performance interfaces.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Since most of our products are customized, we consider substantially all of our engineering activities to be engineering and product development. In the years ended December 31, 2025 and 2024, we spent approximately $9.4 million and $8.5 million, respectively, on engineering and product development.</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PATENTS AND OTHER PROPRIETARY RIGHTS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intend to protect our technology by filing patent applications for the technologies that we consider important to our business. We also rely on trademarks, trade secrets, copyrights and unpatented know-how to protect our proprietary rights.</w:t>
      </w:r>
    </w:p>
    <w:p>
      <w:pPr>
        <w:pStyle w:val="TextBody"/>
        <w:bidi w:val="0"/>
        <w:spacing w:lineRule="auto" w:line="288" w:before="0" w:after="200"/>
        <w:jc w:val="left"/>
        <w:rPr/>
      </w:pPr>
      <w:r>
        <w:rPr>
          <w:rFonts w:ascii="Arial;sans-serif" w:hAnsi="Arial;sans-serif"/>
          <w:b w:val="false"/>
          <w:color w:val="000000"/>
          <w:sz w:val="20"/>
        </w:rPr>
        <w:t>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In the absence of intellectual property protection, we may be vulnerable to competitors who attempt to copy or imitate our products or processes. For additional information regarding risks related to our intellectual property, see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in this Report.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While we believe that our patents and other proprietary rights are important to our business, we also believe that, due to the rapid pace of technological change in the markets we serve, the successful manufacture and sale of our products also depends upon our engineering, manufacturing, marketing and servicing skills.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December 31, 2025, we held 24 active U.S. patents and had two pending U.S. patent applications covering various aspects of our technology. Our U.S. patents expire at various times beginning in 2026 and extending through 2039. During 2025, five U.S. patents were issued and two U.S. patents expired. We do not believe that the upcoming expiration of certain of our patents in 2026 will have a material impact on our business. We also hold foreign patents and file foreign patent applications, in selected cases corresponding to our U.S. patents and patent applications, to the extent management deems appropriate.</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COMPETITION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operate in an increasingly competitive environment within all of our operating segments. Some of our competitors have greater financial resources and more extensive design and production capabilities than us. Certain markets in which we operate have become more fragmented, with smaller companies entering the market. These new smaller entrants typically have much lower levels of fixed operating overhead than us, which enables them to be profitable with lower priced products. In order to remain competitive with these and other companies, we must continue to commit a significant portion of our personnel, financial resources, research and development and customer support to developing new products and maintaining customer relationships worldwide.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competitors include independent manufacturers, ATE manufacturers and, to a lesser extent, semiconductor manufacturers’ in-house ATE interface groups. Competitive factors in the markets we serve include price, functionality, timely product delivery, customer service, applications support, product performance and reliability. We believe that our long-term relationships with our customers in the various markets we support and our commitment to, and reputation for, providing high quality products, are important elements in our ability to compete effectively in all of our markets. Our digital streaming and image capturing solutions compete in a large space with multiple small competitors. We do not believe that there is a competitor that has over 5% share of the current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Principal Competitors</w:t>
      </w:r>
    </w:p>
    <w:tbl>
      <w:tblPr>
        <w:tblW w:w="10205" w:type="dxa"/>
        <w:jc w:val="left"/>
        <w:tblInd w:w="0" w:type="dxa"/>
        <w:tblLayout w:type="fixed"/>
        <w:tblCellMar>
          <w:top w:w="28" w:type="dxa"/>
          <w:left w:w="28" w:type="dxa"/>
          <w:bottom w:w="28" w:type="dxa"/>
          <w:right w:w="28" w:type="dxa"/>
        </w:tblCellMar>
      </w:tblPr>
      <w:tblGrid>
        <w:gridCol w:w="1497"/>
        <w:gridCol w:w="1109"/>
        <w:gridCol w:w="1116"/>
        <w:gridCol w:w="2098"/>
        <w:gridCol w:w="1812"/>
        <w:gridCol w:w="2573"/>
      </w:tblGrid>
      <w:tr>
        <w:trPr/>
        <w:tc>
          <w:tcPr>
            <w:tcW w:w="149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Manipulator products, docking hardware products and tester interface products:</w:t>
            </w:r>
          </w:p>
        </w:tc>
        <w:tc>
          <w:tcPr>
            <w:tcW w:w="6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Advantest Corporation, Esmo AG, Reid-Ashman Manufacturing Inc., and Teradyne, Inc.</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Acculogic products:</w:t>
            </w:r>
          </w:p>
        </w:tc>
        <w:tc>
          <w:tcPr>
            <w:tcW w:w="6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Digitaltest GmbH, Seica S.p.A., SPEA S.p.A., and Takaya Corporation</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Alfamation™ test equipment:</w:t>
            </w:r>
          </w:p>
        </w:tc>
        <w:tc>
          <w:tcPr>
            <w:tcW w:w="6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NOFFZ Technologies GmbH, Konrad Technologies GmbH, TST Total Solutions Technology Ltd, MCD Elektronik GmbH, and Averna Technologies Inc.</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Flexmedia XM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products</w:t>
            </w:r>
          </w:p>
        </w:tc>
        <w:tc>
          <w:tcPr>
            <w:tcW w:w="6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Intrepid Control Systems Inc, GÖPEL electronic GmbH, TZ Electronic Systems GmbH, and Solectrix GmbH</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ThermoStream</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products</w:t>
            </w:r>
          </w:p>
        </w:tc>
        <w:tc>
          <w:tcPr>
            <w:tcW w:w="6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FTS Systems, a part of ATS Corporation, and MPI Corporation</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Environmental chambers</w:t>
            </w:r>
          </w:p>
        </w:tc>
        <w:tc>
          <w:tcPr>
            <w:tcW w:w="6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Cincinnati Sub-Zero Products, Inc., Espec Corp., and Thermotron Industries</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platforms</w:t>
            </w:r>
          </w:p>
        </w:tc>
        <w:tc>
          <w:tcPr>
            <w:tcW w:w="6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Environmental Stress Systems Inc.</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Liquid chillers</w:t>
            </w:r>
          </w:p>
        </w:tc>
        <w:tc>
          <w:tcPr>
            <w:tcW w:w="6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Huber Kältemaschinenbau AG, Julabo GmbH, Boyd Corporation, and Advanced Thermal Sciences Corporation</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 products</w:t>
            </w:r>
          </w:p>
        </w:tc>
        <w:tc>
          <w:tcPr>
            <w:tcW w:w="6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Panasonic Health Care Holdings Corporation, Haier Group Corporation, Thermo Fisher Scientific Corporation, and Eppendoerf AG</w:t>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EKOHEAT</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EASYHEAT</w:t>
            </w:r>
            <w:r>
              <w:rPr>
                <w:color w:val="000000"/>
              </w:rPr>
              <w:t xml:space="preserve">™ </w:t>
            </w:r>
            <w:r>
              <w:rPr>
                <w:rFonts w:ascii="Arial;sans-serif" w:hAnsi="Arial;sans-serif"/>
                <w:b w:val="false"/>
                <w:color w:val="000000"/>
                <w:sz w:val="20"/>
              </w:rPr>
              <w:t>products</w:t>
            </w:r>
          </w:p>
        </w:tc>
        <w:tc>
          <w:tcPr>
            <w:tcW w:w="6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Inductotherm Corporation, Park-Ohio Holdings Corporation, ENRX Corporation, Trumpf Hüttinger GmbH, Ultraflex Power Technologies, and CEIA S.p.A.</w:t>
            </w:r>
          </w:p>
        </w:tc>
      </w:tr>
    </w:tbl>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BACKLOG</w:t>
      </w:r>
    </w:p>
    <w:p>
      <w:pPr>
        <w:pStyle w:val="TextBody"/>
        <w:bidi w:val="0"/>
        <w:spacing w:lineRule="auto" w:line="288" w:before="0" w:after="240"/>
        <w:jc w:val="left"/>
        <w:rPr/>
      </w:pPr>
      <w:r>
        <w:rPr>
          <w:rFonts w:ascii="Arial;sans-serif" w:hAnsi="Arial;sans-serif"/>
          <w:b w:val="false"/>
          <w:color w:val="000000"/>
          <w:sz w:val="20"/>
        </w:rPr>
        <w:t>At December 31, 2025, our backlog of unfilled orders for all products was $53.9 million compared with $39.5 million at December 31, 2024. Our backlog includes customer orders that we have accepted, substantially all of which we expect to deliver in the next twelve months.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 See also the discussion of backlog in “</w:t>
      </w:r>
      <w:r>
        <w:rPr>
          <w:rFonts w:ascii="Arial;sans-serif" w:hAnsi="Arial;sans-serif"/>
          <w:b/>
          <w:color w:val="000000"/>
          <w:sz w:val="20"/>
          <w:u w:val="single"/>
        </w:rPr>
        <w:t>Part II; Item 7. Management’s Discussion and Analysis of Financial Condition and Results of Operations; Results of Operations; Orders and Backlog</w:t>
      </w:r>
      <w:r>
        <w:rPr>
          <w:rFonts w:ascii="Arial;sans-serif" w:hAnsi="Arial;sans-serif"/>
          <w:b w:val="false"/>
          <w:color w:val="000000"/>
          <w:sz w:val="20"/>
          <w:u w:val="single"/>
        </w:rPr>
        <w:t>.</w:t>
      </w:r>
      <w:r>
        <w:rPr>
          <w:color w:val="000000"/>
        </w:rPr>
        <w:t>”</w:t>
      </w:r>
    </w:p>
    <w:p>
      <w:pPr>
        <w:pStyle w:val="TextBody"/>
        <w:bidi w:val="0"/>
        <w:spacing w:lineRule="auto" w:line="268" w:before="0" w:after="200"/>
        <w:jc w:val="left"/>
        <w:rPr>
          <w:rFonts w:ascii="Arial;sans-serif" w:hAnsi="Arial;sans-serif"/>
          <w:b/>
          <w:color w:val="C02026"/>
          <w:sz w:val="20"/>
          <w:u w:val="single"/>
        </w:rPr>
      </w:pPr>
      <w:r>
        <w:rPr>
          <w:rFonts w:ascii="Arial;sans-serif" w:hAnsi="Arial;sans-serif"/>
          <w:b/>
          <w:color w:val="C02026"/>
          <w:sz w:val="20"/>
          <w:u w:val="single"/>
        </w:rPr>
        <w:t>EMPLOYEES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December 31, 2025, we had 407 employees (385 of which were full-time), including 214 based domestically and 193 based outside the U.S. Substantially all of our key employees are highly skilled and trained technical personnel. Only four of our employees (both outside the U.S.) are represented by a labor union, and we have never experienced a work stoppage. From time to time, we retain temporary workers or third-party contractors to assist us in manufacturing operations and engineering and product development projects.</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ADDITIONAL INFORMATION</w:t>
      </w:r>
    </w:p>
    <w:p>
      <w:pPr>
        <w:pStyle w:val="TextBody"/>
        <w:bidi w:val="0"/>
        <w:spacing w:lineRule="auto" w:line="288" w:before="0" w:after="200"/>
        <w:jc w:val="left"/>
        <w:rPr/>
      </w:pPr>
      <w:r>
        <w:rPr>
          <w:rFonts w:ascii="Arial;sans-serif" w:hAnsi="Arial;sans-serif"/>
          <w:b w:val="false"/>
          <w:color w:val="000000"/>
          <w:sz w:val="20"/>
        </w:rPr>
        <w:t>Our Annual Report on Form 10-K, Quarterly Reports on Form 10-Q and Current Reports on Form 8-K, and amendments to these reports that are filed with the SEC pursuant to Section 13(a) or 15(d) of the Securities Exchange Act of 1934, as amended (“</w:t>
      </w:r>
      <w:r>
        <w:rPr>
          <w:rFonts w:ascii="Arial;sans-serif" w:hAnsi="Arial;sans-serif"/>
          <w:b/>
          <w:color w:val="000000"/>
          <w:sz w:val="20"/>
          <w:u w:val="single"/>
        </w:rPr>
        <w:t>Exchange Act</w:t>
      </w:r>
      <w:r>
        <w:rPr>
          <w:color w:val="000000"/>
        </w:rPr>
        <w:t>”</w:t>
      </w:r>
      <w:r>
        <w:rPr>
          <w:rFonts w:ascii="Arial;sans-serif" w:hAnsi="Arial;sans-serif"/>
          <w:b w:val="false"/>
          <w:color w:val="000000"/>
          <w:sz w:val="20"/>
        </w:rPr>
        <w:t>), are available free of charge through our website (</w:t>
      </w:r>
      <w:r>
        <w:rPr>
          <w:rFonts w:ascii="Arial;sans-serif" w:hAnsi="Arial;sans-serif"/>
          <w:b w:val="false"/>
          <w:color w:val="000000"/>
          <w:sz w:val="20"/>
          <w:u w:val="single"/>
        </w:rPr>
        <w:t>www.intest.com</w:t>
      </w:r>
      <w:r>
        <w:rPr>
          <w:rFonts w:ascii="Arial;sans-serif" w:hAnsi="Arial;sans-serif"/>
          <w:b w:val="false"/>
          <w:color w:val="000000"/>
          <w:sz w:val="20"/>
        </w:rPr>
        <w:t xml:space="preserve">) as soon as reasonably practicable after we electronically file them with, or furnish them to, the SEC. We also routinely post press releases,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presentations, webcasts and other information regarding the Company on our website. The information posted to our website is not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1A.    RISK FACTORS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disclosures reflect the Company’s beliefs and opinions as to factors that could materially and adversely affect the Company, our future performance and our securities in the future, or could cause actual results to differ materially from those expressed or implied in our forward-looking statements. References to past events are provided by way of example only and are not intended to be a complete listing or a representation as to whether or not such factors have occurred in the past or their likelihood of occurring in the future. Furthermore, the risks and uncertainties described below are not the only risks facing us and we cannot predict every event and circumstance that may adversely affect our business. However, these risks and uncertainties are the most significant factors that we have identified and believe at this time. If one or more of these risks actually occurs, our business, results of operations and/or financial condition could suffer, and the price of our stock could be negatively affected.</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 xml:space="preserve">RISKS RELATED TO OUR ACQUISITION AND GROWTH STRATEGY </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seek to grow our business through the acquisition of additional businesses. If we are unable to do so, our future rate of growth may be reduced or limited. We may incur significant expenses related to due diligence or other transaction-related expenses for a proposed acquisition that may not be completed.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 key element of our growth strategy is to acquire businesses, technologies or products that are complementary to our current product offerings. We seek to make acquisitions that will further expand our product lines as well as strengthen our positions in the markets we serve and provide expansion into new markets. We may not be able to execute our acquisition strategy and our future growth may be limited if:</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unable to identify suitable businesses, technologies or products to acquire;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do not have sufficient cash or access to required capital at the necessary time;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unwilling or unable to outbid larger companies with greater resources; or</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we are unable to successfully close proposed acquisitions.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may incur significant expenses related to due diligence or other transaction-related expenses for a proposed acquisition that may not be completed, which may have a material adverse effect on our financial condition and results of operations.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Our acquisition strategy involves financial and management risks which may adversely affect our results in the future.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If we acquire additional businesses, technologies or products, we will face the following additional risks: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acquisitions could divert management’s attention from daily operations or otherwise require additional management, operational and financial resources;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might not be able to integrate acquisitions into our business successfully or operate acquired businesses profitably;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realize substantial acquisition-related expenses that would reduce our net earnings in future years;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not realize the expected benefits of such acquisitions;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investigation of potential acquisition candidates may not reveal problems and liabilities of the companies and businesses that we acquire;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acquisitions may pose risks associated with entry into new geographic markets, including outside the U.S., distribution channels, lines of business or product categories, where we may not have significant or any prior experience and where we may not be as successful or profitable as we are in businesses and geographic regions where we have greater familiarity and brand recognition;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 acquisition may result in disparate information technology, internal control, financial reporting and record-keeping systems;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 acquisition may result in employee anxiety, morale and/or engagement issues and employees not familiar with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 acquisition may result in the loss of our or the acquired company’s key personnel, customers, distributors or suppliers;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we may become exposed to litigation or claims associated with an acquisition.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If any of the events described above occur, our earnings could be reduced and may adversely affect our financial condition, results of operations and ability to grow our business or otherwise achieve our financial and strategic objectives. If we issue shares of our stock or other rights to purchase our stock in connection with any future acquisitions, the issuance will dilute our existing stockholders’ interests and our earnings per share may decrease. If we issue or incur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may attempt to acquire a business that would require us to issue equity or incur significant debt from third parties. If we are unable to secure sufficient financing at terms that are acceptable to us, we may not be able to close the proposed acquisition. Additionally, should we incur significant debt, we may not be able to achieve compliance with all covenants related to the debt depending on our financial results in future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connection with our acquisition strategy, we may pursue potential acquisition opportunities which could require us to issue equity or obtain significant third-party financing to close the proposed transaction. We may encounter difficulties in securing necessary financing at terms that would be acceptable to us and may not be able to close on the proposed acquisition. In addition, should we incur significant third-party debt, our future financial results may be negatively impacted by external factors, such as an economic recession, which may impact our ability to achieve compliance with any covenants related to the debt as well as make the required payments under the terms of the indebtedness.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may acquire businesses in the future and utilize an earnout structure as we have done in prior transactions we have closed. In connection with the earnout, we may be required to accrue significant increases or decreases to the contingent consideration liability we would establish. These adjustments to the contingent consideration liability could cause our results of operations to have increased variability, which may negatively impact our stock’s trading price.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may utilize an earnout structure on future acquisitions as we have done in prior transactions we have closed. The initial contingent consideration liability is established as part of the accounting for the business combination. In subsequent periods, we are required to estimate the fair value of the contingent consideration associated with any earnout on a quarterly basis and record an adjustment to the contingent consideration liability in our results of operations for the period concerned. The contingent consideration adjustment we record quarterly may cause increased variability in our future results of operations, which may cause fluctuations in our stock price.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connection with our acquisition of Acculogic we have recorded a contingent consideration liability that represents the fair value of additional payments we may make to the seller of up to an additional CAD $5.0 million in the five-year period from 2022 through 2026. The additional payments will be based on a percentage of net invoices for which payments have been received on systems sold to EV battery customers exceeding CAD $2.5 million per year in each of the five years. The maximum payment is capped at CAD $5.0 million, which equates to approximately USD $3.7 million at December 31, 2025. There were no payments due for the years ended December 31, 2022 or 2023. We paid the contractually due amount for 2024 during the first quarter of 2025 and expect to make the payment for the amount due for 2025 in the first quarter of 2026. The fair value of this contingent consideration liability involves assessing the total amount of revenue we expect from sales to EV or battery customers during the applicable time periods as well as when we expect to receive payment for the related net invoices. At December 31, 2025, the total contingent consideration liability on our Consolidated Balance Sheet was USD $0.6 million which was its estimated fair value at that date. Any future adjustments to the estimated fair value of the contingent liability will be recorded in our results of operations for the period in which the adjustment occurs.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may not be able to effectively manage our growth and operations, which could materially and adversely affect our business.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As we implement our business strategy as intended, we have and may in the future experience rapid growth and development in a relatively short period of time. The management of this growth will require, among other things, continued development of our financial and management controls and management information systems, stringent control of costs, the ability to attract and retain qualified management personnel and the training of new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Failure to successfully manage our possible growth and development could have a material adverse effect on our business.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is a risk that some or all of the anticipated strategic and financial benefits may fail to materialize, may not continue on their existing terms, or may not occur within the time period anticipated. Although we have conducted due diligence with respect to material aspects of the development of our business, there is no certainty that our due diligence procedures will reveal all of the risks and liabilities associated with our current plans. Although we are not aware of any specific liabilities, such liabilities may be unknown and, accordingly, the potential monetary cost of such liability is also unknown.</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may fail to effectively integrate acquired businesses into our operations or otherwise fail to realize the anticipated benefits of the acquisitions.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If we fail to accurately assess and successfully integrate any recent or future acquisitions, we may not achieve the anticipated benefits, which could result in lower revenue, unanticipated operating expenses, and financial losses. Successful integration involves many challenges, including: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difficulty of integrating acquired operations and personnel with our existing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difficulty of developing, manufacturing, and marketing new products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diversion of our management’s attention as a result of evaluating, negotiating and integrating 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some cases, our exposure to unforeseen liabilities of acquired companies;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the loss of key employees of an acquired business operation.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an acquisition could adversely impact cash flows, operating results, and stockholder interests, for many reasons, including: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contingent consideration payments;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issuance of securities in connection with an acquisition or new business venture that dilutes or lessens the rights of our current stockholders;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charges to our income to reflect the impairment of acquired intangible assets, including goodwill;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interest costs and debt service requirements for any debt incurred in connection with an acquisition or new business venture.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anticipated benefit of any of our acquisitions may never materialize. Future acquisitions could result in potentially dilutive issuances of our equity securities, the incurrence of debt, contingent liabilities or amortization expenses, or write-offs of goodwill, any of which could harm our financial condition. Future acquisitions may require us to obtain additional equity or debt financing, which may not be available on favorable terms, or at all.</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RISKS RELATED TO OUR MARKETS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 xml:space="preserve">Our sales are affected by the cyclicality of the Semi market, which causes our operating results to fluctuate significantly.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 significant portion of our business depends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 xml:space="preserve">We seek to further diversify the markets for our products in order to increase the proportion of our sales attributable to markets which are less subject to cyclicality than the Semi market. If we are unable to do so, our future performance will remain substantially exposed to the fluctuations of the cyclicality of the Semi market.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sell certain of our products in markets other than the Semi market, including the Auto/EV, Defense/Aerospace, Industrial, Life Sciences and Safety/Security markets. During 2025 and 2024, our sales to markets other than the Semi market were $77.9 million and $82.0 million, respectively, and represented 68% and 63% of our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revenue, respectively. Our goal is to increase our sales to markets other than Semi; however, in most cases, the expansion of our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highly specialized nature of certain of our product offerings in these markets, we do not expect broad market penetration in many of these markets. If we are unable to expand these sales, our revenue and results of operations will remain substantially dependent upon the cycles of the Semi market.</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RISKS RELATED TO OUR BUSINESS OPERATIONS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If our suppliers do not meet product or delivery requirements, or inflationary pressures continue to increase and we cannot increase our prices to our customers, we could have reduced revenues and earnings.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2022, as global supply chain constraints became more pronounced, we experienced price increases and lack of availability from several of our normal suppliers for the materials needed to produce our products in a timely manner and/or with the level of margins we typically expect to achieve. While the global supply chain seems to have returned to a more normalized state during 2025, ongoing uncertainty from geopolitical events and the global trade environment, including changes in the United States’ or international trade policy, tariffs, export controls, quotas, embargoes, or sanctions may trigger additional retaliatory actions by affected countries resulting in “trade wars” and further increased costs for goods and materials transported globally, which may negatively impact our customers, revenues and earnings. Furthermore, certain components of our products may continue to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cost-effective basis. If any of our suppliers were to cancel commitments or fail to meet quality or delivery requirements needed to satisfy customer orders for our products, we could lose time-sensitive customer orders, have reduced revenues and earnings, experience reputational harm and be subject to contractual penalties, any of which could have a material adverse effect on our business, results of operations and financial condition. Additionally, we may not be able to raise our prices to our customers in an amount or timeframe sufficient to offset the increases in price we are experiencing from our suppliers. This could result in a reduction in our earnings in future periods.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A breach of our operational or security systems could negatively affect our business, our reputation and 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result in litigation, damage our reputation, cause losses and significantly increase our costs. Although we have been and continue to be the target of security attacks, we have not experienced material losses to date related to such incidents. Nevertheless, there can be no assurance that we will not suffer such losses in the future.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Risks related to artificial intelligence technologies, including generative AI, could adversely affect our products, operations, intellectual property, and reputation.</w:t>
      </w:r>
    </w:p>
    <w:p>
      <w:pPr>
        <w:pStyle w:val="TextBody"/>
        <w:bidi w:val="0"/>
        <w:spacing w:lineRule="auto" w:line="288" w:before="0" w:after="240"/>
        <w:jc w:val="left"/>
        <w:rPr/>
      </w:pPr>
      <w:r>
        <w:rPr>
          <w:rFonts w:ascii="Arial;sans-serif" w:hAnsi="Arial;sans-serif"/>
          <w:b w:val="false"/>
          <w:color w:val="000000"/>
          <w:sz w:val="20"/>
        </w:rPr>
        <w:t>As models improve, we expect to be increasingly incorporating artificial intelligence (“</w:t>
      </w:r>
      <w:r>
        <w:rPr>
          <w:rFonts w:ascii="Arial;sans-serif" w:hAnsi="Arial;sans-serif"/>
          <w:b/>
          <w:color w:val="000000"/>
          <w:sz w:val="20"/>
          <w:u w:val="single"/>
        </w:rPr>
        <w:t>AI</w:t>
      </w:r>
      <w:r>
        <w:rPr>
          <w:color w:val="000000"/>
        </w:rPr>
        <w:t>”</w:t>
      </w:r>
      <w:r>
        <w:rPr>
          <w:rFonts w:ascii="Arial;sans-serif" w:hAnsi="Arial;sans-serif"/>
          <w:b w:val="false"/>
          <w:color w:val="000000"/>
          <w:sz w:val="20"/>
        </w:rPr>
        <w:t xml:space="preserve">), including machine learning and generative AI models, into our electronic test and process control platforms, as well as into our internal engineering, customer support, and business operations tools. These technologies are complex and rapidly evolving, and may not perform as intended across all devices, and use cases, which could lead to inaccurate test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sub</w:t>
        <w:noBreakHyphen/>
        <w:t>optimal process recommendations, yield loss, product failures at our customers, and associated warranty, indemnity, or other claims.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use of AI depends on large volumes of manufacturing, design, and test data, much of which is proprietary to us or our customers. If our own systems or third</w:t>
        <w:noBreakHyphen/>
        <w:t>party AI tools are misconfigured, compromised, or improperly used, AI inputs or outputs could inadvertently expose sensitive product roadmaps, process recipes, customer confidential information, or our trade secrets, increasing the risk of intellectual property theft, competitive harm, or contractual liability. Malicious actors may also use AI to develop more sophisticated cyberattacks, including targeted phishing, impersonation, or model</w:t>
        <w:noBreakHyphen/>
        <w:t>extraction attacks against our AI</w:t>
        <w:noBreakHyphen/>
        <w:t>enabled products and services, which could result in unauthorized access to our or our customers’ environments, disruptions to our solutions, or data loss.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rely in part on third</w:t>
        <w:noBreakHyphen/>
        <w:t>party AI infrastructure, models, and data services. Defects, outages, policy changes, or security incidents at these third parties, or their failure to comply with emerging AI, data protection, export control, or industry</w:t>
        <w:noBreakHyphen/>
        <w:t>specific regulations, could disrupt our offerings, limit our ability to deploy or enhance AI features, or subject us and our customers to additional compliance costs, investigations, or penalties. Governments in the United States and other jurisdictions are adopting, or may adopt, new frameworks specific to AI transparency, safety, security, and accountability; these rules may impose constraints on training data, model usage, explainability, or cross</w:t>
        <w:noBreakHyphen/>
        <w:t>border data transfers that increase our development costs, delay product introductions, or limit certain AI</w:t>
        <w:noBreakHyphen/>
        <w:t>enabled capabilities.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AI development also intensifies competition for highly skilled technical personnel with expertise in data science, machine learning, and AI safety. If we are unable to attract, train, and retain such personnel, we may be slower than competitors in incorporating AI into our test and process technologies, which could reduce the competitiveness of our solutions. In addition, as customers and regulators scrutinize the accuracy, fairness, and transparency of AI</w:t>
        <w:noBreakHyphen/>
        <w:t>driven recommendations used in semiconductor manufacturing and reliability screening, any perceived or actual bias, errors, or lack of explainability in our AI features could damage our reputation, lead to reduced adoption of our AI</w:t>
        <w:noBreakHyphen/>
        <w:t>enabled products, and expose us to product, contractual, or regulatory claims.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We are subject to significant environmental, health and safety laws and regulations and related compliance expenditures and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businesses are subject to many foreign, federal, state and local environmental, health and safety laws and regulations, particularly with respect to the use, handling, treatment, storage, discharge and disposal of substances and hazardous wastes used or generated in our manufacturing processes. Compliance with these laws and regulations is a significant factor in our business. We have incurred and expect to continue to incur significant expenditures to comply with applicable environmental laws and regulations. Our failure to comply with applicable environmental laws and regulations and permit requirements could result in civil or criminal fines or penalties or enforcement actions, including regulatory or judicial orders enjoining or curtailing operations or requiring corrective measures, installation of pollution control equipment or remedial actions.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expect to continue to be subject to increasingly stringent environmental and health and safety laws and regulations. It is difficult to predict the future interpretation and development of environmental and health and safety laws and regulations or their impact on our future earnings and operations. We anticipate that compliance will continue to require increased capital expenditures and operating costs. Any increase in these costs, or unanticipated liabilities arising from, among other things, discovery of previously unknown conditions or more aggressive enforcement actions, could adversely affect our results of operations, and there is no assurance that they will not exceed our reserves or have a material adverse effect on our financial condition.</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If material weaknesses in our internal control over financial reporting are identified in the future, we may not be able to report our financial results accurately, prevent fraud or file our periodic reports in a timely manner, which may adversely affect investor confidence in our Company and, as a result, the value of our common stock.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cannot be certain that material weaknesses in our internal control over financial reporting will not occur in the future. If material weaknesses are identified in the future, or if we are not able to comply with the requirements of Section 404 of the Sarbanes-Oxley Act in a timely manner, our reported financial results could be materially misstated and we could be subject to investigations or sanctions by regulatory authorities, which would require additional financial and management resources, and the value of our common stock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If we are not able to maintain internal controls and procedures in accordance with the requirements of applicable securities laws, rules, and regulations, including, without limitation, Section 404 of the Sarbanes-Oxley Act in a timely manner or with adequate compliance, we may not be able to conclude that our internal control over financial reporting is effective, which may subject us to adverse regulatory consequences and could harm investor confidence and the market price of our Common Shares. The existence of material weaknesses in internal control over financial reporting could adversely affect our reputation or investor perceptions of us.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Our business may suffer if we are unable to attract and retain key employees or hire personnel at the costs we currently project.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future success will depend largely upon the continued services of our senior management and other key employees or the development of successors with commensurate skills and talents in a timely fashion and at the costs we project. If we cannot continue to increase employee salaries and maintain employee benefits commensurate with competitive opportunities, we may not be able to retain our senior management and other key employees. The loss of key personnel could adversely affect our ability to manage our business effectively and could increase our costs in future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recently experienced difficulty in hiring personnel at the costs projected in our forecasts. This has resulted in the need to increase the labor rates offered for certain positions. If we cannot find savings in other areas or increase the price for which we sell our products in an amount sufficient to cover these additional labor costs, we may experience reduced margins in future periods.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have experienced and may continue to experience significant variability in our effective tax rates and may have exposure to additional tax liabilities and costs.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are subject to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 xml:space="preserve">The terms and covenants relating to our credit facility could adversely impact our ability to pursue our strategy and our financial performance and liquidity, and thus we may need additional financial resources to maintain our liquidity. </w:t>
      </w:r>
    </w:p>
    <w:p>
      <w:pPr>
        <w:pStyle w:val="TextBody"/>
        <w:bidi w:val="0"/>
        <w:spacing w:lineRule="auto" w:line="288" w:before="0" w:after="200"/>
        <w:jc w:val="left"/>
        <w:rPr/>
      </w:pPr>
      <w:r>
        <w:rPr>
          <w:rFonts w:ascii="Arial;sans-serif" w:hAnsi="Arial;sans-serif"/>
          <w:b w:val="false"/>
          <w:color w:val="000000"/>
          <w:sz w:val="20"/>
        </w:rPr>
        <w:t>Our credit facility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Loan Agreement, we would be in default thereunder and may be required to repay such debt with capital from other sources or otherwise not be able to draw down against our facility. Under such circumstances, we may have difficulty in locating another lender that would be willing to extend credit to us, and other sources of capital may not be available to us on reasonable terms or at all.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At March 31, 2025, we were in compliance with all of the covenants included in the Loan Agreement, except for the fixed charge coverage ratio financial covenant which was 0.99 to 1.0 for the quarter ended March 31, 2025, for which we received a one-time waiver from M&amp;T on May 1, 2025.</w:t>
      </w:r>
    </w:p>
    <w:p>
      <w:pPr>
        <w:pStyle w:val="TextBody"/>
        <w:bidi w:val="0"/>
        <w:spacing w:lineRule="auto" w:line="288" w:before="0" w:after="200"/>
        <w:jc w:val="left"/>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open debt with M&amp;T. At December 31, 2025, we had total debt of $3.8 million with M&amp;T and were in compliance with all other covenants included in the credit facility including the debt covenants of the Loan Agreement. See “</w:t>
      </w:r>
      <w:r>
        <w:rPr>
          <w:rFonts w:ascii="Arial;sans-serif" w:hAnsi="Arial;sans-serif"/>
          <w:b/>
          <w:color w:val="000000"/>
          <w:sz w:val="20"/>
        </w:rPr>
        <w:t>Part II; Item 7. Management’s Discussion and Analysis of Financial Condition and Results of Operations; Liquidity and Capital Resources; Credit Facility</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color w:val="000000"/>
          <w:sz w:val="20"/>
        </w:rPr>
        <w:t>Part II; Item 8. Financial Statements and Supplementary Data; Notes to Consolidated Financial Statements; Note (10) Debt</w:t>
      </w:r>
      <w:r>
        <w:rPr>
          <w:color w:val="000000"/>
        </w:rPr>
        <w:t xml:space="preserve">” </w:t>
      </w:r>
      <w:r>
        <w:rPr>
          <w:rFonts w:ascii="Arial;sans-serif" w:hAnsi="Arial;sans-serif"/>
          <w:b w:val="false"/>
          <w:color w:val="000000"/>
          <w:sz w:val="20"/>
        </w:rPr>
        <w:t>in this Report for a discussion of the material terms of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hold our cash and cash equivalents that we use to meet our working capital needs in deposit accounts that could be adversely affected if the financial institutions holding such funds fail.</w:t>
      </w:r>
    </w:p>
    <w:p>
      <w:pPr>
        <w:pStyle w:val="TextBody"/>
        <w:bidi w:val="0"/>
        <w:spacing w:lineRule="auto" w:line="288" w:before="0" w:after="200"/>
        <w:jc w:val="left"/>
        <w:rPr/>
      </w:pPr>
      <w:r>
        <w:rPr>
          <w:rFonts w:ascii="Arial;sans-serif" w:hAnsi="Arial;sans-serif"/>
          <w:b w:val="false"/>
          <w:color w:val="000000"/>
          <w:sz w:val="20"/>
        </w:rPr>
        <w:t>We hold our cash and cash equivalents that we use to meet our working capital needs in deposit accounts at multiple financial institutions. We also hold $3.8 million of restricted cash at M&amp;T under the terms of the Sixth Amendment to the Loan Agreement. The balance held in these accounts may exceed the Federal Deposit Insurance Corporation (“</w:t>
      </w:r>
      <w:r>
        <w:rPr>
          <w:rFonts w:ascii="Arial;sans-serif" w:hAnsi="Arial;sans-serif"/>
          <w:b/>
          <w:color w:val="000000"/>
          <w:sz w:val="20"/>
          <w:u w:val="single"/>
        </w:rPr>
        <w:t>FDIC</w:t>
      </w:r>
      <w:r>
        <w:rPr>
          <w:color w:val="000000"/>
        </w:rPr>
        <w:t>”</w:t>
      </w:r>
      <w:r>
        <w:rPr>
          <w:rFonts w:ascii="Arial;sans-serif" w:hAnsi="Arial;sans-serif"/>
          <w:b w:val="false"/>
          <w:color w:val="000000"/>
          <w:sz w:val="20"/>
        </w:rPr>
        <w:t>), standard deposit insurance limit or similar government guarantee schemes.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obligations.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For example, in March 2023, Silicon Valley Bank and Signature Bank were closed by state regulators and the FDIC was appointed receiver for each bank. The FDIC created successor bridge banks and all deposits of Silicon Valley Bank and Signature Bank were transferred to the bridge banks under a systemic risk exception approved by the United States Department of the Treasury, the Federal Reserve and the FDIC. If financial institutions in which we hold funds for working capital were to fail, we cannot provide any assurances that such governmental agencies would take action to protect our uninsured deposits in a similar manner.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also maintain cash equivalent investment accounts with other financial institutions in which we hold our cash equivalent investments and, if access to the funds we use for working capital is impaired, we may not be able to sell these investments or transfer funds from our investment accounts to new accounts on a timely basis sufficient to meet our working capital needs.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face risks associated with doing business in China.</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conduct sales and other business operations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intellectual property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Chinese government exerts substantial influence over the manner in which we must conduct our business activities;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Restrictions on currency exchange may limit our ability to receive, transfer and use our cash effectively;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uncertainties related to the enforcement of intellectual property rights including any intellectual property rights that we may license to a Chinese (or other emerging jurisdiction) entity, including any joint ventures we may form;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uncertainties relating to Chinese regulation of exports of products and technology to and from China;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and rapidly changing export and related trade regulations and restrictions imposed by U.S. and Chinese legislation, executive actions and regulations;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Difficulty of travel to and from China (and to and from U.S.) arising from or related to the COVID-19 pandemic or any future pandemic;</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uncertainties related to the enforcement of contracts with certain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More restrictive rules on foreign investment could adversely affect our ability to expand our operations in China;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Geopolitical tensions between China on the one hand and the U.S., Canada and/or the European Union on the other hand, may increase and may lead to increased export sanctions with Chinese entities and sanctions made against China.</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a result of our growing operations in China, these risks could harm our business.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face political and other risks conducting business in Taiwan particularly due to their tense relationships with China.</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customers located in Taiwan. Accordingly, our business, financial condition and results of operations may be affected by changes in governmental and economic policies in Taiwan, social instability and diplomatic and social developments in or affecting Taiwan due to its unique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U.S. tariff policies and potential global retaliatory countermeasures could increase our cost, disrupt our supply chain or affect customer purchasing activities, any of which could negatively impact our results of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Changes in U.S. and foreign trade policy, including the imposition of tariffs and other trade barriers, could adversely affect our business, financial condition, and results of operations. For example, the continued tariff negotiations have increased our material costs and may force us to seek alternative suppliers or navigate through a period of reduced orders and revenues and/or unprofitability if we are unable to pass cost increases onto customers. Approximately 57% of our sales for the year ended December 31, 2025, were shipped to customers outside of the United States and thus potentially exposed to tariffs. Retaliatory tariffs by China and other countries could further disrupt our supply chain, reduce demand for our products, or result in lost sales. While certain tariffs have subsequently been suspended, modified or temporarily reduced, we cannot predict the results of the U.S. government’s trade negotiations or the outcome of ongoing legal challenges to specific tariff policies. The unpredictable nature of these trade policies and the potential for further escalation may increase uncertainty and volatility in our industry, which could negatively impact our financial performance.</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 xml:space="preserve">RISKS RELATED TO OUR CUSTOMER BASE </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Changes in the buying patterns of our customers have affected, and may continue to affect, demand for our products and our gross and net operating margins. Such changes in patterns are difficult to predict and may not be immediately apparent.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In addition to the cyclicality of the Semi market, demand for our products and our gross and net operating margins have also been affected by changes in the buying patterns of our customers. Some of the changes in customer buying patterns that have impacted us in the past, and may continue to do so in the future, have included customers placing heightened emphasis on shorter lead times (which places increased demands on our available engineering and production capacity and may result in increasing unit costs) and ordering in smaller quantities (which prevents us from acquiring component materials in larger volumes at lower unit costs). We have also experienced customer supply chain management groups demanding lower prices and spreading purchases across multiple vendors. We believe some of the changes in customer buying patterns are the result of changes within the Semi market over the last several years, including, for example, changing product requirements and longer time periods between new product offerings by OEMs. Such shifts in market practices have had, and may continue to have, varying degrees of impact on our revenue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 </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generate a large portion of our sales from a small number of customers. If we were to lose one or more of our large customers, our operating results could be materially and adversely affected.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During the year ended December 31, 2025, no customer accounted for more than 10% of our consolidated revenue. During the year ended December 31, 2024, one customer accounted for 13% of our consolidated revenue.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revenue was primarily generated by our Electronic Test segment. During the years ended December 31, 2025 and 2024, our ten largest customers accounted for approximately 36% and 45% of our consolidated revenue, respectively. The loss of any one or more of our largest customers, or a reduction in orders by a major customer could materially reduce our net revenues or otherwise materially affect our business, financial condition or results of operations.</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RISKS RELATED TO COMPETITION</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Our business is subject to intense competition, which has in the past and could in the future, materially adversely affect our business, financial condition and 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face significant competition throughout the world in each of our operating segments. Some of our competitors have substantial financial resources and more extensive design and production capabilities than us. Some of our competitors are much smaller than we are and therefore have much lower levels of overhead than us, which enables them to sell their competing products at lower prices. To remain competitive, we must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In the recent past, in response to significant declines in global demand for our products, some competitors have reduced their product pricing significantly, which has led to intensified price-based competition, which has and could continue to materially adversely affect our business, financial condition and results of operations. </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Our markets are subject to rapid technological change, and our business prospects would be negatively affected if we are unable to quickly and effectively respond to innovation in the Semi market or other markets that we serve.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Technology, including semiconductor technology, continues to become more complex as the pace of innovation and development of new technology increases. In addition, manufacturers are incorporating ICs into an increasing variety of products. This trend, including the changes needed in automated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 xml:space="preserve">RISKS RELATED TO FOREIGN OPERATIONS </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The continuing conflict in the Ukraine could disrupt our supply chain or cause other adverse effects on our revenue and earnings.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late February 2022, Russia invaded Ukraine. In response, the U.S. and certain other countries imposed significant sanctions and trade actions against Russia. The U.S. also added sanctions to Belarus. The U.S. and certain other countries could impose further sanctions, trade restrictions and other retaliatory actions should the conflict continue or worsen. It is not possible to predict the broader consequences of the conflict, including related geopolitical tensions, and the measures and retaliatory actions taken by the U.S. and other countries in respect thereof, as well as any counter measures or retaliatory actions by Russia or its allies in response. The continuing conflict has caused regional instability and could cause geopolitical shifts and could materially adversely affect global trade, currency exchange rates, regional economies and the global economy, which could materially adversely affect our financial condition or 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conflict and actions taken in response to the conflict could increase our costs or disrupt our supply chain for certain unique materials. Specifically, Acculogic purchases certain parts from a key sole-source supplier in Belarus, which is bordered by Russia to the east and northeast and Ukraine to the south. In August 2024, the U.S., Canada and the European Union added additional sanctions which included adding this supplier to the list of prohibited entities in Belarus. We are complying with these sanctions and have not received materials from this supplier since the issuance of Executive Order 14038. We have qualified a new supplier for these materials and have a supply of these materials on hand to support new production. Our first system incorporating these new materials was shipped to one of our customers at the end of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Additionally, we have applied to the Office of Foreign Asset Control (“</w:t>
      </w:r>
      <w:r>
        <w:rPr>
          <w:rFonts w:ascii="Arial;sans-serif" w:hAnsi="Arial;sans-serif"/>
          <w:b/>
          <w:color w:val="000000"/>
          <w:sz w:val="20"/>
          <w:u w:val="single"/>
        </w:rPr>
        <w:t>OFAC</w:t>
      </w:r>
      <w:r>
        <w:rPr>
          <w:color w:val="000000"/>
        </w:rPr>
        <w:t>”</w:t>
      </w:r>
      <w:r>
        <w:rPr>
          <w:rFonts w:ascii="Arial;sans-serif" w:hAnsi="Arial;sans-serif"/>
          <w:b w:val="false"/>
          <w:color w:val="000000"/>
          <w:sz w:val="20"/>
        </w:rPr>
        <w:t>) and Global Affairs Canada for permission to purchase materials from the Belarus supplier to support repairs and warranty claims for the existing units already in service with our customers. We have not yet received such permission from Global Affairs Canada. In December 2025, we received a license from OFAC allowing us to purchase a specified dollar amount of these parts from this supplier through June 30, 2026. We are currently in the process of placing an order under this license. We expect to receive these materials later in the first quarter of 2026. However, until these materials are received at our facility in the U.S., there can be no assurance that such purchase will be successfully completed.</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We have a sole source supplier of components in Israel and the continuing conflicts in the Middle East could disrupt our supply chain or cause other adverse effects on our revenue and earnings.</w:t>
      </w:r>
    </w:p>
    <w:p>
      <w:pPr>
        <w:pStyle w:val="TextBody"/>
        <w:bidi w:val="0"/>
        <w:spacing w:lineRule="auto" w:line="288" w:before="0" w:after="200"/>
        <w:jc w:val="left"/>
        <w:rPr/>
      </w:pPr>
      <w:r>
        <w:rPr>
          <w:rFonts w:ascii="Arial;sans-serif" w:hAnsi="Arial;sans-serif"/>
          <w:b w:val="false"/>
          <w:color w:val="000000"/>
          <w:sz w:val="20"/>
        </w:rPr>
        <w:t>In early October 2023, Hamas attacked Israel and Israel formally declared war in response to the attack. Although a cease-fire was declared in October 2025, hostilities continue. On February 28, 2026, the U.S. and Israel launched a coordinated military operation against Iran, and Iran has responded with attacks affecting certain Persian Gulf states as well as Israel. It is unclear when these continuing conflicts will end and these conflicts are likely to cause regional instability that could materially adversely affect global trade, regional economies and the global economy, which could materially adversely affect our financial condition and results of operations.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has a sole source supplier of capacitors used in certain of our induction heating products that is located in Israel. This supplier is the sole source supplier of capacitors for numerous induction companies, and currently there are no viable alternatives available. We have been in contact with our supplier since the conflict with Iran began and have been advised that their operations are currently uninterrupted. Our supplier has indicated that they have large amount of stock available at more than one facility in Israel, so they believe they have redundancies in place that will help ensure that the supply chain is uninterrupted. We continue to monitor this situation and are staying in close contact with this supplier. There can be no assurance that the situation will not worsen, which could impact our ability to assemble and ship certain of our induction heating products which could have a material impact on our results of operations in future periods.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A substantial portion of our customers are located outside the U.S., which exposes us to foreign political and economic risks.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operated internationally for many years and expect to expand our international operations to continue expansion of our sales and service to our non-U.S. customers. Our foreign subsidiaries generated 42% and 39% of consolidated revenue in 2025 and 2024, respectively. Revenue from foreign customers based on “ship to” location totaled $64.7 million, or 57% of consolidated revenue in 2025, and $80.9 million, or 62% of consolidated revenue in 2024. We expect our revenue from foreign customers will continue to represent a significant portion of total revenue. In addition to the risks generally associated with sales and operations in the U.S., sales to customers outside the U.S. and operations in foreign countries are subject to additional risks, which may, in the future, affect our operations. These risks include: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effects of certain foreign customers being added to the list of restricted customers by the U.S. Department of Commerce;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implementation of trade tariffs by the U.S. and other countries that would impact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political and economic instability in foreign countries;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imposition of financial and operational controls and regulatory restrictions by foreign governments;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need to comply with a wide variety of U.S. and foreign import and export laws;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local business and cultural factors that differ from our normal standards and practices, including business practices that we are prohibited from engaging in by the Foreign Corrupt Practices Act and other anti-corruption laws and regulations;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trade restrictions;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taxes;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longer payment cycles;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fluctuations in currency exchange rates;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the greater difficulty of administering business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 xml:space="preserve">A significant portion of our cash position is maintained overseas and we may not be able to repatriate cash from overseas when necessary, which could have an adverse effect on our financial condition.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While much of our cash is in the U.S., a significant portion is generated from and maintained by our foreign operations. At December 31, 2025, $10.2 million, or 72% of our cash and cash equivalents was held by our foreign subsidiaries. Our financial condition and results of operations could be adversely impacted if we are unable to maintain a sufficient level of cash flow in the U.S. to address our cash requirements and if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RISKS RELATED TO INTELLECTUAL PROPERTY</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Claims of intellectual property infringement by or against us could seriously harm our businesses.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we have been and may again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If we are unable to protect our intellectual property, we may lose a valuable asset or may incur costly litigation to protect our rights.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protect the technology that is incorporated in our products in several ways, including through patent, copyright, trademark and trade secret protection and by contractual agreement. However, even with these protections, our intellectual property may still be challenged, invalidated or subject to other infringement actions. While we believe that our intellectual property has value in the aggregate, no single element of our intellectual property is in itself essential. If a significant portion of our intellectual property is invalidated or ineffective, our business could be materially adversely affected.</w:t>
      </w: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 xml:space="preserve">RISKS RELATED TO OUR OPERATING RESULTS AND STOCK PRICE </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Our operating results often change significantly from quarter to quarter and may cause fluctuations in our stock price.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Historically, our operating results have fluctuated significantly from quarter to quarter. We believe that these fluctuations occur primarily due to the cycles of demand in the semiconductor manufacturing industry. In addition to these changing cycles of demand, other factors that have caused our quarterly operating results to fluctuate in the past or that may cause fluctuations and losses in the future, include: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costs related to due diligence and transaction-related expenses for a proposed acquisition that does not get completed;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costs and timing of integration of our acquisitions and plant consolidations and relocations;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demand in the markets we serve including the Auto/EV, Defense/Aerospace, Industrial, Life Sciences and Safety/Security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state of the U.S. and global economies;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buying patterns of our customers including any changes in the rate of, and timing of, purchases by our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interruptions in our supply chain caused by external factors;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our market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regional or global pandemic on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technological obsolescence of our inventories;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quantities of our inventories greater than is reasonably likely to be utilized in future periods;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fluctuations in the level of product warranty charges;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competitive pricing pressures;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excess manufacturing capacity;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control operating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shipments of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mix of our products sold;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mix of customers and geographic regions where we sell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level of our fixed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costs associated with the development of our proprietary technology;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obtain raw materials or fabricated parts when needed;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increases in costs of component materials;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cancellation or rescheduling of orders by our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government regulations;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geopolitical instability.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Because the market price of our common stock has tended to vary based on, and in relation to, changes in our operating results, fluctuations in the market price of our stock are likely to continue as variations in our quarterly results continue.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1B.    UNRESOLVED STAFF COMMENTS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1C.    CYBERSECURITY</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Cyber Security Governance</w:t>
      </w:r>
    </w:p>
    <w:p>
      <w:pPr>
        <w:pStyle w:val="TextBody"/>
        <w:bidi w:val="0"/>
        <w:spacing w:lineRule="auto" w:line="288" w:before="0" w:after="200"/>
        <w:jc w:val="left"/>
        <w:rPr/>
      </w:pPr>
      <w:r>
        <w:rPr>
          <w:rFonts w:ascii="Arial;sans-serif" w:hAnsi="Arial;sans-serif"/>
          <w:b w:val="false"/>
          <w:color w:val="000000"/>
          <w:sz w:val="20"/>
        </w:rPr>
        <w:t>Oversight of cybersecurity risks by management is led by our Risk and Information Security (“</w:t>
      </w:r>
      <w:r>
        <w:rPr>
          <w:rFonts w:ascii="Arial;sans-serif" w:hAnsi="Arial;sans-serif"/>
          <w:b/>
          <w:color w:val="000000"/>
          <w:sz w:val="20"/>
          <w:u w:val="single"/>
        </w:rPr>
        <w:t>IT</w:t>
      </w:r>
      <w:r>
        <w:rPr>
          <w:color w:val="000000"/>
        </w:rPr>
        <w:t>”</w:t>
      </w:r>
      <w:r>
        <w:rPr>
          <w:rFonts w:ascii="Arial;sans-serif" w:hAnsi="Arial;sans-serif"/>
          <w:b w:val="false"/>
          <w:color w:val="000000"/>
          <w:sz w:val="20"/>
        </w:rPr>
        <w:t>) Committee, which is chaired by our Corporate Vice President of IT and Cybersecurity and comprised of members of senior management including our Chief Executive Officer and Chief Financial Officer and our Corporate Vice President of Human Resources.</w:t>
      </w:r>
    </w:p>
    <w:p>
      <w:pPr>
        <w:pStyle w:val="TextBody"/>
        <w:bidi w:val="0"/>
        <w:spacing w:lineRule="auto" w:line="288" w:before="0" w:after="240"/>
        <w:jc w:val="left"/>
        <w:rPr/>
      </w:pPr>
      <w:r>
        <w:rPr>
          <w:rFonts w:ascii="Arial;sans-serif" w:hAnsi="Arial;sans-serif"/>
          <w:b w:val="false"/>
          <w:color w:val="000000"/>
          <w:sz w:val="20"/>
        </w:rPr>
        <w:t>Our Vice President of IT and Cyber Security has over 15 years of experience in IT roles and holds a cybersecurity professional certificate and an MBA in information technology management. The VP and IT team work with the executive leadership team to implement appropriate cybersecurity controls and to respond to cybersecurity threats in accordance with our Incident Response Plan (the “</w:t>
      </w:r>
      <w:r>
        <w:rPr>
          <w:rFonts w:ascii="Arial;sans-serif" w:hAnsi="Arial;sans-serif"/>
          <w:b/>
          <w:color w:val="000000"/>
          <w:sz w:val="20"/>
          <w:u w:val="single"/>
        </w:rPr>
        <w:t>IRP</w:t>
      </w:r>
      <w:r>
        <w:rPr>
          <w:color w:val="000000"/>
        </w:rPr>
        <w:t>”</w:t>
      </w:r>
      <w:r>
        <w:rPr>
          <w:rFonts w:ascii="Arial;sans-serif" w:hAnsi="Arial;sans-serif"/>
          <w:b w:val="false"/>
          <w:color w:val="000000"/>
          <w:sz w:val="20"/>
        </w:rPr>
        <w:t>) and Information Security Policy.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Among its responsibilities, the IT Committee identifies our material cyber risks and reviews the strategies, processes and controls in place to facilitate the understanding, identification, prevention, measurement, reporting and mitigation of those risks. The IT Committee meets quarterly to review our cyber risk management strategy. A member of the Board attends these meetings as an observer.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Board and senior management provide general oversight and support to the IT Committee. The Board periodically reviews, appraises and discusses with management the effectiveness of our information technology security, data privacy and cyber security and related risks.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 xml:space="preserve">Risk Management and Strategy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Cybersecurity is a key component of our overall risk management system. We are implementing processes that are designed to effectively manage risks from cybersecurity threats. The IT Committee currently has in place the IRP which lays out our guidelines for responding to and handling cyber incidents. The IRP helps to ensure a quick and organized response in the event of a cyber incident and helps ensure all necessary members of management, the Board and legal counsel are informed so action can be taken as soon as possible. Under the IRP, once a cyber incident is identified, a response team will review the details of the cyber incident, inform management and the Board and work to secure our systems and fix the vulnerability. An investigation will be conducted, with the assistance of third-party consultants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needed, to determine the root cause of the cyber incident, the materiality of the cyber incident, and any disclosure or legal obligations that will stem from the cyber incident.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enhance our cybersecurity defenses and reduce the risk of cybersecurity incidents, we have integrated a range of third-party services into our IT systems. These include a robust detection and response solution that provides continuous monitoring of our environment and in January 2025 we implemented automation that shuts down active threats, endpoint protection across all devices, and the implementation of two-factor authentication for secure access. Additionally, we conduct regular penetration testing to identify and address potential vulnerabilities. We also engage a trusted external cybersecurity consultant to review and update our IRP, ensuring it aligns with the latest industry standards and best practices.</w:t>
      </w:r>
    </w:p>
    <w:p>
      <w:pPr>
        <w:pStyle w:val="TextBody"/>
        <w:bidi w:val="0"/>
        <w:spacing w:lineRule="auto" w:line="288" w:before="0" w:after="200"/>
        <w:jc w:val="left"/>
        <w:rPr/>
      </w:pPr>
      <w:r>
        <w:rPr>
          <w:rFonts w:ascii="Arial;sans-serif" w:hAnsi="Arial;sans-serif"/>
          <w:b w:val="false"/>
          <w:color w:val="000000"/>
          <w:sz w:val="20"/>
        </w:rPr>
        <w:t>We have been the victim of cybersecurity incidents and may be the subject of cybersecurity incidents in the future. See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for more information about the risk posed to us by cybersecurity threats.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2.    PROPERTIES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of December 31, 2025, we leased 13 facilities worldwide. The following chart provides information regarding each of our principal leased facilities as of December 31, 2025:</w:t>
      </w:r>
    </w:p>
    <w:tbl>
      <w:tblPr>
        <w:tblW w:w="10205" w:type="dxa"/>
        <w:jc w:val="left"/>
        <w:tblInd w:w="0" w:type="dxa"/>
        <w:tblLayout w:type="fixed"/>
        <w:tblCellMar>
          <w:top w:w="28" w:type="dxa"/>
          <w:left w:w="28" w:type="dxa"/>
          <w:bottom w:w="28" w:type="dxa"/>
          <w:right w:w="28" w:type="dxa"/>
        </w:tblCellMar>
      </w:tblPr>
      <w:tblGrid>
        <w:gridCol w:w="565"/>
        <w:gridCol w:w="495"/>
        <w:gridCol w:w="503"/>
        <w:gridCol w:w="109"/>
        <w:gridCol w:w="109"/>
        <w:gridCol w:w="109"/>
        <w:gridCol w:w="388"/>
        <w:gridCol w:w="388"/>
        <w:gridCol w:w="390"/>
        <w:gridCol w:w="109"/>
        <w:gridCol w:w="109"/>
        <w:gridCol w:w="109"/>
        <w:gridCol w:w="285"/>
        <w:gridCol w:w="285"/>
        <w:gridCol w:w="286"/>
        <w:gridCol w:w="109"/>
        <w:gridCol w:w="109"/>
        <w:gridCol w:w="109"/>
        <w:gridCol w:w="1726"/>
        <w:gridCol w:w="1668"/>
        <w:gridCol w:w="2245"/>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Lease</w:t>
              <w:br/>
              <w:t>Expiration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Approx.</w:t>
              <w:br/>
              <w:t>Square</w:t>
              <w:br/>
              <w:t>Footage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Principal Uses</w:t>
            </w:r>
          </w:p>
        </w:tc>
      </w:tr>
      <w:tr>
        <w:trPr/>
        <w:tc>
          <w:tcPr>
            <w:tcW w:w="1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Rochester, NY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April 2028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79,150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Process Technologies segment operations (principal facility for Ambrell</w:t>
            </w:r>
            <w:r>
              <w:rPr>
                <w:rFonts w:ascii="Arial;sans-serif" w:hAnsi="Arial;sans-serif"/>
                <w:b w:val="false"/>
                <w:color w:val="000000"/>
                <w:sz w:val="13"/>
              </w:rPr>
              <w:t>®</w:t>
            </w:r>
            <w:r>
              <w:rPr>
                <w:rFonts w:ascii="Arial;sans-serif" w:hAnsi="Arial;sans-serif"/>
                <w:b w:val="false"/>
                <w:color w:val="000000"/>
                <w:sz w:val="20"/>
              </w:rPr>
              <w:t>)</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Mansfield,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February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58,800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Environmental Technologies segment operations (principal facility for ITS), Process Technologies segment operations (principal facility for Videology</w:t>
            </w:r>
            <w:r>
              <w:rPr>
                <w:rFonts w:ascii="Arial;sans-serif" w:hAnsi="Arial;sans-serif"/>
                <w:b w:val="false"/>
                <w:color w:val="000000"/>
                <w:sz w:val="13"/>
              </w:rPr>
              <w:t>®</w:t>
            </w:r>
            <w:r>
              <w:rPr>
                <w:rFonts w:ascii="Arial;sans-serif" w:hAnsi="Arial;sans-serif"/>
                <w:b w:val="false"/>
                <w:color w:val="000000"/>
                <w:sz w:val="20"/>
              </w:rPr>
              <w:t>)</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Milan, 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February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51,871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Electronic Test segment operations (principal facility for Alfamation</w:t>
            </w:r>
            <w:r>
              <w:rPr>
                <w:color w:val="000000"/>
              </w:rPr>
              <w:t>™</w:t>
            </w:r>
            <w:r>
              <w:rPr>
                <w:rFonts w:ascii="Arial;sans-serif" w:hAnsi="Arial;sans-serif"/>
                <w:b w:val="false"/>
                <w:color w:val="000000"/>
                <w:sz w:val="20"/>
              </w:rPr>
              <w:t>)</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Mt. Laurel,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April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33,650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headquarters and Electronic Test segment operations</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Penang, Malaysia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Applications engineering, product development and localized manufacturing for nearly all InTest brands</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Markham, 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February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16,437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Electronic Test segment operations (principal facility for Acculogic Inc.)</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facilities have space to accommodate our needs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3.    LEGAL PROCEEDINGS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we may be a party to legal proceedings occurring in the ordinary course of business. We are not currently involved in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4.    MINE SAFETY DISCLOSURES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5.    MARKET FOR REGISTRANT’S COMMON EQUITY, RELATED STOCKHOLDER MATTERS AND ISSUER PURCHASES OF EQUITY SECURITIES</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Market for Common Stock</w:t>
      </w:r>
    </w:p>
    <w:p>
      <w:pPr>
        <w:pStyle w:val="TextBody"/>
        <w:bidi w:val="0"/>
        <w:spacing w:lineRule="auto" w:line="288" w:before="0" w:after="200"/>
        <w:jc w:val="left"/>
        <w:rPr/>
      </w:pPr>
      <w:r>
        <w:rPr>
          <w:rFonts w:ascii="Arial;sans-serif" w:hAnsi="Arial;sans-serif"/>
          <w:b w:val="false"/>
          <w:color w:val="000000"/>
          <w:sz w:val="20"/>
        </w:rPr>
        <w:t>Our common stock is traded on NYSE American LLC (“</w:t>
      </w:r>
      <w:r>
        <w:rPr>
          <w:rFonts w:ascii="Arial;sans-serif" w:hAnsi="Arial;sans-serif"/>
          <w:b/>
          <w:color w:val="000000"/>
          <w:sz w:val="20"/>
          <w:u w:val="single"/>
        </w:rPr>
        <w:t>NYSE American</w:t>
      </w:r>
      <w:r>
        <w:rPr>
          <w:color w:val="000000"/>
        </w:rPr>
        <w:t>”</w:t>
      </w:r>
      <w:r>
        <w:rPr>
          <w:rFonts w:ascii="Arial;sans-serif" w:hAnsi="Arial;sans-serif"/>
          <w:b w:val="false"/>
          <w:color w:val="000000"/>
          <w:sz w:val="20"/>
        </w:rPr>
        <w:t>) under the symbol “INTT.” On February 27, 2026, the closing price for our common stock as reported on the NYSE American was $11.65. At February 27, 2026, we had 12,495,544 shares outstanding that were held by approximately 1,000 beneficial and record holders.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 dividends were paid on our common stock in the years ended December 31, 2025 or 2024. We do not currently plan to pay cash dividends in the foreseeable future. Our current policy is to use any future earnings for reinvestment in the operation and expansion of our business, including possible acquisitions of other businesses, technologies or products and, when approved by our Board of Directors, to repurchase our outstanding common stock. Payment of any future dividends will be at the discretion of our Board of Directors.</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Purchases of Equity Securities</w:t>
      </w:r>
    </w:p>
    <w:p>
      <w:pPr>
        <w:pStyle w:val="TextBody"/>
        <w:bidi w:val="0"/>
        <w:spacing w:lineRule="auto" w:line="288" w:before="0" w:after="200"/>
        <w:jc w:val="left"/>
        <w:rPr/>
      </w:pPr>
      <w:r>
        <w:rPr>
          <w:rFonts w:ascii="Arial;sans-serif" w:hAnsi="Arial;sans-serif"/>
          <w:b w:val="false"/>
          <w:color w:val="000000"/>
          <w:sz w:val="20"/>
        </w:rPr>
        <w:t>On November 20, 2023, our Board of Directors authorized a share repurchase plan (the “</w:t>
      </w:r>
      <w:r>
        <w:rPr>
          <w:rFonts w:ascii="Arial;sans-serif" w:hAnsi="Arial;sans-serif"/>
          <w:b/>
          <w:color w:val="000000"/>
          <w:sz w:val="20"/>
          <w:u w:val="single"/>
        </w:rPr>
        <w:t>Repurchase Plan</w:t>
      </w:r>
      <w:r>
        <w:rPr>
          <w:color w:val="000000"/>
        </w:rPr>
        <w:t>”</w:t>
      </w:r>
      <w:r>
        <w:rPr>
          <w:rFonts w:ascii="Arial;sans-serif" w:hAnsi="Arial;sans-serif"/>
          <w:b w:val="false"/>
          <w:color w:val="000000"/>
          <w:sz w:val="20"/>
        </w:rPr>
        <w:t>) whereby we were permitted to repurchase shares of our common stock on the open market with a total aggregate repurchase amount of up to $10 million until November 17, 2024. Through November 17, 2024, we repurchased 141,117 shares of our common stock for $1.0 million.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5, 2025, the Board of Directors authorized the renewal of the Repurchase Plan without a fixed expiration date. As of the renewal date, we had $9.0 million available for repurchases under the renewed Repurchase Plan. We are not obligated to purchase any common stock under the Repurchase Plan. Further, the Repurchase Plan may be suspended or discontinued at any time without prior notice. There were no repurchases since the renewal.</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Securities Authorized for Issuance Under Equity Compensation Plan</w:t>
      </w:r>
    </w:p>
    <w:p>
      <w:pPr>
        <w:pStyle w:val="TextBody"/>
        <w:bidi w:val="0"/>
        <w:spacing w:lineRule="auto" w:line="288" w:before="0" w:after="200"/>
        <w:jc w:val="left"/>
        <w:rPr/>
      </w:pPr>
      <w:r>
        <w:rPr>
          <w:rFonts w:ascii="Arial;sans-serif" w:hAnsi="Arial;sans-serif"/>
          <w:b w:val="false"/>
          <w:color w:val="000000"/>
          <w:sz w:val="20"/>
        </w:rPr>
        <w:t>Information regarding securities authorized for issuance under equity compensation plans is included in “</w:t>
      </w:r>
      <w:r>
        <w:rPr>
          <w:rFonts w:ascii="Arial;sans-serif" w:hAnsi="Arial;sans-serif"/>
          <w:b/>
          <w:color w:val="000000"/>
          <w:sz w:val="20"/>
        </w:rPr>
        <w:t>Part III; Item 12. Security Ownership of Certain Beneficial Owners and Management and Related Stockholder Matters; Equity Compensation Plan Information</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pPr>
      <w:r>
        <w:rPr>
          <w:rFonts w:ascii="Arial;sans-serif" w:hAnsi="Arial;sans-serif"/>
          <w:b/>
          <w:color w:val="C02026"/>
          <w:sz w:val="20"/>
          <w:u w:val="single"/>
        </w:rPr>
        <w:t>Item 7.    MANAGEMENT’S DISCUSSION AND ANALYSIS OF FINANCIAL CONDITION AND RESULTS OF OPERATIONS</w:t>
      </w:r>
      <w:r>
        <w:rPr>
          <w:color w:val="C02026"/>
        </w:rPr>
        <w:t xml:space="preserve"> </w:t>
      </w:r>
    </w:p>
    <w:p>
      <w:pPr>
        <w:pStyle w:val="TextBody"/>
        <w:bidi w:val="0"/>
        <w:spacing w:lineRule="auto" w:line="288" w:before="0" w:after="200"/>
        <w:jc w:val="left"/>
        <w:rPr/>
      </w:pPr>
      <w:r>
        <w:rPr>
          <w:rFonts w:ascii="Arial;sans-serif" w:hAnsi="Arial;sans-serif"/>
          <w:b w:val="false"/>
          <w:i/>
          <w:color w:val="000000"/>
          <w:sz w:val="20"/>
        </w:rPr>
        <w:t>The following discussion and analysis of our financial condition and results of operations and quantitative and qualitative disclosures should be read in conjunction with our audited consolidated financial statements and related notes included in this Report for the year ended December 31, 2025. In addition, please refer to the discussion of our business and markets contained in “</w:t>
      </w:r>
      <w:r>
        <w:rPr>
          <w:rFonts w:ascii="Arial;sans-serif" w:hAnsi="Arial;sans-serif"/>
          <w:b/>
          <w:i/>
          <w:color w:val="000000"/>
          <w:sz w:val="20"/>
        </w:rPr>
        <w:t>Part I, Item 1. Business</w:t>
      </w:r>
      <w:r>
        <w:rPr>
          <w:color w:val="000000"/>
        </w:rPr>
        <w:t xml:space="preserve">” </w:t>
      </w:r>
      <w:r>
        <w:rPr>
          <w:rFonts w:ascii="Arial;sans-serif" w:hAnsi="Arial;sans-serif"/>
          <w:b w:val="false"/>
          <w:i/>
          <w:color w:val="000000"/>
          <w:sz w:val="20"/>
        </w:rPr>
        <w:t>of this Report. Management’s Discussion and Analysis of Financial Condition and Results of Operations contains a number of forward-looking statements that reflect our plans, estimates, and beliefs, all of which are based on our current expectations and could be affected by certain uncertainties, risks, and other factors described under “</w:t>
      </w:r>
      <w:r>
        <w:rPr>
          <w:rFonts w:ascii="Arial;sans-serif" w:hAnsi="Arial;sans-serif"/>
          <w:b/>
          <w:i/>
          <w:color w:val="000000"/>
          <w:sz w:val="20"/>
        </w:rPr>
        <w:t>Cautionary Statement Regarding Forward-Looking Statements</w:t>
      </w:r>
      <w:r>
        <w:rPr>
          <w:color w:val="000000"/>
        </w:rPr>
        <w:t xml:space="preserve">” </w:t>
      </w:r>
      <w:r>
        <w:rPr>
          <w:rFonts w:ascii="Arial;sans-serif" w:hAnsi="Arial;sans-serif"/>
          <w:b w:val="false"/>
          <w:i/>
          <w:color w:val="000000"/>
          <w:sz w:val="20"/>
        </w:rPr>
        <w:t>and “</w:t>
      </w:r>
      <w:r>
        <w:rPr>
          <w:rFonts w:ascii="Arial;sans-serif" w:hAnsi="Arial;sans-serif"/>
          <w:b/>
          <w:i/>
          <w:color w:val="000000"/>
          <w:sz w:val="20"/>
        </w:rPr>
        <w:t>Part I; Item 1A. Risk Factors</w:t>
      </w:r>
      <w:r>
        <w:rPr>
          <w:rFonts w:ascii="Arial;sans-serif" w:hAnsi="Arial;sans-serif"/>
          <w:b w:val="false"/>
          <w:i/>
          <w:color w:val="000000"/>
          <w:sz w:val="20"/>
        </w:rPr>
        <w:t>,” and elsewhere throughout this Annual Report. Our actual results could differ materially from those discussed in the forward-looking statements or from our prior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OVERVIEW</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are a global supplier of innovative test and process technology solutions for use in manufacturing and testing across a wide range of markets including Semi, Auto/EV, Defense/Aerospace, Industrial, Life Sciences, Safety/Security and Other. 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MARKETS</w:t>
      </w:r>
    </w:p>
    <w:p>
      <w:pPr>
        <w:pStyle w:val="TextBody"/>
        <w:bidi w:val="0"/>
        <w:spacing w:lineRule="auto" w:line="288" w:before="0" w:after="200"/>
        <w:jc w:val="left"/>
        <w:rPr/>
      </w:pPr>
      <w:r>
        <w:rPr>
          <w:rFonts w:ascii="Arial;sans-serif" w:hAnsi="Arial;sans-serif"/>
          <w:b w:val="false"/>
          <w:color w:val="000000"/>
          <w:sz w:val="20"/>
        </w:rPr>
        <w:t>As discussed in “</w:t>
      </w:r>
      <w:r>
        <w:rPr>
          <w:rFonts w:ascii="Arial;sans-serif" w:hAnsi="Arial;sans-serif"/>
          <w:b/>
          <w:color w:val="000000"/>
          <w:sz w:val="20"/>
        </w:rPr>
        <w:t>Part I; Item 1. Business; Markets</w:t>
      </w:r>
      <w:r>
        <w:rPr>
          <w:rFonts w:ascii="Arial;sans-serif" w:hAnsi="Arial;sans-serif"/>
          <w:b w:val="false"/>
          <w:color w:val="000000"/>
          <w:sz w:val="20"/>
        </w:rPr>
        <w:t>,” we are focused on specific target markets which include both the front-end and back-end of the semiconductor manufacturing, Auto/EV, Defense/Aerospace, Industrial, Life Sciences, Safety/Security and Other.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portion of our business that is derived from the Semi market is substantially dependent upon the demand for ATE by semiconductor manufacturers and companies that specialize in the testing of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Semi market is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year-over-year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As discussed “</w:t>
      </w:r>
      <w:r>
        <w:rPr>
          <w:rFonts w:ascii="Arial;sans-serif" w:hAnsi="Arial;sans-serif"/>
          <w:b/>
          <w:color w:val="000000"/>
          <w:sz w:val="20"/>
        </w:rPr>
        <w:t>Part I; Item 1. Business; Strategy</w:t>
      </w:r>
      <w:r>
        <w:rPr>
          <w:rFonts w:ascii="Arial;sans-serif" w:hAnsi="Arial;sans-serif"/>
          <w:b w:val="false"/>
          <w:color w:val="000000"/>
          <w:sz w:val="20"/>
        </w:rPr>
        <w:t>,”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Auto/EV, Defense/Aerospace, Industrial, Life Sciences, Safety/Security and Other.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ACQUISITION</w:t>
      </w:r>
    </w:p>
    <w:p>
      <w:pPr>
        <w:pStyle w:val="TextBody"/>
        <w:bidi w:val="0"/>
        <w:spacing w:lineRule="auto" w:line="288" w:before="0" w:after="200"/>
        <w:jc w:val="left"/>
        <w:rPr/>
      </w:pPr>
      <w:r>
        <w:rPr>
          <w:rFonts w:ascii="Arial;sans-serif" w:hAnsi="Arial;sans-serif"/>
          <w:b w:val="false"/>
          <w:color w:val="000000"/>
          <w:sz w:val="20"/>
        </w:rPr>
        <w:t>On March 12, 2024, we entered into a stock purchase agreement to acquire all of the outstanding capital shares of Alfamation S.p.A., a leading global provider of state-of-the-art test and measurement solutions for the Auto/EV, Life Sciences and specialty consumer electronics markets. Alfamation™ was founded in 1991 and is headquartered in Milan, Italy. Alfamation</w:t>
      </w:r>
      <w:r>
        <w:rPr>
          <w:color w:val="000000"/>
        </w:rPr>
        <w:t xml:space="preserve">™ </w:t>
      </w:r>
      <w:r>
        <w:rPr>
          <w:rFonts w:ascii="Arial;sans-serif" w:hAnsi="Arial;sans-serif"/>
          <w:b w:val="false"/>
          <w:color w:val="000000"/>
          <w:sz w:val="20"/>
        </w:rPr>
        <w:t>also has a small sales and service subsidiary based in Suzhou City, China. Alfamation</w:t>
      </w:r>
      <w:r>
        <w:rPr>
          <w:color w:val="000000"/>
        </w:rPr>
        <w:t xml:space="preserve">™ </w:t>
      </w:r>
      <w:r>
        <w:rPr>
          <w:rFonts w:ascii="Arial;sans-serif" w:hAnsi="Arial;sans-serif"/>
          <w:b w:val="false"/>
          <w:color w:val="000000"/>
          <w:sz w:val="20"/>
        </w:rPr>
        <w:t>is part of our Electronic Test operating segment. The aggregate purchase price was approximately €20 million comprised of €18 million in cash (approximately $19.7 million) and 187,432 shares of our common stock (valued at $2.1 million based on the closing price of our stock on the date of acquisition). The cash portion of the purchase price was subject to customary working capital adjustments which were finalized in June 2024 and resulted in recording an additional €0.1 million (approximately $0.1 million) of cash purchase price for assets delivered at closing in excess of agreed upon thresholds. The liabilities assumed in connection with the acquisition included debt of approximately €10.3 million, or $11.3 million. After all closing adjustments, the total purchase price was $21.9 million. We finalized our allocation of the purchase price to assets acquired and liabilities assumed during the fourth quarter of 2024.</w:t>
      </w:r>
    </w:p>
    <w:p>
      <w:pPr>
        <w:pStyle w:val="TextBody"/>
        <w:bidi w:val="0"/>
        <w:spacing w:lineRule="auto" w:line="288" w:before="0" w:after="200"/>
        <w:jc w:val="left"/>
        <w:rPr/>
      </w:pPr>
      <w:r>
        <w:rPr>
          <w:rFonts w:ascii="Arial;sans-serif" w:hAnsi="Arial;sans-serif"/>
          <w:b w:val="false"/>
          <w:color w:val="000000"/>
          <w:sz w:val="20"/>
        </w:rPr>
        <w:t>As noted in “</w:t>
      </w:r>
      <w:r>
        <w:rPr>
          <w:rFonts w:ascii="Arial;sans-serif" w:hAnsi="Arial;sans-serif"/>
          <w:b/>
          <w:color w:val="000000"/>
          <w:sz w:val="20"/>
        </w:rPr>
        <w:t>Part I; Item 2. Properties</w:t>
      </w:r>
      <w:r>
        <w:rPr>
          <w:color w:val="000000"/>
        </w:rPr>
        <w:t xml:space="preserve">” </w:t>
      </w:r>
      <w:r>
        <w:rPr>
          <w:rFonts w:ascii="Arial;sans-serif" w:hAnsi="Arial;sans-serif"/>
          <w:b w:val="false"/>
          <w:color w:val="000000"/>
          <w:sz w:val="20"/>
        </w:rPr>
        <w:t>and “</w:t>
      </w:r>
      <w:r>
        <w:rPr>
          <w:rFonts w:ascii="Arial;sans-serif" w:hAnsi="Arial;sans-serif"/>
          <w:b/>
          <w:color w:val="000000"/>
          <w:sz w:val="20"/>
        </w:rPr>
        <w:t>Part II; Item 8. Financial Statements and Supplementary Data; Notes to Consolidated Financial Statements; Note (3) Acquisition; Note (9) Leases</w:t>
      </w:r>
      <w:r>
        <w:rPr>
          <w:rFonts w:ascii="Arial;sans-serif" w:hAnsi="Arial;sans-serif"/>
          <w:b w:val="false"/>
          <w:color w:val="000000"/>
          <w:sz w:val="20"/>
        </w:rPr>
        <w:t>,” in connection with the acquisition, we entered into a related-party lease agreement with the former owner of Alfamation</w:t>
      </w:r>
      <w:r>
        <w:rPr>
          <w:color w:val="000000"/>
        </w:rPr>
        <w: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u w:val="single"/>
        </w:rPr>
      </w:pPr>
      <w:r>
        <w:rPr>
          <w:rFonts w:ascii="Arial;sans-serif" w:hAnsi="Arial;sans-serif"/>
          <w:b/>
          <w:color w:val="C02026"/>
          <w:sz w:val="20"/>
          <w:u w:val="single"/>
        </w:rPr>
        <w:t>KNOWN TRENDS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 xml:space="preserve">We continue to monitor recent macroeconomic factors, including but not limited to changes in global trade policy, tariffs and related reciprocal or retaliatory trade actions announced by the U.S., China and other countries. The degree to which changes in global trade policy, tariffs and other related actions will impact our business, financial condition and results of operations depends on future developments, which are uncertain. Changes in global trade policies, tariffs and other related actions may negatively impact demand, pricing and cost for our products and technologies, contribute to the inherent uncertainties in estimating future customer demand and increase our material costs, any of which could negatively impacting our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u w:val="single"/>
        </w:rPr>
      </w:pPr>
      <w:r>
        <w:rPr>
          <w:rFonts w:ascii="Arial;sans-serif" w:hAnsi="Arial;sans-serif"/>
          <w:b/>
          <w:color w:val="C02026"/>
          <w:sz w:val="20"/>
          <w:u w:val="single"/>
        </w:rPr>
        <w:t>GLOBAL SUPPLY CHAIN CONSTRAINTS</w:t>
      </w:r>
    </w:p>
    <w:p>
      <w:pPr>
        <w:pStyle w:val="TextBody"/>
        <w:bidi w:val="0"/>
        <w:spacing w:lineRule="auto" w:line="288" w:before="0" w:after="200"/>
        <w:jc w:val="left"/>
        <w:rPr/>
      </w:pPr>
      <w:r>
        <w:rPr>
          <w:rFonts w:ascii="Arial;sans-serif" w:hAnsi="Arial;sans-serif"/>
          <w:b w:val="false"/>
          <w:color w:val="000000"/>
          <w:sz w:val="20"/>
        </w:rPr>
        <w:t>In early October 2023, Hamas attacked Israel and Israel formally declared war in response to the attack. Although a cease-fire was declared in October 2025, hostilities continue. On February 28, 2026, the U.S. and Israel launched a coordinated military operation against Iran, and Iran has responded with attacks affecting certain Persian Gulf states as well as Israel. It is unclear when these continuing conflicts will end and these conflicts are likely to cause regional instability that could materially adversely affect global trade, regional economies and the global economy, which could materially adversely affect our financial condition and results of operations.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has a sole source supplier of capacitors used in certain of our induction heating products that is located in Israel. This supplier is the sole source supplier of capacitors for numerous induction companies, and currently there are no viable alternatives available. We have been in contact with our supplier since the conflict with Iran began and have been advised that their operations are currently uninterrupted. We maintain a two-to-three month safety stock on these items.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Acculogic has historically purchased certain parts from a key sole-source supplier in Belarus, which is bordered by Russia to the east and northeast and Ukraine to the south. As a result of the ongoing war between Russia and Ukraine, in August 2024, the U.S., Canada and the European Union added additional sanctions on Belarus, which included adding this supplier to a list of prohibited entities. We have not received materials from this supplier since the issuance of Executive Order 14038.</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qualified a new supplier for these materials and have a supply of these materials on hand to support new production. Our first system incorporating these new materials shipped to one of our customers at the end of the second quarter 2025.</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Additionally, we have applied to OFAC and Global Affairs Canada for permission to purchase materials from the Belarus supplier to support repairs and warranty claims for the existing units already in service with our customers. We have not yet received such permission from Global Affairs Canada. In December 2025, we received a license from OFAC allowing us to purchase a specified dollar amount of these parts from this supplier through June 30, 2026. We are currently in the process of placing an order under this license. We expect to receive these materials later in the first quarter of 2026. However, until these materials are received at our facility in the U.S., there can be no assurance that such purchase will be successfully completed.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while the supply chain and logistics challenges that we encountered throughout 2022 have eased, uncertainty in the global trade environment remains.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pStyle w:val="TextBody"/>
        <w:bidi w:val="0"/>
        <w:spacing w:lineRule="auto" w:line="288" w:before="0" w:after="200"/>
        <w:jc w:val="left"/>
        <w:rPr/>
      </w:pPr>
      <w:r>
        <w:rPr>
          <w:rFonts w:ascii="Arial;sans-serif" w:hAnsi="Arial;sans-serif"/>
          <w:b w:val="false"/>
          <w:color w:val="000000"/>
          <w:sz w:val="20"/>
        </w:rPr>
        <w:t>Please refer to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in this Report for further discussion of the risks associated with our business operations, including risks associated with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CRITICAL ACCOUNTING POLICIES / ESTIMATES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U.S. GAAP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Inventory Valuation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Inventories are generally valued at cost on a first-in, first-out basis, not in excess of net realizable value except inventory acquired in a business combination, which is recorded at fair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and obsolete material as material that has not been used in a work order during the prior twenty-four months.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2025 and 2024, we recorded inventory obsolescence charges for excess and obsolete inventory of $0.8 million and $0.7 million, respectively.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Goodwill, Intangible and Long-Lived Assets</w:t>
      </w:r>
    </w:p>
    <w:p>
      <w:pPr>
        <w:pStyle w:val="TextBody"/>
        <w:bidi w:val="0"/>
        <w:spacing w:lineRule="auto" w:line="288" w:before="0" w:after="200"/>
        <w:jc w:val="left"/>
        <w:rPr/>
      </w:pPr>
      <w:r>
        <w:rPr>
          <w:rFonts w:ascii="Arial;sans-serif" w:hAnsi="Arial;sans-serif"/>
          <w:b w:val="false"/>
          <w:color w:val="000000"/>
          <w:sz w:val="20"/>
        </w:rPr>
        <w:t>We account for goodwill and intangible assets in accordance with Accounting Standards Codification (“</w:t>
      </w:r>
      <w:r>
        <w:rPr>
          <w:rFonts w:ascii="Arial;sans-serif" w:hAnsi="Arial;sans-serif"/>
          <w:b/>
          <w:color w:val="000000"/>
          <w:sz w:val="20"/>
          <w:u w:val="single"/>
        </w:rPr>
        <w:t>ASC</w:t>
      </w:r>
      <w:r>
        <w:rPr>
          <w:color w:val="000000"/>
        </w:rPr>
        <w:t>”</w:t>
      </w:r>
      <w:r>
        <w:rPr>
          <w:rFonts w:ascii="Arial;sans-serif" w:hAnsi="Arial;sans-serif"/>
          <w:b w:val="false"/>
          <w:color w:val="000000"/>
          <w:sz w:val="20"/>
        </w:rPr>
        <w:t xml:space="preserve">) Topic 350 – </w:t>
      </w:r>
      <w:r>
        <w:rPr>
          <w:rFonts w:ascii="Arial;sans-serif" w:hAnsi="Arial;sans-serif"/>
          <w:b w:val="false"/>
          <w:i/>
          <w:color w:val="000000"/>
          <w:sz w:val="20"/>
        </w:rPr>
        <w:t>Intangibles - Goodwill and Other</w:t>
      </w:r>
      <w:r>
        <w:rPr>
          <w:rFonts w:ascii="Arial;sans-serif" w:hAnsi="Arial;sans-serif"/>
          <w:b w:val="false"/>
          <w:color w:val="000000"/>
          <w:sz w:val="20"/>
        </w:rPr>
        <w:t>. Finite-lived intangible assets are amortized over their estimated useful economic life and are carried at cost less accumulated amortization. 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Goodwill is assessed for impairment at least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At December 31, 2025 and 2024, goodwill was $32.4 million and $30.7 million, respectively. We did not record any impairment charges related to our goodwill during 2025 or 2024.</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Our indefinite-lived intangible assets were trademarks and trade names carried at $10.5 million and $10.2 million at December 31, 2025 and 2024, respectively. We did not record any impairment charges related to our indefinite-lived intangible assets during 2025 or 2024.</w:t>
      </w:r>
    </w:p>
    <w:p>
      <w:pPr>
        <w:pStyle w:val="TextBody"/>
        <w:bidi w:val="0"/>
        <w:spacing w:lineRule="auto" w:line="288" w:before="0" w:after="200"/>
        <w:jc w:val="left"/>
        <w:rPr/>
      </w:pPr>
      <w:r>
        <w:rPr>
          <w:rFonts w:ascii="Arial;sans-serif" w:hAnsi="Arial;sans-serif"/>
          <w:b w:val="false"/>
          <w:color w:val="000000"/>
          <w:sz w:val="20"/>
        </w:rPr>
        <w:t>Long-lived assets, which consist of finite-lived intangible assets, property and equipment and right-of-use (“</w:t>
      </w:r>
      <w:r>
        <w:rPr>
          <w:rFonts w:ascii="Arial;sans-serif" w:hAnsi="Arial;sans-serif"/>
          <w:b/>
          <w:color w:val="000000"/>
          <w:sz w:val="20"/>
          <w:u w:val="single"/>
        </w:rPr>
        <w:t>ROU</w:t>
      </w:r>
      <w:r>
        <w:rPr>
          <w:color w:val="000000"/>
        </w:rPr>
        <w:t>”</w:t>
      </w:r>
      <w:r>
        <w:rPr>
          <w:rFonts w:ascii="Arial;sans-serif" w:hAnsi="Arial;sans-serif"/>
          <w:b w:val="false"/>
          <w:color w:val="000000"/>
          <w:sz w:val="20"/>
        </w:rPr>
        <w:t xml:space="preserve">)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used to determine the impairment, if any, contain management’s best estimates using appropriate assumptions and projections at that time. At December 31, 2025 and 2024, finite-lived intangibles, property and equipment and ROU assets in aggregate were $28.2 million and $31.4 million, respectively. We did not record any impairment charges related to our long-lived assets during 2024. As part of the Videology Consolidation during 2025, we recorded immaterial impairment charges related to certain property and equipment and ROU assets. There were no other impairments during 2025. See “</w:t>
      </w:r>
      <w:r>
        <w:rPr>
          <w:rFonts w:ascii="Arial;sans-serif" w:hAnsi="Arial;sans-serif"/>
          <w:b/>
          <w:color w:val="000000"/>
          <w:sz w:val="20"/>
        </w:rPr>
        <w:t>Part II; Item 8. Financial Statements and Supplementary Data; Notes to Consolidated Financial Statements; Note (16) Restructuring</w:t>
      </w:r>
      <w:r>
        <w:rPr>
          <w:color w:val="000000"/>
        </w:rPr>
        <w:t xml:space="preserve">” </w:t>
      </w:r>
      <w:r>
        <w:rPr>
          <w:rFonts w:ascii="Arial;sans-serif" w:hAnsi="Arial;sans-serif"/>
          <w:b w:val="false"/>
          <w:color w:val="000000"/>
          <w:sz w:val="20"/>
        </w:rPr>
        <w:t>for further discussion related to the Videology impairment.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Contingent Consideration Liabilities</w:t>
      </w:r>
    </w:p>
    <w:p>
      <w:pPr>
        <w:pStyle w:val="TextBody"/>
        <w:bidi w:val="0"/>
        <w:spacing w:lineRule="auto" w:line="288" w:before="0" w:after="200"/>
        <w:jc w:val="left"/>
        <w:rPr/>
      </w:pPr>
      <w:r>
        <w:rPr>
          <w:rFonts w:ascii="Arial;sans-serif" w:hAnsi="Arial;sans-serif"/>
          <w:b w:val="false"/>
          <w:color w:val="000000"/>
          <w:sz w:val="20"/>
        </w:rPr>
        <w:t xml:space="preserve">The contingent consideration liabilities on our Consolidated Balance Sheets are accounted for in accordance with the guidance in ASC Topic 820 -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820</w:t>
      </w:r>
      <w:r>
        <w:rPr>
          <w:color w:val="000000"/>
        </w:rPr>
        <w:t>”</w:t>
      </w:r>
      <w:r>
        <w:rPr>
          <w:rFonts w:ascii="Arial;sans-serif" w:hAnsi="Arial;sans-serif"/>
          <w:b w:val="false"/>
          <w:color w:val="000000"/>
          <w:sz w:val="20"/>
        </w:rPr>
        <w:t>). ASC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contingent consideration liability is a result of our acquisition of Acculogic on December 21, 2021. The contingent consideration liability represents the fair value of additional payments we may make to the seller of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There were no payments due to the seller for the years ended December 31, 2023 or 2022, while immaterial amounts were due for 2025 and 2024 and were recorded as a component of other current liabilities. The maximum payment over the five-year period is capped at CAD $5.0 million, which equates to approximately $3.7 million at December 31, 2025. We paid the contractually due amount for 2024 during the first quarter of 2025 and expect to make the payment for the amount due for 2025 in the first quarter of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To estimate the fair value of the contingent consideration at the acquisition date, an option-based income approach using a Monte Carlo simulation model was utilized due to the non-linear payout structure. As of the acquisition date, this resulted in an estimated fair value of $1.4 million.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 The fair value of this Level 3 instrument involves assessing the total amount of revenue we expect from sales to EV or battery customers during the applicable time period as well as when we expect to receive payment for the related net invoices. At December 31, 2025 and 2024, the total contingent consideration liability on our Consolidated Balance Sheets were $0.6 million and $0.9 million, respectively.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0" w:after="200"/>
        <w:jc w:val="left"/>
        <w:rPr/>
      </w:pPr>
      <w:r>
        <w:rPr>
          <w:rFonts w:ascii="Arial;sans-serif" w:hAnsi="Arial;sans-serif"/>
          <w:b w:val="false"/>
          <w:color w:val="000000"/>
          <w:sz w:val="20"/>
        </w:rPr>
        <w:t xml:space="preserve">We account for income taxes using the asset and liability method, as described in ASC Topic 740 – </w:t>
      </w:r>
      <w:r>
        <w:rPr>
          <w:rFonts w:ascii="Arial;sans-serif" w:hAnsi="Arial;sans-serif"/>
          <w:b w:val="false"/>
          <w:i/>
          <w:color w:val="000000"/>
          <w:sz w:val="20"/>
        </w:rPr>
        <w:t>Income Taxes</w:t>
      </w:r>
      <w:r>
        <w:rPr>
          <w:rFonts w:ascii="Arial;sans-serif" w:hAnsi="Arial;sans-serif"/>
          <w:b w:val="false"/>
          <w:color w:val="000000"/>
          <w:sz w:val="20"/>
        </w:rPr>
        <w:t>.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At December 31, 2025 and 2024, we had a net deferred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asset of $0.8 million and $0.1 million, respectively. Our deferred tax valuation allowance at December 31, 2025 and 2024 was $0.8 million and $0.3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Year Ended December 31, 2025 Compared to Year Ended December 31, 2024</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Revenue</w:t>
      </w:r>
    </w:p>
    <w:tbl>
      <w:tblPr>
        <w:tblW w:w="8603"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856"/>
        <w:gridCol w:w="109"/>
        <w:gridCol w:w="109"/>
        <w:gridCol w:w="109"/>
        <w:gridCol w:w="109"/>
        <w:gridCol w:w="211"/>
        <w:gridCol w:w="856"/>
        <w:gridCol w:w="109"/>
        <w:gridCol w:w="109"/>
        <w:gridCol w:w="109"/>
        <w:gridCol w:w="109"/>
        <w:gridCol w:w="211"/>
        <w:gridCol w:w="811"/>
        <w:gridCol w:w="109"/>
        <w:gridCol w:w="109"/>
        <w:gridCol w:w="109"/>
        <w:gridCol w:w="109"/>
        <w:gridCol w:w="270"/>
        <w:gridCol w:w="271"/>
        <w:gridCol w:w="39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disaggregates revenue by market:</w:t>
      </w:r>
    </w:p>
    <w:tbl>
      <w:tblPr>
        <w:tblW w:w="10205" w:type="dxa"/>
        <w:jc w:val="center"/>
        <w:tblInd w:w="0" w:type="dxa"/>
        <w:tblLayout w:type="fixed"/>
        <w:tblCellMar>
          <w:top w:w="28" w:type="dxa"/>
          <w:left w:w="28" w:type="dxa"/>
          <w:bottom w:w="28" w:type="dxa"/>
          <w:right w:w="28" w:type="dxa"/>
        </w:tblCellMar>
      </w:tblPr>
      <w:tblGrid>
        <w:gridCol w:w="773"/>
        <w:gridCol w:w="677"/>
        <w:gridCol w:w="683"/>
        <w:gridCol w:w="109"/>
        <w:gridCol w:w="109"/>
        <w:gridCol w:w="109"/>
        <w:gridCol w:w="211"/>
        <w:gridCol w:w="856"/>
        <w:gridCol w:w="109"/>
        <w:gridCol w:w="109"/>
        <w:gridCol w:w="109"/>
        <w:gridCol w:w="109"/>
        <w:gridCol w:w="292"/>
        <w:gridCol w:w="294"/>
        <w:gridCol w:w="286"/>
        <w:gridCol w:w="109"/>
        <w:gridCol w:w="109"/>
        <w:gridCol w:w="109"/>
        <w:gridCol w:w="211"/>
        <w:gridCol w:w="856"/>
        <w:gridCol w:w="109"/>
        <w:gridCol w:w="109"/>
        <w:gridCol w:w="109"/>
        <w:gridCol w:w="109"/>
        <w:gridCol w:w="292"/>
        <w:gridCol w:w="294"/>
        <w:gridCol w:w="286"/>
        <w:gridCol w:w="109"/>
        <w:gridCol w:w="109"/>
        <w:gridCol w:w="109"/>
        <w:gridCol w:w="211"/>
        <w:gridCol w:w="785"/>
        <w:gridCol w:w="109"/>
        <w:gridCol w:w="109"/>
        <w:gridCol w:w="109"/>
        <w:gridCol w:w="109"/>
        <w:gridCol w:w="270"/>
        <w:gridCol w:w="271"/>
        <w:gridCol w:w="368"/>
      </w:tblGrid>
      <w:tr>
        <w:trPr/>
        <w:tc>
          <w:tcPr>
            <w:tcW w:w="7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1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w:t>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w:t>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113,825 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2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130,690 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2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(16,865)</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36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 year period, revenue for the year ended December 31, 2025 declined, led by Semi, Auto/EV and Defense/Aerospace as customers appeared hesitant to commit to capital projects against a backdrop of a prolonged semiconductor market weakness and global economic and tariff uncertainties. These decreases were partially offset by increases in Industrial and Life Sciences.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Orders and Backlog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disaggregates orders received by market:</w:t>
      </w:r>
    </w:p>
    <w:tbl>
      <w:tblPr>
        <w:tblW w:w="10205" w:type="dxa"/>
        <w:jc w:val="center"/>
        <w:tblInd w:w="0" w:type="dxa"/>
        <w:tblLayout w:type="fixed"/>
        <w:tblCellMar>
          <w:top w:w="28" w:type="dxa"/>
          <w:left w:w="28" w:type="dxa"/>
          <w:bottom w:w="28" w:type="dxa"/>
          <w:right w:w="28" w:type="dxa"/>
        </w:tblCellMar>
      </w:tblPr>
      <w:tblGrid>
        <w:gridCol w:w="755"/>
        <w:gridCol w:w="664"/>
        <w:gridCol w:w="672"/>
        <w:gridCol w:w="109"/>
        <w:gridCol w:w="109"/>
        <w:gridCol w:w="109"/>
        <w:gridCol w:w="211"/>
        <w:gridCol w:w="856"/>
        <w:gridCol w:w="109"/>
        <w:gridCol w:w="109"/>
        <w:gridCol w:w="109"/>
        <w:gridCol w:w="109"/>
        <w:gridCol w:w="292"/>
        <w:gridCol w:w="294"/>
        <w:gridCol w:w="286"/>
        <w:gridCol w:w="109"/>
        <w:gridCol w:w="109"/>
        <w:gridCol w:w="109"/>
        <w:gridCol w:w="211"/>
        <w:gridCol w:w="856"/>
        <w:gridCol w:w="109"/>
        <w:gridCol w:w="109"/>
        <w:gridCol w:w="109"/>
        <w:gridCol w:w="109"/>
        <w:gridCol w:w="292"/>
        <w:gridCol w:w="294"/>
        <w:gridCol w:w="286"/>
        <w:gridCol w:w="109"/>
        <w:gridCol w:w="109"/>
        <w:gridCol w:w="109"/>
        <w:gridCol w:w="211"/>
        <w:gridCol w:w="784"/>
        <w:gridCol w:w="109"/>
        <w:gridCol w:w="109"/>
        <w:gridCol w:w="109"/>
        <w:gridCol w:w="109"/>
        <w:gridCol w:w="292"/>
        <w:gridCol w:w="294"/>
        <w:gridCol w:w="366"/>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Orders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7"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0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(10,165)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3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88.6</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137.3</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158.9</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128,221 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2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107,704 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2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20,517 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3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 year, orders for the year ended December 31, 2025 increased reflecting improvements in all markets except Semi and Other. Within Semi, orders from both front and back-end were down compared to the prior year period as demand remains low.</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December 31, 2025, our backlog of unfilled orders for all products was $53.9 million compared to $39.5 million at December 31, 2024. Our backlog includes customer orders that we have accepted, substantially all of which we expect to deliver in the next twelve months.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Gross Margin</w:t>
      </w:r>
    </w:p>
    <w:tbl>
      <w:tblPr>
        <w:tblW w:w="864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70"/>
        <w:gridCol w:w="271"/>
        <w:gridCol w:w="39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Gross margin increased 60 basis points for the year ended December 31, 2025, compared to the same prior year period. The current year period also includes the full year impact of Alfamation</w:t>
      </w:r>
      <w:r>
        <w:rPr>
          <w:color w:val="000000"/>
        </w:rPr>
        <w:t xml:space="preserve">™ </w:t>
      </w:r>
      <w:r>
        <w:rPr>
          <w:rFonts w:ascii="Arial;sans-serif" w:hAnsi="Arial;sans-serif"/>
          <w:b w:val="false"/>
          <w:color w:val="000000"/>
          <w:sz w:val="20"/>
        </w:rPr>
        <w:t>activity. In the fourth quarter of 2024, we refined and finalized our purchase price allocation for the Alfamation™ acquisition. Adjustments recorded included a $1.6 million increase in the cost of inventory acquired (“inventory step-up”), to reflect the fair value of work in process and finished goods at the acquisition date. As the related inventory was sold in 2024, this increase was charged to cost of goods sold in the fourth quarter of 2024 which negatively impacted gross margin for the fourth quarter and year ended December 31, 2024. The full year 2024 gross margin included the negative 120 basis point impact from the acquisition inventory step-up. Excluding the inventory step-up, gross margin for the year ended December 31, 2025 decreased 60 basis points driven by lower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Selling Expense</w:t>
      </w:r>
    </w:p>
    <w:tbl>
      <w:tblPr>
        <w:tblW w:w="837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541"/>
        <w:gridCol w:w="109"/>
        <w:gridCol w:w="109"/>
        <w:gridCol w:w="109"/>
        <w:gridCol w:w="109"/>
        <w:gridCol w:w="218"/>
        <w:gridCol w:w="218"/>
        <w:gridCol w:w="39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Selling expense for the year ended December 31, 2025, declined slightly compared to the prior year period, but not at the rate of the revenue decline. Sales commissions, payroll and payroll related costs decreased, however, we recognized an increase in warranty expense compared to the prior year period along with the full year impact of Alfamation</w:t>
      </w:r>
      <w:r>
        <w:rPr>
          <w:color w:val="000000"/>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Engineering and Product Development Expense</w:t>
      </w:r>
    </w:p>
    <w:tbl>
      <w:tblPr>
        <w:tblW w:w="9391" w:type="dxa"/>
        <w:jc w:val="center"/>
        <w:tblInd w:w="0" w:type="dxa"/>
        <w:tblLayout w:type="fixed"/>
        <w:tblCellMar>
          <w:top w:w="28" w:type="dxa"/>
          <w:left w:w="28" w:type="dxa"/>
          <w:bottom w:w="28" w:type="dxa"/>
          <w:right w:w="28" w:type="dxa"/>
        </w:tblCellMar>
      </w:tblPr>
      <w:tblGrid>
        <w:gridCol w:w="1515"/>
        <w:gridCol w:w="1332"/>
        <w:gridCol w:w="1337"/>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40"/>
        <w:gridCol w:w="241"/>
        <w:gridCol w:w="331"/>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20"/>
              </w:rPr>
            </w:pPr>
            <w:r>
              <w:rPr>
                <w:rFonts w:ascii="Arial;sans-serif" w:hAnsi="Arial;sans-serif"/>
                <w:b/>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Engineering and product development expense for the year ended December 31, 2025, increased compared to the prior year period due to payroll and payroll related cost increases along with the full year impact of Alfamation</w:t>
      </w:r>
      <w:r>
        <w:rPr>
          <w:color w:val="000000"/>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 Expense</w:t>
      </w:r>
    </w:p>
    <w:tbl>
      <w:tblPr>
        <w:tblW w:w="8896" w:type="dxa"/>
        <w:jc w:val="center"/>
        <w:tblInd w:w="0" w:type="dxa"/>
        <w:tblLayout w:type="fixed"/>
        <w:tblCellMar>
          <w:top w:w="28" w:type="dxa"/>
          <w:left w:w="28" w:type="dxa"/>
          <w:bottom w:w="28" w:type="dxa"/>
          <w:right w:w="28" w:type="dxa"/>
        </w:tblCellMar>
      </w:tblPr>
      <w:tblGrid>
        <w:gridCol w:w="1173"/>
        <w:gridCol w:w="1031"/>
        <w:gridCol w:w="1035"/>
        <w:gridCol w:w="109"/>
        <w:gridCol w:w="109"/>
        <w:gridCol w:w="109"/>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18"/>
        <w:gridCol w:w="218"/>
        <w:gridCol w:w="391"/>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General and administrative expense for the year ended December 31, 2025 decreased compared to the prior year period due primarily to the $0.8 million decrease in acquisition-related costs, along with smaller decreases in stock-based compensation related to the decreased probability for the achievement of certain performance targets, and decreased bonus expense offset partially by the full year impact of Alfamation</w:t>
      </w:r>
      <w:r>
        <w:rPr>
          <w:color w:val="000000"/>
        </w:rPr>
        <w:t>™</w:t>
      </w:r>
      <w:r>
        <w:rPr>
          <w:rFonts w:ascii="Arial;sans-serif" w:hAnsi="Arial;sans-serif"/>
          <w:b w:val="false"/>
          <w:color w:val="000000"/>
          <w:sz w:val="20"/>
        </w:rPr>
        <w:t>. Early in 2025 we also refocused on controlling discretionary spending and reducing non-strategic expenses. During the first quarter of 2025, we disaggregated the amortization of intangible assets and restructuring costs from general and administrative expenses in all periods presented.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Amortization of Acquired Intangible Assets</w:t>
      </w:r>
    </w:p>
    <w:tbl>
      <w:tblPr>
        <w:tblW w:w="8972" w:type="dxa"/>
        <w:jc w:val="center"/>
        <w:tblInd w:w="0" w:type="dxa"/>
        <w:tblLayout w:type="fixed"/>
        <w:tblCellMar>
          <w:top w:w="28" w:type="dxa"/>
          <w:left w:w="28" w:type="dxa"/>
          <w:bottom w:w="28" w:type="dxa"/>
          <w:right w:w="28" w:type="dxa"/>
        </w:tblCellMar>
      </w:tblPr>
      <w:tblGrid>
        <w:gridCol w:w="1363"/>
        <w:gridCol w:w="1199"/>
        <w:gridCol w:w="1203"/>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40"/>
        <w:gridCol w:w="241"/>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Amortization of acquired intangible assets for the year ended December 31, 2025, increased compared to the prior year period due to the full year impact of the additional finite-lived intangible assets acquired in the Alfamation</w:t>
      </w:r>
      <w:r>
        <w:rPr>
          <w:color w:val="000000"/>
        </w:rPr>
        <w:t xml:space="preserve">™ </w:t>
      </w:r>
      <w:r>
        <w:rPr>
          <w:rFonts w:ascii="Arial;sans-serif" w:hAnsi="Arial;sans-serif"/>
          <w:b w:val="false"/>
          <w:color w:val="000000"/>
          <w:sz w:val="20"/>
        </w:rPr>
        <w:t>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Restructuring Costs</w:t>
      </w:r>
    </w:p>
    <w:tbl>
      <w:tblPr>
        <w:tblW w:w="7290"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481"/>
        <w:gridCol w:w="286"/>
        <w:gridCol w:w="109"/>
        <w:gridCol w:w="109"/>
        <w:gridCol w:w="109"/>
        <w:gridCol w:w="211"/>
        <w:gridCol w:w="406"/>
        <w:gridCol w:w="286"/>
        <w:gridCol w:w="109"/>
        <w:gridCol w:w="109"/>
        <w:gridCol w:w="109"/>
        <w:gridCol w:w="211"/>
        <w:gridCol w:w="481"/>
        <w:gridCol w:w="109"/>
        <w:gridCol w:w="109"/>
        <w:gridCol w:w="109"/>
        <w:gridCol w:w="109"/>
        <w:gridCol w:w="123"/>
        <w:gridCol w:w="123"/>
        <w:gridCol w:w="17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Restructuring costs for the year ended December 31, 2025, represent the costs recognized for the Videology Consolidation of the Netherlands operations into our US operations in Mansfield, MA as well as the leadership transition in our Environmental Technologies division. These costs were for severance, retention payroll-related costs, non-cash impairment charges for fixed assets and lease impairment along with legal and other restructuring-related charges. See “</w:t>
      </w:r>
      <w:r>
        <w:rPr>
          <w:rFonts w:ascii="Arial;sans-serif" w:hAnsi="Arial;sans-serif"/>
          <w:b/>
          <w:color w:val="000000"/>
          <w:sz w:val="20"/>
        </w:rPr>
        <w:t>Part II; Item 8. Financial Statements and Supplementary Data; Notes to Consolidated Financial Statements; Note (16) Restructuring</w:t>
      </w:r>
      <w:r>
        <w:rPr>
          <w:color w:val="000000"/>
        </w:rPr>
        <w:t xml:space="preserve">” </w:t>
      </w:r>
      <w:r>
        <w:rPr>
          <w:rFonts w:ascii="Arial;sans-serif" w:hAnsi="Arial;sans-serif"/>
          <w:b w:val="false"/>
          <w:color w:val="000000"/>
          <w:sz w:val="20"/>
        </w:rPr>
        <w:t>for further details. There were no restructuring programs in the prior year.</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Income Tax (Benefit) Expense</w:t>
      </w:r>
    </w:p>
    <w:tbl>
      <w:tblPr>
        <w:tblW w:w="8160"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541"/>
        <w:gridCol w:w="286"/>
        <w:gridCol w:w="109"/>
        <w:gridCol w:w="109"/>
        <w:gridCol w:w="109"/>
        <w:gridCol w:w="211"/>
        <w:gridCol w:w="481"/>
        <w:gridCol w:w="286"/>
        <w:gridCol w:w="109"/>
        <w:gridCol w:w="109"/>
        <w:gridCol w:w="109"/>
        <w:gridCol w:w="211"/>
        <w:gridCol w:w="706"/>
        <w:gridCol w:w="109"/>
        <w:gridCol w:w="109"/>
        <w:gridCol w:w="109"/>
        <w:gridCol w:w="109"/>
        <w:gridCol w:w="272"/>
        <w:gridCol w:w="272"/>
        <w:gridCol w:w="386"/>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(223.4%)</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For the year ended December 31, 2025, we recorded an income tax benefit primarily as a result of the net loss before income tax, as compared to income tax expense in the prior year where we had net income before income tax. On a quarterly basis, we record income tax expense or benefit based on the expected annualized effective tax rate for the various tax jurisdictions in which we operate our businesses. See “</w:t>
      </w:r>
      <w:r>
        <w:rPr>
          <w:rFonts w:ascii="Arial;sans-serif" w:hAnsi="Arial;sans-serif"/>
          <w:b/>
          <w:color w:val="000000"/>
          <w:sz w:val="20"/>
        </w:rPr>
        <w:t>Part II; Item 8. Financial Statements and Supplementary Data; Notes to Consolidated Financial Statements; Note (18) Income Taxes</w:t>
      </w:r>
      <w:r>
        <w:rPr>
          <w:color w:val="000000"/>
        </w:rPr>
        <w:t xml:space="preserve">” </w:t>
      </w:r>
      <w:r>
        <w:rPr>
          <w:rFonts w:ascii="Arial;sans-serif" w:hAnsi="Arial;sans-serif"/>
          <w:b w:val="false"/>
          <w:color w:val="000000"/>
          <w:sz w:val="20"/>
        </w:rPr>
        <w:t>for further detail of the difference between our effective tax rates in 2025 and 2024 and the statutory tax rate of 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LIQUIDITY AND CAPITAL RESOURCES</w:t>
      </w:r>
    </w:p>
    <w:p>
      <w:pPr>
        <w:pStyle w:val="TextBody"/>
        <w:bidi w:val="0"/>
        <w:spacing w:lineRule="auto" w:line="288" w:before="0" w:after="200"/>
        <w:jc w:val="left"/>
        <w:rPr/>
      </w:pPr>
      <w:r>
        <w:rPr>
          <w:rFonts w:ascii="Arial;sans-serif" w:hAnsi="Arial;sans-serif"/>
          <w:b w:val="false"/>
          <w:color w:val="000000"/>
          <w:sz w:val="20"/>
        </w:rPr>
        <w:t>As discussed more fully in the “</w:t>
      </w:r>
      <w:r>
        <w:rPr>
          <w:rFonts w:ascii="Arial;sans-serif" w:hAnsi="Arial;sans-serif"/>
          <w:b/>
          <w:color w:val="000000"/>
          <w:sz w:val="20"/>
          <w:u w:val="single"/>
        </w:rPr>
        <w:t>Overview</w:t>
      </w:r>
      <w:r>
        <w:rPr>
          <w:color w:val="000000"/>
        </w:rPr>
        <w:t xml:space="preserve">” </w:t>
      </w:r>
      <w:r>
        <w:rPr>
          <w:rFonts w:ascii="Arial;sans-serif" w:hAnsi="Arial;sans-serif"/>
          <w:b w:val="false"/>
          <w:color w:val="000000"/>
          <w:sz w:val="20"/>
        </w:rPr>
        <w:t>section above,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As discussed in “</w:t>
      </w:r>
      <w:r>
        <w:rPr>
          <w:rFonts w:ascii="Arial;sans-serif" w:hAnsi="Arial;sans-serif"/>
          <w:b/>
          <w:color w:val="000000"/>
          <w:sz w:val="20"/>
        </w:rPr>
        <w:t>Part II; Item 8. Financial Statements and Supplementary Data; Notes to Consolidated Financial Statements; Note (10) Debt</w:t>
      </w:r>
      <w:r>
        <w:rPr>
          <w:color w:val="000000"/>
        </w:rPr>
        <w:t xml:space="preserve">” </w:t>
      </w:r>
      <w:r>
        <w:rPr>
          <w:rFonts w:ascii="Arial;sans-serif" w:hAnsi="Arial;sans-serif"/>
          <w:b w:val="false"/>
          <w:color w:val="000000"/>
          <w:sz w:val="20"/>
        </w:rPr>
        <w:t>of this Report, on October 15, 2021 (the “</w:t>
      </w:r>
      <w:r>
        <w:rPr>
          <w:rFonts w:ascii="Arial;sans-serif" w:hAnsi="Arial;sans-serif"/>
          <w:b/>
          <w:color w:val="000000"/>
          <w:sz w:val="20"/>
          <w:u w:val="single"/>
        </w:rPr>
        <w:t>Closing Date</w:t>
      </w:r>
      <w:r>
        <w:rPr>
          <w:color w:val="000000"/>
        </w:rPr>
        <w:t>”</w:t>
      </w:r>
      <w:r>
        <w:rPr>
          <w:rFonts w:ascii="Arial;sans-serif" w:hAnsi="Arial;sans-serif"/>
          <w:b w:val="false"/>
          <w:color w:val="000000"/>
          <w:sz w:val="20"/>
        </w:rPr>
        <w:t>), we entered into an Amended and Restated Loan and Security Agreement with M&amp;T Bank which, was subsequently amended on October 28, 2021, December 30, 2021, September 20, 2022, May 2, 2024, and December 18, 2024 (together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xml:space="preserve">). The available funding at December 31, 2025, under the Term Note was $30 million and we have not borrowed any amounts under the $10.0 million Revolving Facility. The Credit Facility has a five-year contract period that began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October 15, 2021, and, as amended, expires on May 2, 2031, and draws under the Term Note, as amended, are permissible until May 2, 2026.</w:t>
      </w:r>
    </w:p>
    <w:p>
      <w:pPr>
        <w:pStyle w:val="TextBody"/>
        <w:bidi w:val="0"/>
        <w:spacing w:lineRule="auto" w:line="288" w:before="0" w:after="200"/>
        <w:jc w:val="left"/>
        <w:rPr/>
      </w:pPr>
      <w:r>
        <w:rPr>
          <w:rFonts w:ascii="Arial;sans-serif" w:hAnsi="Arial;sans-serif"/>
          <w:b w:val="false"/>
          <w:color w:val="000000"/>
          <w:sz w:val="20"/>
        </w:rPr>
        <w:t>On August 5, 2025, we executed the Sixth Amendment (the “</w:t>
      </w:r>
      <w:r>
        <w:rPr>
          <w:rFonts w:ascii="Arial;sans-serif" w:hAnsi="Arial;sans-serif"/>
          <w:b/>
          <w:color w:val="000000"/>
          <w:sz w:val="20"/>
          <w:u w:val="single"/>
        </w:rPr>
        <w:t>Sixth Amendment</w:t>
      </w:r>
      <w:r>
        <w:rPr>
          <w:color w:val="000000"/>
        </w:rPr>
        <w:t>”</w:t>
      </w:r>
      <w:r>
        <w:rPr>
          <w:rFonts w:ascii="Arial;sans-serif" w:hAnsi="Arial;sans-serif"/>
          <w:b w:val="false"/>
          <w:color w:val="000000"/>
          <w:sz w:val="20"/>
        </w:rPr>
        <w:t>) to the Loan Agreement (the “</w:t>
      </w:r>
      <w:r>
        <w:rPr>
          <w:rFonts w:ascii="Arial;sans-serif" w:hAnsi="Arial;sans-serif"/>
          <w:b/>
          <w:color w:val="000000"/>
          <w:sz w:val="20"/>
          <w:u w:val="single"/>
        </w:rPr>
        <w:t>Amended Loan Agreement</w:t>
      </w:r>
      <w:r>
        <w:rPr>
          <w:color w:val="000000"/>
        </w:rPr>
        <w:t>”</w:t>
      </w:r>
      <w:r>
        <w:rPr>
          <w:rFonts w:ascii="Arial;sans-serif" w:hAnsi="Arial;sans-serif"/>
          <w:b w:val="false"/>
          <w:color w:val="000000"/>
          <w:sz w:val="20"/>
        </w:rPr>
        <w: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open debt with M&amp;T. At December 31, 2025, we had total debt of $3.8 million with M&amp;T and held $3.8 million of restricted cash with M&amp;T.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December 31, 2025, we had not borrowed any amounts under the $10 million Revolving Facility. Our borrowings under the Term Note are discussed below and occurred prior to entering into the Amended Loan Agreement. Our available funding under the Term Note at December 31, 2025 was $30.0 million.</w:t>
      </w:r>
    </w:p>
    <w:p>
      <w:pPr>
        <w:pStyle w:val="TextBody"/>
        <w:bidi w:val="0"/>
        <w:spacing w:lineRule="auto" w:line="288" w:before="0" w:after="200"/>
        <w:jc w:val="left"/>
        <w:rPr/>
      </w:pPr>
      <w:r>
        <w:rPr>
          <w:rFonts w:ascii="Arial;sans-serif" w:hAnsi="Arial;sans-serif"/>
          <w:b w:val="false"/>
          <w:color w:val="000000"/>
          <w:sz w:val="20"/>
        </w:rPr>
        <w:t>The principal balance of the Revolving Facility and the principal balance of any amount drawn under the Term Note accrues interest based on the secured overnight financing rate for U.S. government securities (“</w:t>
      </w:r>
      <w:r>
        <w:rPr>
          <w:rFonts w:ascii="Arial;sans-serif" w:hAnsi="Arial;sans-serif"/>
          <w:b/>
          <w:color w:val="000000"/>
          <w:sz w:val="20"/>
          <w:u w:val="single"/>
        </w:rPr>
        <w:t>SOFR</w:t>
      </w:r>
      <w:r>
        <w:rPr>
          <w:color w:val="000000"/>
        </w:rPr>
        <w:t>”</w:t>
      </w:r>
      <w:r>
        <w:rPr>
          <w:rFonts w:ascii="Arial;sans-serif" w:hAnsi="Arial;sans-serif"/>
          <w:b w:val="false"/>
          <w:color w:val="000000"/>
          <w:sz w:val="20"/>
        </w:rPr>
        <w:t>)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Amended Loan Agreement contains customary default provisions, including but not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that are owned as of the Closing Date or acquired thereafter. As noted above, the Sixth Amendment waives the fixed charge coverage ratio financial covenant through and including March 31, 2026. At December 31, 2025, we were in compliance with all of the other covenants included in the Credit Facility including the debt covenants of the Amended Loan Agreement. We expect to be in compliance with the fixed charge coverage ratio after the first quarter of 2026.</w:t>
      </w:r>
    </w:p>
    <w:p>
      <w:pPr>
        <w:pStyle w:val="TextBody"/>
        <w:bidi w:val="0"/>
        <w:spacing w:lineRule="auto" w:line="288" w:before="0" w:after="200"/>
        <w:jc w:val="left"/>
        <w:rPr/>
      </w:pPr>
      <w:r>
        <w:rPr>
          <w:rFonts w:ascii="Arial;sans-serif" w:hAnsi="Arial;sans-serif"/>
          <w:b w:val="false"/>
          <w:color w:val="000000"/>
          <w:sz w:val="20"/>
        </w:rPr>
        <w:t>On October 28, 2021, we drew $12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December 31, 2025, it was approximately 6.0% based on current leverage.</w:t>
      </w:r>
    </w:p>
    <w:p>
      <w:pPr>
        <w:pStyle w:val="TextBody"/>
        <w:bidi w:val="0"/>
        <w:spacing w:lineRule="auto" w:line="288" w:before="0" w:after="200"/>
        <w:jc w:val="left"/>
        <w:rPr/>
      </w:pPr>
      <w:r>
        <w:rPr>
          <w:rFonts w:ascii="Arial;sans-serif" w:hAnsi="Arial;sans-serif"/>
          <w:b w:val="false"/>
          <w:color w:val="000000"/>
          <w:sz w:val="20"/>
        </w:rPr>
        <w:t>In connection with our acquisition of Alfamation as discussed in “</w:t>
      </w:r>
      <w:r>
        <w:rPr>
          <w:rFonts w:ascii="Arial;sans-serif" w:hAnsi="Arial;sans-serif"/>
          <w:b/>
          <w:color w:val="000000"/>
          <w:sz w:val="20"/>
        </w:rPr>
        <w:t>Part II; Item 8. Financial Statements and Supplementary Data; Notes to Consolidated Financial Statements; Note (3) Acquisition,</w:t>
      </w:r>
      <w:r>
        <w:rPr>
          <w:color w:val="000000"/>
        </w:rPr>
        <w:t xml:space="preserve">” </w:t>
      </w:r>
      <w:r>
        <w:rPr>
          <w:rFonts w:ascii="Arial;sans-serif" w:hAnsi="Arial;sans-serif"/>
          <w:b w:val="false"/>
          <w:color w:val="000000"/>
          <w:sz w:val="20"/>
        </w:rPr>
        <w:t>we assumed debt which totaled $11.3 million as of the acquisition date (the “</w:t>
      </w:r>
      <w:r>
        <w:rPr>
          <w:rFonts w:ascii="Arial;sans-serif" w:hAnsi="Arial;sans-serif"/>
          <w:b/>
          <w:color w:val="000000"/>
          <w:sz w:val="20"/>
          <w:u w:val="single"/>
        </w:rPr>
        <w:t>Alfamation</w:t>
      </w:r>
      <w:r>
        <w:rPr>
          <w:color w:val="000000"/>
        </w:rPr>
        <w:t>™</w:t>
      </w:r>
      <w:r>
        <w:rPr>
          <w:color w:val="000000"/>
          <w:u w:val="single"/>
        </w:rPr>
        <w:t xml:space="preserve"> </w:t>
      </w:r>
      <w:r>
        <w:rPr>
          <w:rFonts w:ascii="Arial;sans-serif" w:hAnsi="Arial;sans-serif"/>
          <w:b/>
          <w:color w:val="000000"/>
          <w:sz w:val="20"/>
          <w:u w:val="single"/>
        </w:rPr>
        <w:t>Debt</w:t>
      </w:r>
      <w:r>
        <w:rPr>
          <w:color w:val="000000"/>
        </w:rPr>
        <w:t>”</w:t>
      </w:r>
      <w:r>
        <w:rPr>
          <w:rFonts w:ascii="Arial;sans-serif" w:hAnsi="Arial;sans-serif"/>
          <w:b w:val="false"/>
          <w:color w:val="000000"/>
          <w:sz w:val="20"/>
        </w:rPr>
        <w:t>). As of December 31, 2025, the Alfamation</w:t>
      </w:r>
      <w:r>
        <w:rPr>
          <w:color w:val="000000"/>
        </w:rPr>
        <w:t xml:space="preserve">™ </w:t>
      </w:r>
      <w:r>
        <w:rPr>
          <w:rFonts w:ascii="Arial;sans-serif" w:hAnsi="Arial;sans-serif"/>
          <w:b w:val="false"/>
          <w:color w:val="000000"/>
          <w:sz w:val="20"/>
        </w:rPr>
        <w:t>Debt was $3.6 million, including $1.0 million that is backed by Alfamation</w:t>
      </w:r>
      <w:r>
        <w:rPr>
          <w:color w:val="000000"/>
        </w:rPr>
        <w:t>™’</w:t>
      </w:r>
      <w:r>
        <w:rPr>
          <w:rFonts w:ascii="Arial;sans-serif" w:hAnsi="Arial;sans-serif"/>
          <w:b w:val="false"/>
          <w:color w:val="000000"/>
          <w:sz w:val="20"/>
        </w:rPr>
        <w:t>s accounts receivable. The reduction since the acquisition date represents repayments of short-term instruments and principal payments on long-term debt, net of new borrowings that are backed by Alfamation</w:t>
      </w:r>
      <w:r>
        <w:rPr>
          <w:color w:val="000000"/>
        </w:rPr>
        <w:t>™’</w:t>
      </w:r>
      <w:r>
        <w:rPr>
          <w:rFonts w:ascii="Arial;sans-serif" w:hAnsi="Arial;sans-serif"/>
          <w:b w:val="false"/>
          <w:color w:val="000000"/>
          <w:sz w:val="20"/>
        </w:rPr>
        <w:t>s accounts receivable. The short-term variable financing rate at December 31, 2025, was 3.2%. At December 31, 2025, the weighted average interest rate payable on the bank issued term loans was 1.0% for fixed rate debt and 3.8% for variable rate debt and the overall weighted average interest rate for the bank issued term loans was 3.3%.</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Interest expense for the years ended December 31, 2025 and 2024 was $0.5 million and $0.8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Liquidity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cash, cash equivalents, restricted cash and working capital were as follows:</w:t>
      </w:r>
    </w:p>
    <w:tbl>
      <w:tblPr>
        <w:tblW w:w="5316" w:type="dxa"/>
        <w:jc w:val="center"/>
        <w:tblInd w:w="0" w:type="dxa"/>
        <w:tblLayout w:type="fixed"/>
        <w:tblCellMar>
          <w:top w:w="28" w:type="dxa"/>
          <w:left w:w="28" w:type="dxa"/>
          <w:bottom w:w="28" w:type="dxa"/>
          <w:right w:w="28" w:type="dxa"/>
        </w:tblCellMar>
      </w:tblPr>
      <w:tblGrid>
        <w:gridCol w:w="895"/>
        <w:gridCol w:w="789"/>
        <w:gridCol w:w="791"/>
        <w:gridCol w:w="109"/>
        <w:gridCol w:w="109"/>
        <w:gridCol w:w="109"/>
        <w:gridCol w:w="211"/>
        <w:gridCol w:w="751"/>
        <w:gridCol w:w="109"/>
        <w:gridCol w:w="109"/>
        <w:gridCol w:w="109"/>
        <w:gridCol w:w="109"/>
        <w:gridCol w:w="211"/>
        <w:gridCol w:w="751"/>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14,216 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19,830 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At December 31, 2025, $10.2 million, or 72%,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w:t>
      </w:r>
      <w:r>
        <w:rPr>
          <w:rFonts w:ascii="Arial;sans-serif" w:hAnsi="Arial;sans-serif"/>
          <w:b/>
          <w:color w:val="000000"/>
          <w:sz w:val="20"/>
        </w:rPr>
        <w:t>Part II; Item 8. Financial Statements and Supplementary Data; Notes to Consolidated Financial Statements; Note (10) Debt</w:t>
      </w:r>
      <w:r>
        <w:rPr>
          <w:color w:val="000000"/>
        </w:rPr>
        <w:t xml:space="preserve">” </w:t>
      </w:r>
      <w:r>
        <w:rPr>
          <w:rFonts w:ascii="Arial;sans-serif" w:hAnsi="Arial;sans-serif"/>
          <w:b w:val="false"/>
          <w:color w:val="000000"/>
          <w:sz w:val="20"/>
        </w:rPr>
        <w:t>of this Report.</w:t>
      </w:r>
    </w:p>
    <w:p>
      <w:pPr>
        <w:pStyle w:val="TextBody"/>
        <w:bidi w:val="0"/>
        <w:spacing w:lineRule="auto" w:line="288" w:before="0" w:after="200"/>
        <w:jc w:val="left"/>
        <w:rPr/>
      </w:pPr>
      <w:r>
        <w:rPr>
          <w:rFonts w:ascii="Arial;sans-serif" w:hAnsi="Arial;sans-serif"/>
          <w:b w:val="false"/>
          <w:color w:val="000000"/>
          <w:sz w:val="20"/>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anticipate making investments in our business in the next twelve months including hiring of additional staff, updates to our systems and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 As discussed above in “</w:t>
      </w:r>
      <w:r>
        <w:rPr>
          <w:rFonts w:ascii="Arial;sans-serif" w:hAnsi="Arial;sans-serif"/>
          <w:b/>
          <w:color w:val="000000"/>
          <w:sz w:val="20"/>
        </w:rPr>
        <w:t>Credit Facility</w:t>
      </w:r>
      <w:r>
        <w:rPr>
          <w:color w:val="000000"/>
        </w:rPr>
        <w:t xml:space="preserve">” </w:t>
      </w:r>
      <w:r>
        <w:rPr>
          <w:rFonts w:ascii="Arial;sans-serif" w:hAnsi="Arial;sans-serif"/>
          <w:b w:val="false"/>
          <w:color w:val="000000"/>
          <w:sz w:val="20"/>
        </w:rPr>
        <w:t>and in “</w:t>
      </w:r>
      <w:r>
        <w:rPr>
          <w:rFonts w:ascii="Arial;sans-serif" w:hAnsi="Arial;sans-serif"/>
          <w:b/>
          <w:color w:val="000000"/>
          <w:sz w:val="20"/>
        </w:rPr>
        <w:t>Part II; Item 8. Financial Statements and Supplementary Data; Notes to Consolidated Financial Statements; Note (10) Debt</w:t>
      </w:r>
      <w:r>
        <w:rPr>
          <w:color w:val="000000"/>
        </w:rPr>
        <w:t>”</w:t>
      </w:r>
      <w:r>
        <w:rPr>
          <w:rFonts w:ascii="Arial;sans-serif" w:hAnsi="Arial;sans-serif"/>
          <w:b w:val="false"/>
          <w:color w:val="000000"/>
          <w:sz w:val="20"/>
        </w:rPr>
        <w:t>, on August 5, 2025 we formally pledged a portion of our cash holdings equal to our total open debt with M&amp;T. At December 31, 2025, we had total debt of $3.8 million with M&amp;T.</w:t>
      </w:r>
    </w:p>
    <w:p>
      <w:pPr>
        <w:pStyle w:val="TextBody"/>
        <w:bidi w:val="0"/>
        <w:spacing w:lineRule="auto" w:line="288" w:before="0" w:after="200"/>
        <w:jc w:val="left"/>
        <w:rPr/>
      </w:pPr>
      <w:r>
        <w:rPr>
          <w:rFonts w:ascii="Arial;sans-serif" w:hAnsi="Arial;sans-serif"/>
          <w:b w:val="false"/>
          <w:color w:val="000000"/>
          <w:sz w:val="20"/>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in September 2022 as discussed above and in “</w:t>
      </w:r>
      <w:r>
        <w:rPr>
          <w:rFonts w:ascii="Arial;sans-serif" w:hAnsi="Arial;sans-serif"/>
          <w:b/>
          <w:color w:val="000000"/>
          <w:sz w:val="20"/>
        </w:rPr>
        <w:t>Part II; Item 8. Financial Statements and Supplementary Data; Notes to Consolidated Financial Statements; Note (10) Debt</w:t>
      </w:r>
      <w:r>
        <w:rPr>
          <w:color w:val="000000"/>
        </w:rPr>
        <w:t xml:space="preserve">” </w:t>
      </w:r>
      <w:r>
        <w:rPr>
          <w:rFonts w:ascii="Arial;sans-serif" w:hAnsi="Arial;sans-serif"/>
          <w:b w:val="false"/>
          <w:color w:val="000000"/>
          <w:sz w:val="20"/>
        </w:rPr>
        <w:t>of this Report.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Cash Flows</w:t>
      </w:r>
    </w:p>
    <w:p>
      <w:pPr>
        <w:pStyle w:val="TextBody"/>
        <w:bidi w:val="0"/>
        <w:spacing w:lineRule="auto" w:line="288" w:before="0" w:after="200"/>
        <w:jc w:val="left"/>
        <w:rPr/>
      </w:pPr>
      <w:r>
        <w:rPr>
          <w:rFonts w:ascii="Arial;sans-serif" w:hAnsi="Arial;sans-serif"/>
          <w:b w:val="false"/>
          <w:i/>
          <w:color w:val="000000"/>
          <w:sz w:val="20"/>
        </w:rPr>
        <w:t>Operating Activities</w:t>
      </w:r>
      <w:r>
        <w:rPr>
          <w:rFonts w:ascii="Arial;sans-serif" w:hAnsi="Arial;sans-serif"/>
          <w:b w:val="false"/>
          <w:color w:val="000000"/>
          <w:sz w:val="20"/>
        </w:rPr>
        <w:t>: Net cash provided by operating activities for the year ended December 31, 2025, was $7.3 million, an increase of $3.5 million compared to the prior year. The increase was driven primarily by decreased revenues and collections of our accounts receivable, increases in accounts payable and increases in customer deposits, offset partially by the decrease in net earnings from the comparative period as a result of the net loss during year ended December 31, 2025, and increases in inventories. Non-cash adjustments to net (loss) earnings increased primarily due to increased depreciation and amortization resulting from the full year impact of Alfamation</w:t>
      </w:r>
      <w:r>
        <w:rPr>
          <w:color w:val="000000"/>
        </w:rPr>
        <w:t>™</w:t>
      </w:r>
      <w:r>
        <w:rPr>
          <w:rFonts w:ascii="Arial;sans-serif" w:hAnsi="Arial;sans-serif"/>
          <w:b w:val="false"/>
          <w:color w:val="000000"/>
          <w:sz w:val="20"/>
        </w:rPr>
        <w:t>.</w:t>
      </w:r>
    </w:p>
    <w:p>
      <w:pPr>
        <w:pStyle w:val="TextBody"/>
        <w:bidi w:val="0"/>
        <w:spacing w:lineRule="auto" w:line="288" w:before="0" w:after="200"/>
        <w:jc w:val="left"/>
        <w:rPr/>
      </w:pPr>
      <w:r>
        <w:rPr>
          <w:rFonts w:ascii="Arial;sans-serif" w:hAnsi="Arial;sans-serif"/>
          <w:b w:val="false"/>
          <w:i/>
          <w:color w:val="000000"/>
          <w:sz w:val="20"/>
        </w:rPr>
        <w:t>Investing Activities</w:t>
      </w:r>
      <w:r>
        <w:rPr>
          <w:rFonts w:ascii="Arial;sans-serif" w:hAnsi="Arial;sans-serif"/>
          <w:b w:val="false"/>
          <w:color w:val="000000"/>
          <w:sz w:val="20"/>
        </w:rPr>
        <w:t>: Net cash used in investing activities for the year December 31, 2025, was $1.6 million, a decreased usage of $18.4 million compared to the prior year. During the prior year, we used $18.7 million of cash to acquire Alfamation</w:t>
      </w:r>
      <w:r>
        <w:rPr>
          <w:color w:val="000000"/>
        </w:rPr>
        <w:t>™</w:t>
      </w:r>
      <w:r>
        <w:rPr>
          <w:rFonts w:ascii="Arial;sans-serif" w:hAnsi="Arial;sans-serif"/>
          <w:b w:val="false"/>
          <w:color w:val="000000"/>
          <w:sz w:val="20"/>
        </w:rPr>
        <w:t>, whereas in the current year we did not have any acquisitions. Capital expenditures for property and equipment increased slightly during the current year.</w:t>
      </w:r>
    </w:p>
    <w:p>
      <w:pPr>
        <w:pStyle w:val="TextBody"/>
        <w:bidi w:val="0"/>
        <w:spacing w:lineRule="auto" w:line="288" w:before="0" w:after="200"/>
        <w:jc w:val="left"/>
        <w:rPr/>
      </w:pPr>
      <w:r>
        <w:rPr>
          <w:rFonts w:ascii="Arial;sans-serif" w:hAnsi="Arial;sans-serif"/>
          <w:b w:val="false"/>
          <w:i/>
          <w:color w:val="000000"/>
          <w:sz w:val="20"/>
        </w:rPr>
        <w:t>Financing Activities:</w:t>
      </w:r>
      <w:r>
        <w:rPr>
          <w:color w:val="000000"/>
        </w:rPr>
        <w:t xml:space="preserve"> </w:t>
      </w:r>
      <w:r>
        <w:rPr>
          <w:rFonts w:ascii="Arial;sans-serif" w:hAnsi="Arial;sans-serif"/>
          <w:b w:val="false"/>
          <w:color w:val="000000"/>
          <w:sz w:val="20"/>
        </w:rPr>
        <w:t>Net cash used in financing activities for the year ended December 31, 2025, was $8.2 million, a decreased usage of $0.4 million compared to the prior year. During the year ended December 31, 2024, we used $1.0 million for the repurchase of our common stock under the November 20, 2023 repurchase authorization, whereas in the current year, we did not have any stock repurchases under the March 5, 2025 renewal of the previously expired share repurchase plan. The decreased cash used in financing activities resulted primarily from the change in the repayments of short-term borrowings used in the Alfamation</w:t>
      </w:r>
      <w:r>
        <w:rPr>
          <w:color w:val="000000"/>
        </w:rPr>
        <w:t xml:space="preserve">™ </w:t>
      </w:r>
      <w:r>
        <w:rPr>
          <w:rFonts w:ascii="Arial;sans-serif" w:hAnsi="Arial;sans-serif"/>
          <w:b w:val="false"/>
          <w:color w:val="000000"/>
          <w:sz w:val="20"/>
        </w:rPr>
        <w:t>operations along with repayments of our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NEW OR RECENTLY ADOPTED ACCOUNTING STANDARDS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Part II, Item 8. Financial Statements and Supplementary Data; Notes to Consolidated Financial Statements; Note (2) Summary of Significant Accounting Policies; (u) Effect of Recently Adopted Amendments to Authoritative Accounting Guidance and (v) Effect of Recently Issued Amendments to Authoritative Accounting Guidance Not Yet Adopted</w:t>
      </w:r>
      <w:r>
        <w:rPr>
          <w:color w:val="000000"/>
        </w:rPr>
        <w:t xml:space="preserve">” </w:t>
      </w:r>
      <w:r>
        <w:rPr>
          <w:rFonts w:ascii="Arial;sans-serif" w:hAnsi="Arial;sans-serif"/>
          <w:b w:val="false"/>
          <w:color w:val="000000"/>
          <w:sz w:val="20"/>
        </w:rPr>
        <w:t>for information concerning the implementation and impact of new or recently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OFF-BALANCE SHEET ARRANGEMENTS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off-balance sheet arrangements during the year ended December 31, 2025 that have or are reasonably likely to have, a material current or future effect on our financial condition, changes in financial condition, revenues or expenses, results of operations, liquidity, cash requirements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7A.    QUANTITATIVE AND QUALITATIVE DISCLOSURES ABOUT MARKET RISK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This disclosure is not required for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8.    FINANCIAL STATEMENTS AND SUPPLEMENTARY DATA</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Consolidated financial statements are set forth in this Report beginning at page F-1 and are incorporated by reference into this Item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9.    CHANGES IN AND DISAGREEMENTS WITH ACCOUNTANTS ON ACCOUNTING AND FINANCIAL DISCLOSURE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9A.    CONTROLS AND PROCEDURES</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lineRule="auto" w:line="288" w:before="0" w:after="200"/>
        <w:jc w:val="left"/>
        <w:rPr/>
      </w:pPr>
      <w:r>
        <w:rPr>
          <w:rFonts w:ascii="Arial;sans-serif" w:hAnsi="Arial;sans-serif"/>
          <w:b w:val="false"/>
          <w:color w:val="000000"/>
          <w:sz w:val="20"/>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w:t>
      </w:r>
      <w:r>
        <w:rPr>
          <w:rFonts w:ascii="Arial;sans-serif" w:hAnsi="Arial;sans-serif"/>
          <w:b/>
          <w:color w:val="000000"/>
          <w:sz w:val="20"/>
          <w:u w:val="single"/>
        </w:rPr>
        <w:t>CEO</w:t>
      </w:r>
      <w:r>
        <w:rPr>
          <w:color w:val="000000"/>
        </w:rPr>
        <w:t>”</w:t>
      </w:r>
      <w:r>
        <w:rPr>
          <w:rFonts w:ascii="Arial;sans-serif" w:hAnsi="Arial;sans-serif"/>
          <w:b w:val="false"/>
          <w:color w:val="000000"/>
          <w:sz w:val="20"/>
        </w:rPr>
        <w:t>) and Chief Financial Officer (“</w:t>
      </w:r>
      <w:r>
        <w:rPr>
          <w:rFonts w:ascii="Arial;sans-serif" w:hAnsi="Arial;sans-serif"/>
          <w:b/>
          <w:color w:val="000000"/>
          <w:sz w:val="20"/>
          <w:u w:val="single"/>
        </w:rPr>
        <w:t>CFO</w:t>
      </w:r>
      <w:r>
        <w:rPr>
          <w:color w:val="000000"/>
        </w:rPr>
        <w:t>”</w:t>
      </w:r>
      <w:r>
        <w:rPr>
          <w:rFonts w:ascii="Arial;sans-serif" w:hAnsi="Arial;sans-serif"/>
          <w:b w:val="false"/>
          <w:color w:val="000000"/>
          <w:sz w:val="20"/>
        </w:rPr>
        <w:t>),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pStyle w:val="TextBody"/>
        <w:bidi w:val="0"/>
        <w:spacing w:lineRule="auto" w:line="288" w:before="0" w:after="200"/>
        <w:jc w:val="left"/>
        <w:rPr/>
      </w:pPr>
      <w:r>
        <w:rPr>
          <w:rFonts w:ascii="Arial;sans-serif" w:hAnsi="Arial;sans-serif"/>
          <w:b/>
          <w:color w:val="000000"/>
          <w:sz w:val="20"/>
        </w:rPr>
        <w:t>CEO/CFO Conclusions about the Effectiveness of the Disclosure Controls and Procedures</w:t>
      </w:r>
      <w:r>
        <w:rPr>
          <w:rFonts w:ascii="Arial;sans-serif" w:hAnsi="Arial;sans-serif"/>
          <w:b w:val="false"/>
          <w:color w:val="000000"/>
          <w:sz w:val="20"/>
        </w:rPr>
        <w:t>. 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 Our independent registered public accounting firm that audited the consolidated financial statements included in this Report has issued an attestation report on our internal control over financial reporting, which is included herein.</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Changes in Internal Control Over Financial Reporting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have been no changes in internal control over the financial reporting that occurred during the period covered by this Report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Management’s Report on Internal Control over Financial Reporting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1.pertain to the maintenance of records that, in reasonable detail, accurately and fairly reflect the transactions and dispositions of our assets;</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2.provide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3.provide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Because of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Management assessed the effectiveness of our internal control over financial reporting at December 31, 2025. In making this assessment, management used the criteria set forth by the Committee of Sponsoring Organizations of the Treadway Commission (COSO) on Internal Control-Integrated 2013 Framework. Based upon this assessment, management believes that, at December 31, 2025, our internal control over financial reporting is effective at a reasonable assurance level.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effectiveness of our internal control over financial reporting as of December 31, 2025 has been audited by RSM US LLP, our independent registered public accounting firm, as stated in their report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9B.    OTHER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9C.    DISCLOSURE REGARDING FOREIGN JURISDICTIONS THAT PREVENT INSPECTIONS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10.    DIRECTORS, EXECUTIVE OFFICERS AND CORPORATE GOVERNANCE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information required by this Item 10 is incorporated by reference from our Definitive Proxy Statement for our 2026 Annual Meeting of Stockholders to be filed with the SEC within 120 days after the end of the fiscal year covered by this Report.</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Code of Ethics</w:t>
      </w:r>
    </w:p>
    <w:p>
      <w:pPr>
        <w:pStyle w:val="TextBody"/>
        <w:bidi w:val="0"/>
        <w:spacing w:lineRule="auto" w:line="288" w:before="0" w:after="200"/>
        <w:jc w:val="left"/>
        <w:rPr/>
      </w:pPr>
      <w:r>
        <w:rPr>
          <w:rFonts w:ascii="Arial;sans-serif" w:hAnsi="Arial;sans-serif"/>
          <w:b w:val="false"/>
          <w:color w:val="000000"/>
          <w:sz w:val="20"/>
        </w:rPr>
        <w:t>We have adopted a Code of Ethics (the “</w:t>
      </w:r>
      <w:r>
        <w:rPr>
          <w:rFonts w:ascii="Arial;sans-serif" w:hAnsi="Arial;sans-serif"/>
          <w:b/>
          <w:color w:val="000000"/>
          <w:sz w:val="20"/>
          <w:u w:val="single"/>
        </w:rPr>
        <w:t>Code</w:t>
      </w:r>
      <w:r>
        <w:rPr>
          <w:color w:val="000000"/>
        </w:rPr>
        <w:t>”</w:t>
      </w:r>
      <w:r>
        <w:rPr>
          <w:rFonts w:ascii="Arial;sans-serif" w:hAnsi="Arial;sans-serif"/>
          <w:b w:val="false"/>
          <w:color w:val="000000"/>
          <w:sz w:val="20"/>
        </w:rPr>
        <w:t>) as a guide to the standards of business conduct to which our employees, officers and directors must adhere. A copy of the Code can be found on our website at https://intestcorp.gcs-web.com/corporate-governance. We intend to satisfy the disclosure requirements of the SEC regarding amendments to, or waivers from, the Code by posting such information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11.    EXECUTIVE COMPENSATION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information required by this Item 11 is incorporated by reference from our Definitive Proxy Statement for our 2026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12.    SECURITY OWNERSHIP OF CERTAIN BENEFICIAL OWNERS AND MANAGEMENT AND RELATED STOCKHOLDER MATTERS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information required by Item 201(d) of Regulation S-K is set forth below. The remainder of the information required by this Item 12 is incorporated by reference from our Definitive Proxy Statement for our 2026 Annual Meeting of Stockholders to be filed with the SEC within 120 days after the end of the fiscal year covered by this Report.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shows the number of securities that may be issued pursuant to our equity compensation plans (including individual compensation arrangements) at December 31, 2025:</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Equity Compensation Plan Information</w:t>
      </w:r>
    </w:p>
    <w:tbl>
      <w:tblPr>
        <w:tblW w:w="10205" w:type="dxa"/>
        <w:jc w:val="center"/>
        <w:tblInd w:w="0" w:type="dxa"/>
        <w:tblLayout w:type="fixed"/>
        <w:tblCellMar>
          <w:top w:w="28" w:type="dxa"/>
          <w:left w:w="28" w:type="dxa"/>
          <w:bottom w:w="28" w:type="dxa"/>
          <w:right w:w="28" w:type="dxa"/>
        </w:tblCellMar>
      </w:tblPr>
      <w:tblGrid>
        <w:gridCol w:w="1581"/>
        <w:gridCol w:w="1390"/>
        <w:gridCol w:w="1377"/>
        <w:gridCol w:w="109"/>
        <w:gridCol w:w="109"/>
        <w:gridCol w:w="109"/>
        <w:gridCol w:w="546"/>
        <w:gridCol w:w="546"/>
        <w:gridCol w:w="547"/>
        <w:gridCol w:w="109"/>
        <w:gridCol w:w="109"/>
        <w:gridCol w:w="109"/>
        <w:gridCol w:w="400"/>
        <w:gridCol w:w="1031"/>
        <w:gridCol w:w="208"/>
        <w:gridCol w:w="109"/>
        <w:gridCol w:w="109"/>
        <w:gridCol w:w="109"/>
        <w:gridCol w:w="466"/>
        <w:gridCol w:w="466"/>
        <w:gridCol w:w="666"/>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4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Plan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 of</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securities to be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issued upon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exercise of</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outstanding</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options, warrants </w:t>
            </w:r>
          </w:p>
          <w:p>
            <w:pPr>
              <w:pStyle w:val="TableContents"/>
              <w:bidi w:val="0"/>
              <w:spacing w:lineRule="auto" w:line="288" w:before="0" w:after="0"/>
              <w:jc w:val="center"/>
              <w:rPr/>
            </w:pPr>
            <w:r>
              <w:rPr>
                <w:rFonts w:ascii="Arial;sans-serif" w:hAnsi="Arial;sans-serif"/>
                <w:b/>
                <w:color w:val="000000"/>
                <w:sz w:val="20"/>
              </w:rPr>
              <w:t>and rights</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 xml:space="preserve">average exercise </w:t>
              <w:br/>
              <w:t xml:space="preserve">price of </w:t>
              <w:br/>
              <w:t>outstanding</w:t>
              <w:br/>
              <w:t xml:space="preserve">options, warrants </w:t>
              <w:br/>
              <w:t>and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Number of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remaining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available for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future issuance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under equity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compensation </w:t>
            </w:r>
          </w:p>
          <w:p>
            <w:pPr>
              <w:pStyle w:val="TableContents"/>
              <w:bidi w:val="0"/>
              <w:spacing w:lineRule="auto" w:line="288" w:before="0" w:after="0"/>
              <w:jc w:val="center"/>
              <w:rPr/>
            </w:pPr>
            <w:r>
              <w:rPr>
                <w:rFonts w:ascii="Arial;sans-serif" w:hAnsi="Arial;sans-serif"/>
                <w:b/>
                <w:color w:val="000000"/>
                <w:sz w:val="20"/>
              </w:rPr>
              <w:t>plans</w:t>
            </w:r>
            <w:r>
              <w:rPr>
                <w:rFonts w:ascii="Arial;sans-serif" w:hAnsi="Arial;sans-serif"/>
                <w:b/>
                <w:color w:val="000000"/>
                <w:sz w:val="13"/>
              </w:rPr>
              <w:t>(2)</w:t>
            </w:r>
          </w:p>
        </w:tc>
      </w:tr>
      <w:tr>
        <w:trPr/>
        <w:tc>
          <w:tcPr>
            <w:tcW w:w="434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616,206</w:t>
            </w:r>
          </w:p>
        </w:tc>
      </w:tr>
      <w:tr>
        <w:trPr/>
        <w:tc>
          <w:tcPr>
            <w:tcW w:w="4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616,206</w:t>
            </w:r>
          </w:p>
        </w:tc>
      </w:tr>
    </w:tbl>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(1)The securities that may be issued are shares of InTest common stock, issuable upon exercise of outstanding stock options.</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(2)The securities that remain available for future issuance include 445,606 that are issuable pursuant to the InTest Corporation 2023 Stock Incentive Plan and 170,600 that are issuable pursuant to the InTest Corporation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900"/>
        <w:jc w:val="left"/>
        <w:rPr>
          <w:rFonts w:ascii="Arial;sans-serif" w:hAnsi="Arial;sans-serif"/>
          <w:b/>
          <w:color w:val="C02026"/>
          <w:sz w:val="20"/>
          <w:u w:val="single"/>
        </w:rPr>
      </w:pPr>
      <w:r>
        <w:rPr>
          <w:rFonts w:ascii="Arial;sans-serif" w:hAnsi="Arial;sans-serif"/>
          <w:b/>
          <w:color w:val="C02026"/>
          <w:sz w:val="20"/>
          <w:u w:val="single"/>
        </w:rPr>
        <w:t>Item 13.    CERTAIN RELATIONSHIPS AND RELATED TRANSACTIONS, AND DIRECTOR INDEPENDENCE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information required by this Item 13 is incorporated by reference from our Definitive Proxy Statement for our 2026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14.    PRINCIPAL ACCOUNTING FEES AND SERVICES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information required by this Item 14 is incorporated by reference from our Definitive Proxy Statement for our 2026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15.    EXHIBITS, FINANCIAL STATEMENT SCHEDULES</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(a)The documents filed as part of this Report are:</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(i)Our Consolidated Financial Statements and Notes thereto as well as the applicable reports of our independent registered public accounting firm are included in Part II, Item 8 of this Report.</w:t>
      </w:r>
    </w:p>
    <w:p>
      <w:pPr>
        <w:pStyle w:val="TextBody"/>
        <w:bidi w:val="0"/>
        <w:spacing w:lineRule="auto" w:line="288" w:before="0" w:after="200"/>
        <w:ind w:left="0" w:right="0" w:hanging="360"/>
        <w:jc w:val="left"/>
        <w:rPr/>
      </w:pPr>
      <w:r>
        <w:rPr>
          <w:rFonts w:ascii="Arial;sans-serif" w:hAnsi="Arial;sans-serif"/>
          <w:b w:val="false"/>
          <w:color w:val="000000"/>
          <w:sz w:val="20"/>
        </w:rPr>
        <w:t>(ii)The following financial statement schedule should be read in conjunction with the consolidated financial statements set forth in “</w:t>
      </w:r>
      <w:r>
        <w:rPr>
          <w:rFonts w:ascii="Arial;sans-serif" w:hAnsi="Arial;sans-serif"/>
          <w:b/>
          <w:color w:val="000000"/>
          <w:sz w:val="20"/>
        </w:rPr>
        <w:t>Part II, Item 8. Financial Statements and Supplementary Data</w:t>
      </w:r>
      <w:r>
        <w:rPr>
          <w:color w:val="000000"/>
        </w:rPr>
        <w:t xml:space="preserve">” </w:t>
      </w:r>
      <w:r>
        <w:rPr>
          <w:rFonts w:ascii="Arial;sans-serif" w:hAnsi="Arial;sans-serif"/>
          <w:b w:val="false"/>
          <w:color w:val="000000"/>
          <w:sz w:val="20"/>
        </w:rPr>
        <w:t>of this Report: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Schedule II -- Valuation and Qualifying Accounts</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(iii)The exhibits required by Item 601 of Regulation S-K are included under Item 15(b) of this Report.</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(b)Exhibits required by Item 601 of Regulation S-K: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 list of the Exhibits which are required by Item 601 of Regulation S-K and filed with this Report is set forth in the Index to Exhibits immediately preceding the signature page, which Index to Exhibits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u w:val="single"/>
        </w:rPr>
      </w:pPr>
      <w:r>
        <w:rPr>
          <w:rFonts w:ascii="Arial;sans-serif" w:hAnsi="Arial;sans-serif"/>
          <w:b/>
          <w:color w:val="C02026"/>
          <w:sz w:val="20"/>
          <w:u w:val="single"/>
        </w:rPr>
        <w:t>Item 16.    FORM 10-K SUMMARY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76" w:before="0" w:after="0"/>
        <w:jc w:val="left"/>
        <w:rPr>
          <w:rFonts w:ascii="Arial;sans-serif" w:hAnsi="Arial;sans-serif"/>
          <w:b/>
          <w:color w:val="000000"/>
          <w:sz w:val="20"/>
          <w:u w:val="single"/>
        </w:rPr>
      </w:pPr>
      <w:r>
        <w:rPr>
          <w:rFonts w:ascii="Arial;sans-serif" w:hAnsi="Arial;sans-serif"/>
          <w:b/>
          <w:color w:val="000000"/>
          <w:sz w:val="20"/>
          <w:u w:val="single"/>
        </w:rPr>
        <w:t>Index to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2001"/>
        <w:gridCol w:w="2001"/>
        <w:gridCol w:w="2021"/>
        <w:gridCol w:w="206"/>
        <w:gridCol w:w="206"/>
        <w:gridCol w:w="208"/>
        <w:gridCol w:w="284"/>
        <w:gridCol w:w="228"/>
        <w:gridCol w:w="183"/>
        <w:gridCol w:w="255"/>
        <w:gridCol w:w="255"/>
        <w:gridCol w:w="256"/>
        <w:gridCol w:w="458"/>
        <w:gridCol w:w="403"/>
        <w:gridCol w:w="38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Exhibit</w:t>
              <w:br/>
              <w:t>Number</w:t>
            </w:r>
          </w:p>
        </w:tc>
        <w:tc>
          <w:tcPr>
            <w:tcW w:w="60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Description</w:t>
            </w:r>
          </w:p>
        </w:tc>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Form</w:t>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File No.</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Exhibit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Filing Date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6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FF"/>
                  <w:sz w:val="20"/>
                  <w:u w:val="single"/>
                </w:rPr>
                <w:t>Certificate of Incorporation</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23, 2020</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60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FF"/>
                  <w:sz w:val="20"/>
                  <w:u w:val="single"/>
                </w:rPr>
                <w:t>Bylaws as amended and restated on April 23, 2018</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April 25, 2018</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6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rial;sans-serif" w:hAnsi="Arial;sans-serif"/>
                  <w:b w:val="false"/>
                  <w:color w:val="0000FF"/>
                  <w:sz w:val="20"/>
                  <w:u w:val="single"/>
                </w:rPr>
                <w:t>Description of Securities</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23, 2020</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60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FF"/>
                  <w:sz w:val="20"/>
                  <w:u w:val="single"/>
                </w:rPr>
                <w:t>Lease Agreement between Exeter 804 East Gate, LLC and the Company dated May 10, 2010</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000-22529</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May 13, 2010</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6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FF"/>
                  <w:sz w:val="20"/>
                  <w:u w:val="single"/>
                </w:rPr>
                <w:t>First Amendment to Lease Agreement, dated September 22, 2020, by and between inTEST Corporation and Exeter 804 East Gate 2018, LLC</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September 24, 2020</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60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FF"/>
                  <w:sz w:val="20"/>
                  <w:u w:val="single"/>
                </w:rPr>
                <w:t>Second Amendment to Lease Agreement, dated April 7, 2021, by and between inTEST Corporation and Exeter 804 East Gate 2018, LLC</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April 13, 2021</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rial;sans-serif" w:hAnsi="Arial;sans-serif"/>
                  <w:b w:val="false"/>
                  <w:color w:val="0000FF"/>
                  <w:sz w:val="20"/>
                  <w:u w:val="single"/>
                </w:rPr>
                <w:t>Lease Agreement between AMB-SGP Seattle/Boston, LLC and Temptronic Corporation (a subsidiary of the Company), dated October 25, 2010</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000-22529</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October 29, 2010</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60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Arial;sans-serif" w:hAnsi="Arial;sans-serif"/>
                  <w:b w:val="false"/>
                  <w:color w:val="0000FF"/>
                  <w:sz w:val="20"/>
                  <w:u w:val="single"/>
                </w:rPr>
                <w:t>Lease Agreement between Columbia California Warm Springs Industrial, LLC and inTEST Silicon Valley Corporation dated January 9, 2012</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10-Q/A</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000-22529</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May 15, 2012</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6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Arial;sans-serif" w:hAnsi="Arial;sans-serif"/>
                  <w:b w:val="false"/>
                  <w:color w:val="0000FF"/>
                  <w:sz w:val="20"/>
                  <w:u w:val="single"/>
                </w:rPr>
                <w:t>First Amendment to Lease Agreement between Columbia California Warm Springs Industrial, LLC and inTEST Silicon Valley Corporation dated November 18, 2016</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November 22, 2016</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60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rial;sans-serif" w:hAnsi="Arial;sans-serif"/>
                  <w:b w:val="false"/>
                  <w:color w:val="0000FF"/>
                  <w:sz w:val="20"/>
                  <w:u w:val="single"/>
                </w:rPr>
                <w:t>Guaranty Agreements between Columbia California Warm Springs Industrial, LLC and inTEST Corporation dated January 9, 2012</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10-Q/A</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000-22529</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May 15, 2012</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6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Arial;sans-serif" w:hAnsi="Arial;sans-serif"/>
                  <w:b w:val="false"/>
                  <w:color w:val="0000FF"/>
                  <w:sz w:val="20"/>
                  <w:u w:val="single"/>
                </w:rPr>
                <w:t>Lease Agreement between Maguire Family Properties, Inc. and Ambrell Corporation dated December 19, 2017</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22, 2017</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60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rial;sans-serif" w:hAnsi="Arial;sans-serif"/>
                  <w:b w:val="false"/>
                  <w:color w:val="0000FF"/>
                  <w:sz w:val="20"/>
                  <w:u w:val="single"/>
                </w:rPr>
                <w:t>Guaranty of Lease between Maguire Family Properties, Inc. and Ambrell Corporation dated December 19, 2017</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22, 2017</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6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Arial;sans-serif" w:hAnsi="Arial;sans-serif"/>
                  <w:b w:val="false"/>
                  <w:color w:val="0000FF"/>
                  <w:sz w:val="20"/>
                  <w:u w:val="single"/>
                </w:rPr>
                <w:t>Lease Agreement between Apple Creek Properties Limited and Acculogic Inc. dated November 30, 2022</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6, 2022</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60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rial;sans-serif" w:hAnsi="Arial;sans-serif"/>
                  <w:b w:val="false"/>
                  <w:color w:val="0000FF"/>
                  <w:sz w:val="20"/>
                  <w:u w:val="single"/>
                </w:rPr>
                <w:t>Amended and Restated Loan and Security Agreement dated October 15, 2021, among inTEST Corporation, Ambrell Corporation, inTEST Silicon Valley Corporation, inTEST EMS, LLC, Temptronic Corporation and M&amp;T Bank</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October 20, 2021</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6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rial;sans-serif" w:hAnsi="Arial;sans-serif"/>
                  <w:b w:val="false"/>
                  <w:color w:val="0000FF"/>
                  <w:sz w:val="20"/>
                  <w:u w:val="single"/>
                </w:rPr>
                <w:t>Joinder and Second Amendment to Amended and Restated Loan and Security Agreement, dated December 30, 2021, among inTEST Corporation, Ambrell Corporation, inTEST Silicon Valley Corporation, inTEST EMS, LLC, Temptronic Corporation, Videology Imaging Corporation, Acculogic Ltd., Acculogic Inc. and M&amp;T Bank</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January 6,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48d90a8909c40e38470f605b7a7d73f_7">
        <w:r>
          <w:rPr>
            <w:rStyle w:val="InternetLink"/>
            <w:rFonts w:ascii="Arial;sans-serif" w:hAnsi="Arial;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0"/>
        <w:gridCol w:w="272"/>
        <w:gridCol w:w="274"/>
        <w:gridCol w:w="2135"/>
        <w:gridCol w:w="1925"/>
        <w:gridCol w:w="1930"/>
        <w:gridCol w:w="217"/>
        <w:gridCol w:w="217"/>
        <w:gridCol w:w="218"/>
        <w:gridCol w:w="284"/>
        <w:gridCol w:w="228"/>
        <w:gridCol w:w="183"/>
        <w:gridCol w:w="255"/>
        <w:gridCol w:w="255"/>
        <w:gridCol w:w="256"/>
        <w:gridCol w:w="375"/>
        <w:gridCol w:w="375"/>
        <w:gridCol w:w="496"/>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Exhibit</w:t>
              <w:br/>
              <w:t>Number</w:t>
            </w:r>
          </w:p>
        </w:tc>
        <w:tc>
          <w:tcPr>
            <w:tcW w:w="5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Description</w:t>
            </w:r>
          </w:p>
        </w:tc>
        <w:tc>
          <w:tcPr>
            <w:tcW w:w="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Form</w:t>
            </w:r>
          </w:p>
        </w:tc>
        <w:tc>
          <w:tcPr>
            <w:tcW w:w="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File No.</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Exhibit</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Filing Date</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10.13</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Arial;sans-serif" w:hAnsi="Arial;sans-serif"/>
                  <w:b w:val="false"/>
                  <w:color w:val="0000FF"/>
                  <w:sz w:val="20"/>
                  <w:u w:val="single"/>
                </w:rPr>
                <w:t>Third Amendment to Amended and Restated Loan and Security Agreement, dated September 20, 2022, among inTEST Corporation, Ambrell Corporation, inTEST Silicon Valley Corporation, inTEST EMS, LLC, Temptronic Corporation, Videology Imaging Corporation, Acculogic Ltd., Acculogic Inc. and M&amp;T Bank</w:t>
              </w:r>
            </w:hyperlink>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September 26, 2022</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10.14</w:t>
            </w:r>
          </w:p>
        </w:tc>
        <w:tc>
          <w:tcPr>
            <w:tcW w:w="5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rial;sans-serif" w:hAnsi="Arial;sans-serif"/>
                  <w:b w:val="false"/>
                  <w:color w:val="0000FF"/>
                  <w:sz w:val="20"/>
                  <w:u w:val="single"/>
                </w:rPr>
                <w:t>Third Amended and Restated Delayed Draw Term Note 1A, dated September 30, 2022</w:t>
              </w:r>
            </w:hyperlink>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September 26, 2022</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10.15</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Arial;sans-serif" w:hAnsi="Arial;sans-serif"/>
                  <w:b w:val="false"/>
                  <w:color w:val="0000FF"/>
                  <w:sz w:val="20"/>
                  <w:u w:val="single"/>
                </w:rPr>
                <w:t>Delayed Draw Term Note 1B, dated December 30, 2021</w:t>
              </w:r>
            </w:hyperlink>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January 6, 2022</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5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Arial;sans-serif" w:hAnsi="Arial;sans-serif"/>
                  <w:b w:val="false"/>
                  <w:color w:val="0000FF"/>
                  <w:sz w:val="20"/>
                  <w:u w:val="single"/>
                </w:rPr>
                <w:t>Guarantee and Indemnity Agreement, dated December 30, 2021, among inTEST Corporation, Acculogic Inc. and M&amp;T Bank</w:t>
              </w:r>
            </w:hyperlink>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January 6, 2022</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Arial;sans-serif" w:hAnsi="Arial;sans-serif"/>
                  <w:b w:val="false"/>
                  <w:color w:val="0000FF"/>
                  <w:sz w:val="20"/>
                  <w:u w:val="single"/>
                </w:rPr>
                <w:t>Pledge Agreement, dated December 30, 2021, between inTEST Corporation and M&amp;T Bank</w:t>
              </w:r>
            </w:hyperlink>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January 6, 2022</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10.18</w:t>
            </w:r>
          </w:p>
        </w:tc>
        <w:tc>
          <w:tcPr>
            <w:tcW w:w="5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Arial;sans-serif" w:hAnsi="Arial;sans-serif"/>
                  <w:b w:val="false"/>
                  <w:color w:val="0000FF"/>
                  <w:sz w:val="20"/>
                  <w:u w:val="single"/>
                </w:rPr>
                <w:t>General Security Agreement, dated December 30, 2021, among inTEST Corporation, Acculogic Inc. and M&amp;T Bank</w:t>
              </w:r>
            </w:hyperlink>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January 6, 2022</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10.19</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Arial;sans-serif" w:hAnsi="Arial;sans-serif"/>
                  <w:b w:val="false"/>
                  <w:color w:val="0000FF"/>
                  <w:sz w:val="20"/>
                  <w:u w:val="single"/>
                </w:rPr>
                <w:t>Second Amended and Restated Revolver Note, dated October 15, 2021</w:t>
              </w:r>
            </w:hyperlink>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October 20, 2021</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10.20*</w:t>
            </w:r>
          </w:p>
        </w:tc>
        <w:tc>
          <w:tcPr>
            <w:tcW w:w="5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Arial;sans-serif" w:hAnsi="Arial;sans-serif"/>
                  <w:b w:val="false"/>
                  <w:color w:val="0000FF"/>
                  <w:sz w:val="20"/>
                  <w:u w:val="single"/>
                </w:rPr>
                <w:t>Form of Indemnification Agreement</w:t>
              </w:r>
            </w:hyperlink>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2020</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10.21*</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Arial;sans-serif" w:hAnsi="Arial;sans-serif"/>
                  <w:b w:val="false"/>
                  <w:color w:val="0000FF"/>
                  <w:sz w:val="20"/>
                  <w:u w:val="single"/>
                </w:rPr>
                <w:t>inTEST Corporation Fourth Amended and Restated 2014 Stock Plan</w:t>
              </w:r>
            </w:hyperlink>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27, 2022</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10.22*</w:t>
            </w:r>
          </w:p>
        </w:tc>
        <w:tc>
          <w:tcPr>
            <w:tcW w:w="5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Arial;sans-serif" w:hAnsi="Arial;sans-serif"/>
                  <w:b w:val="false"/>
                  <w:color w:val="0000FF"/>
                  <w:sz w:val="20"/>
                  <w:u w:val="single"/>
                </w:rPr>
                <w:t>inTEST Corporation Employee Stock Purchase Plan</w:t>
              </w:r>
            </w:hyperlink>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12, 2021</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10.23*</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Arial;sans-serif" w:hAnsi="Arial;sans-serif"/>
                  <w:b w:val="false"/>
                  <w:color w:val="0000FF"/>
                  <w:sz w:val="20"/>
                  <w:u w:val="single"/>
                </w:rPr>
                <w:t>Letter Agreement between the Company and Richard N. Grant, Jr. dated July 24, 2020</w:t>
              </w:r>
            </w:hyperlink>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11, 2020</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10.24*</w:t>
            </w:r>
          </w:p>
        </w:tc>
        <w:tc>
          <w:tcPr>
            <w:tcW w:w="5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Arial;sans-serif" w:hAnsi="Arial;sans-serif"/>
                  <w:b w:val="false"/>
                  <w:color w:val="0000FF"/>
                  <w:sz w:val="20"/>
                  <w:u w:val="single"/>
                </w:rPr>
                <w:t>Letter Agreement between the Company and Duncan Gilmour dated June 10, 2021</w:t>
              </w:r>
            </w:hyperlink>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14, 2021</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10.25*</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Arial;sans-serif" w:hAnsi="Arial;sans-serif"/>
                  <w:b w:val="false"/>
                  <w:color w:val="0000FF"/>
                  <w:sz w:val="20"/>
                  <w:u w:val="single"/>
                </w:rPr>
                <w:t>Change of Control Agreement dated August 11, 2020 between the Company and Richard N. Grant, Jr.</w:t>
              </w:r>
            </w:hyperlink>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November 12, 2020</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10.26*</w:t>
            </w:r>
          </w:p>
        </w:tc>
        <w:tc>
          <w:tcPr>
            <w:tcW w:w="5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Arial;sans-serif" w:hAnsi="Arial;sans-serif"/>
                  <w:b w:val="false"/>
                  <w:color w:val="0000FF"/>
                  <w:sz w:val="20"/>
                  <w:u w:val="single"/>
                </w:rPr>
                <w:t>Change of Control Agreement dated June 10, 2021 between the Company and Duncan Gilmour</w:t>
              </w:r>
            </w:hyperlink>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10.32</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23, 2022</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10.27*</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Arial;sans-serif" w:hAnsi="Arial;sans-serif"/>
                  <w:b w:val="false"/>
                  <w:color w:val="0000FF"/>
                  <w:sz w:val="20"/>
                  <w:u w:val="single"/>
                </w:rPr>
                <w:t>Form of Officer Compensation Plan</w:t>
              </w:r>
            </w:hyperlink>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10.33</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27, 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10.28*</w:t>
            </w:r>
          </w:p>
        </w:tc>
        <w:tc>
          <w:tcPr>
            <w:tcW w:w="5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Arial;sans-serif" w:hAnsi="Arial;sans-serif"/>
                  <w:b w:val="false"/>
                  <w:color w:val="0000FF"/>
                  <w:sz w:val="20"/>
                  <w:u w:val="single"/>
                </w:rPr>
                <w:t>Compensatory Arrangements of Directors</w:t>
              </w:r>
            </w:hyperlink>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10.38</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27, 2024</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10.29*</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"https://www.sec.gov/Archives/edgar/data/1036262/000119312523122353/d483836ddef14a.htm" \l "toc483836_18"</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inTEST Corporation 2023 Stock Incentive Plan</w:t>
            </w:r>
            <w:r>
              <w:rPr>
                <w:rStyle w:val="InternetLink"/>
                <w:sz w:val="20"/>
                <w:u w:val="single"/>
                <w:b w:val="false"/>
                <w:rFonts w:ascii="Arial;sans-serif" w:hAnsi="Arial;sans-serif"/>
                <w:color w:val="0000FF"/>
              </w:rPr>
              <w:fldChar w:fldCharType="end"/>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DEF 14A</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A-1</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April 27, 2023</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10.30</w:t>
            </w:r>
          </w:p>
        </w:tc>
        <w:tc>
          <w:tcPr>
            <w:tcW w:w="5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Arial;sans-serif" w:hAnsi="Arial;sans-serif"/>
                  <w:b w:val="false"/>
                  <w:color w:val="0000FF"/>
                  <w:sz w:val="20"/>
                  <w:u w:val="single"/>
                </w:rPr>
                <w:t>Lease Agreement, dated December 4, 2023, between inTEST SE ASIA SDN BHD and PERFECT PRESS SDN BHD</w:t>
              </w:r>
            </w:hyperlink>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6, 2023</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10.31</w:t>
            </w:r>
          </w:p>
        </w:tc>
        <w:tc>
          <w:tcPr>
            <w:tcW w:w="5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Arial;sans-serif" w:hAnsi="Arial;sans-serif"/>
                  <w:b w:val="false"/>
                  <w:color w:val="0000FF"/>
                  <w:sz w:val="20"/>
                  <w:u w:val="single"/>
                </w:rPr>
                <w:t>Lease Agreement, by and between Alfamation S.p.A. and Elettra Real Estate S.r.l, dates as of March 12, 2024</w:t>
              </w:r>
            </w:hyperlink>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12,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48d90a8909c40e38470f605b7a7d73f_7">
        <w:r>
          <w:rPr>
            <w:rStyle w:val="InternetLink"/>
            <w:rFonts w:ascii="Arial;sans-serif" w:hAnsi="Arial;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0"/>
        <w:gridCol w:w="272"/>
        <w:gridCol w:w="274"/>
        <w:gridCol w:w="2060"/>
        <w:gridCol w:w="2023"/>
        <w:gridCol w:w="2028"/>
        <w:gridCol w:w="200"/>
        <w:gridCol w:w="200"/>
        <w:gridCol w:w="201"/>
        <w:gridCol w:w="284"/>
        <w:gridCol w:w="227"/>
        <w:gridCol w:w="182"/>
        <w:gridCol w:w="255"/>
        <w:gridCol w:w="255"/>
        <w:gridCol w:w="256"/>
        <w:gridCol w:w="414"/>
        <w:gridCol w:w="390"/>
        <w:gridCol w:w="37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Exhibit</w:t>
              <w:br/>
              <w:t>Number</w:t>
            </w:r>
          </w:p>
        </w:tc>
        <w:tc>
          <w:tcPr>
            <w:tcW w:w="6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Description</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Form</w:t>
            </w:r>
          </w:p>
        </w:tc>
        <w:tc>
          <w:tcPr>
            <w:tcW w:w="6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File No.</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Exhibit</w:t>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Filing Date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10.32</w:t>
            </w:r>
          </w:p>
        </w:tc>
        <w:tc>
          <w:tcPr>
            <w:tcW w:w="6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Arial;sans-serif" w:hAnsi="Arial;sans-serif"/>
                  <w:b w:val="false"/>
                  <w:color w:val="0000FF"/>
                  <w:sz w:val="20"/>
                  <w:u w:val="single"/>
                </w:rPr>
                <w:t>Fourth Amendment to Amended and Restated Loan and Security Agreement, dated May 2, 2024, among inTEST Corporation, Ambrell Corporation, inTEST Silicon Valley Corporation, inTEST EMS, LLC, Temptronic Corporation, Videology Imaging Corporation, Acculogic Ltd., Acculogic Inc. and M&amp;T Bank</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May 3, 2024</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10.33</w:t>
            </w:r>
          </w:p>
        </w:tc>
        <w:tc>
          <w:tcPr>
            <w:tcW w:w="6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Arial;sans-serif" w:hAnsi="Arial;sans-serif"/>
                  <w:b w:val="false"/>
                  <w:color w:val="0000FF"/>
                  <w:sz w:val="20"/>
                  <w:u w:val="single"/>
                </w:rPr>
                <w:t>Third Amendment to Lease dated May 21, 2024 between Temptronic Corporation and BGO TSG 35-41 Hampden Owner LLC</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May 29, 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10.34*</w:t>
            </w:r>
          </w:p>
        </w:tc>
        <w:tc>
          <w:tcPr>
            <w:tcW w:w="6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Arial;sans-serif" w:hAnsi="Arial;sans-serif"/>
                  <w:b w:val="false"/>
                  <w:color w:val="0000FF"/>
                  <w:sz w:val="20"/>
                  <w:u w:val="single"/>
                </w:rPr>
                <w:t>Form of Stock Option Award Agreement</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November 6, 2024</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10.35*</w:t>
            </w:r>
          </w:p>
        </w:tc>
        <w:tc>
          <w:tcPr>
            <w:tcW w:w="6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Arial;sans-serif" w:hAnsi="Arial;sans-serif"/>
                  <w:b w:val="false"/>
                  <w:color w:val="0000FF"/>
                  <w:sz w:val="20"/>
                  <w:u w:val="single"/>
                </w:rPr>
                <w:t>Form of Performance Stock Award Agreement for Employees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November 6, 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10.36*</w:t>
            </w:r>
          </w:p>
        </w:tc>
        <w:tc>
          <w:tcPr>
            <w:tcW w:w="6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Arial;sans-serif" w:hAnsi="Arial;sans-serif"/>
                  <w:b w:val="false"/>
                  <w:color w:val="0000FF"/>
                  <w:sz w:val="20"/>
                  <w:u w:val="single"/>
                </w:rPr>
                <w:t>Form of Restricted Stock Award Agreement for Employees</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November 6, 2024</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10.37*</w:t>
            </w:r>
          </w:p>
        </w:tc>
        <w:tc>
          <w:tcPr>
            <w:tcW w:w="6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Arial;sans-serif" w:hAnsi="Arial;sans-serif"/>
                  <w:b w:val="false"/>
                  <w:color w:val="0000FF"/>
                  <w:sz w:val="20"/>
                  <w:u w:val="single"/>
                </w:rPr>
                <w:t>Form of Restricted Stock Award Agreement for Directors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November 6, 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10.38*</w:t>
            </w:r>
          </w:p>
        </w:tc>
        <w:tc>
          <w:tcPr>
            <w:tcW w:w="6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Arial;sans-serif" w:hAnsi="Arial;sans-serif"/>
                  <w:b w:val="false"/>
                  <w:color w:val="0000FF"/>
                  <w:sz w:val="20"/>
                  <w:u w:val="single"/>
                </w:rPr>
                <w:t>Form of Restricted Stock Unit Award Agreement for Employees</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November 6, 2024</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10.39*</w:t>
            </w:r>
          </w:p>
        </w:tc>
        <w:tc>
          <w:tcPr>
            <w:tcW w:w="6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Arial;sans-serif" w:hAnsi="Arial;sans-serif"/>
                  <w:b w:val="false"/>
                  <w:color w:val="0000FF"/>
                  <w:sz w:val="20"/>
                  <w:u w:val="single"/>
                </w:rPr>
                <w:t>Form of Performance Stock Unit Award Agreement for Employees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November 6, 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10.40</w:t>
            </w:r>
          </w:p>
        </w:tc>
        <w:tc>
          <w:tcPr>
            <w:tcW w:w="6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Arial;sans-serif" w:hAnsi="Arial;sans-serif"/>
                  <w:b w:val="false"/>
                  <w:color w:val="0000FF"/>
                  <w:sz w:val="20"/>
                  <w:u w:val="single"/>
                </w:rPr>
                <w:t>Joinder and Fifth Amendment to Amended and Restated Loan and Security Agreement, dated December 18, 2024, among inTEST Corporation, Ambrell Corporation, inTEST Silicon Valley Corporation, inTEST EMS, LLC, Temptronic Corporation, Videology Imaging Corporation, Acculogic Ltd., Acculogic Inc., inTEST Italy, Inc. and M&amp;T Bank</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19, 2024</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10.41</w:t>
            </w:r>
          </w:p>
        </w:tc>
        <w:tc>
          <w:tcPr>
            <w:tcW w:w="6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Arial;sans-serif" w:hAnsi="Arial;sans-serif"/>
                  <w:b w:val="false"/>
                  <w:color w:val="0000FF"/>
                  <w:sz w:val="20"/>
                  <w:u w:val="single"/>
                </w:rPr>
                <w:t>Third Amended and Restated Surety Agreement, dated December 18, 2024, among Ambrell Corporation, inTEST Silicon Valley Corporation, inTEST EMS, LLC, Temptronic Corporation, Videology Imaging Corporation, Acculogic Ltd., inTEST Italy, Inc. and M&amp;T Bank</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19, 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10.42</w:t>
            </w:r>
          </w:p>
        </w:tc>
        <w:tc>
          <w:tcPr>
            <w:tcW w:w="6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Arial;sans-serif" w:hAnsi="Arial;sans-serif"/>
                  <w:b w:val="false"/>
                  <w:color w:val="0000FF"/>
                  <w:sz w:val="20"/>
                  <w:u w:val="single"/>
                </w:rPr>
                <w:t>Third Amended and Restated Patents, Trademarks, Copyrights and Licenses Security Agreement, dated December 18, 2024, among inTEST Corporation, Ambrell Corporation, inTEST Silicon Valley Corporation, inTEST EMS, LLC, Temptronic Corporation, Videology Imaging Corporation, Acculogic Ltd., inTEST Italy, Inc. and M&amp;T Bank</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19, 2024</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10.43</w:t>
            </w:r>
          </w:p>
        </w:tc>
        <w:tc>
          <w:tcPr>
            <w:tcW w:w="6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Arial;sans-serif" w:hAnsi="Arial;sans-serif"/>
                  <w:b w:val="false"/>
                  <w:color w:val="0000FF"/>
                  <w:sz w:val="20"/>
                  <w:u w:val="single"/>
                </w:rPr>
                <w:t>Pledge Agreement, dated December 18, 2024, between inTEST Corporation and M&amp;T Bank</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19,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48d90a8909c40e38470f605b7a7d73f_7">
        <w:r>
          <w:rPr>
            <w:rStyle w:val="InternetLink"/>
            <w:rFonts w:ascii="Arial;sans-serif" w:hAnsi="Arial;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0"/>
        <w:gridCol w:w="281"/>
        <w:gridCol w:w="283"/>
        <w:gridCol w:w="2297"/>
        <w:gridCol w:w="2027"/>
        <w:gridCol w:w="2032"/>
        <w:gridCol w:w="200"/>
        <w:gridCol w:w="200"/>
        <w:gridCol w:w="201"/>
        <w:gridCol w:w="284"/>
        <w:gridCol w:w="228"/>
        <w:gridCol w:w="184"/>
        <w:gridCol w:w="255"/>
        <w:gridCol w:w="255"/>
        <w:gridCol w:w="256"/>
        <w:gridCol w:w="305"/>
        <w:gridCol w:w="244"/>
        <w:gridCol w:w="35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Exhibit</w:t>
              <w:br/>
              <w:t>Number</w:t>
            </w:r>
          </w:p>
        </w:tc>
        <w:tc>
          <w:tcPr>
            <w:tcW w:w="6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Description</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Form</w:t>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File No.</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Exhibit</w:t>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Filing Date</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10.44</w:t>
            </w:r>
          </w:p>
        </w:tc>
        <w:tc>
          <w:tcPr>
            <w:tcW w:w="6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Arial;sans-serif" w:hAnsi="Arial;sans-serif"/>
                  <w:b w:val="false"/>
                  <w:color w:val="0000FF"/>
                  <w:sz w:val="20"/>
                  <w:u w:val="single"/>
                </w:rPr>
                <w:t>Sixth Amendment to the Amended and Restated Loan and Security Agreement, dated August 5, 2025, among InTest Corporation, Ambrell Corporation, InTest Silicon Valley Corporation, InTest EMS, LLC, Videology Imaging Corporation, Acculogic Ltd., Acculogic Inc., Temptronic Corporation, Alfamation US Inc. and M&amp;T Bank.</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7, 2025</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10.45</w:t>
            </w:r>
          </w:p>
        </w:tc>
        <w:tc>
          <w:tcPr>
            <w:tcW w:w="63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Arial;sans-serif" w:hAnsi="Arial;sans-serif"/>
                  <w:b w:val="false"/>
                  <w:color w:val="0000FF"/>
                  <w:sz w:val="20"/>
                  <w:u w:val="single"/>
                </w:rPr>
                <w:t>Pledge and Assignment of Cash Collateral Account Agreement, dated August 5, 2025, between InTest Corporation and M&amp;T Bank.</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7, 2025</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19</w:t>
            </w:r>
            <w:r>
              <w:rPr>
                <w:color w:val="000000"/>
              </w:rPr>
              <w:t>†</w:t>
            </w:r>
          </w:p>
        </w:tc>
        <w:tc>
          <w:tcPr>
            <w:tcW w:w="6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Arial;sans-serif" w:hAnsi="Arial;sans-serif"/>
                  <w:b w:val="false"/>
                  <w:color w:val="0000FF"/>
                  <w:sz w:val="20"/>
                  <w:u w:val="single"/>
                </w:rPr>
                <w:t>Insider Trading Policy</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13, 2025</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21</w:t>
            </w:r>
            <w:r>
              <w:rPr>
                <w:color w:val="000000"/>
              </w:rPr>
              <w:t>†</w:t>
            </w:r>
          </w:p>
        </w:tc>
        <w:tc>
          <w:tcPr>
            <w:tcW w:w="63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ntt-20251231xexx21.htm">
              <w:r>
                <w:rPr>
                  <w:rStyle w:val="InternetLink"/>
                  <w:rFonts w:ascii="Arial;sans-serif" w:hAnsi="Arial;sans-serif"/>
                  <w:b w:val="false"/>
                  <w:color w:val="0000FF"/>
                  <w:sz w:val="20"/>
                  <w:u w:val="single"/>
                </w:rPr>
                <w:t>Subsidiaries of the Company</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23</w:t>
            </w:r>
            <w:r>
              <w:rPr>
                <w:color w:val="000000"/>
              </w:rPr>
              <w:t>†</w:t>
            </w:r>
          </w:p>
        </w:tc>
        <w:tc>
          <w:tcPr>
            <w:tcW w:w="6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ntt-20251231xexx23.htm">
              <w:r>
                <w:rPr>
                  <w:rStyle w:val="InternetLink"/>
                  <w:rFonts w:ascii="Arial;sans-serif" w:hAnsi="Arial;sans-serif"/>
                  <w:b w:val="false"/>
                  <w:color w:val="0000FF"/>
                  <w:sz w:val="20"/>
                  <w:u w:val="single"/>
                </w:rPr>
                <w:t>Consent of RSM US LLP</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31.1</w:t>
            </w:r>
            <w:r>
              <w:rPr>
                <w:color w:val="000000"/>
              </w:rPr>
              <w:t>†</w:t>
            </w:r>
          </w:p>
        </w:tc>
        <w:tc>
          <w:tcPr>
            <w:tcW w:w="63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ntt-20251231xexx311.htm">
              <w:r>
                <w:rPr>
                  <w:rStyle w:val="InternetLink"/>
                  <w:rFonts w:ascii="Arial;sans-serif" w:hAnsi="Arial;sans-serif"/>
                  <w:b w:val="false"/>
                  <w:color w:val="0000FF"/>
                  <w:sz w:val="20"/>
                  <w:u w:val="single"/>
                </w:rPr>
                <w:t>Certification of Chief Executive Officer pursuant to Rule 13a-14(a)</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31.2</w:t>
            </w:r>
            <w:r>
              <w:rPr>
                <w:color w:val="000000"/>
              </w:rPr>
              <w:t>†</w:t>
            </w:r>
          </w:p>
        </w:tc>
        <w:tc>
          <w:tcPr>
            <w:tcW w:w="6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ntt-20251231xexx312.htm">
              <w:r>
                <w:rPr>
                  <w:rStyle w:val="InternetLink"/>
                  <w:rFonts w:ascii="Arial;sans-serif" w:hAnsi="Arial;sans-serif"/>
                  <w:b w:val="false"/>
                  <w:color w:val="0000FF"/>
                  <w:sz w:val="20"/>
                  <w:u w:val="single"/>
                </w:rPr>
                <w:t>Certification of Chief Financial Officer pursuant to Rule 13a-14(a)</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32.1</w:t>
            </w:r>
            <w:r>
              <w:rPr>
                <w:rFonts w:ascii="Arial;sans-serif" w:hAnsi="Arial;sans-serif"/>
                <w:b w:val="false"/>
                <w:color w:val="000000"/>
                <w:sz w:val="13"/>
              </w:rPr>
              <w:t>+</w:t>
            </w:r>
          </w:p>
        </w:tc>
        <w:tc>
          <w:tcPr>
            <w:tcW w:w="63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ntt-20251231xexx321.htm">
              <w:r>
                <w:rPr>
                  <w:rStyle w:val="InternetLink"/>
                  <w:rFonts w:ascii="Arial;sans-serif" w:hAnsi="Arial;sans-serif"/>
                  <w:b w:val="false"/>
                  <w:color w:val="0000FF"/>
                  <w:sz w:val="20"/>
                  <w:u w:val="single"/>
                </w:rPr>
                <w:t>Certification of Chief Executive Officer pursuant to Section 906 of the Sarbanes-Oxley Act of 2002</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32.2</w:t>
            </w:r>
            <w:r>
              <w:rPr>
                <w:rFonts w:ascii="Arial;sans-serif" w:hAnsi="Arial;sans-serif"/>
                <w:b w:val="false"/>
                <w:color w:val="000000"/>
                <w:sz w:val="13"/>
              </w:rPr>
              <w:t>+</w:t>
            </w:r>
          </w:p>
        </w:tc>
        <w:tc>
          <w:tcPr>
            <w:tcW w:w="6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ntt-20251231xexx322.htm">
              <w:r>
                <w:rPr>
                  <w:rStyle w:val="InternetLink"/>
                  <w:rFonts w:ascii="Arial;sans-serif" w:hAnsi="Arial;sans-serif"/>
                  <w:b w:val="false"/>
                  <w:color w:val="0000FF"/>
                  <w:sz w:val="20"/>
                  <w:u w:val="single"/>
                </w:rPr>
                <w:t>Certification of Chief Financial Officer pursuant to Section 906 of the Sarbanes-Oxley Act of 2002</w:t>
              </w:r>
            </w:hyperlink>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63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Arial;sans-serif" w:hAnsi="Arial;sans-serif"/>
                  <w:b w:val="false"/>
                  <w:color w:val="0000FF"/>
                  <w:sz w:val="20"/>
                  <w:u w:val="single"/>
                </w:rPr>
                <w:t>Policy Relating to Recovery of Erroneously Awarded Compensation</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001-36117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27, 2024</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101.INS</w:t>
            </w:r>
            <w:r>
              <w:rPr>
                <w:color w:val="000000"/>
              </w:rPr>
              <w:t>†</w:t>
            </w:r>
          </w:p>
        </w:tc>
        <w:tc>
          <w:tcPr>
            <w:tcW w:w="6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Instance Document</w:t>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101.SCH</w:t>
            </w:r>
            <w:r>
              <w:rPr>
                <w:color w:val="000000"/>
              </w:rPr>
              <w:t>†</w:t>
            </w:r>
          </w:p>
        </w:tc>
        <w:tc>
          <w:tcPr>
            <w:tcW w:w="6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101.CAL</w:t>
            </w:r>
            <w:r>
              <w:rPr>
                <w:color w:val="000000"/>
              </w:rPr>
              <w:t>†</w:t>
            </w:r>
          </w:p>
        </w:tc>
        <w:tc>
          <w:tcPr>
            <w:tcW w:w="6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101.DEF</w:t>
            </w:r>
            <w:r>
              <w:rPr>
                <w:color w:val="000000"/>
              </w:rPr>
              <w:t>†</w:t>
            </w:r>
          </w:p>
        </w:tc>
        <w:tc>
          <w:tcPr>
            <w:tcW w:w="6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101.LAB</w:t>
            </w:r>
            <w:r>
              <w:rPr>
                <w:color w:val="000000"/>
              </w:rPr>
              <w:t>†</w:t>
            </w:r>
          </w:p>
        </w:tc>
        <w:tc>
          <w:tcPr>
            <w:tcW w:w="6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101.PRE</w:t>
            </w:r>
            <w:r>
              <w:rPr>
                <w:color w:val="000000"/>
              </w:rPr>
              <w:t>†</w:t>
            </w:r>
          </w:p>
        </w:tc>
        <w:tc>
          <w:tcPr>
            <w:tcW w:w="6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104</w:t>
            </w:r>
            <w:r>
              <w:rPr>
                <w:color w:val="000000"/>
              </w:rPr>
              <w:t>†</w:t>
            </w:r>
          </w:p>
        </w:tc>
        <w:tc>
          <w:tcPr>
            <w:tcW w:w="6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(the cover page interactive data file does not appear in Exhibit 104 because its Inline XBRL tags are embedded within the Inline XBRL document).</w:t>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*Indicates a management plan or compensatory plan or arrangement</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Filed herewith</w:t>
      </w:r>
    </w:p>
    <w:p>
      <w:pPr>
        <w:pStyle w:val="TextBody"/>
        <w:bidi w:val="0"/>
        <w:spacing w:lineRule="auto" w:line="288" w:before="0" w:after="240"/>
        <w:ind w:left="0" w:right="0" w:hanging="180"/>
        <w:jc w:val="left"/>
        <w:rPr/>
      </w:pPr>
      <w:r>
        <w:rPr>
          <w:rFonts w:ascii="Times New Roman;serif" w:hAnsi="Times New Roman;serif"/>
          <w:b w:val="false"/>
          <w:color w:val="000000"/>
          <w:sz w:val="20"/>
        </w:rPr>
        <w:t>+</w:t>
      </w:r>
      <w:r>
        <w:rPr>
          <w:rFonts w:ascii="Arial;sans-serif" w:hAnsi="Arial;sans-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Signatures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InTest Corporation</w:t>
      </w:r>
    </w:p>
    <w:tbl>
      <w:tblPr>
        <w:tblW w:w="5635" w:type="dxa"/>
        <w:jc w:val="left"/>
        <w:tblInd w:w="0" w:type="dxa"/>
        <w:tblLayout w:type="fixed"/>
        <w:tblCellMar>
          <w:top w:w="28" w:type="dxa"/>
          <w:left w:w="28" w:type="dxa"/>
          <w:bottom w:w="28" w:type="dxa"/>
          <w:right w:w="28" w:type="dxa"/>
        </w:tblCellMar>
      </w:tblPr>
      <w:tblGrid>
        <w:gridCol w:w="151"/>
        <w:gridCol w:w="134"/>
        <w:gridCol w:w="135"/>
        <w:gridCol w:w="1128"/>
        <w:gridCol w:w="1128"/>
        <w:gridCol w:w="1133"/>
        <w:gridCol w:w="484"/>
        <w:gridCol w:w="484"/>
        <w:gridCol w:w="486"/>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N. Grant, Jr.</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Securities Exchange Act of 1934, this report has been signed below by the following persons on behalf of the Registrant and in the capacities and on the dates indicated.</w:t>
      </w:r>
    </w:p>
    <w:tbl>
      <w:tblPr>
        <w:tblW w:w="7166" w:type="dxa"/>
        <w:jc w:val="left"/>
        <w:tblInd w:w="0" w:type="dxa"/>
        <w:tblLayout w:type="fixed"/>
        <w:tblCellMar>
          <w:top w:w="28" w:type="dxa"/>
          <w:left w:w="28" w:type="dxa"/>
          <w:bottom w:w="28" w:type="dxa"/>
          <w:right w:w="28" w:type="dxa"/>
        </w:tblCellMar>
      </w:tblPr>
      <w:tblGrid>
        <w:gridCol w:w="1935"/>
        <w:gridCol w:w="1697"/>
        <w:gridCol w:w="1708"/>
        <w:gridCol w:w="484"/>
        <w:gridCol w:w="484"/>
        <w:gridCol w:w="486"/>
        <w:gridCol w:w="109"/>
        <w:gridCol w:w="109"/>
        <w:gridCol w:w="154"/>
      </w:tblGrid>
      <w:tr>
        <w:trPr/>
        <w:tc>
          <w:tcPr>
            <w:tcW w:w="193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N. Grant, Jr., President,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 and Director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 Chief Financial Officer, Treasurer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Secretary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Financial Officer and Principal Accounting Officer)</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Joseph W. Dews IV</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Joseph W. Dews IV, Chairman</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Steven J. Abrams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Steven J. Abrams, Esq., Director</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Jeffrey A. Beck</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Jeffrey A. Beck, Director</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 xml:space="preserve">/s/ Gerald J. Maginnis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Gerald J. Maginnis, Director</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March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INDEX TO CONSOLIDATED FINANCIAL STATEMENTS AND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FINANCIAL STATEMENT SCHEDULE</w:t>
      </w:r>
    </w:p>
    <w:tbl>
      <w:tblPr>
        <w:tblW w:w="10186" w:type="dxa"/>
        <w:jc w:val="center"/>
        <w:tblInd w:w="0" w:type="dxa"/>
        <w:tblLayout w:type="fixed"/>
        <w:tblCellMar>
          <w:top w:w="28" w:type="dxa"/>
          <w:left w:w="28" w:type="dxa"/>
          <w:bottom w:w="28" w:type="dxa"/>
          <w:right w:w="28" w:type="dxa"/>
        </w:tblCellMar>
      </w:tblPr>
      <w:tblGrid>
        <w:gridCol w:w="3466"/>
        <w:gridCol w:w="3049"/>
        <w:gridCol w:w="3055"/>
        <w:gridCol w:w="180"/>
        <w:gridCol w:w="180"/>
        <w:gridCol w:w="256"/>
      </w:tblGrid>
      <w:tr>
        <w:trPr/>
        <w:tc>
          <w:tcPr>
            <w:tcW w:w="3466"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Page</w:t>
            </w:r>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36">
              <w:r>
                <w:rPr>
                  <w:rStyle w:val="InternetLink"/>
                  <w:rFonts w:ascii="Arial;sans-serif" w:hAnsi="Arial;sans-serif"/>
                  <w:b w:val="false"/>
                  <w:strike w:val="false"/>
                  <w:dstrike w:val="false"/>
                  <w:color w:val="000000"/>
                  <w:sz w:val="20"/>
                  <w:u w:val="none"/>
                  <w:effect w:val="none"/>
                </w:rPr>
                <w:t xml:space="preserve">REPORTS OF INDEPENDENT REGISTERED PUBLIC ACCOUNTING FIRM (RSM US LLP PCAOB No. </w:t>
              </w:r>
            </w:hyperlink>
            <w:r>
              <w:rPr>
                <w:rFonts w:ascii="Arial;sans-serif" w:hAnsi="Arial;sans-serif"/>
                <w:b w:val="false"/>
                <w:color w:val="000000"/>
                <w:sz w:val="20"/>
              </w:rPr>
              <w:t>49</w:t>
            </w:r>
            <w:hyperlink w:anchor="ic48d90a8909c40e38470f605b7a7d73f_136">
              <w:r>
                <w:rPr>
                  <w:rStyle w:val="InternetLink"/>
                  <w:rFonts w:ascii="Arial;sans-serif" w:hAnsi="Arial;sans-serif"/>
                  <w:b w:val="false"/>
                  <w:strike w:val="false"/>
                  <w:dstrike w:val="false"/>
                  <w:color w:val="000000"/>
                  <w:sz w:val="20"/>
                  <w:u w:val="none"/>
                  <w:effect w:val="none"/>
                </w:rPr>
                <w:t>)</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36">
              <w:r>
                <w:rPr>
                  <w:rStyle w:val="InternetLink"/>
                  <w:rFonts w:ascii="Arial;sans-serif" w:hAnsi="Arial;sans-serif"/>
                  <w:b w:val="false"/>
                  <w:strike w:val="false"/>
                  <w:dstrike w:val="false"/>
                  <w:color w:val="000080"/>
                  <w:sz w:val="20"/>
                  <w:u w:val="single"/>
                  <w:effect w:val="none"/>
                </w:rPr>
                <w:t>F</w:t>
              </w:r>
            </w:hyperlink>
            <w:hyperlink w:anchor="ic48d90a8909c40e38470f605b7a7d73f_136">
              <w:r>
                <w:rPr>
                  <w:rStyle w:val="InternetLink"/>
                  <w:rFonts w:ascii="Arial;sans-serif" w:hAnsi="Arial;sans-serif"/>
                  <w:b w:val="false"/>
                  <w:strike w:val="false"/>
                  <w:dstrike w:val="false"/>
                  <w:color w:val="000080"/>
                  <w:sz w:val="20"/>
                  <w:u w:val="single"/>
                  <w:effect w:val="none"/>
                </w:rPr>
                <w:t>-</w:t>
              </w:r>
            </w:hyperlink>
            <w:hyperlink w:anchor="ic48d90a8909c40e38470f605b7a7d73f_136">
              <w:r>
                <w:rPr>
                  <w:rStyle w:val="InternetLink"/>
                  <w:rFonts w:ascii="Arial;sans-serif" w:hAnsi="Arial;sans-serif"/>
                  <w:b w:val="false"/>
                  <w:strike w:val="false"/>
                  <w:dstrike w:val="false"/>
                  <w:color w:val="000080"/>
                  <w:sz w:val="20"/>
                  <w:u w:val="single"/>
                  <w:effect w:val="none"/>
                </w:rPr>
                <w:t>2</w:t>
              </w:r>
            </w:hyperlink>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39">
              <w:r>
                <w:rPr>
                  <w:rStyle w:val="InternetLink"/>
                  <w:rFonts w:ascii="Arial;sans-serif" w:hAnsi="Arial;sans-serif"/>
                  <w:b w:val="false"/>
                  <w:strike w:val="false"/>
                  <w:dstrike w:val="false"/>
                  <w:color w:val="000000"/>
                  <w:sz w:val="20"/>
                  <w:u w:val="none"/>
                  <w:effect w:val="none"/>
                </w:rPr>
                <w:t>CONSOLIDATED FINANCIAL STATEMENTS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42">
              <w:r>
                <w:rPr>
                  <w:rStyle w:val="InternetLink"/>
                  <w:rFonts w:ascii="Arial;sans-serif" w:hAnsi="Arial;sans-serif"/>
                  <w:b w:val="false"/>
                  <w:strike w:val="false"/>
                  <w:dstrike w:val="false"/>
                  <w:color w:val="000000"/>
                  <w:sz w:val="20"/>
                  <w:u w:val="none"/>
                  <w:effect w:val="none"/>
                </w:rPr>
                <w:t xml:space="preserve">Consolidated Balance Sheets as of </w:t>
              </w:r>
            </w:hyperlink>
            <w:r>
              <w:rPr>
                <w:rFonts w:ascii="Arial;sans-serif" w:hAnsi="Arial;sans-serif"/>
                <w:b w:val="false"/>
                <w:color w:val="000000"/>
                <w:sz w:val="20"/>
              </w:rPr>
              <w:t>December 31, 2025</w:t>
            </w:r>
            <w:hyperlink w:anchor="ic48d90a8909c40e38470f605b7a7d73f_142">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42">
              <w:r>
                <w:rPr>
                  <w:rStyle w:val="InternetLink"/>
                  <w:rFonts w:ascii="Arial;sans-serif" w:hAnsi="Arial;sans-serif"/>
                  <w:b w:val="false"/>
                  <w:strike w:val="false"/>
                  <w:dstrike w:val="false"/>
                  <w:color w:val="000080"/>
                  <w:sz w:val="20"/>
                  <w:u w:val="single"/>
                  <w:effect w:val="none"/>
                </w:rPr>
                <w:t>F</w:t>
              </w:r>
            </w:hyperlink>
            <w:hyperlink w:anchor="ic48d90a8909c40e38470f605b7a7d73f_142">
              <w:r>
                <w:rPr>
                  <w:rStyle w:val="InternetLink"/>
                  <w:rFonts w:ascii="Arial;sans-serif" w:hAnsi="Arial;sans-serif"/>
                  <w:b w:val="false"/>
                  <w:strike w:val="false"/>
                  <w:dstrike w:val="false"/>
                  <w:color w:val="000080"/>
                  <w:sz w:val="20"/>
                  <w:u w:val="single"/>
                  <w:effect w:val="none"/>
                </w:rPr>
                <w:t>-</w:t>
              </w:r>
            </w:hyperlink>
            <w:hyperlink w:anchor="ic48d90a8909c40e38470f605b7a7d73f_142">
              <w:r>
                <w:rPr>
                  <w:rStyle w:val="InternetLink"/>
                  <w:rFonts w:ascii="Arial;sans-serif" w:hAnsi="Arial;sans-serif"/>
                  <w:b w:val="false"/>
                  <w:strike w:val="false"/>
                  <w:dstrike w:val="false"/>
                  <w:color w:val="000080"/>
                  <w:sz w:val="20"/>
                  <w:u w:val="single"/>
                  <w:effect w:val="none"/>
                </w:rPr>
                <w:t>6</w:t>
              </w:r>
            </w:hyperlink>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45">
              <w:r>
                <w:rPr>
                  <w:rStyle w:val="InternetLink"/>
                  <w:rFonts w:ascii="Arial;sans-serif" w:hAnsi="Arial;sans-serif"/>
                  <w:b w:val="false"/>
                  <w:strike w:val="false"/>
                  <w:dstrike w:val="false"/>
                  <w:color w:val="000000"/>
                  <w:sz w:val="20"/>
                  <w:u w:val="none"/>
                  <w:effect w:val="none"/>
                </w:rPr>
                <w:t xml:space="preserve">Consolidated Statements of Operations for the years ended </w:t>
              </w:r>
            </w:hyperlink>
            <w:r>
              <w:rPr>
                <w:rFonts w:ascii="Arial;sans-serif" w:hAnsi="Arial;sans-serif"/>
                <w:b w:val="false"/>
                <w:color w:val="000000"/>
                <w:sz w:val="20"/>
              </w:rPr>
              <w:t>December 31, 2025</w:t>
            </w:r>
            <w:hyperlink w:anchor="ic48d90a8909c40e38470f605b7a7d73f_145">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45">
              <w:r>
                <w:rPr>
                  <w:rStyle w:val="InternetLink"/>
                  <w:rFonts w:ascii="Arial;sans-serif" w:hAnsi="Arial;sans-serif"/>
                  <w:b w:val="false"/>
                  <w:strike w:val="false"/>
                  <w:dstrike w:val="false"/>
                  <w:color w:val="000000"/>
                  <w:sz w:val="20"/>
                  <w:u w:val="none"/>
                  <w:effect w:val="none"/>
                </w:rPr>
                <w:t>F</w:t>
              </w:r>
            </w:hyperlink>
            <w:r>
              <w:rPr>
                <w:rFonts w:ascii="Arial;sans-serif" w:hAnsi="Arial;sans-serif"/>
                <w:b w:val="false"/>
                <w:color w:val="000000"/>
                <w:sz w:val="20"/>
              </w:rPr>
              <w:t xml:space="preserve">- </w:t>
            </w:r>
            <w:hyperlink w:anchor="ic48d90a8909c40e38470f605b7a7d73f_145">
              <w:r>
                <w:rPr>
                  <w:rStyle w:val="InternetLink"/>
                  <w:rFonts w:ascii="Arial;sans-serif" w:hAnsi="Arial;sans-serif"/>
                  <w:b w:val="false"/>
                  <w:strike w:val="false"/>
                  <w:dstrike w:val="false"/>
                  <w:color w:val="000000"/>
                  <w:sz w:val="20"/>
                  <w:u w:val="none"/>
                  <w:effect w:val="none"/>
                </w:rPr>
                <w:t>7</w:t>
              </w:r>
            </w:hyperlink>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48">
              <w:r>
                <w:rPr>
                  <w:rStyle w:val="InternetLink"/>
                  <w:rFonts w:ascii="Arial;sans-serif" w:hAnsi="Arial;sans-serif"/>
                  <w:b w:val="false"/>
                  <w:strike w:val="false"/>
                  <w:dstrike w:val="false"/>
                  <w:color w:val="000080"/>
                  <w:sz w:val="20"/>
                  <w:u w:val="single"/>
                  <w:effect w:val="none"/>
                </w:rPr>
                <w:t xml:space="preserve">Consolidated Statements of Comprehensive </w:t>
              </w:r>
            </w:hyperlink>
            <w:hyperlink w:anchor="ic48d90a8909c40e38470f605b7a7d73f_148">
              <w:r>
                <w:rPr>
                  <w:rStyle w:val="InternetLink"/>
                  <w:rFonts w:ascii="Arial;sans-serif" w:hAnsi="Arial;sans-serif"/>
                  <w:b w:val="false"/>
                  <w:strike w:val="false"/>
                  <w:dstrike w:val="false"/>
                  <w:color w:val="000080"/>
                  <w:sz w:val="20"/>
                  <w:u w:val="single"/>
                  <w:effect w:val="none"/>
                </w:rPr>
                <w:t>Earnings</w:t>
              </w:r>
            </w:hyperlink>
            <w:hyperlink w:anchor="ic48d90a8909c40e38470f605b7a7d73f_148">
              <w:r>
                <w:rPr>
                  <w:rStyle w:val="InternetLink"/>
                  <w:rFonts w:ascii="Arial;sans-serif" w:hAnsi="Arial;sans-serif"/>
                  <w:b w:val="false"/>
                  <w:strike w:val="false"/>
                  <w:dstrike w:val="false"/>
                  <w:color w:val="000080"/>
                  <w:sz w:val="20"/>
                  <w:u w:val="single"/>
                  <w:effect w:val="none"/>
                </w:rPr>
                <w:t xml:space="preserve"> for the years ended </w:t>
              </w:r>
            </w:hyperlink>
            <w:r>
              <w:rPr>
                <w:rFonts w:ascii="Arial;sans-serif" w:hAnsi="Arial;sans-serif"/>
                <w:b w:val="false"/>
                <w:color w:val="000000"/>
                <w:sz w:val="20"/>
              </w:rPr>
              <w:t>December 31, 2025</w:t>
            </w:r>
            <w:hyperlink w:anchor="ic48d90a8909c40e38470f605b7a7d73f_148">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48">
              <w:r>
                <w:rPr>
                  <w:rStyle w:val="InternetLink"/>
                  <w:rFonts w:ascii="Arial;sans-serif" w:hAnsi="Arial;sans-serif"/>
                  <w:b w:val="false"/>
                  <w:strike w:val="false"/>
                  <w:dstrike w:val="false"/>
                  <w:color w:val="000080"/>
                  <w:sz w:val="20"/>
                  <w:u w:val="single"/>
                  <w:effect w:val="none"/>
                </w:rPr>
                <w:t>F</w:t>
              </w:r>
            </w:hyperlink>
            <w:hyperlink w:anchor="ic48d90a8909c40e38470f605b7a7d73f_148">
              <w:r>
                <w:rPr>
                  <w:rStyle w:val="InternetLink"/>
                  <w:rFonts w:ascii="Arial;sans-serif" w:hAnsi="Arial;sans-serif"/>
                  <w:b w:val="false"/>
                  <w:strike w:val="false"/>
                  <w:dstrike w:val="false"/>
                  <w:color w:val="000080"/>
                  <w:sz w:val="20"/>
                  <w:u w:val="single"/>
                  <w:effect w:val="none"/>
                </w:rPr>
                <w:t>-</w:t>
              </w:r>
            </w:hyperlink>
            <w:hyperlink w:anchor="ic48d90a8909c40e38470f605b7a7d73f_148">
              <w:r>
                <w:rPr>
                  <w:rStyle w:val="InternetLink"/>
                  <w:rFonts w:ascii="Arial;sans-serif" w:hAnsi="Arial;sans-serif"/>
                  <w:b w:val="false"/>
                  <w:strike w:val="false"/>
                  <w:dstrike w:val="false"/>
                  <w:color w:val="000080"/>
                  <w:sz w:val="20"/>
                  <w:u w:val="single"/>
                  <w:effect w:val="none"/>
                </w:rPr>
                <w:t>8</w:t>
              </w:r>
            </w:hyperlink>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51">
              <w:r>
                <w:rPr>
                  <w:rStyle w:val="InternetLink"/>
                  <w:rFonts w:ascii="Arial;sans-serif" w:hAnsi="Arial;sans-serif"/>
                  <w:b w:val="false"/>
                  <w:strike w:val="false"/>
                  <w:dstrike w:val="false"/>
                  <w:color w:val="000000"/>
                  <w:sz w:val="20"/>
                  <w:u w:val="none"/>
                  <w:effect w:val="none"/>
                </w:rPr>
                <w:t xml:space="preserve">Consolidated Statements of Stockholders’ Equity for the years ended </w:t>
              </w:r>
            </w:hyperlink>
            <w:r>
              <w:rPr>
                <w:rFonts w:ascii="Arial;sans-serif" w:hAnsi="Arial;sans-serif"/>
                <w:b w:val="false"/>
                <w:color w:val="000000"/>
                <w:sz w:val="20"/>
              </w:rPr>
              <w:t>December 31, 2025</w:t>
            </w:r>
            <w:hyperlink w:anchor="ic48d90a8909c40e38470f605b7a7d73f_151">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51">
              <w:r>
                <w:rPr>
                  <w:rStyle w:val="InternetLink"/>
                  <w:rFonts w:ascii="Arial;sans-serif" w:hAnsi="Arial;sans-serif"/>
                  <w:b w:val="false"/>
                  <w:strike w:val="false"/>
                  <w:dstrike w:val="false"/>
                  <w:color w:val="000080"/>
                  <w:sz w:val="20"/>
                  <w:u w:val="single"/>
                  <w:effect w:val="none"/>
                </w:rPr>
                <w:t>F</w:t>
              </w:r>
            </w:hyperlink>
            <w:hyperlink w:anchor="ic48d90a8909c40e38470f605b7a7d73f_151">
              <w:r>
                <w:rPr>
                  <w:rStyle w:val="InternetLink"/>
                  <w:rFonts w:ascii="Arial;sans-serif" w:hAnsi="Arial;sans-serif"/>
                  <w:b w:val="false"/>
                  <w:strike w:val="false"/>
                  <w:dstrike w:val="false"/>
                  <w:color w:val="000080"/>
                  <w:sz w:val="20"/>
                  <w:u w:val="single"/>
                  <w:effect w:val="none"/>
                </w:rPr>
                <w:t>-</w:t>
              </w:r>
            </w:hyperlink>
            <w:hyperlink w:anchor="ic48d90a8909c40e38470f605b7a7d73f_151">
              <w:r>
                <w:rPr>
                  <w:rStyle w:val="InternetLink"/>
                  <w:rFonts w:ascii="Arial;sans-serif" w:hAnsi="Arial;sans-serif"/>
                  <w:b w:val="false"/>
                  <w:strike w:val="false"/>
                  <w:dstrike w:val="false"/>
                  <w:color w:val="000080"/>
                  <w:sz w:val="20"/>
                  <w:u w:val="single"/>
                  <w:effect w:val="none"/>
                </w:rPr>
                <w:t>9</w:t>
              </w:r>
            </w:hyperlink>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54">
              <w:r>
                <w:rPr>
                  <w:rStyle w:val="InternetLink"/>
                  <w:rFonts w:ascii="Arial;sans-serif" w:hAnsi="Arial;sans-serif"/>
                  <w:b w:val="false"/>
                  <w:strike w:val="false"/>
                  <w:dstrike w:val="false"/>
                  <w:color w:val="000000"/>
                  <w:sz w:val="20"/>
                  <w:u w:val="none"/>
                  <w:effect w:val="none"/>
                </w:rPr>
                <w:t xml:space="preserve">Consolidated Statements of Cash Flows for the years ended </w:t>
              </w:r>
            </w:hyperlink>
            <w:r>
              <w:rPr>
                <w:rFonts w:ascii="Arial;sans-serif" w:hAnsi="Arial;sans-serif"/>
                <w:b w:val="false"/>
                <w:color w:val="000000"/>
                <w:sz w:val="20"/>
              </w:rPr>
              <w:t>December 31, 2025</w:t>
            </w:r>
            <w:hyperlink w:anchor="ic48d90a8909c40e38470f605b7a7d73f_154">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54">
              <w:r>
                <w:rPr>
                  <w:rStyle w:val="InternetLink"/>
                  <w:rFonts w:ascii="Arial;sans-serif" w:hAnsi="Arial;sans-serif"/>
                  <w:b w:val="false"/>
                  <w:strike w:val="false"/>
                  <w:dstrike w:val="false"/>
                  <w:color w:val="000080"/>
                  <w:sz w:val="20"/>
                  <w:u w:val="single"/>
                  <w:effect w:val="none"/>
                </w:rPr>
                <w:t>F</w:t>
              </w:r>
            </w:hyperlink>
            <w:hyperlink w:anchor="ic48d90a8909c40e38470f605b7a7d73f_154">
              <w:r>
                <w:rPr>
                  <w:rStyle w:val="InternetLink"/>
                  <w:rFonts w:ascii="Arial;sans-serif" w:hAnsi="Arial;sans-serif"/>
                  <w:b w:val="false"/>
                  <w:strike w:val="false"/>
                  <w:dstrike w:val="false"/>
                  <w:color w:val="000080"/>
                  <w:sz w:val="20"/>
                  <w:u w:val="single"/>
                  <w:effect w:val="none"/>
                </w:rPr>
                <w:t>-</w:t>
              </w:r>
            </w:hyperlink>
            <w:hyperlink w:anchor="ic48d90a8909c40e38470f605b7a7d73f_154">
              <w:r>
                <w:rPr>
                  <w:rStyle w:val="InternetLink"/>
                  <w:rFonts w:ascii="Arial;sans-serif" w:hAnsi="Arial;sans-serif"/>
                  <w:b w:val="false"/>
                  <w:strike w:val="false"/>
                  <w:dstrike w:val="false"/>
                  <w:color w:val="000080"/>
                  <w:sz w:val="20"/>
                  <w:u w:val="single"/>
                  <w:effect w:val="none"/>
                </w:rPr>
                <w:t>10</w:t>
              </w:r>
            </w:hyperlink>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157">
              <w:r>
                <w:rPr>
                  <w:rStyle w:val="InternetLink"/>
                  <w:rFonts w:ascii="Arial;sans-serif" w:hAnsi="Arial;sans-serif"/>
                  <w:b w:val="false"/>
                  <w:strike w:val="false"/>
                  <w:dstrike w:val="false"/>
                  <w:color w:val="000000"/>
                  <w:sz w:val="20"/>
                  <w:u w:val="none"/>
                  <w:effect w:val="none"/>
                </w:rPr>
                <w:t>Notes to Consolidated Financial Statements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157">
              <w:r>
                <w:rPr>
                  <w:rStyle w:val="InternetLink"/>
                  <w:rFonts w:ascii="Arial;sans-serif" w:hAnsi="Arial;sans-serif"/>
                  <w:b w:val="false"/>
                  <w:strike w:val="false"/>
                  <w:dstrike w:val="false"/>
                  <w:color w:val="000000"/>
                  <w:sz w:val="20"/>
                  <w:u w:val="none"/>
                  <w:effect w:val="none"/>
                </w:rPr>
                <w:t>F</w:t>
              </w:r>
            </w:hyperlink>
            <w:r>
              <w:rPr>
                <w:rFonts w:ascii="Arial;sans-serif" w:hAnsi="Arial;sans-serif"/>
                <w:b w:val="false"/>
                <w:color w:val="000000"/>
                <w:sz w:val="20"/>
              </w:rPr>
              <w:t>-</w:t>
            </w:r>
            <w:hyperlink w:anchor="ic48d90a8909c40e38470f605b7a7d73f_160">
              <w:r>
                <w:rPr>
                  <w:rStyle w:val="InternetLink"/>
                  <w:rFonts w:ascii="Arial;sans-serif" w:hAnsi="Arial;sans-serif"/>
                  <w:b w:val="false"/>
                  <w:strike w:val="false"/>
                  <w:dstrike w:val="false"/>
                  <w:color w:val="000000"/>
                  <w:sz w:val="20"/>
                  <w:u w:val="none"/>
                  <w:effect w:val="none"/>
                </w:rPr>
                <w:t>11</w:t>
              </w:r>
            </w:hyperlink>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283">
              <w:r>
                <w:rPr>
                  <w:rStyle w:val="InternetLink"/>
                  <w:rFonts w:ascii="Arial;sans-serif" w:hAnsi="Arial;sans-serif"/>
                  <w:b w:val="false"/>
                  <w:strike w:val="false"/>
                  <w:dstrike w:val="false"/>
                  <w:color w:val="000000"/>
                  <w:sz w:val="20"/>
                  <w:u w:val="none"/>
                  <w:effect w:val="none"/>
                </w:rPr>
                <w:t>FINANCIAL STATEMENT SCHEDULE</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8d90a8909c40e38470f605b7a7d73f_286">
              <w:r>
                <w:rPr>
                  <w:rStyle w:val="InternetLink"/>
                  <w:rFonts w:ascii="Arial;sans-serif" w:hAnsi="Arial;sans-serif"/>
                  <w:b w:val="false"/>
                  <w:strike w:val="false"/>
                  <w:dstrike w:val="false"/>
                  <w:color w:val="000000"/>
                  <w:sz w:val="20"/>
                  <w:u w:val="none"/>
                  <w:effect w:val="none"/>
                </w:rPr>
                <w:t>Schedule II - Valuation and Qualifying Accounts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48d90a8909c40e38470f605b7a7d73f_286">
              <w:r>
                <w:rPr>
                  <w:rStyle w:val="InternetLink"/>
                  <w:rFonts w:ascii="Arial;sans-serif" w:hAnsi="Arial;sans-serif"/>
                  <w:b w:val="false"/>
                  <w:strike w:val="false"/>
                  <w:dstrike w:val="false"/>
                  <w:color w:val="000000"/>
                  <w:sz w:val="20"/>
                  <w:u w:val="none"/>
                  <w:effect w:val="none"/>
                </w:rPr>
                <w:t>F</w:t>
              </w:r>
            </w:hyperlink>
            <w:r>
              <w:rPr>
                <w:rFonts w:ascii="Arial;sans-serif" w:hAnsi="Arial;sans-serif"/>
                <w:b w:val="false"/>
                <w:color w:val="000000"/>
                <w:sz w:val="20"/>
              </w:rPr>
              <w:t>-</w:t>
            </w:r>
            <w:hyperlink w:anchor="ic48d90a8909c40e38470f605b7a7d73f_286">
              <w:r>
                <w:rPr>
                  <w:rStyle w:val="InternetLink"/>
                  <w:rFonts w:ascii="Arial;sans-serif" w:hAnsi="Arial;sans-serif"/>
                  <w:b w:val="false"/>
                  <w:strike w:val="false"/>
                  <w:dstrike w:val="false"/>
                  <w:color w:val="000000"/>
                  <w:sz w:val="20"/>
                  <w:u w:val="none"/>
                  <w:effect w:val="non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the Stockholders and the Board of Directors of InTest Corporation</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InTest Corporation and its subsidiaries (the Company) as of December 31, 2025 and 2024, the related consolidated statements of operations, comprehensive earnings, stockholders’ equity and cash flows for each of the two years in the period ended December 31, 2025, and the related notes to the consolidated financial statements and schedule (collectively,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issued by the Committee of Sponsoring Organizations of the Treadway Commission in 2013, and our report dated March 12, 2026 expressed an unqualified opinion on the effectiveness of the Company's internal control over financial reporting.</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Critical Audit Matters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Valuation of Goodwill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disclosed in Notes 2 and 6 to the Company’s consolidated financial statements, during 2025 the Company had three operating segments which are also its reporting units—Electronic Test, Environmental Technologies, and Process Technologies. As of December 31, 2025, the Company’s goodwill balance of approximately $32.4 million was allocated across the three reporting units as follows: $14.0 million to Electronic Test, $1.8 million to Environmental Technologies and $16.6 million to Process Technologies. The Company performed an annual goodwill impairment test as of October 1, 2025, using a quantitative evaluation for each of its reporting units. The Company determines the fair value of its reporting units using the income approach, based on a discounted cash flow valuation model. To test for goodwill impairment, the Company compares the fair value of each reporting unit to its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Given the significant estimates and assumptions management makes to determine the fair value of the reporting units, we identified management’s assumptions related to revenue growth rates, expense growth rates, control premiums and discount rates utilized in the valuation of the reporting units quantitatively tested for goodwill impairment as a critical audit matter. Auditing the reasonableness of management’s estimates and assumptions required a high degree of auditor judgment and an increased extent of effort, including the need to involve our valuation specialists.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audit procedures related to the assessment of the valuation of goodwill included, among other procedures, the following:</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We obtained an understanding of the relevant controls related to the valuation of the goodwill, including management’s review controls over significant estimates and assumptions, and tested such controls for design and operating effectiveness.</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We tested the completeness, accuracy, and relevance of certain underlying data used in the discounted cash flow model.</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We compared and assessed the historical accuracy of management’s estimates, including forecasted revenue streams and expenses, to identify, understand, and evaluate the reasonableness of the forecasts as compared to the Company’s historical results.</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We evaluated the reasonableness of management’s forecasts of revenue and expenses by comparing the forecasts to (1) the historical results, (2) external market and industry data and (3) internal communications to management and the Board of Directors.</w:t>
      </w:r>
    </w:p>
    <w:p>
      <w:pPr>
        <w:pStyle w:val="TextBody"/>
        <w:bidi w:val="0"/>
        <w:spacing w:lineRule="auto" w:line="288" w:before="0" w:after="200"/>
        <w:ind w:left="0" w:right="0" w:hanging="270"/>
        <w:jc w:val="left"/>
        <w:rPr/>
      </w:pPr>
      <w:r>
        <w:rPr>
          <w:color w:val="000000"/>
        </w:rPr>
        <w:t>•</w:t>
      </w:r>
      <w:r>
        <w:rPr>
          <w:rFonts w:ascii="Arial;sans-serif" w:hAnsi="Arial;sans-serif"/>
          <w:b w:val="false"/>
          <w:color w:val="000000"/>
          <w:sz w:val="20"/>
        </w:rPr>
        <w:t>With the assistance of our valuation specialists, we tested the reasonableness of management’s valuation methodology and significant assumptions by:</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-Evaluating the reasonableness of the discount rates by comparing the underlying source information to publicly available market data and verifying the accuracy of the calculations.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-Evaluating the control premiums utilized within the reconciliation to the Company’s market capitalization.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-Evaluating the appropriateness of the valuation methods used by management and testing their mathematical accuracy.</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Valuation of Indefinite-Lived Intangible Assets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disclosed in Notes 2 and 6 to the Company’s consolidated financial statements, during 2025 the Company’s indefinite-lived intangible assets carrying value was $10.5 million as of December 31, 2025. The Company performed an annual indefinite-lived intangible assets impairment test as of October 1, 2025, using a quantitative evaluation for each of its indefinite-lived intangible assets. The Company determines the fair value of its indefinite-lived intangible assets, which consist of trademarks, using the income approach based on a relief from royalty valuation model. To test for indefinite-lived intangible assets impairment, the Company compares the fair value of each indefinite-lived intangible assets to its carrying value.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Given the significant estimates and assumptions management makes to determine the fair value of the indefinite-lived intangible assets, we identified management’s assumptions related to revenue growth rates, royalty rates and discount rates utilized in the valuation of the indefinite-lived intangible assets impairment as a critical audit matter. Auditing the reasonableness of management’s estimates and assumptions required a high degree of auditor judgment and an increased extent of effort, including the need to involve our valuation specialists.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audit procedures related to the assessment of the valuation of indefinite-lived intangible assets included, among other procedures, the following: </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We obtained an understanding of the relevant controls related to the valuation of the indefinite-lived intangible assets, including management’s review controls over significant estimates and assumptions, and tested such controls for design and operating effectiveness.</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We tested the completeness, accuracy, and relevance of certain underlying data used in the relief from royalty model.</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We compared and assessed the historical accuracy of management’s estimates, including forecasted revenue streams, to identify, understand, and evaluate the reasonableness of the forecasts as compared to the Company’s historical results.</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We evaluated the reasonableness of management’s forecasts of revenue by comparing the forecasts to (1) the historical results, (2) external market and industry data and (3) internal communications to management and the Board of Directors.</w:t>
      </w:r>
    </w:p>
    <w:p>
      <w:pPr>
        <w:pStyle w:val="TextBody"/>
        <w:bidi w:val="0"/>
        <w:spacing w:lineRule="auto" w:line="288" w:before="0" w:after="200"/>
        <w:ind w:left="0" w:right="0" w:hanging="270"/>
        <w:jc w:val="left"/>
        <w:rPr/>
      </w:pPr>
      <w:r>
        <w:rPr>
          <w:color w:val="000000"/>
        </w:rPr>
        <w:t>•</w:t>
      </w:r>
      <w:r>
        <w:rPr>
          <w:rFonts w:ascii="Arial;sans-serif" w:hAnsi="Arial;sans-serif"/>
          <w:b w:val="false"/>
          <w:color w:val="000000"/>
          <w:sz w:val="20"/>
        </w:rPr>
        <w:t>With the assistance of our valuation specialists, we evaluated the reasonableness of management’s valuation methodology and significant assumptions by:</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-Evaluating the appropriateness of the income approach used by management.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-Evaluating the reasonableness of the royalty and discount rate by comparing the underlying source information to publicly available market data and verifying the accuracy of the calculations.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-Evaluating the appropriateness of the valuation methods used by management and testing their mathematical accuracy.</w:t>
      </w:r>
    </w:p>
    <w:p>
      <w:pPr>
        <w:pStyle w:val="TextBody"/>
        <w:bidi w:val="0"/>
        <w:spacing w:before="0" w:after="24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 RSM US LLP</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served as the Company's auditor since 2008.</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Blue Bell, Pennsylvania</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March 12,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the Stockholders and the Board of Directors of InTest Corporation</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Opinion on the Internal Control Over Financial Reporting</w:t>
      </w:r>
    </w:p>
    <w:p>
      <w:pPr>
        <w:pStyle w:val="TextBody"/>
        <w:bidi w:val="0"/>
        <w:spacing w:lineRule="auto" w:line="288" w:before="0" w:after="240"/>
        <w:jc w:val="left"/>
        <w:rPr/>
      </w:pPr>
      <w:r>
        <w:rPr>
          <w:rFonts w:ascii="Arial;sans-serif" w:hAnsi="Arial;sans-serif"/>
          <w:b w:val="false"/>
          <w:color w:val="000000"/>
          <w:sz w:val="20"/>
        </w:rPr>
        <w:t xml:space="preserve">We have audited InTest Corporation’s (the Company) internal control over financial reporting as of December 31, 2025, based on criteria established in </w:t>
      </w:r>
      <w:r>
        <w:rPr>
          <w:rFonts w:ascii="Arial;sans-serif" w:hAnsi="Arial;sans-serif"/>
          <w:b w:val="false"/>
          <w:i/>
          <w:color w:val="000000"/>
          <w:sz w:val="20"/>
        </w:rPr>
        <w:t>Internal Control — Integrated Framework</w:t>
      </w:r>
      <w:r>
        <w:rPr>
          <w:color w:val="000000"/>
        </w:rPr>
        <w:t xml:space="preserve"> </w:t>
      </w:r>
      <w:r>
        <w:rPr>
          <w:rFonts w:ascii="Arial;sans-serif" w:hAnsi="Arial;sans-serif"/>
          <w:b w:val="false"/>
          <w:color w:val="000000"/>
          <w:sz w:val="20"/>
        </w:rPr>
        <w:t xml:space="preserve">issued by the Committee of Sponsoring Organizations of the Treadway Commission in 2013. In our opinion, the Company maintained, in all material respects, effective internal control over financial reporting as of December 31, 2025, based on criteria established in </w:t>
      </w:r>
      <w:r>
        <w:rPr>
          <w:rFonts w:ascii="Arial;sans-serif" w:hAnsi="Arial;sans-serif"/>
          <w:b w:val="false"/>
          <w:i/>
          <w:color w:val="000000"/>
          <w:sz w:val="20"/>
        </w:rPr>
        <w:t>Internal Control — Integrated Framework</w:t>
      </w:r>
      <w:r>
        <w:rPr>
          <w:color w:val="000000"/>
        </w:rPr>
        <w:t xml:space="preserve"> </w:t>
      </w:r>
      <w:r>
        <w:rPr>
          <w:rFonts w:ascii="Arial;sans-serif" w:hAnsi="Arial;sans-serif"/>
          <w:b w:val="false"/>
          <w:color w:val="000000"/>
          <w:sz w:val="20"/>
        </w:rPr>
        <w:t>issued by the Committee of Sponsoring Organizations of the Treadway Commission in 2013.</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also audited, in accordance with the standards of the Public Company Accounting Oversight Board (United States) (PCAOB), the consolidated balance sheets of the Company as of December 31, 2025 and 2024, and the related consolidated statements of operations, comprehensive earnings, stockholders’ equity and cash flows for each of the two years in the period ended December 31, 2025 of the Company and our report dated March 12, 2026 expressed an unqualified opinion.</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 RSM US LLP</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Blue Bell, Pennsylvania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before="0" w:after="200"/>
        <w:jc w:val="center"/>
        <w:rPr/>
      </w:pPr>
      <w:r>
        <w:rPr/>
      </w:r>
    </w:p>
    <w:tbl>
      <w:tblPr>
        <w:tblW w:w="10205" w:type="dxa"/>
        <w:jc w:val="center"/>
        <w:tblInd w:w="0" w:type="dxa"/>
        <w:tblLayout w:type="fixed"/>
        <w:tblCellMar>
          <w:top w:w="28" w:type="dxa"/>
          <w:left w:w="28" w:type="dxa"/>
          <w:bottom w:w="28" w:type="dxa"/>
          <w:right w:w="28" w:type="dxa"/>
        </w:tblCellMar>
      </w:tblPr>
      <w:tblGrid>
        <w:gridCol w:w="2938"/>
        <w:gridCol w:w="2222"/>
        <w:gridCol w:w="2233"/>
        <w:gridCol w:w="109"/>
        <w:gridCol w:w="109"/>
        <w:gridCol w:w="109"/>
        <w:gridCol w:w="196"/>
        <w:gridCol w:w="751"/>
        <w:gridCol w:w="109"/>
        <w:gridCol w:w="109"/>
        <w:gridCol w:w="109"/>
        <w:gridCol w:w="109"/>
        <w:gridCol w:w="196"/>
        <w:gridCol w:w="751"/>
        <w:gridCol w:w="155"/>
      </w:tblGrid>
      <w:tr>
        <w:trPr/>
        <w:tc>
          <w:tcPr>
            <w:tcW w:w="2938"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and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19,830 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Trade accounts receivable, net of allowance for credit losses of $375 and $423,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29,495 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26,837 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78,638 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78,812 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Property and equipment, net of accumulated depreciation of $10,083 and $8,830,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4,778 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4,457 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151,313</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152,288</w:t>
            </w:r>
            <w:r>
              <w:rPr>
                <w:color w:val="000000"/>
              </w:rPr>
              <w:t>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7,991 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Customer deposits and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35,755 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31,948 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9,021 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 consideration,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47,690</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52,498</w:t>
            </w:r>
            <w:r>
              <w:rPr>
                <w:color w:val="000000"/>
              </w:rPr>
              <w:t>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Preferred stock, $0.01 par value; 5,000,000 shares authorized; no shares issued or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$0.01 par value; 20,000,000 shares authorized; 12,570,865 and 12,457,658 shares issued, respectively; 12,488,788 and 12,378,276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57,658 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45,087 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Treasury stock, at cost; 82,077 and 79,382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103,623</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151,313</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152,288</w:t>
            </w:r>
            <w:r>
              <w:rPr>
                <w:color w:val="000000"/>
              </w:rPr>
              <w:t> </w:t>
            </w:r>
          </w:p>
        </w:tc>
        <w:tc>
          <w:tcPr>
            <w:tcW w:w="1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40"/>
        <w:jc w:val="center"/>
        <w:rPr/>
      </w:pPr>
      <w:r>
        <w:rPr/>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before="0" w:after="200"/>
        <w:jc w:val="center"/>
        <w:rPr/>
      </w:pPr>
      <w:r>
        <w:rPr/>
      </w:r>
    </w:p>
    <w:tbl>
      <w:tblPr>
        <w:tblW w:w="7358" w:type="dxa"/>
        <w:jc w:val="center"/>
        <w:tblInd w:w="0" w:type="dxa"/>
        <w:tblLayout w:type="fixed"/>
        <w:tblCellMar>
          <w:top w:w="28" w:type="dxa"/>
          <w:left w:w="28" w:type="dxa"/>
          <w:bottom w:w="28" w:type="dxa"/>
          <w:right w:w="28" w:type="dxa"/>
        </w:tblCellMar>
      </w:tblPr>
      <w:tblGrid>
        <w:gridCol w:w="1680"/>
        <w:gridCol w:w="1475"/>
        <w:gridCol w:w="1479"/>
        <w:gridCol w:w="211"/>
        <w:gridCol w:w="856"/>
        <w:gridCol w:w="109"/>
        <w:gridCol w:w="109"/>
        <w:gridCol w:w="109"/>
        <w:gridCol w:w="109"/>
        <w:gridCol w:w="211"/>
        <w:gridCol w:w="856"/>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 and per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(loss)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earnings before income tax (benefit)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(loss)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2,891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(Loss) earnings per common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12,204,323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12,151,913</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12,204,323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12,239,158</w:t>
            </w:r>
          </w:p>
        </w:tc>
      </w:tr>
    </w:tbl>
    <w:p>
      <w:pPr>
        <w:pStyle w:val="TextBody"/>
        <w:bidi w:val="0"/>
        <w:spacing w:before="0" w:after="0"/>
        <w:jc w:val="center"/>
        <w:rPr/>
      </w:pPr>
      <w:r>
        <w:rPr/>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w:t>
      </w:r>
    </w:p>
    <w:p>
      <w:pPr>
        <w:pStyle w:val="TextBody"/>
        <w:bidi w:val="0"/>
        <w:spacing w:before="0" w:after="240"/>
        <w:jc w:val="center"/>
        <w:rPr/>
      </w:pPr>
      <w:r>
        <w:rPr/>
      </w:r>
    </w:p>
    <w:tbl>
      <w:tblPr>
        <w:tblW w:w="6669" w:type="dxa"/>
        <w:jc w:val="center"/>
        <w:tblInd w:w="0" w:type="dxa"/>
        <w:tblLayout w:type="fixed"/>
        <w:tblCellMar>
          <w:top w:w="28" w:type="dxa"/>
          <w:left w:w="28" w:type="dxa"/>
          <w:bottom w:w="28" w:type="dxa"/>
          <w:right w:w="28" w:type="dxa"/>
        </w:tblCellMar>
      </w:tblPr>
      <w:tblGrid>
        <w:gridCol w:w="1556"/>
        <w:gridCol w:w="1372"/>
        <w:gridCol w:w="1377"/>
        <w:gridCol w:w="211"/>
        <w:gridCol w:w="706"/>
        <w:gridCol w:w="109"/>
        <w:gridCol w:w="109"/>
        <w:gridCol w:w="109"/>
        <w:gridCol w:w="109"/>
        <w:gridCol w:w="211"/>
        <w:gridCol w:w="646"/>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earnings (loss)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 on interest rate swap agreement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earnings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earnings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before="0" w:after="240"/>
        <w:jc w:val="center"/>
        <w:rPr/>
      </w:pPr>
      <w:r>
        <w:rPr/>
      </w:r>
    </w:p>
    <w:tbl>
      <w:tblPr>
        <w:tblW w:w="11992" w:type="dxa"/>
        <w:jc w:val="center"/>
        <w:tblInd w:w="0" w:type="dxa"/>
        <w:tblLayout w:type="fixed"/>
        <w:tblCellMar>
          <w:top w:w="28" w:type="dxa"/>
          <w:left w:w="28" w:type="dxa"/>
          <w:bottom w:w="28" w:type="dxa"/>
          <w:right w:w="28" w:type="dxa"/>
        </w:tblCellMar>
      </w:tblPr>
      <w:tblGrid>
        <w:gridCol w:w="744"/>
        <w:gridCol w:w="29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02"/>
        <w:gridCol w:w="880"/>
        <w:gridCol w:w="169"/>
        <w:gridCol w:w="109"/>
        <w:gridCol w:w="109"/>
        <w:gridCol w:w="109"/>
        <w:gridCol w:w="221"/>
        <w:gridCol w:w="849"/>
        <w:gridCol w:w="176"/>
      </w:tblGrid>
      <w:tr>
        <w:trPr/>
        <w:tc>
          <w:tcPr>
            <w:tcW w:w="7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2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12,241,925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75,758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42,196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414</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96,281</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1,857 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shares in connection with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187,432 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2,086 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138,838 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(16,174)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Repurchase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(141,117)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(1,042)</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12,457,658</w:t>
            </w: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79,382</w:t>
            </w: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57,658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45,087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(2,137)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4,598 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2,071 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stock-based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1,610 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134,196 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(46,992)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19,793 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12,570,865</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82,077</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(959)</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59,436</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42,560</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2,461</w:t>
            </w:r>
            <w:r>
              <w:rPr>
                <w:color w:val="000000"/>
              </w:rPr>
              <w:t> </w:t>
            </w:r>
          </w:p>
        </w:tc>
        <w:tc>
          <w:tcPr>
            <w:tcW w:w="16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103,623</w:t>
            </w:r>
            <w:r>
              <w:rPr>
                <w:color w:val="000000"/>
              </w:rPr>
              <w:t> </w:t>
            </w:r>
          </w:p>
        </w:tc>
        <w:tc>
          <w:tcPr>
            <w:tcW w:w="1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lineRule="auto" w:line="288" w:before="0" w:after="24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before="0" w:after="20"/>
        <w:jc w:val="center"/>
        <w:rPr/>
      </w:pPr>
      <w:r>
        <w:rPr/>
      </w:r>
    </w:p>
    <w:tbl>
      <w:tblPr>
        <w:tblW w:w="7779" w:type="dxa"/>
        <w:jc w:val="center"/>
        <w:tblInd w:w="0" w:type="dxa"/>
        <w:tblLayout w:type="fixed"/>
        <w:tblCellMar>
          <w:top w:w="28" w:type="dxa"/>
          <w:left w:w="28" w:type="dxa"/>
          <w:bottom w:w="28" w:type="dxa"/>
          <w:right w:w="28" w:type="dxa"/>
        </w:tblCellMar>
      </w:tblPr>
      <w:tblGrid>
        <w:gridCol w:w="2047"/>
        <w:gridCol w:w="1801"/>
        <w:gridCol w:w="1807"/>
        <w:gridCol w:w="181"/>
        <w:gridCol w:w="586"/>
        <w:gridCol w:w="109"/>
        <w:gridCol w:w="109"/>
        <w:gridCol w:w="109"/>
        <w:gridCol w:w="109"/>
        <w:gridCol w:w="181"/>
        <w:gridCol w:w="586"/>
        <w:gridCol w:w="154"/>
      </w:tblGrid>
      <w:tr>
        <w:trPr/>
        <w:tc>
          <w:tcPr>
            <w:tcW w:w="2047"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Years Ended December 31,</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4"/>
              </w:rPr>
            </w:pPr>
            <w:r>
              <w:rPr>
                <w:rFonts w:ascii="Arial;sans-serif" w:hAnsi="Arial;sans-serif"/>
                <w:b/>
                <w:i/>
                <w:color w:val="000000"/>
                <w:sz w:val="14"/>
              </w:rPr>
              <w:t>(In thousands)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 earnings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Adjustments to reconcile net (loss) earnings to net cash provided by operating activities: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Provision for excess and obsolete inventory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deferred compensation related to stock-based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benefit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non-cash reconciling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Changes in assets and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Trade accounts receivable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Customer deposits and deferred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revenue, net of current portion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 and other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7,315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3,821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Acquisition of business, net of cash acquired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Purchases of property and equipment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(1,632)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(20,051)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short-term borrowings, net of proceeds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long-term debt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stock options exercised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shares sold under Employee Stock Purchase Plan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Settlement of employee tax liabilities in connection with treasury stock transaction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financing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(8,225)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(8,641)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Effects of exchange rates on cash</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used in all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(25,430)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18,058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19,830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Total cash, cash equivalents and restricted cash at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18,058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19,830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payments for:</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net of refunds received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SUPPLEMENTAL DISCLOSURE OF NON-CASH INVESTING AND FINANCING ACTIVITIES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Equity issued in conjunction with acquisition of business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unvested shares of restricted stock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Forfeiture of shares of unvested restricted stock awards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200"/>
        <w:ind w:left="0" w:right="0" w:hanging="540"/>
        <w:jc w:val="left"/>
        <w:rPr>
          <w:rFonts w:ascii="Arial;sans-serif" w:hAnsi="Arial;sans-serif"/>
          <w:b/>
          <w:color w:val="C02026"/>
          <w:sz w:val="20"/>
        </w:rPr>
      </w:pPr>
      <w:r>
        <w:rPr>
          <w:rFonts w:ascii="Arial;sans-serif" w:hAnsi="Arial;sans-serif"/>
          <w:b/>
          <w:color w:val="C02026"/>
          <w:sz w:val="20"/>
        </w:rPr>
        <w:t>(1)    NATURE OF OPERATIONS</w:t>
      </w:r>
    </w:p>
    <w:p>
      <w:pPr>
        <w:pStyle w:val="TextBody"/>
        <w:bidi w:val="0"/>
        <w:spacing w:lineRule="auto" w:line="288" w:before="0" w:after="200"/>
        <w:jc w:val="left"/>
        <w:rPr/>
      </w:pPr>
      <w:r>
        <w:rPr>
          <w:rFonts w:ascii="Arial;sans-serif" w:hAnsi="Arial;sans-serif"/>
          <w:b w:val="false"/>
          <w:color w:val="000000"/>
          <w:sz w:val="20"/>
        </w:rPr>
        <w:t>InTest Corporation (“</w:t>
      </w:r>
      <w:r>
        <w:rPr>
          <w:rFonts w:ascii="Arial;sans-serif" w:hAnsi="Arial;sans-serif"/>
          <w:b/>
          <w:color w:val="000000"/>
          <w:sz w:val="20"/>
          <w:u w:val="single"/>
        </w:rPr>
        <w:t>InTest,</w:t>
      </w:r>
      <w:r>
        <w:rPr>
          <w:color w:val="000000"/>
        </w:rPr>
        <w:t>” “</w:t>
      </w:r>
      <w:r>
        <w:rPr>
          <w:rFonts w:ascii="Arial;sans-serif" w:hAnsi="Arial;sans-serif"/>
          <w:b/>
          <w:color w:val="000000"/>
          <w:sz w:val="20"/>
          <w:u w:val="single"/>
        </w:rPr>
        <w:t>we</w:t>
      </w:r>
      <w:r>
        <w:rPr>
          <w:rFonts w:ascii="Arial;sans-serif" w:hAnsi="Arial;sans-serif"/>
          <w:b w:val="false"/>
          <w:color w:val="000000"/>
          <w:sz w:val="20"/>
        </w:rPr>
        <w:t>,” “</w:t>
      </w:r>
      <w:r>
        <w:rPr>
          <w:rFonts w:ascii="Arial;sans-serif" w:hAnsi="Arial;sans-serif"/>
          <w:b/>
          <w:color w:val="000000"/>
          <w:sz w:val="20"/>
          <w:u w:val="single"/>
        </w:rPr>
        <w:t>our</w:t>
      </w:r>
      <w:r>
        <w:rPr>
          <w:rFonts w:ascii="Arial;sans-serif" w:hAnsi="Arial;sans-serif"/>
          <w:b w:val="false"/>
          <w:color w:val="000000"/>
          <w:sz w:val="20"/>
        </w:rPr>
        <w:t>,” “</w:t>
      </w:r>
      <w:r>
        <w:rPr>
          <w:rFonts w:ascii="Arial;sans-serif" w:hAnsi="Arial;sans-serif"/>
          <w:b/>
          <w:color w:val="000000"/>
          <w:sz w:val="20"/>
          <w:u w:val="single"/>
        </w:rPr>
        <w:t>us</w:t>
      </w:r>
      <w:r>
        <w:rPr>
          <w:color w:val="000000"/>
        </w:rPr>
        <w:t xml:space="preserve">” </w:t>
      </w:r>
      <w:r>
        <w:rPr>
          <w:rFonts w:ascii="Arial;sans-serif" w:hAnsi="Arial;sans-serif"/>
          <w:b w:val="false"/>
          <w:color w:val="000000"/>
          <w:sz w:val="20"/>
        </w:rPr>
        <w:t>and the “</w:t>
      </w:r>
      <w:r>
        <w:rPr>
          <w:rFonts w:ascii="Arial;sans-serif" w:hAnsi="Arial;sans-serif"/>
          <w:b/>
          <w:color w:val="000000"/>
          <w:sz w:val="20"/>
          <w:u w:val="single"/>
        </w:rPr>
        <w:t>Company</w:t>
      </w:r>
      <w:r>
        <w:rPr>
          <w:color w:val="000000"/>
        </w:rPr>
        <w:t>”</w:t>
      </w:r>
      <w:r>
        <w:rPr>
          <w:rFonts w:ascii="Arial;sans-serif" w:hAnsi="Arial;sans-serif"/>
          <w:b w:val="false"/>
          <w:color w:val="000000"/>
          <w:sz w:val="20"/>
        </w:rPr>
        <w:t>), a Delaware corporation headquartered in Mount Laurel, New Jersey,</w:t>
      </w:r>
      <w:r>
        <w:rPr>
          <w:color w:val="000000"/>
        </w:rPr>
        <w:t xml:space="preserve"> </w:t>
      </w:r>
      <w:r>
        <w:rPr>
          <w:rFonts w:ascii="Arial;sans-serif" w:hAnsi="Arial;sans-serif"/>
          <w:b w:val="false"/>
          <w:color w:val="000000"/>
          <w:sz w:val="20"/>
        </w:rPr>
        <w:t>is a global supplier of innovative test and process technology solutions for use in manufacturing and testing across a wide range of markets including Semiconductors (“</w:t>
      </w:r>
      <w:r>
        <w:rPr>
          <w:rFonts w:ascii="Arial;sans-serif" w:hAnsi="Arial;sans-serif"/>
          <w:b/>
          <w:color w:val="000000"/>
          <w:sz w:val="20"/>
          <w:u w:val="single"/>
        </w:rPr>
        <w:t>Semi</w:t>
      </w:r>
      <w:r>
        <w:rPr>
          <w:color w:val="000000"/>
        </w:rPr>
        <w:t>”</w:t>
      </w:r>
      <w:r>
        <w:rPr>
          <w:rFonts w:ascii="Arial;sans-serif" w:hAnsi="Arial;sans-serif"/>
          <w:b w:val="false"/>
          <w:color w:val="000000"/>
          <w:sz w:val="20"/>
        </w:rPr>
        <w:t>), Auto/Electric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Other. We have three operating segments which are also our reportable segments and reporting units: Electronic Test, Environmental Technologies and Process Technologies.</w:t>
      </w:r>
    </w:p>
    <w:p>
      <w:pPr>
        <w:pStyle w:val="TextBody"/>
        <w:bidi w:val="0"/>
        <w:spacing w:lineRule="auto" w:line="288" w:before="0" w:after="200"/>
        <w:jc w:val="left"/>
        <w:rPr/>
      </w:pPr>
      <w:r>
        <w:rPr>
          <w:rFonts w:ascii="Arial;sans-serif" w:hAnsi="Arial;sans-serif"/>
          <w:b w:val="false"/>
          <w:color w:val="000000"/>
          <w:sz w:val="20"/>
        </w:rPr>
        <w:t>The consolidated entity is comprised of InTest Corporation and our wholly-owned subsidiaries which comprise our six business: Electro Mechanical Semiconductor (“</w:t>
      </w:r>
      <w:r>
        <w:rPr>
          <w:rFonts w:ascii="Arial;sans-serif" w:hAnsi="Arial;sans-serif"/>
          <w:b/>
          <w:color w:val="000000"/>
          <w:sz w:val="20"/>
          <w:u w:val="single"/>
        </w:rPr>
        <w:t>EMS</w:t>
      </w:r>
      <w:r>
        <w:rPr>
          <w:color w:val="000000"/>
        </w:rPr>
        <w:t>”</w:t>
      </w:r>
      <w:r>
        <w:rPr>
          <w:rFonts w:ascii="Arial;sans-serif" w:hAnsi="Arial;sans-serif"/>
          <w:b w:val="false"/>
          <w:color w:val="000000"/>
          <w:sz w:val="20"/>
        </w:rPr>
        <w:t>), Acculogic, Alfamation</w:t>
      </w:r>
      <w:r>
        <w:rPr>
          <w:color w:val="000000"/>
        </w:rPr>
        <w:t>™</w:t>
      </w:r>
      <w:r>
        <w:rPr>
          <w:rFonts w:ascii="Arial;sans-serif" w:hAnsi="Arial;sans-serif"/>
          <w:b w:val="false"/>
          <w:color w:val="000000"/>
          <w:sz w:val="20"/>
        </w:rPr>
        <w:t>, InTest Thermal Solutions (“</w:t>
      </w:r>
      <w:r>
        <w:rPr>
          <w:rFonts w:ascii="Arial;sans-serif" w:hAnsi="Arial;sans-serif"/>
          <w:b/>
          <w:color w:val="000000"/>
          <w:sz w:val="20"/>
          <w:u w:val="single"/>
        </w:rPr>
        <w:t>ITS</w:t>
      </w:r>
      <w:r>
        <w:rPr>
          <w:color w:val="000000"/>
        </w:rPr>
        <w:t>”</w:t>
      </w:r>
      <w:r>
        <w:rPr>
          <w:rFonts w:ascii="Arial;sans-serif" w:hAnsi="Arial;sans-serif"/>
          <w:b w:val="false"/>
          <w:color w:val="000000"/>
          <w:sz w:val="20"/>
        </w:rPr>
        <w:t>),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rFonts w:ascii="Arial;sans-serif" w:hAnsi="Arial;sans-serif"/>
          <w:b w:val="false"/>
          <w:color w:val="000000"/>
          <w:sz w:val="20"/>
        </w:rPr>
        <w:t>. We manufacture our products in the U.S., Canada, Italy and Malaysia. Marketing and support activities are conducted worldwide from our facilities in the U.S., Canada, Italy, Germany, Singapore and the U.K. As of December 31, 2025, we have consolidated our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Netherlands operations into our U.S. Videology</w:t>
      </w:r>
      <w:r>
        <w:rPr>
          <w:rFonts w:ascii="Arial;sans-serif" w:hAnsi="Arial;sans-serif"/>
          <w:b w:val="false"/>
          <w:color w:val="000000"/>
          <w:sz w:val="13"/>
        </w:rPr>
        <w:t xml:space="preserve">® </w:t>
      </w:r>
      <w:r>
        <w:rPr>
          <w:rFonts w:ascii="Arial;sans-serif" w:hAnsi="Arial;sans-serif"/>
          <w:b w:val="false"/>
          <w:color w:val="000000"/>
          <w:sz w:val="20"/>
        </w:rPr>
        <w:t>location. See “</w:t>
      </w:r>
      <w:r>
        <w:rPr>
          <w:rFonts w:ascii="Arial;sans-serif" w:hAnsi="Arial;sans-serif"/>
          <w:b/>
          <w:color w:val="000000"/>
          <w:sz w:val="20"/>
        </w:rPr>
        <w:t>Note (16) Restructuring</w:t>
      </w:r>
      <w:r>
        <w:rPr>
          <w:color w:val="000000"/>
        </w:rPr>
        <w:t xml:space="preserve">” </w:t>
      </w:r>
      <w:r>
        <w:rPr>
          <w:rFonts w:ascii="Arial;sans-serif" w:hAnsi="Arial;sans-serif"/>
          <w:b w:val="false"/>
          <w:color w:val="000000"/>
          <w:sz w:val="20"/>
        </w:rPr>
        <w:t>for further discussion about this action. We operate our business worldwide and sell our products both domestically and internationally.</w:t>
      </w:r>
    </w:p>
    <w:p>
      <w:pPr>
        <w:pStyle w:val="TextBody"/>
        <w:bidi w:val="0"/>
        <w:spacing w:lineRule="auto" w:line="288" w:before="0" w:after="200"/>
        <w:jc w:val="left"/>
        <w:rPr/>
      </w:pPr>
      <w:r>
        <w:rPr>
          <w:rFonts w:ascii="Arial;sans-serif" w:hAnsi="Arial;sans-serif"/>
          <w:b w:val="false"/>
          <w:color w:val="000000"/>
          <w:sz w:val="20"/>
        </w:rPr>
        <w:t>Founded in 1981, we completed our initial public offering in June 1997 and currently trade on the NYSE American exchange under the symbol “</w:t>
      </w:r>
      <w:r>
        <w:rPr>
          <w:rFonts w:ascii="Arial;sans-serif" w:hAnsi="Arial;sans-serif"/>
          <w:b/>
          <w:color w:val="000000"/>
          <w:sz w:val="20"/>
          <w:u w:val="single"/>
        </w:rPr>
        <w:t>INTT</w:t>
      </w:r>
      <w:r>
        <w:rPr>
          <w:rFonts w:ascii="Arial;sans-serif" w:hAnsi="Arial;sans-serif"/>
          <w:b w:val="false"/>
          <w:color w:val="000000"/>
          <w:sz w:val="20"/>
        </w:rPr>
        <w:t>.”</w:t>
      </w:r>
    </w:p>
    <w:p>
      <w:pPr>
        <w:pStyle w:val="TextBody"/>
        <w:bidi w:val="0"/>
        <w:spacing w:lineRule="auto" w:line="288" w:before="0" w:after="200"/>
        <w:jc w:val="left"/>
        <w:rPr/>
      </w:pPr>
      <w:r>
        <w:rPr>
          <w:rFonts w:ascii="Arial;sans-serif" w:hAnsi="Arial;sans-serif"/>
          <w:b w:val="false"/>
          <w:color w:val="000000"/>
          <w:sz w:val="20"/>
        </w:rPr>
        <w:t>We announced in December 2023 that we have signed a lease in Penang, Malaysia which will support applications engineering, product development and localized manufacturing for nearly all InTest brands. In connection with this operation, we established InTest SE Asia Sdn Bhd (“</w:t>
      </w:r>
      <w:r>
        <w:rPr>
          <w:rFonts w:ascii="Arial;sans-serif" w:hAnsi="Arial;sans-serif"/>
          <w:b/>
          <w:color w:val="000000"/>
          <w:sz w:val="20"/>
          <w:u w:val="single"/>
        </w:rPr>
        <w:t>InTest SE Asia</w:t>
      </w:r>
      <w:r>
        <w:rPr>
          <w:color w:val="000000"/>
        </w:rPr>
        <w:t>”</w:t>
      </w:r>
      <w:r>
        <w:rPr>
          <w:rFonts w:ascii="Arial;sans-serif" w:hAnsi="Arial;sans-serif"/>
          <w:b w:val="false"/>
          <w:color w:val="000000"/>
          <w:sz w:val="20"/>
        </w:rPr>
        <w:t>), a private limited company incorporated in Malaysia which is a wholly-owned subsidiary of InTest Corporation. This facility began engineering and supply chain operations in the third quarter of 2024 and began limited manufacturing and support operations in the fourth quarter of 2025 with expansion to production of approximately 25% of all ThermoStream products expected by mid-2026.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pStyle w:val="TextBody"/>
        <w:bidi w:val="0"/>
        <w:spacing w:lineRule="auto" w:line="288" w:before="0" w:after="200"/>
        <w:jc w:val="left"/>
        <w:rPr/>
      </w:pPr>
      <w:r>
        <w:rPr>
          <w:rFonts w:ascii="Arial;sans-serif" w:hAnsi="Arial;sans-serif"/>
          <w:b w:val="false"/>
          <w:color w:val="000000"/>
          <w:sz w:val="20"/>
        </w:rPr>
        <w:t>The semiconductor market, which includes both the broader semiconductor market, as well as the more specialized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Our Electronic Test segment began with EMS and sells its products to semiconductor manufacturers and third-party test and assembly houses (end user sales) and to ATE manufacturers (original equipment manufacturer (“</w:t>
      </w:r>
      <w:r>
        <w:rPr>
          <w:rFonts w:ascii="Arial;sans-serif" w:hAnsi="Arial;sans-serif"/>
          <w:b/>
          <w:color w:val="000000"/>
          <w:sz w:val="20"/>
          <w:u w:val="single"/>
        </w:rPr>
        <w:t>OEM</w:t>
      </w:r>
      <w:r>
        <w:rPr>
          <w:color w:val="000000"/>
        </w:rPr>
        <w:t>”</w:t>
      </w:r>
      <w:r>
        <w:rPr>
          <w:rFonts w:ascii="Arial;sans-serif" w:hAnsi="Arial;sans-serif"/>
          <w:b w:val="false"/>
          <w:color w:val="000000"/>
          <w:sz w:val="20"/>
        </w:rPr>
        <w:t>) sales), who ultimately resell our equipment with theirs to both semiconductor manufacturers and third-party test and assembly houses. These sales all fall within the ATE sector of the Semi market. With the acquisition of Acculogic Inc. and its affiliates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in December 2021, and the March 2024 acquisition of Alfamation S.p.A. (“</w:t>
      </w:r>
      <w:r>
        <w:rPr>
          <w:rFonts w:ascii="Arial;sans-serif" w:hAnsi="Arial;sans-serif"/>
          <w:b/>
          <w:color w:val="000000"/>
          <w:sz w:val="20"/>
          <w:u w:val="single"/>
        </w:rPr>
        <w:t>Alfamation</w:t>
      </w:r>
      <w:r>
        <w:rPr>
          <w:color w:val="000000"/>
        </w:rPr>
        <w:t>™”</w:t>
      </w:r>
      <w:r>
        <w:rPr>
          <w:rFonts w:ascii="Arial;sans-serif" w:hAnsi="Arial;sans-serif"/>
          <w:b w:val="false"/>
          <w:color w:val="000000"/>
          <w:sz w:val="20"/>
        </w:rPr>
        <w:t>), our Electronic Test segment also sells its products to customers in markets outside the Semi market including the Auto/EV, Defense/Aerospace, Industrial and Life Sciences markets. Our Environmental Technologies segment, which includes ITS, sells its products to end users and OEMs within the ATE sector of the Semi market. It also sells its products to customers in a variety of markets other than Semi, including the Auto/EV, Defense/Aerospace, Industrial and Life Sciences markets. Our Process Technologies segment includes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sells its products to customers in the wafer production sector within the Semi market. It also sells its products to customers in a variety of markets other than Semi, including the Auto/EV, Defense/Aerospace, Industrial, Life Sciences and Safety/Security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financial results are affected by a wide variety of factors, including, but not limited to, general economic conditions worldwide and in the markets in which we operate, economic conditions specific to Semi and the other markets we 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 Basis of Presentation and Use of Estimates</w:t>
      </w:r>
    </w:p>
    <w:p>
      <w:pPr>
        <w:pStyle w:val="TextBody"/>
        <w:bidi w:val="0"/>
        <w:spacing w:lineRule="auto" w:line="288" w:before="0" w:after="200"/>
        <w:jc w:val="left"/>
        <w:rPr/>
      </w:pPr>
      <w:r>
        <w:rPr>
          <w:rFonts w:ascii="Arial;sans-serif" w:hAnsi="Arial;sans-serif"/>
          <w:b w:val="false"/>
          <w:color w:val="000000"/>
          <w:sz w:val="20"/>
        </w:rPr>
        <w:t>The accompanying Consolidated Financial Statements include our accounts and those of our wholly owned subsidiaries. All intercompany accounts and transactions have been eliminated upon consolidation. The preparation of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(b) Reclassifications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Certain prior period presentation and amounts have been reclassified to conform with the current period’s presentation. These consist of:</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the components of property and equipment on the face of the Consolidated Balance Sheets and disclosing the details in “</w:t>
      </w:r>
      <w:r>
        <w:rPr>
          <w:rFonts w:ascii="Arial;sans-serif" w:hAnsi="Arial;sans-serif"/>
          <w:b/>
          <w:color w:val="000000"/>
          <w:sz w:val="20"/>
        </w:rPr>
        <w:t>Note (5) Property and Equipme</w:t>
      </w:r>
      <w:r>
        <w:rPr>
          <w:rFonts w:ascii="Arial;sans-serif" w:hAnsi="Arial;sans-serif"/>
          <w:b w:val="false"/>
          <w:color w:val="000000"/>
          <w:sz w:val="20"/>
        </w:rPr>
        <w:t>nt;”</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accrued wages and benefits, accrued professional fees, accrued sales commissions and other current liabilities into accrued expenses and other current liabilities on the face of the Consolidated Balance Sheets and disclosing the details in “</w:t>
      </w:r>
      <w:r>
        <w:rPr>
          <w:rFonts w:ascii="Arial;sans-serif" w:hAnsi="Arial;sans-serif"/>
          <w:b/>
          <w:color w:val="000000"/>
          <w:sz w:val="20"/>
        </w:rPr>
        <w:t>Note (8) Accrued Expenses and Other Current Liabilities</w:t>
      </w:r>
      <w:r>
        <w:rPr>
          <w:rFonts w:ascii="Arial;sans-serif" w:hAnsi="Arial;sans-serif"/>
          <w:b w:val="false"/>
          <w:color w:val="000000"/>
          <w:sz w:val="20"/>
        </w:rPr>
        <w:t>;”</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our restricted certificates of deposit into other assets on the face of the Consolidated Balance Sheets and disclosing the details in “</w:t>
      </w:r>
      <w:r>
        <w:rPr>
          <w:rFonts w:ascii="Arial;sans-serif" w:hAnsi="Arial;sans-serif"/>
          <w:b/>
          <w:color w:val="000000"/>
          <w:sz w:val="20"/>
        </w:rPr>
        <w:t>Note (10) Debt</w:t>
      </w:r>
      <w:r>
        <w:rPr>
          <w:rFonts w:ascii="Arial;sans-serif" w:hAnsi="Arial;sans-serif"/>
          <w:b w:val="false"/>
          <w:color w:val="000000"/>
          <w:sz w:val="20"/>
        </w:rPr>
        <w:t>;”</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disaggregating amortization of acquired intangible assets from general and administrative expenses on the face of our Consolidated Statements of Operations;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the net earnings (loss) and other comprehensive earnings (loss) lines into comprehensive earnings (loss) on the face of the Consolidated Statements of Stockholders’ Equity;</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foreign exchange (gain) loss, discount on shares sold under Employee Stock Purchase Plan, proceeds from sales of demonstration equipment, net of gain and adjustment to contingent consideration liability into other non-cash reconciling items within adjustments to reconcile net (loss) earnings to cash provided by operating activities on the Consolidated Statements of Cash Flows;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accrued wages and benefits, accrued professional fees, accrued sales commissions, other current liabilities and other liabilities into accrued and other liabilities within changes in assets and liabilities for cash flows from operating activities on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 Reportable Segments</w:t>
      </w:r>
    </w:p>
    <w:p>
      <w:pPr>
        <w:pStyle w:val="TextBody"/>
        <w:bidi w:val="0"/>
        <w:spacing w:lineRule="auto" w:line="288" w:before="0" w:after="200"/>
        <w:jc w:val="left"/>
        <w:rPr/>
      </w:pPr>
      <w:r>
        <w:rPr>
          <w:rFonts w:ascii="Arial;sans-serif" w:hAnsi="Arial;sans-serif"/>
          <w:b w:val="false"/>
          <w:color w:val="000000"/>
          <w:sz w:val="20"/>
        </w:rPr>
        <w:t>In accordance with Accounting Standards Codification (“</w:t>
      </w:r>
      <w:r>
        <w:rPr>
          <w:rFonts w:ascii="Arial;sans-serif" w:hAnsi="Arial;sans-serif"/>
          <w:b/>
          <w:color w:val="000000"/>
          <w:sz w:val="20"/>
          <w:u w:val="single"/>
        </w:rPr>
        <w:t>ASC</w:t>
      </w:r>
      <w:r>
        <w:rPr>
          <w:color w:val="000000"/>
        </w:rPr>
        <w:t>”</w:t>
      </w:r>
      <w:r>
        <w:rPr>
          <w:rFonts w:ascii="Arial;sans-serif" w:hAnsi="Arial;sans-serif"/>
          <w:b w:val="false"/>
          <w:color w:val="000000"/>
          <w:sz w:val="20"/>
        </w:rPr>
        <w:t xml:space="preserve">) Topic 280 - </w:t>
      </w:r>
      <w:r>
        <w:rPr>
          <w:rFonts w:ascii="Arial;sans-serif" w:hAnsi="Arial;sans-serif"/>
          <w:b w:val="false"/>
          <w:i/>
          <w:color w:val="000000"/>
          <w:sz w:val="20"/>
        </w:rPr>
        <w:t>Segment Reporting</w:t>
      </w:r>
      <w:r>
        <w:rPr>
          <w:rFonts w:ascii="Arial;sans-serif" w:hAnsi="Arial;sans-serif"/>
          <w:b w:val="false"/>
          <w:color w:val="000000"/>
          <w:sz w:val="20"/>
        </w:rPr>
        <w:t>, we have three operating segments which are also our reportable segments and reporting units: Electronic Test (EMS, Acculogic and Alfamation</w:t>
      </w:r>
      <w:r>
        <w:rPr>
          <w:color w:val="000000"/>
        </w:rPr>
        <w:t>™</w:t>
      </w:r>
      <w:r>
        <w:rPr>
          <w:rFonts w:ascii="Arial;sans-serif" w:hAnsi="Arial;sans-serif"/>
          <w:b w:val="false"/>
          <w:color w:val="000000"/>
          <w:sz w:val="20"/>
        </w:rPr>
        <w:t xml:space="preserve">, whose products include our semiconductor test equipment, flying probe and in-circuit and functional testers),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pPr>
      <w:r>
        <w:rPr>
          <w:rFonts w:ascii="Arial;sans-serif" w:hAnsi="Arial;sans-serif"/>
          <w:b w:val="false"/>
          <w:color w:val="000000"/>
          <w:sz w:val="20"/>
        </w:rPr>
        <w:t>Environmental Technologies (ITS, whose products include our thermal test, process and storage products) and Process Technologies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Videology</w:t>
      </w:r>
      <w:r>
        <w:rPr>
          <w:rFonts w:ascii="Arial;sans-serif" w:hAnsi="Arial;sans-serif"/>
          <w:b w:val="false"/>
          <w:color w:val="000000"/>
          <w:sz w:val="13"/>
        </w:rPr>
        <w:t>®</w:t>
      </w:r>
      <w:r>
        <w:rPr>
          <w:rFonts w:ascii="Arial;sans-serif" w:hAnsi="Arial;sans-serif"/>
          <w:b w:val="false"/>
          <w:color w:val="000000"/>
          <w:sz w:val="20"/>
        </w:rPr>
        <w:t>, whose products include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Auto/EV, Defense/Aerospace, Industrial, Life Sciences, Safety/Security and Other markets.</w:t>
      </w:r>
    </w:p>
    <w:p>
      <w:pPr>
        <w:pStyle w:val="TextBody"/>
        <w:bidi w:val="0"/>
        <w:spacing w:lineRule="auto" w:line="288" w:before="0" w:after="200"/>
        <w:jc w:val="left"/>
        <w:rPr/>
      </w:pPr>
      <w:r>
        <w:rPr>
          <w:rFonts w:ascii="Arial;sans-serif" w:hAnsi="Arial;sans-serif"/>
          <w:b w:val="false"/>
          <w:color w:val="000000"/>
          <w:sz w:val="20"/>
        </w:rPr>
        <w:t>Our management team, including our Chief Executive Officer (“</w:t>
      </w:r>
      <w:r>
        <w:rPr>
          <w:rFonts w:ascii="Arial;sans-serif" w:hAnsi="Arial;sans-serif"/>
          <w:b/>
          <w:color w:val="000000"/>
          <w:sz w:val="20"/>
          <w:u w:val="single"/>
        </w:rPr>
        <w:t>CEO</w:t>
      </w:r>
      <w:r>
        <w:rPr>
          <w:color w:val="000000"/>
        </w:rPr>
        <w:t>”</w:t>
      </w:r>
      <w:r>
        <w:rPr>
          <w:rFonts w:ascii="Arial;sans-serif" w:hAnsi="Arial;sans-serif"/>
          <w:b w:val="false"/>
          <w:color w:val="000000"/>
          <w:sz w:val="20"/>
        </w:rPr>
        <w:t>) who is also our Chief Operating Decision Maker (“</w:t>
      </w:r>
      <w:r>
        <w:rPr>
          <w:rFonts w:ascii="Arial;sans-serif" w:hAnsi="Arial;sans-serif"/>
          <w:b/>
          <w:color w:val="000000"/>
          <w:sz w:val="20"/>
          <w:u w:val="single"/>
        </w:rPr>
        <w:t>CODM</w:t>
      </w:r>
      <w:r>
        <w:rPr>
          <w:color w:val="000000"/>
        </w:rPr>
        <w:t>”</w:t>
      </w:r>
      <w:r>
        <w:rPr>
          <w:rFonts w:ascii="Arial;sans-serif" w:hAnsi="Arial;sans-serif"/>
          <w:b w:val="false"/>
          <w:color w:val="000000"/>
          <w:sz w:val="20"/>
        </w:rPr>
        <w:t>) as defined under U.S. GAAP, evaluates the performance of our operating segments primarily on income (loss) from divisional operations which represents earnings (loss) before income tax expense (benefit) and excludes interest expense, other income (expense), corporate expenses, restructuring costs and acquired intangible amortization. Other divisional costs represent engineering and product development costs, selling expenses, general and administrative expenses directly attributable to the division.</w:t>
      </w:r>
    </w:p>
    <w:p>
      <w:pPr>
        <w:pStyle w:val="TextBody"/>
        <w:bidi w:val="0"/>
        <w:spacing w:lineRule="auto" w:line="288" w:before="0" w:after="200"/>
        <w:jc w:val="left"/>
        <w:rPr/>
      </w:pPr>
      <w:r>
        <w:rPr>
          <w:rFonts w:ascii="Arial;sans-serif" w:hAnsi="Arial;sans-serif"/>
          <w:b w:val="false"/>
          <w:color w:val="000000"/>
          <w:sz w:val="20"/>
        </w:rPr>
        <w:t>Our Electronic Test segment sells its products to semiconductor manufacturers and third-party test and assembly houses (end user sales) and to ATE manufacturers (OEM sales), who ultimately resell our equipment with theirs to both semiconductor manufacturers and third-party test and assembly houses. These sales all fall within the ATE sector of the Semi market. With the December 2021 acquisition of Acculogic and the March 2024 acquisition of Alfamation</w:t>
      </w:r>
      <w:r>
        <w:rPr>
          <w:color w:val="000000"/>
        </w:rPr>
        <w:t>™</w:t>
      </w:r>
      <w:r>
        <w:rPr>
          <w:rFonts w:ascii="Arial;sans-serif" w:hAnsi="Arial;sans-serif"/>
          <w:b w:val="false"/>
          <w:color w:val="000000"/>
          <w:sz w:val="20"/>
        </w:rPr>
        <w:t>, our Electronic Test segment also sells its products to customers in markets outside the Semi market including the Auto/EV, Defense/Aerospace, Industrial and Life Sciences markets. Our Environmental Technologies segment sells its products to end users and OEMs within the ATE sector of the Semi market. It also sells its products to customers in a variety of markets other than Semi, including the Auto/EV, Defense/Aerospace, Industrial and Life Sciences markets. Our Process Technologies segment sells its products to customers in the wafer production sector within the Semi market. It also sells its products to customers in a variety of markets other than Semi, including the Auto/EV, Defense/Aerospace, Industrial, Life Sciences and Safety/Security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(d) Business Combinations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Statements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 xml:space="preserve">(e) Cash, Cash Equivalents and Restricted Cash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pStyle w:val="TextBody"/>
        <w:bidi w:val="0"/>
        <w:spacing w:lineRule="auto" w:line="288" w:before="0" w:after="200"/>
        <w:jc w:val="left"/>
        <w:rPr/>
      </w:pPr>
      <w:r>
        <w:rPr>
          <w:rFonts w:ascii="Arial;sans-serif" w:hAnsi="Arial;sans-serif"/>
          <w:b w:val="false"/>
          <w:color w:val="000000"/>
          <w:sz w:val="20"/>
        </w:rPr>
        <w:t>Periodically we have restricted cash which represents amounts deposited at our banks to support bank guarantees which certain of our customers require as a condition of paying large deposits on orders they place with us. Typically, the amount of the deposit and related guarantee declines as shipments are made against the order. As a condition of our Sixth Amendment to the Loan Agreement executed on August 5, 2025, as further described in “</w:t>
      </w:r>
      <w:r>
        <w:rPr>
          <w:rFonts w:ascii="Arial;sans-serif" w:hAnsi="Arial;sans-serif"/>
          <w:b/>
          <w:color w:val="000000"/>
          <w:sz w:val="20"/>
        </w:rPr>
        <w:t>Note (10) Debt</w:t>
      </w:r>
      <w:r>
        <w:rPr>
          <w:rFonts w:ascii="Arial;sans-serif" w:hAnsi="Arial;sans-serif"/>
          <w:b w:val="false"/>
          <w:color w:val="000000"/>
          <w:sz w:val="20"/>
        </w:rPr>
        <w:t>,” we have formally pledged cash holdings equal to our outstanding debt with M&amp;T Bank, which we have presented as restricted cash on the face of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(f) Trade Accounts Receivable and Allowance for Credit Losses</w:t>
      </w:r>
    </w:p>
    <w:p>
      <w:pPr>
        <w:pStyle w:val="TextBody"/>
        <w:bidi w:val="0"/>
        <w:spacing w:lineRule="auto" w:line="288" w:before="0" w:after="200"/>
        <w:jc w:val="left"/>
        <w:rPr/>
      </w:pPr>
      <w:r>
        <w:rPr>
          <w:rFonts w:ascii="Arial;sans-serif" w:hAnsi="Arial;sans-serif"/>
          <w:b w:val="false"/>
          <w:color w:val="000000"/>
          <w:sz w:val="20"/>
        </w:rPr>
        <w:t xml:space="preserve">Trade accounts receivable are recorded at the invoiced amount and do not bear interest. We grant credit to customers and generally require no collateral. To minimize our risk, we perform ongoing credit evaluations of our customers’ financial condition. We follow the guidance in ASC Topic 326 - </w:t>
      </w:r>
      <w:r>
        <w:rPr>
          <w:rFonts w:ascii="Arial;sans-serif" w:hAnsi="Arial;sans-serif"/>
          <w:b w:val="false"/>
          <w:i/>
          <w:color w:val="000000"/>
          <w:sz w:val="20"/>
        </w:rPr>
        <w:t>Financial Instruments</w:t>
      </w:r>
      <w:r>
        <w:rPr>
          <w:color w:val="000000"/>
        </w:rPr>
        <w:t xml:space="preserve"> – </w:t>
      </w:r>
      <w:r>
        <w:rPr>
          <w:rFonts w:ascii="Arial;sans-serif" w:hAnsi="Arial;sans-serif"/>
          <w:b w:val="false"/>
          <w:i/>
          <w:color w:val="000000"/>
          <w:sz w:val="20"/>
        </w:rPr>
        <w:t>Credit Losses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326</w:t>
      </w:r>
      <w:r>
        <w:rPr>
          <w:color w:val="000000"/>
        </w:rPr>
        <w:t>”</w:t>
      </w:r>
      <w:r>
        <w:rPr>
          <w:rFonts w:ascii="Arial;sans-serif" w:hAnsi="Arial;sans-serif"/>
          <w:b w:val="false"/>
          <w:color w:val="000000"/>
          <w:sz w:val="20"/>
        </w:rPr>
        <w:t>)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to the allowance are included as a component of general and administrative expenses. 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(g)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Inventories are valued at cost on a first-in, first-out basis, not in excess of net realizable value, except inventory acquired in a business combination, which is recorded at fair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(h) Property and Equipment</w:t>
      </w:r>
    </w:p>
    <w:p>
      <w:pPr>
        <w:pStyle w:val="TextBody"/>
        <w:bidi w:val="0"/>
        <w:spacing w:lineRule="auto" w:line="288" w:before="0" w:after="200"/>
        <w:jc w:val="left"/>
        <w:rPr/>
      </w:pPr>
      <w:r>
        <w:rPr>
          <w:rFonts w:ascii="Arial;sans-serif" w:hAnsi="Arial;sans-serif"/>
          <w:b w:val="false"/>
          <w:color w:val="000000"/>
          <w:sz w:val="20"/>
        </w:rPr>
        <w:t>Machinery and equipment are stated at cost, except for machinery and equipment acquired in a business combination, which are stated at fair value at the time of acquisition. As discussed below under “</w:t>
      </w:r>
      <w:r>
        <w:rPr>
          <w:rFonts w:ascii="Arial;sans-serif" w:hAnsi="Arial;sans-serif"/>
          <w:b/>
          <w:color w:val="000000"/>
          <w:sz w:val="20"/>
        </w:rPr>
        <w:t>(i) Goodwill, Intangible and Long-Lived Assets</w:t>
      </w:r>
      <w:r>
        <w:rPr>
          <w:rFonts w:ascii="Arial;sans-serif" w:hAnsi="Arial;sans-serif"/>
          <w:b w:val="false"/>
          <w:color w:val="000000"/>
          <w:sz w:val="20"/>
        </w:rPr>
        <w:t xml:space="preserve">,”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(i) Goodwill, Intangible and Long-Lived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reportable segments which are also our reporting units: Electronic Test, Environmental Technologies and Process Technologies.</w:t>
      </w:r>
    </w:p>
    <w:p>
      <w:pPr>
        <w:pStyle w:val="TextBody"/>
        <w:bidi w:val="0"/>
        <w:spacing w:lineRule="auto" w:line="288" w:before="0" w:after="200"/>
        <w:jc w:val="left"/>
        <w:rPr/>
      </w:pPr>
      <w:r>
        <w:rPr>
          <w:rFonts w:ascii="Arial;sans-serif" w:hAnsi="Arial;sans-serif"/>
          <w:b w:val="false"/>
          <w:color w:val="000000"/>
          <w:sz w:val="20"/>
        </w:rPr>
        <w:t xml:space="preserve">We account for goodwill and intangible assets in accordance with ASC Topic 350 - </w:t>
      </w:r>
      <w:r>
        <w:rPr>
          <w:rFonts w:ascii="Arial;sans-serif" w:hAnsi="Arial;sans-serif"/>
          <w:b w:val="false"/>
          <w:i/>
          <w:color w:val="000000"/>
          <w:sz w:val="20"/>
        </w:rPr>
        <w:t xml:space="preserve">Intangibles - Goodwill and Other </w:t>
      </w:r>
      <w:r>
        <w:rPr>
          <w:rFonts w:ascii="Arial;sans-serif" w:hAnsi="Arial;sans-serif"/>
          <w:b w:val="false"/>
          <w:color w:val="000000"/>
          <w:sz w:val="20"/>
        </w:rPr>
        <w:t>(“</w:t>
      </w:r>
      <w:r>
        <w:rPr>
          <w:rFonts w:ascii="Arial;sans-serif" w:hAnsi="Arial;sans-serif"/>
          <w:b/>
          <w:color w:val="000000"/>
          <w:sz w:val="20"/>
          <w:u w:val="single"/>
        </w:rPr>
        <w:t>ASC 350</w:t>
      </w:r>
      <w:r>
        <w:rPr>
          <w:color w:val="000000"/>
        </w:rPr>
        <w:t>”</w:t>
      </w:r>
      <w:r>
        <w:rPr>
          <w:rFonts w:ascii="Arial;sans-serif" w:hAnsi="Arial;sans-serif"/>
          <w:b w:val="false"/>
          <w:color w:val="000000"/>
          <w:sz w:val="20"/>
        </w:rPr>
        <w:t xml:space="preserve">).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quantitative goodwill impairment test compares the fair value of a reporting unit with its carrying amount, including goodwill. If the fair value of a reporting unit exceeds its carrying amount, goodwill of the reporting unit is considered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F-14</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quantitative impairment test for indefinite-lived intangible assets is based on upon the income approach, which estimates the fair value of the indefinite-lived intangibles assets based upon a relief from royalty approach. The determination of the fair value of our indefinite-lived intangible assets requires management to make significant estimates and assumptions including the selection of discount rates, royalty rates and forecasts of revenue growth rates.</w:t>
      </w:r>
    </w:p>
    <w:p>
      <w:pPr>
        <w:pStyle w:val="TextBody"/>
        <w:bidi w:val="0"/>
        <w:spacing w:lineRule="auto" w:line="288" w:before="0" w:after="200"/>
        <w:jc w:val="left"/>
        <w:rPr/>
      </w:pPr>
      <w:r>
        <w:rPr>
          <w:rFonts w:ascii="Arial;sans-serif" w:hAnsi="Arial;sans-serif"/>
          <w:b w:val="false"/>
          <w:color w:val="000000"/>
          <w:sz w:val="20"/>
        </w:rPr>
        <w:t>Long-lived assets, which consist of finite-lived intangible assets, property and equipment and right-of-use (“</w:t>
      </w:r>
      <w:r>
        <w:rPr>
          <w:rFonts w:ascii="Arial;sans-serif" w:hAnsi="Arial;sans-serif"/>
          <w:b/>
          <w:color w:val="000000"/>
          <w:sz w:val="20"/>
          <w:u w:val="single"/>
        </w:rPr>
        <w:t>ROU</w:t>
      </w:r>
      <w:r>
        <w:rPr>
          <w:color w:val="000000"/>
        </w:rPr>
        <w:t>”</w:t>
      </w:r>
      <w:r>
        <w:rPr>
          <w:rFonts w:ascii="Arial;sans-serif" w:hAnsi="Arial;sans-serif"/>
          <w:b w:val="false"/>
          <w:color w:val="000000"/>
          <w:sz w:val="20"/>
        </w:rPr>
        <w:t xml:space="preserve">) assets, are assessed for impairment in accordance with ASC Topic 360 - </w:t>
      </w:r>
      <w:r>
        <w:rPr>
          <w:rFonts w:ascii="Arial;sans-serif" w:hAnsi="Arial;sans-serif"/>
          <w:b w:val="false"/>
          <w:i/>
          <w:color w:val="000000"/>
          <w:sz w:val="20"/>
        </w:rPr>
        <w:t>Property, Plant and Equipment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360</w:t>
      </w:r>
      <w:r>
        <w:rPr>
          <w:color w:val="000000"/>
        </w:rPr>
        <w:t>”</w:t>
      </w:r>
      <w:r>
        <w:rPr>
          <w:rFonts w:ascii="Arial;sans-serif" w:hAnsi="Arial;sans-serif"/>
          <w:b w:val="false"/>
          <w:color w:val="000000"/>
          <w:sz w:val="20"/>
        </w:rPr>
        <w: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 See “</w:t>
      </w:r>
      <w:r>
        <w:rPr>
          <w:rFonts w:ascii="Arial;sans-serif" w:hAnsi="Arial;sans-serif"/>
          <w:b/>
          <w:color w:val="000000"/>
          <w:sz w:val="20"/>
        </w:rPr>
        <w:t>Note (16) Restructuring</w:t>
      </w:r>
      <w:r>
        <w:rPr>
          <w:color w:val="000000"/>
        </w:rPr>
        <w:t xml:space="preserve">” </w:t>
      </w:r>
      <w:r>
        <w:rPr>
          <w:rFonts w:ascii="Arial;sans-serif" w:hAnsi="Arial;sans-serif"/>
          <w:b w:val="false"/>
          <w:color w:val="000000"/>
          <w:sz w:val="20"/>
        </w:rPr>
        <w:t>for further discussion of the 2025 impairments related to Videology</w:t>
      </w:r>
      <w:r>
        <w:rPr>
          <w:rFonts w:ascii="Arial;sans-serif" w:hAnsi="Arial;sans-serif"/>
          <w:b w:val="false"/>
          <w:color w:val="000000"/>
          <w:sz w:val="13"/>
        </w:rPr>
        <w: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(j) Fair Value of Financial Instruments</w:t>
      </w:r>
    </w:p>
    <w:p>
      <w:pPr>
        <w:pStyle w:val="TextBody"/>
        <w:bidi w:val="0"/>
        <w:spacing w:lineRule="auto" w:line="288" w:before="0" w:after="200"/>
        <w:jc w:val="left"/>
        <w:rPr/>
      </w:pPr>
      <w:r>
        <w:rPr>
          <w:rFonts w:ascii="Arial;sans-serif" w:hAnsi="Arial;sans-serif"/>
          <w:b w:val="false"/>
          <w:color w:val="000000"/>
          <w:sz w:val="20"/>
        </w:rPr>
        <w:t>ASC Topic 820 -</w:t>
      </w:r>
      <w:r>
        <w:rPr>
          <w:color w:val="000000"/>
        </w:rPr>
        <w:t xml:space="preserve">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820</w:t>
      </w:r>
      <w:r>
        <w:rPr>
          <w:color w:val="000000"/>
        </w:rPr>
        <w:t>”</w:t>
      </w:r>
      <w:r>
        <w:rPr>
          <w:rFonts w:ascii="Arial;sans-serif" w:hAnsi="Arial;sans-serif"/>
          <w:b w:val="false"/>
          <w:color w:val="000000"/>
          <w:sz w:val="20"/>
        </w:rPr>
        <w: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1: Valuations based on unadjusted quoted prices in active markets for identical assets or liabilities that we have the ability to access.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3: Valuations based on inputs that are unobservable and significant to the overall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F-15</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lineRule="auto" w:line="288" w:before="0" w:after="200"/>
        <w:jc w:val="left"/>
        <w:rPr/>
      </w:pPr>
      <w:r>
        <w:rPr>
          <w:rFonts w:ascii="Arial;sans-serif" w:hAnsi="Arial;sans-serif"/>
          <w:b w:val="false"/>
          <w:color w:val="000000"/>
          <w:sz w:val="20"/>
        </w:rPr>
        <w:t>Our financial instruments include cash and cash equivalents,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short-term nature of those items. Our credit facility and our interest rate swap are discussed further below and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w:t>
      </w:r>
      <w:r>
        <w:rPr>
          <w:rFonts w:ascii="Arial;sans-serif" w:hAnsi="Arial;sans-serif"/>
          <w:b/>
          <w:color w:val="000000"/>
          <w:sz w:val="20"/>
        </w:rPr>
        <w:t>Note (7) Fair Value Measurements</w:t>
      </w:r>
      <w:r>
        <w:rPr>
          <w:color w:val="000000"/>
        </w:rPr>
        <w:t xml:space="preserve">” </w:t>
      </w:r>
      <w:r>
        <w:rPr>
          <w:rFonts w:ascii="Arial;sans-serif" w:hAnsi="Arial;sans-serif"/>
          <w:b w:val="false"/>
          <w:color w:val="000000"/>
          <w:sz w:val="20"/>
        </w:rPr>
        <w:t>for further disclosures related to the fair value of our liabilities for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(k) State and Local Grant Funds Received</w:t>
      </w:r>
    </w:p>
    <w:p>
      <w:pPr>
        <w:pStyle w:val="TextBody"/>
        <w:bidi w:val="0"/>
        <w:spacing w:lineRule="auto" w:line="288" w:before="0" w:after="200"/>
        <w:jc w:val="left"/>
        <w:rPr/>
      </w:pPr>
      <w:r>
        <w:rPr>
          <w:rFonts w:ascii="Arial;sans-serif" w:hAnsi="Arial;sans-serif"/>
          <w:b w:val="false"/>
          <w:color w:val="000000"/>
          <w:sz w:val="20"/>
        </w:rPr>
        <w:t>In connection with leasing a facility in Rochester, New York, which our subsidiary, Ambrell</w:t>
      </w:r>
      <w:r>
        <w:rPr>
          <w:rFonts w:ascii="Arial;sans-serif" w:hAnsi="Arial;sans-serif"/>
          <w:b w:val="false"/>
          <w:color w:val="000000"/>
          <w:sz w:val="13"/>
        </w:rPr>
        <w:t>®</w:t>
      </w:r>
      <w:r>
        <w:rPr>
          <w:rFonts w:ascii="Arial;sans-serif" w:hAnsi="Arial;sans-serif"/>
          <w:b w:val="false"/>
          <w:color w:val="000000"/>
          <w:sz w:val="20"/>
        </w:rPr>
        <w:t>, occupied in May 2018, we entered into agreements with the city of Rochester and the state of New York under which we received grants totaling $0.6 million to help offset a portion of the cost of the leasehold improvements we made to this facility. In exchange for the funds we received under these agreements, we were required to create and maintain specified levels of employment in this location through various dates ending in 2024. As of December 31, 2024, we met those employment targets as specified in the grant agreement with the city of Rochester. The remaining proceeds which were no longer subject to repayment were reclassified to deferred grant proceeds and will be amortized to income on a straight-line basis over the current remaining lease term for the Rochester facility. Total aggregate deferred grant proceeds are included in other current liabilities and other liabilities on our Consolidated Balance Sheets and totaled $0.3 million and $0.4 million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(l) Leases</w:t>
      </w:r>
    </w:p>
    <w:p>
      <w:pPr>
        <w:pStyle w:val="TextBody"/>
        <w:bidi w:val="0"/>
        <w:spacing w:lineRule="auto" w:line="288" w:before="0" w:after="200"/>
        <w:jc w:val="left"/>
        <w:rPr/>
      </w:pPr>
      <w:r>
        <w:rPr>
          <w:rFonts w:ascii="Arial;sans-serif" w:hAnsi="Arial;sans-serif"/>
          <w:b w:val="false"/>
          <w:color w:val="000000"/>
          <w:sz w:val="20"/>
        </w:rPr>
        <w:t xml:space="preserve">We account for leases in accordance with ASC Topic 842 -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842</w:t>
      </w:r>
      <w:r>
        <w:rPr>
          <w:color w:val="000000"/>
        </w:rPr>
        <w:t>”</w:t>
      </w:r>
      <w:r>
        <w:rPr>
          <w:rFonts w:ascii="Arial;sans-serif" w:hAnsi="Arial;sans-serif"/>
          <w:b w:val="false"/>
          <w:color w:val="000000"/>
          <w:sz w:val="20"/>
        </w:rPr>
        <w:t xml:space="preserve">).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842. Operating leases are included in operating lease ROU assets and operating lease liabilities in our Consolidated Balance Sheets. Though we currently do not have any financing leases, our policy is to include finance leases in property and equipment and financing lease liabilities.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have lease agreements which contain both lease and non-lease components, which are generally accounted for separately. In addition to the monthly rental payments due, most of our leases for our offices and warehouse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F-16</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(9) Leases</w:t>
      </w:r>
      <w:r>
        <w:rPr>
          <w:color w:val="000000"/>
        </w:rPr>
        <w:t xml:space="preserve">” </w:t>
      </w:r>
      <w:r>
        <w:rPr>
          <w:rFonts w:ascii="Arial;sans-serif" w:hAnsi="Arial;sans-serif"/>
          <w:b w:val="false"/>
          <w:color w:val="000000"/>
          <w:sz w:val="20"/>
        </w:rPr>
        <w:t>for further disclosures regarding our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(m) Interest Rate Swap Agreement</w:t>
      </w:r>
    </w:p>
    <w:p>
      <w:pPr>
        <w:pStyle w:val="TextBody"/>
        <w:bidi w:val="0"/>
        <w:spacing w:lineRule="auto" w:line="288" w:before="0" w:after="200"/>
        <w:jc w:val="left"/>
        <w:rPr/>
      </w:pPr>
      <w:r>
        <w:rPr>
          <w:rFonts w:ascii="Arial;sans-serif" w:hAnsi="Arial;sans-serif"/>
          <w:b w:val="false"/>
          <w:color w:val="000000"/>
          <w:sz w:val="20"/>
        </w:rPr>
        <w:t>We are exposed to interest rate risk on our floating-rate debt. We have entered into an interest rate swap agreement to effectively convert our floating-rate debt to a fixed-rate basis for a portion of our floating rate debt, as discussed further in “</w:t>
      </w:r>
      <w:r>
        <w:rPr>
          <w:rFonts w:ascii="Arial;sans-serif" w:hAnsi="Arial;sans-serif"/>
          <w:b/>
          <w:color w:val="000000"/>
          <w:sz w:val="20"/>
        </w:rPr>
        <w:t>Note (7) Fair Value Measurements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color w:val="000000"/>
          <w:sz w:val="20"/>
        </w:rPr>
        <w:t>Note (10) Debt</w:t>
      </w:r>
      <w:r>
        <w:rPr>
          <w:rFonts w:ascii="Arial;sans-serif" w:hAnsi="Arial;sans-serif"/>
          <w:b w:val="false"/>
          <w:color w:val="000000"/>
          <w:sz w:val="20"/>
        </w:rPr>
        <w:t xml:space="preserve">.” The principal objective of this agreement is to eliminate the variability of the cash flows for interest payments associated with a portion of our floating-rate debt, thus reducing the impact of interest rate changes on future interest payment cash flows. We have elected to apply the hedge accounting rules in accordance with ASC Topic 815 - </w:t>
      </w:r>
      <w:r>
        <w:rPr>
          <w:rFonts w:ascii="Arial;sans-serif" w:hAnsi="Arial;sans-serif"/>
          <w:b w:val="false"/>
          <w:i/>
          <w:color w:val="000000"/>
          <w:sz w:val="20"/>
        </w:rPr>
        <w:t>Derivatives and Hedging</w:t>
      </w:r>
      <w:r>
        <w:rPr>
          <w:rFonts w:ascii="Arial;sans-serif" w:hAnsi="Arial;sans-serif"/>
          <w:b w:val="false"/>
          <w:color w:val="000000"/>
          <w:sz w:val="20"/>
        </w:rPr>
        <w:t>. Further, we have determined that this agreement qualifies for the shortcut method of hedge accounting. Our interest rate swap is recorded at fair value as a component of other assets in our Consolidated Balance Sheets. Changes in the fair value of interest rate swap agreements designated as cash flow hedges are recorded as a component of accumulated other comprehensive income (loss) within stockholders’ equity and are amortized to interest expense over the term of the related debt. We recognize the change in the fair value of the interest rate swap as a component of the change in other assets in our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(n) Revenue Recognition</w:t>
      </w:r>
    </w:p>
    <w:p>
      <w:pPr>
        <w:pStyle w:val="TextBody"/>
        <w:bidi w:val="0"/>
        <w:spacing w:lineRule="auto" w:line="288" w:before="0" w:after="200"/>
        <w:jc w:val="left"/>
        <w:rPr/>
      </w:pPr>
      <w:r>
        <w:rPr>
          <w:rFonts w:ascii="Arial;sans-serif" w:hAnsi="Arial;sans-serif"/>
          <w:b w:val="false"/>
          <w:color w:val="000000"/>
          <w:sz w:val="20"/>
        </w:rPr>
        <w:t xml:space="preserve">We recognize revenue in accordance with the guidance in ASC Topic 606 - </w:t>
      </w:r>
      <w:r>
        <w:rPr>
          <w:rFonts w:ascii="Arial;sans-serif" w:hAnsi="Arial;sans-serif"/>
          <w:b w:val="false"/>
          <w:i/>
          <w:color w:val="000000"/>
          <w:sz w:val="20"/>
        </w:rPr>
        <w:t>Revenue from Contracts with Customers</w:t>
      </w:r>
      <w:r>
        <w:rPr>
          <w:rFonts w:ascii="Arial;sans-serif" w:hAnsi="Arial;sans-serif"/>
          <w:b w:val="false"/>
          <w:color w:val="000000"/>
          <w:sz w:val="20"/>
        </w:rPr>
        <w:t>. We recognize revenue for the sale of products or services at the amount of consideration we expect to receive for those goods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 Shipping and handling fees billed to customers are included in revenue, while shipping and handling costs are included in cost of revenue.</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Nature of Products and Services</w:t>
      </w:r>
    </w:p>
    <w:p>
      <w:pPr>
        <w:pStyle w:val="TextBody"/>
        <w:bidi w:val="0"/>
        <w:spacing w:lineRule="auto" w:line="288" w:before="0" w:after="200"/>
        <w:jc w:val="left"/>
        <w:rPr/>
      </w:pPr>
      <w:r>
        <w:rPr>
          <w:rFonts w:ascii="Arial;sans-serif" w:hAnsi="Arial;sans-serif"/>
          <w:b w:val="false"/>
          <w:color w:val="000000"/>
          <w:sz w:val="20"/>
        </w:rPr>
        <w:t>We are a global supplier of innovative test and process technology solutions for use in manufacturing and testing in targeted markets including Semi, Auto/EV, Defense/Aerospace, Industrial, Life Sciences, and Safety/Security. We sell semiconductor ATE interface solutions which include manipulators, docking hardware and electrical interface products. As a result of the acquisition of Acculogic, we sell robotics-based electronic production test equipment. We sell semiconductor ATE interface solutions and certain thermal management products to the Semi market. We sell thermal management products including ThermoStream</w:t>
      </w:r>
      <w:r>
        <w:rPr>
          <w:rFonts w:ascii="Arial;sans-serif" w:hAnsi="Arial;sans-serif"/>
          <w:b w:val="false"/>
          <w:color w:val="000000"/>
          <w:sz w:val="13"/>
        </w:rPr>
        <w:t>®</w:t>
      </w:r>
      <w:r>
        <w:rPr>
          <w:rFonts w:ascii="Arial;sans-serif" w:hAnsi="Arial;sans-serif"/>
          <w:b w:val="false"/>
          <w:color w:val="000000"/>
          <w:sz w:val="20"/>
        </w:rPr>
        <w:t>, ThermoChambers, process chillers, refrigerators and freezers, which we sell under our Temptronic</w:t>
      </w:r>
      <w:r>
        <w:rPr>
          <w:rFonts w:ascii="Arial;sans-serif" w:hAnsi="Arial;sans-serif"/>
          <w:b w:val="false"/>
          <w:color w:val="000000"/>
          <w:sz w:val="13"/>
        </w:rPr>
        <w:t>®</w:t>
      </w:r>
      <w:r>
        <w:rPr>
          <w:rFonts w:ascii="Arial;sans-serif" w:hAnsi="Arial;sans-serif"/>
          <w:b w:val="false"/>
          <w:color w:val="000000"/>
          <w:sz w:val="20"/>
        </w:rPr>
        <w:t>, Sigma,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North Sciences product lines, and Ambrell</w:t>
      </w:r>
      <w:r>
        <w:rPr>
          <w:rFonts w:ascii="Arial;sans-serif" w:hAnsi="Arial;sans-serif"/>
          <w:b w:val="false"/>
          <w:color w:val="000000"/>
          <w:sz w:val="13"/>
        </w:rPr>
        <w:t>®</w:t>
      </w:r>
      <w:r>
        <w:rPr>
          <w:color w:val="000000"/>
        </w:rPr>
        <w:t>’</w:t>
      </w:r>
      <w:r>
        <w:rPr>
          <w:rFonts w:ascii="Arial;sans-serif" w:hAnsi="Arial;sans-serif"/>
          <w:b w:val="false"/>
          <w:color w:val="000000"/>
          <w:sz w:val="20"/>
        </w:rPr>
        <w:t>s precision induction heating systems, including EKOHEAT</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EASYHEAT</w:t>
      </w:r>
      <w:r>
        <w:rPr>
          <w:color w:val="000000"/>
        </w:rPr>
        <w:t xml:space="preserve">™ </w:t>
      </w:r>
      <w:r>
        <w:rPr>
          <w:rFonts w:ascii="Arial;sans-serif" w:hAnsi="Arial;sans-serif"/>
          <w:b w:val="false"/>
          <w:color w:val="000000"/>
          <w:sz w:val="20"/>
        </w:rPr>
        <w:t>products. As a result of the acquisition of Videology</w:t>
      </w:r>
      <w:r>
        <w:rPr>
          <w:rFonts w:ascii="Arial;sans-serif" w:hAnsi="Arial;sans-serif"/>
          <w:b w:val="false"/>
          <w:color w:val="000000"/>
          <w:sz w:val="13"/>
        </w:rPr>
        <w:t>®</w:t>
      </w:r>
      <w:r>
        <w:rPr>
          <w:rFonts w:ascii="Arial;sans-serif" w:hAnsi="Arial;sans-serif"/>
          <w:b w:val="false"/>
          <w:color w:val="000000"/>
          <w:sz w:val="20"/>
        </w:rPr>
        <w:t xml:space="preserve">, we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F-17</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industrial-grade circuit board mounted video digital cameras and related devices, systems and software. We also sell many of our products to various other markets including the Industrial, Auto/EV, Life Sciences, Defense/Aerospace and security markets. We provide post-warranty service and support for the equipment we sell.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lease certain of our equipment under short-term leasing agreements with original lease terms of six months or less. Our lease agreements do not contain purchase options. Occasionally we procure and sell materials/components on behalf of and to our customers.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Types of Contracts with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agreed-upon specifications. We test substantially all products manufactured as part of our quality assurance process to determine that they comply with specifications prior to shipment to a customer.</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Other Liabilities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discussed above, we follow the guidance in ASC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Costs to Obtain a Contract with a Customer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Consolidated Balance Sheets.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Product Warranties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F-18</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(11) Revenue From Contracts With Customers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color w:val="000000"/>
          <w:sz w:val="20"/>
        </w:rPr>
        <w:t>Note (19) Segment and Geographic Area Information</w:t>
      </w:r>
      <w:r>
        <w:rPr>
          <w:color w:val="000000"/>
        </w:rPr>
        <w:t xml:space="preserve">” </w:t>
      </w:r>
      <w:r>
        <w:rPr>
          <w:rFonts w:ascii="Arial;sans-serif" w:hAnsi="Arial;sans-serif"/>
          <w:b w:val="false"/>
          <w:color w:val="000000"/>
          <w:sz w:val="20"/>
        </w:rPr>
        <w:t>for further information about our revenue from contracts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(o) Net Earnings (Loss) Per Common Share</w:t>
      </w:r>
    </w:p>
    <w:p>
      <w:pPr>
        <w:pStyle w:val="TextBody"/>
        <w:bidi w:val="0"/>
        <w:spacing w:lineRule="auto" w:line="288" w:before="0" w:after="200"/>
        <w:jc w:val="left"/>
        <w:rPr/>
      </w:pPr>
      <w:r>
        <w:rPr>
          <w:rFonts w:ascii="Arial;sans-serif" w:hAnsi="Arial;sans-serif"/>
          <w:b w:val="false"/>
          <w:color w:val="000000"/>
          <w:sz w:val="20"/>
        </w:rPr>
        <w:t xml:space="preserve">We compute net earnings (loss) per common share in accordance with ASC 260 - </w:t>
      </w:r>
      <w:r>
        <w:rPr>
          <w:rFonts w:ascii="Arial;sans-serif" w:hAnsi="Arial;sans-serif"/>
          <w:b w:val="false"/>
          <w:i/>
          <w:color w:val="000000"/>
          <w:sz w:val="20"/>
        </w:rPr>
        <w:t>Earnings Per Share</w:t>
      </w:r>
      <w:r>
        <w:rPr>
          <w:color w:val="000000"/>
        </w:rPr>
        <w:t xml:space="preserve"> </w:t>
      </w:r>
      <w:r>
        <w:rPr>
          <w:rFonts w:ascii="Arial;sans-serif" w:hAnsi="Arial;sans-serif"/>
          <w:b w:val="false"/>
          <w:color w:val="000000"/>
          <w:sz w:val="20"/>
        </w:rPr>
        <w:t>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performance-based restricted stock, restricted stock units and stock options and are calculated using the treasury stock method. Common share equivalents are excluded from the calculation if their effect is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(p) Stock-Based Compensation</w:t>
      </w:r>
    </w:p>
    <w:p>
      <w:pPr>
        <w:pStyle w:val="TextBody"/>
        <w:bidi w:val="0"/>
        <w:spacing w:lineRule="auto" w:line="288" w:before="0" w:after="200"/>
        <w:jc w:val="left"/>
        <w:rPr/>
      </w:pPr>
      <w:r>
        <w:rPr>
          <w:rFonts w:ascii="Arial;sans-serif" w:hAnsi="Arial;sans-serif"/>
          <w:b w:val="false"/>
          <w:color w:val="000000"/>
          <w:sz w:val="20"/>
        </w:rPr>
        <w:t xml:space="preserve">We account for stock-based compensation in accordance with ASC Topic 718 - </w:t>
      </w:r>
      <w:r>
        <w:rPr>
          <w:rFonts w:ascii="Arial;sans-serif" w:hAnsi="Arial;sans-serif"/>
          <w:b w:val="false"/>
          <w:i/>
          <w:color w:val="000000"/>
          <w:sz w:val="20"/>
        </w:rPr>
        <w:t>Compensation</w:t>
      </w:r>
      <w:r>
        <w:rPr>
          <w:color w:val="000000"/>
        </w:rPr>
        <w:t>—</w:t>
      </w:r>
      <w:r>
        <w:rPr>
          <w:rFonts w:ascii="Arial;sans-serif" w:hAnsi="Arial;sans-serif"/>
          <w:b w:val="false"/>
          <w:i/>
          <w:color w:val="000000"/>
          <w:sz w:val="20"/>
        </w:rPr>
        <w:t>Stock Compensation</w:t>
      </w:r>
      <w:r>
        <w:rPr>
          <w:color w:val="000000"/>
        </w:rPr>
        <w:t xml:space="preserve"> </w:t>
      </w:r>
      <w:r>
        <w:rPr>
          <w:rFonts w:ascii="Arial;sans-serif" w:hAnsi="Arial;sans-serif"/>
          <w:b w:val="false"/>
          <w:color w:val="000000"/>
          <w:sz w:val="20"/>
        </w:rPr>
        <w:t>which requires that share-based equity awards granted to employees or non-employee directors be accounted for based on the grant-date fair value of the i) entity’s equity instruments or ii) liabilities that are based on the fair value of the entity’s equity instruments or that may be settled by the issuance of such equity instruments. The costs of such instruments are then amortized to expense over the service periods. We recognize forfeitures of awards as they occur, recapturing any expense recorded for unvested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of our stock options on the date of grant is estimated using the Black-Scholes option pricing model, which requires the use of certain assumptions, including the expected volatility of our stock price, the expected term of the option, the risk-free rate and the expected dividend yield. No option may be granted with an exercise period in excess of ten years from the date of grant. Generally, stock options will be granted with an exercise price equal to the fair market value of our stock on the date of grant and will vest over four years.</w:t>
      </w:r>
    </w:p>
    <w:p>
      <w:pPr>
        <w:pStyle w:val="TextBody"/>
        <w:bidi w:val="0"/>
        <w:spacing w:lineRule="auto" w:line="288" w:before="0" w:after="200"/>
        <w:jc w:val="left"/>
        <w:rPr/>
      </w:pPr>
      <w:r>
        <w:rPr>
          <w:rFonts w:ascii="Arial;sans-serif" w:hAnsi="Arial;sans-serif"/>
          <w:b w:val="false"/>
          <w:color w:val="000000"/>
          <w:sz w:val="20"/>
        </w:rPr>
        <w:t>We record compensation expense for restricted stock awards (“</w:t>
      </w:r>
      <w:r>
        <w:rPr>
          <w:rFonts w:ascii="Arial;sans-serif" w:hAnsi="Arial;sans-serif"/>
          <w:b/>
          <w:color w:val="000000"/>
          <w:sz w:val="20"/>
          <w:u w:val="single"/>
        </w:rPr>
        <w:t>RSAs</w:t>
      </w:r>
      <w:r>
        <w:rPr>
          <w:color w:val="000000"/>
        </w:rPr>
        <w:t>”</w:t>
      </w:r>
      <w:r>
        <w:rPr>
          <w:rFonts w:ascii="Arial;sans-serif" w:hAnsi="Arial;sans-serif"/>
          <w:b w:val="false"/>
          <w:color w:val="000000"/>
          <w:sz w:val="20"/>
        </w:rPr>
        <w:t>) and restricted stock units (“</w:t>
      </w:r>
      <w:r>
        <w:rPr>
          <w:rFonts w:ascii="Arial;sans-serif" w:hAnsi="Arial;sans-serif"/>
          <w:b/>
          <w:color w:val="000000"/>
          <w:sz w:val="20"/>
          <w:u w:val="single"/>
        </w:rPr>
        <w:t>RSUs</w:t>
      </w:r>
      <w:r>
        <w:rPr>
          <w:color w:val="000000"/>
        </w:rPr>
        <w:t>”</w:t>
      </w:r>
      <w:r>
        <w:rPr>
          <w:rFonts w:ascii="Arial;sans-serif" w:hAnsi="Arial;sans-serif"/>
          <w:b w:val="false"/>
          <w:color w:val="000000"/>
          <w:sz w:val="20"/>
        </w:rPr>
        <w:t>) based on the quoted market price of our stock at the grant date and amortize the expense over the vesting period. RSAs and RSUs generally vest over four years for employees. Prior to 2025, RSAs granted to our independent directors vested 25% at each of March 31, June 30, September 30, and December 31 of the year in which they were granted. Beginning in 2025, RSAs granted to our independent directors vest on the one-year anniversary of the grant date.</w:t>
      </w:r>
    </w:p>
    <w:p>
      <w:pPr>
        <w:pStyle w:val="TextBody"/>
        <w:bidi w:val="0"/>
        <w:spacing w:lineRule="auto" w:line="288" w:before="0" w:after="200"/>
        <w:jc w:val="left"/>
        <w:rPr/>
      </w:pPr>
      <w:r>
        <w:rPr>
          <w:rFonts w:ascii="Arial;sans-serif" w:hAnsi="Arial;sans-serif"/>
          <w:b w:val="false"/>
          <w:color w:val="000000"/>
          <w:sz w:val="20"/>
        </w:rPr>
        <w:t>We also grant performance-based stock awards (“</w:t>
      </w:r>
      <w:r>
        <w:rPr>
          <w:rFonts w:ascii="Arial;sans-serif" w:hAnsi="Arial;sans-serif"/>
          <w:b/>
          <w:color w:val="000000"/>
          <w:sz w:val="20"/>
          <w:u w:val="single"/>
        </w:rPr>
        <w:t>PSAs</w:t>
      </w:r>
      <w:r>
        <w:rPr>
          <w:color w:val="000000"/>
        </w:rPr>
        <w:t>”</w:t>
      </w:r>
      <w:r>
        <w:rPr>
          <w:rFonts w:ascii="Arial;sans-serif" w:hAnsi="Arial;sans-serif"/>
          <w:b w:val="false"/>
          <w:color w:val="000000"/>
          <w:sz w:val="20"/>
        </w:rPr>
        <w:t>) where the ultimate number of shares that vest can vary and is based on the achievement of specific performance metrics. The grant date fair value of these awards is based on the quoted market price of our stock on the date of grant. Vesting for performance-based awards is generally cliff vesting at the end of the period over which the performance metrics are measured. Compensation expense for PSAs is recorded on a straight-line basis over the vesting period and is based on the expected final vesting percentage, which is re-assessed at the end of each reporting period and adjusted with a catch-up adjusted as needed. Our initial assumption at the grant date of these performance-based awards is that the award will vest at 100%.</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as RSAs, PSAs and RSUs vest, certain employees surrender their vested shares to satisfy their tax liability on vesting. The fair value of those shares on the vesting date are then used by us to pay those employees’ tax obligations. The shares surrendered are reported as treasury stock in our Consolidated Statements of Stockholders’ Equity.</w:t>
      </w:r>
    </w:p>
    <w:p>
      <w:pPr>
        <w:pStyle w:val="TextBody"/>
        <w:bidi w:val="0"/>
        <w:spacing w:lineRule="auto" w:line="288" w:before="0" w:after="200"/>
        <w:jc w:val="left"/>
        <w:rPr/>
      </w:pPr>
      <w:r>
        <w:rPr>
          <w:rFonts w:ascii="Arial;sans-serif" w:hAnsi="Arial;sans-serif"/>
          <w:b w:val="false"/>
          <w:color w:val="000000"/>
          <w:sz w:val="20"/>
        </w:rPr>
        <w:t>See further disclosures related to our stock-based compensation plans in “</w:t>
      </w:r>
      <w:r>
        <w:rPr>
          <w:rFonts w:ascii="Arial;sans-serif" w:hAnsi="Arial;sans-serif"/>
          <w:b/>
          <w:color w:val="000000"/>
          <w:sz w:val="20"/>
        </w:rPr>
        <w:t>Note (14) Stock-Based Compensation Plan</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(q) Foreign Currency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as a component of accumulated other comprehensive earnings within stockholders’ equity. Transaction gains or losses are included in net earnings. For the years ended December 31, 2025 and 2024, our net foreign currency transaction gains and losses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F-19</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 Restructuring and Other Charges</w:t>
      </w:r>
    </w:p>
    <w:p>
      <w:pPr>
        <w:pStyle w:val="TextBody"/>
        <w:bidi w:val="0"/>
        <w:spacing w:lineRule="auto" w:line="288" w:before="0" w:after="200"/>
        <w:jc w:val="left"/>
        <w:rPr/>
      </w:pPr>
      <w:r>
        <w:rPr>
          <w:rFonts w:ascii="Arial;sans-serif" w:hAnsi="Arial;sans-serif"/>
          <w:b w:val="false"/>
          <w:color w:val="000000"/>
          <w:sz w:val="20"/>
        </w:rPr>
        <w:t xml:space="preserve">In accordance with the guidance in ASC Topic 420 - </w:t>
      </w:r>
      <w:r>
        <w:rPr>
          <w:rFonts w:ascii="Arial;sans-serif" w:hAnsi="Arial;sans-serif"/>
          <w:b w:val="false"/>
          <w:i/>
          <w:color w:val="000000"/>
          <w:sz w:val="20"/>
        </w:rPr>
        <w:t>Exit or Disposal Cost Obligations</w:t>
      </w:r>
      <w:r>
        <w:rPr>
          <w:rFonts w:ascii="Arial;sans-serif" w:hAnsi="Arial;sans-serif"/>
          <w:b w:val="false"/>
          <w:color w:val="000000"/>
          <w:sz w:val="20"/>
        </w:rPr>
        <w:t>,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842, ASC 360 and ASC 350.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(s) Engineering and Product Development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Engineering and product development costs, which consist primarily of the salary and related benefits costs of our technical staff, as well as the cost of materials used in product development,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(t) Income Taxes</w:t>
      </w:r>
    </w:p>
    <w:p>
      <w:pPr>
        <w:pStyle w:val="TextBody"/>
        <w:bidi w:val="0"/>
        <w:spacing w:lineRule="auto" w:line="288" w:before="0" w:after="200"/>
        <w:jc w:val="left"/>
        <w:rPr/>
      </w:pPr>
      <w:r>
        <w:rPr>
          <w:rFonts w:ascii="Arial;sans-serif" w:hAnsi="Arial;sans-serif"/>
          <w:b w:val="false"/>
          <w:color w:val="000000"/>
          <w:sz w:val="20"/>
        </w:rPr>
        <w:t xml:space="preserve">We account for income taxes using the asset and liability method, as described in ASC Topic 740 – </w:t>
      </w:r>
      <w:r>
        <w:rPr>
          <w:rFonts w:ascii="Arial;sans-serif" w:hAnsi="Arial;sans-serif"/>
          <w:b w:val="false"/>
          <w:i/>
          <w:color w:val="000000"/>
          <w:sz w:val="20"/>
        </w:rPr>
        <w:t>Income Taxes</w:t>
      </w:r>
      <w:r>
        <w:rPr>
          <w:rFonts w:ascii="Arial;sans-serif" w:hAnsi="Arial;sans-serif"/>
          <w:b w:val="false"/>
          <w:color w:val="000000"/>
          <w:sz w:val="20"/>
        </w:rPr>
        <w:t>.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Recognition and measurement of uncertain tax positions in our financial statements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Consolidated Statements of Operations.</w:t>
      </w:r>
    </w:p>
    <w:p>
      <w:pPr>
        <w:pStyle w:val="TextBody"/>
        <w:bidi w:val="0"/>
        <w:spacing w:lineRule="auto" w:line="288" w:before="0" w:after="200"/>
        <w:jc w:val="left"/>
        <w:rPr/>
      </w:pPr>
      <w:r>
        <w:rPr>
          <w:rFonts w:ascii="Arial;sans-serif" w:hAnsi="Arial;sans-serif"/>
          <w:b w:val="false"/>
          <w:color w:val="000000"/>
          <w:sz w:val="20"/>
        </w:rPr>
        <w:t>On July 4, 2025, President Trump signed the One Big Beautiful Bill Act (“</w:t>
      </w:r>
      <w:r>
        <w:rPr>
          <w:rFonts w:ascii="Arial;sans-serif" w:hAnsi="Arial;sans-serif"/>
          <w:b/>
          <w:color w:val="000000"/>
          <w:sz w:val="20"/>
          <w:u w:val="single"/>
        </w:rPr>
        <w:t>OBBBA</w:t>
      </w:r>
      <w:r>
        <w:rPr>
          <w:color w:val="000000"/>
        </w:rPr>
        <w:t>”</w:t>
      </w:r>
      <w:r>
        <w:rPr>
          <w:rFonts w:ascii="Arial;sans-serif" w:hAnsi="Arial;sans-serif"/>
          <w:b w:val="false"/>
          <w:color w:val="000000"/>
          <w:sz w:val="20"/>
        </w:rPr>
        <w:t>), enacting a broad range of tax reform provisions, including extending and modifying certain domestic and international Tax Cut &amp; Jobs Act provisions and expanding certain Inflation Reduction Act incentives while accelerating the phase-out of others. Only certain provisions had current-year financial reporting implications due to varying effective dates and discretionary elections. We do not anticipate any material impact to our Consolidated Financial Statements from this enactment.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(u) Effect of Recently Adopted Amendments to Authoritative Accounting Guidance</w:t>
      </w:r>
    </w:p>
    <w:p>
      <w:pPr>
        <w:pStyle w:val="TextBody"/>
        <w:bidi w:val="0"/>
        <w:spacing w:lineRule="auto" w:line="288" w:before="0" w:after="200"/>
        <w:jc w:val="left"/>
        <w:rPr/>
      </w:pPr>
      <w:r>
        <w:rPr>
          <w:rFonts w:ascii="Arial;sans-serif" w:hAnsi="Arial;sans-serif"/>
          <w:b w:val="false"/>
          <w:color w:val="000000"/>
          <w:sz w:val="20"/>
        </w:rPr>
        <w:t>In November 2023, the Financial Accounting Standards Board (“</w:t>
      </w:r>
      <w:r>
        <w:rPr>
          <w:rFonts w:ascii="Arial;sans-serif" w:hAnsi="Arial;sans-serif"/>
          <w:b/>
          <w:color w:val="000000"/>
          <w:sz w:val="20"/>
          <w:u w:val="single"/>
        </w:rPr>
        <w:t>FASB</w:t>
      </w:r>
      <w:r>
        <w:rPr>
          <w:color w:val="000000"/>
        </w:rPr>
        <w:t>”</w:t>
      </w:r>
      <w:r>
        <w:rPr>
          <w:rFonts w:ascii="Arial;sans-serif" w:hAnsi="Arial;sans-serif"/>
          <w:b w:val="false"/>
          <w:color w:val="000000"/>
          <w:sz w:val="20"/>
        </w:rPr>
        <w:t>) issued Accounting Standards Update (“</w:t>
      </w:r>
      <w:r>
        <w:rPr>
          <w:rFonts w:ascii="Arial;sans-serif" w:hAnsi="Arial;sans-serif"/>
          <w:b/>
          <w:color w:val="000000"/>
          <w:sz w:val="20"/>
          <w:u w:val="single"/>
        </w:rPr>
        <w:t>ASU</w:t>
      </w:r>
      <w:r>
        <w:rPr>
          <w:color w:val="000000"/>
        </w:rPr>
        <w:t>”</w:t>
      </w:r>
      <w:r>
        <w:rPr>
          <w:rFonts w:ascii="Arial;sans-serif" w:hAnsi="Arial;sans-serif"/>
          <w:b w:val="false"/>
          <w:color w:val="000000"/>
          <w:sz w:val="20"/>
        </w:rPr>
        <w:t>) 2023-07,</w:t>
      </w:r>
      <w:r>
        <w:rPr>
          <w:color w:val="000000"/>
        </w:rPr>
        <w:t xml:space="preserve"> </w:t>
      </w:r>
      <w:r>
        <w:rPr>
          <w:rFonts w:ascii="Arial;sans-serif" w:hAnsi="Arial;sans-serif"/>
          <w:b w:val="false"/>
          <w:i/>
          <w:color w:val="000000"/>
          <w:sz w:val="20"/>
        </w:rPr>
        <w:t>Segment Reporting (Topic 280): Improvements to Reportable Segment Disclosures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2023-07</w:t>
      </w:r>
      <w:r>
        <w:rPr>
          <w:color w:val="000000"/>
        </w:rPr>
        <w:t>”</w:t>
      </w:r>
      <w:r>
        <w:rPr>
          <w:rFonts w:ascii="Arial;sans-serif" w:hAnsi="Arial;sans-serif"/>
          <w:b w:val="false"/>
          <w:color w:val="000000"/>
          <w:sz w:val="20"/>
        </w:rPr>
        <w:t xml:space="preserve">) which amends the guidance for disclosures for reportable segments. ASU 2023-07 introduced new requirements to disclose significant segment expenses regularly provided to the CODM, extends certain annual disclosures to interim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F-20</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pPr>
      <w:r>
        <w:rPr>
          <w:rFonts w:ascii="Arial;sans-serif" w:hAnsi="Arial;sans-serif"/>
          <w:b w:val="false"/>
          <w:color w:val="000000"/>
          <w:sz w:val="20"/>
        </w:rPr>
        <w:t xml:space="preserve">clarifies that single reportable segment entities must apply ASC 280 –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in its entirety, permits more than one measure of segment profit or loss to be reported under certain conditions, and requires disclosure of the title and position of the CODM. Our adoption of ASU 2023-07 had no impact on our Consolidated Financial Statements. We have retrospectively applied the amendments to our interim footnote disclosures beginning January 1, 2025, as permitted.</w:t>
      </w:r>
    </w:p>
    <w:p>
      <w:pPr>
        <w:pStyle w:val="TextBody"/>
        <w:bidi w:val="0"/>
        <w:spacing w:lineRule="auto" w:line="288" w:before="0" w:after="200"/>
        <w:jc w:val="left"/>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 (Topic 740): Improvements to Income Tax Disclosures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2023-09</w:t>
      </w:r>
      <w:r>
        <w:rPr>
          <w:color w:val="000000"/>
        </w:rPr>
        <w:t>”</w:t>
      </w:r>
      <w:r>
        <w:rPr>
          <w:rFonts w:ascii="Arial;sans-serif" w:hAnsi="Arial;sans-serif"/>
          <w:b w:val="false"/>
          <w:color w:val="000000"/>
          <w:sz w:val="20"/>
        </w:rPr>
        <w:t>). The amendments require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The amendments also require entities to disclose net income taxes paid or received to federal, state and foreign jurisdictions, as well as by individual jurisdiction, subject to a five percent quantitative threshold. The amendments may be adopted on a prospective or retrospective basis and are effective for fiscal years beginning after December 15, 2024, with early adoption permitted. Our retrospective adoption of ASU 2023-09 had no impact on our Consolidated Financial Statements and we have implemented the amendments on footnote disclosures in “</w:t>
      </w:r>
      <w:r>
        <w:rPr>
          <w:rFonts w:ascii="Arial;sans-serif" w:hAnsi="Arial;sans-serif"/>
          <w:b/>
          <w:color w:val="000000"/>
          <w:sz w:val="20"/>
        </w:rPr>
        <w:t>Note (18) Income Taxes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(v) Effect of Recently Issued Amendments to Authoritative Accounting Guidance Not Yet Adopted</w:t>
      </w:r>
    </w:p>
    <w:p>
      <w:pPr>
        <w:pStyle w:val="TextBody"/>
        <w:bidi w:val="0"/>
        <w:spacing w:lineRule="auto" w:line="288" w:before="0" w:after="200"/>
        <w:jc w:val="left"/>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 xml:space="preserve">Interim Reporting (Topic 270): Narrow Scope Improvements </w:t>
      </w:r>
      <w:r>
        <w:rPr>
          <w:rFonts w:ascii="Arial;sans-serif" w:hAnsi="Arial;sans-serif"/>
          <w:b w:val="false"/>
          <w:color w:val="000000"/>
          <w:sz w:val="20"/>
        </w:rPr>
        <w:t>(“</w:t>
      </w:r>
      <w:r>
        <w:rPr>
          <w:rFonts w:ascii="Arial;sans-serif" w:hAnsi="Arial;sans-serif"/>
          <w:b/>
          <w:color w:val="000000"/>
          <w:sz w:val="20"/>
          <w:u w:val="single"/>
        </w:rPr>
        <w:t>ASU 2025-11</w:t>
      </w:r>
      <w:r>
        <w:rPr>
          <w:color w:val="000000"/>
        </w:rPr>
        <w:t>”</w:t>
      </w:r>
      <w:r>
        <w:rPr>
          <w:rFonts w:ascii="Arial;sans-serif" w:hAnsi="Arial;sans-serif"/>
          <w:b w:val="false"/>
          <w:color w:val="000000"/>
          <w:sz w:val="20"/>
        </w:rPr>
        <w:t>). This update improves the navigability of ASC 270 by consolidating interim disclosure requirements and adding a disclosure principle that requires disclosure of material events and changes since the end of the most recent annual reporting period. This ASU is effective for our interim periods in fiscal years beginning after December 15, 2027, with early adoption permitted. We are evaluating the impact of the amendments to our Consolidated Financial Statements and our footnote disclosures to our Consolidated Financial Statements.</w:t>
      </w:r>
    </w:p>
    <w:p>
      <w:pPr>
        <w:pStyle w:val="TextBody"/>
        <w:bidi w:val="0"/>
        <w:spacing w:lineRule="auto" w:line="288" w:before="0" w:after="240"/>
        <w:jc w:val="left"/>
        <w:rPr/>
      </w:pPr>
      <w:r>
        <w:rPr>
          <w:rFonts w:ascii="Arial;sans-serif" w:hAnsi="Arial;sans-serif"/>
          <w:b w:val="false"/>
          <w:color w:val="000000"/>
          <w:sz w:val="20"/>
        </w:rPr>
        <w:t xml:space="preserve">In December 2025, the FASB issued ASU 2025-10, </w:t>
      </w:r>
      <w:r>
        <w:rPr>
          <w:rFonts w:ascii="Arial;sans-serif" w:hAnsi="Arial;sans-serif"/>
          <w:b w:val="false"/>
          <w:i/>
          <w:color w:val="000000"/>
          <w:sz w:val="20"/>
        </w:rPr>
        <w:t>Government Grants (Topic 832): Accounting for Government Grants Received by Business Entities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2025-10</w:t>
      </w:r>
      <w:r>
        <w:rPr>
          <w:color w:val="000000"/>
        </w:rPr>
        <w:t>”</w:t>
      </w:r>
      <w:r>
        <w:rPr>
          <w:rFonts w:ascii="Arial;sans-serif" w:hAnsi="Arial;sans-serif"/>
          <w:b w:val="false"/>
          <w:color w:val="000000"/>
          <w:sz w:val="20"/>
        </w:rPr>
        <w:t>). This update creates Topic 832 to provide guidance on recognition, measurement, presentation, and disclosure of government grants (monetary or tangible nonmonetary assets) received by business entities, excluding not-for-profit entities, tax items under ASC 740, below-market loans, and certain other transactions. Key provisions include policy elections for asset-related grants and requirements to disclose grant nature, accounting policies, line-item impacts, and significant terms/conditions. This ASU is effective for interim periods in fiscal years beginning after December 15, 2028, with early adoption permitted. We expect to adopt this update via the modified prospective transition approach. We are evaluating the impact of the amendments to our Consolidated Financial Statements and our footnote disclosures to our Consolidated Financial Statements.</w:t>
      </w:r>
    </w:p>
    <w:p>
      <w:pPr>
        <w:pStyle w:val="TextBody"/>
        <w:bidi w:val="0"/>
        <w:spacing w:lineRule="auto" w:line="288" w:before="0" w:after="240"/>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 xml:space="preserve">Intangibles - Goodwill and Other - Internal-Use Software (Subtopic 350-40): Targeted Improvements to the Accounting for Internal-Use Software </w:t>
      </w:r>
      <w:r>
        <w:rPr>
          <w:rFonts w:ascii="Arial;sans-serif" w:hAnsi="Arial;sans-serif"/>
          <w:b w:val="false"/>
          <w:color w:val="000000"/>
          <w:sz w:val="20"/>
        </w:rPr>
        <w:t>(“</w:t>
      </w:r>
      <w:r>
        <w:rPr>
          <w:rFonts w:ascii="Arial;sans-serif" w:hAnsi="Arial;sans-serif"/>
          <w:b/>
          <w:color w:val="000000"/>
          <w:sz w:val="20"/>
          <w:u w:val="single"/>
        </w:rPr>
        <w:t>ASU 2025-06</w:t>
      </w:r>
      <w:r>
        <w:rPr>
          <w:color w:val="000000"/>
        </w:rPr>
        <w:t>”</w:t>
      </w:r>
      <w:r>
        <w:rPr>
          <w:rFonts w:ascii="Arial;sans-serif" w:hAnsi="Arial;sans-serif"/>
          <w:b w:val="false"/>
          <w:color w:val="000000"/>
          <w:sz w:val="20"/>
        </w:rPr>
        <w:t>). This update removes references to prescriptive and sequential software development stages and introduces the “probable-to-complete” threshold for consideration of when to begin software capitalization. The update also requires the disclosure of the gross capitalized internal-use software balance, the accumulated amortization, the amortization for the period and a general description of the method used in computing amortization. The amendments may be adopted on a prospective, modified transition or retrospective basis and are effective for fiscal years beginning after December 15, 2027, with early adoption permitted. We are evaluating the impact of the amendments to our Consolidated Financial Statements and our footnote disclosures to our Consolidated Financial Statements.</w:t>
      </w:r>
    </w:p>
    <w:p>
      <w:pPr>
        <w:pStyle w:val="TextBody"/>
        <w:bidi w:val="0"/>
        <w:spacing w:lineRule="auto" w:line="288" w:before="0" w:after="240"/>
        <w:jc w:val="left"/>
        <w:rPr/>
      </w:pPr>
      <w:r>
        <w:rPr>
          <w:rFonts w:ascii="Arial;sans-serif" w:hAnsi="Arial;sans-serif"/>
          <w:b w:val="false"/>
          <w:color w:val="000000"/>
          <w:sz w:val="20"/>
        </w:rPr>
        <w:t xml:space="preserve">In July 2025, the FASB issued ASU 2025-05, </w:t>
      </w:r>
      <w:r>
        <w:rPr>
          <w:rFonts w:ascii="Arial;sans-serif" w:hAnsi="Arial;sans-serif"/>
          <w:b w:val="false"/>
          <w:i/>
          <w:color w:val="000000"/>
          <w:sz w:val="20"/>
        </w:rPr>
        <w:t xml:space="preserve">Financial Instruments - Credit Losses (Topic 326): Measurement of Credit Losses for Accounts Receivable and Contract Assets </w:t>
      </w:r>
      <w:r>
        <w:rPr>
          <w:rFonts w:ascii="Arial;sans-serif" w:hAnsi="Arial;sans-serif"/>
          <w:b w:val="false"/>
          <w:color w:val="000000"/>
          <w:sz w:val="20"/>
        </w:rPr>
        <w:t>(“</w:t>
      </w:r>
      <w:r>
        <w:rPr>
          <w:rFonts w:ascii="Arial;sans-serif" w:hAnsi="Arial;sans-serif"/>
          <w:b/>
          <w:color w:val="000000"/>
          <w:sz w:val="20"/>
          <w:u w:val="single"/>
        </w:rPr>
        <w:t>ASU 2025-05</w:t>
      </w:r>
      <w:r>
        <w:rPr>
          <w:color w:val="000000"/>
        </w:rPr>
        <w:t>”</w:t>
      </w:r>
      <w:r>
        <w:rPr>
          <w:rFonts w:ascii="Arial;sans-serif" w:hAnsi="Arial;sans-serif"/>
          <w:b w:val="false"/>
          <w:color w:val="000000"/>
          <w:sz w:val="20"/>
        </w:rPr>
        <w:t>). The amendments introduce a practical expedient related to applying Subtopic 326-20 to current accounts receivable and current contract assets. The practical expedient allows all entities to assume that current conditions as of the balance sheet date do not change for the remaining life of the asset when developing reasonable and supportable forecasts as part of estimating expected credit losses. Under the practical expedient, historical loss information will be adjusted to reflect current conditions to the extent that historic information does not reflect current conditions. The amendments must be adopted on a prospective basis and are effective for fiscal years beginning after December 15, 2025, with early adoption permitted. We have evaluated the impact of the amendments and do not believe there is any material effect to our Consolidated Financial Statements or our footnote disclosures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F-21</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w:t>
      </w:r>
      <w:r>
        <w:rPr>
          <w:color w:val="000000"/>
        </w:rPr>
        <w:t>—</w:t>
      </w:r>
      <w:r>
        <w:rPr>
          <w:rFonts w:ascii="Arial;sans-serif" w:hAnsi="Arial;sans-serif"/>
          <w:b w:val="false"/>
          <w:i/>
          <w:color w:val="000000"/>
          <w:sz w:val="20"/>
        </w:rPr>
        <w:t>Reporting Comprehensive Income</w:t>
      </w:r>
      <w:r>
        <w:rPr>
          <w:color w:val="000000"/>
        </w:rPr>
        <w:t>—</w:t>
      </w:r>
      <w:r>
        <w:rPr>
          <w:rFonts w:ascii="Arial;sans-serif" w:hAnsi="Arial;sans-serif"/>
          <w:b w:val="false"/>
          <w:i/>
          <w:color w:val="000000"/>
          <w:sz w:val="20"/>
        </w:rPr>
        <w:t>Expense Disaggregation Disclosures (Subtopic 220-40): Disaggregation of Income Statement Expenses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2024-03</w:t>
      </w:r>
      <w:r>
        <w:rPr>
          <w:color w:val="000000"/>
        </w:rPr>
        <w:t>”</w:t>
      </w:r>
      <w:r>
        <w:rPr>
          <w:rFonts w:ascii="Arial;sans-serif" w:hAnsi="Arial;sans-serif"/>
          <w:b w:val="false"/>
          <w:color w:val="000000"/>
          <w:sz w:val="20"/>
        </w:rPr>
        <w:t>) that requires additional disclosure of certain costs and expenses, including amounts of inventory purchases, employee compensation, and depreciation and amortization included in each income statement line item. ASU 2024-03 also requires disclosure of the total amount of selling expenses and our definition of selling expenses. This update is effective for fiscal years beginning after December 15, 2026, and for interim periods beginning after December 15, 2027, and may be adopted on a prospective basis at the effective date or retrospectively applied to all periods presented. We do not believe there will be any impact on our Consolidated Financial Statements and are evaluating the impact of the amendments on footnote disclosures to our Consolidated Financial Statements.</w:t>
      </w:r>
    </w:p>
    <w:p>
      <w:pPr>
        <w:pStyle w:val="TextBody"/>
        <w:bidi w:val="0"/>
        <w:spacing w:lineRule="auto" w:line="288" w:before="0" w:after="200"/>
        <w:jc w:val="left"/>
        <w:rPr/>
      </w:pPr>
      <w:r>
        <w:rPr>
          <w:rFonts w:ascii="Arial;sans-serif" w:hAnsi="Arial;sans-serif"/>
          <w:b w:val="false"/>
          <w:color w:val="000000"/>
          <w:sz w:val="20"/>
        </w:rPr>
        <w:t>In March 2024, the Securities and Exchange Commission (“</w:t>
      </w:r>
      <w:r>
        <w:rPr>
          <w:rFonts w:ascii="Arial;sans-serif" w:hAnsi="Arial;sans-serif"/>
          <w:b/>
          <w:color w:val="000000"/>
          <w:sz w:val="20"/>
          <w:u w:val="single"/>
        </w:rPr>
        <w:t>SEC</w:t>
      </w:r>
      <w:r>
        <w:rPr>
          <w:color w:val="000000"/>
        </w:rPr>
        <w:t>”</w:t>
      </w:r>
      <w:r>
        <w:rPr>
          <w:rFonts w:ascii="Arial;sans-serif" w:hAnsi="Arial;sans-serif"/>
          <w:b w:val="false"/>
          <w:color w:val="000000"/>
          <w:sz w:val="20"/>
        </w:rPr>
        <w:t xml:space="preserve">) issued a new final rule in Release 33-11275, </w:t>
      </w:r>
      <w:r>
        <w:rPr>
          <w:rFonts w:ascii="Arial;sans-serif" w:hAnsi="Arial;sans-serif"/>
          <w:b w:val="false"/>
          <w:i/>
          <w:color w:val="000000"/>
          <w:sz w:val="20"/>
        </w:rPr>
        <w:t>The Enhancement and Standardization of Climate-Related Disclosures for Investors</w:t>
      </w:r>
      <w:r>
        <w:rPr>
          <w:rFonts w:ascii="Arial;sans-serif" w:hAnsi="Arial;sans-serif"/>
          <w:b w:val="false"/>
          <w:color w:val="000000"/>
          <w:sz w:val="20"/>
        </w:rPr>
        <w:t>, which requires the inclusion of climate-related information in registration statements and annual reports. Among other things, the new rule requires disclosure of material climate-related risks, activities related to adapting to or mitigating such risks, related oversight activities, and information on climate-related targets or goals. Information is also required of certain greenhouse gas emissions. Disclosure requirements were to begin phasing in for fiscal years beginning on or after January 1, 2025, however on April 4, 2024, the SEC issued a voluntary stay (SEC Release 33-11280) in response to pending litigation. Therefore, the implementation dates are currently on hold. We are monitoring SEC developments and evaluating the impact of the new rule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(w) Subsequent Events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assessed our operations and determined that there were no material subsequent events requiring adjustment to, or disclosure in, our Consolidated Financial Statements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(3)    ACQUISITION</w:t>
      </w:r>
    </w:p>
    <w:p>
      <w:pPr>
        <w:pStyle w:val="TextBody"/>
        <w:bidi w:val="0"/>
        <w:spacing w:lineRule="auto" w:line="288" w:before="0" w:after="200"/>
        <w:jc w:val="left"/>
        <w:rPr/>
      </w:pPr>
      <w:r>
        <w:rPr>
          <w:rFonts w:ascii="Arial;sans-serif" w:hAnsi="Arial;sans-serif"/>
          <w:b w:val="false"/>
          <w:color w:val="000000"/>
          <w:sz w:val="20"/>
        </w:rPr>
        <w:t>On March 12, 2024, we completed the acquisition of Alfamation S.p.A., an Italian joint-stock company headquartered in Milan, Italy. Alfamation</w:t>
      </w:r>
      <w:r>
        <w:rPr>
          <w:color w:val="000000"/>
        </w:rPr>
        <w:t xml:space="preserve">™ </w:t>
      </w:r>
      <w:r>
        <w:rPr>
          <w:rFonts w:ascii="Arial;sans-serif" w:hAnsi="Arial;sans-serif"/>
          <w:b w:val="false"/>
          <w:color w:val="000000"/>
          <w:sz w:val="20"/>
        </w:rPr>
        <w:t>is a leading global provider of state-of-the-art test and measurement solutions for the Auto/EV, Life Sciences and specialty consumer electronics markets. Alfamation</w:t>
      </w:r>
      <w:r>
        <w:rPr>
          <w:color w:val="000000"/>
        </w:rPr>
        <w:t xml:space="preserve">™ </w:t>
      </w:r>
      <w:r>
        <w:rPr>
          <w:rFonts w:ascii="Arial;sans-serif" w:hAnsi="Arial;sans-serif"/>
          <w:b w:val="false"/>
          <w:color w:val="000000"/>
          <w:sz w:val="20"/>
        </w:rPr>
        <w:t>is included in our Electronic Test operating segment. The acquisition of Alfamation™ deepens our presence in the Auto/EV and Life Science markets, expands our exposure in consumer electronics, extends our geographic reach with a sizable footprint in Europe, and widens our portfolio of products and solutions. Additionally, we believe Alfamation</w:t>
      </w:r>
      <w:r>
        <w:rPr>
          <w:color w:val="000000"/>
        </w:rPr>
        <w:t xml:space="preserve">™ </w:t>
      </w:r>
      <w:r>
        <w:rPr>
          <w:rFonts w:ascii="Arial;sans-serif" w:hAnsi="Arial;sans-serif"/>
          <w:b w:val="false"/>
          <w:color w:val="000000"/>
          <w:sz w:val="20"/>
        </w:rPr>
        <w:t>brings engineering talent and a management team that culturally aligns with our mission to provide innovative, engineered solutions that address the high-value challenges of our customers. The aggregate purchase price was approximately €20.0 million comprised of: (i) €18.0 million, or $19.7 million, in cash; and (ii) 187,432 shares of our common stock, valued at $2.1 million based on the closing price of our stock on the date of acquisition. The cash portion of the purchase price was subject to customary working capital adjustments. These adjustments were finalized in June 2024 and resulted in recording an additional €0.1 million, or $0.1 million of cash purchase price for assets delivered at closing in excess of agreed upon thresholds. The liabilities assumed in connection with the acquisition included debt of approximately €10.3 million, or $11.3 million. The debt assumed is discussed further in “</w:t>
      </w:r>
      <w:r>
        <w:rPr>
          <w:rFonts w:ascii="Arial;sans-serif" w:hAnsi="Arial;sans-serif"/>
          <w:b/>
          <w:color w:val="000000"/>
          <w:sz w:val="20"/>
        </w:rPr>
        <w:t>Note (10) Debt</w:t>
      </w:r>
      <w:r>
        <w:rPr>
          <w:rFonts w:ascii="Arial;sans-serif" w:hAnsi="Arial;sans-serif"/>
          <w:b w:val="false"/>
          <w:color w:val="000000"/>
          <w:sz w:val="20"/>
        </w:rPr>
        <w:t>.” Total acquisition costs incurred to complete this transaction were $1.2 million. Acquisition costs were expensed as incurred and included in general and administrative expense.</w:t>
      </w:r>
    </w:p>
    <w:p>
      <w:pPr>
        <w:pStyle w:val="TextBody"/>
        <w:bidi w:val="0"/>
        <w:spacing w:lineRule="auto" w:line="288" w:before="0" w:after="200"/>
        <w:jc w:val="left"/>
        <w:rPr/>
      </w:pPr>
      <w:r>
        <w:rPr>
          <w:rFonts w:ascii="Arial;sans-serif" w:hAnsi="Arial;sans-serif"/>
          <w:b w:val="false"/>
          <w:color w:val="000000"/>
          <w:sz w:val="20"/>
        </w:rPr>
        <w:t>This acquisition has been accounted for as a business combination using purchase accounting, and, accordingly, the results of Alfamation</w:t>
      </w:r>
      <w:r>
        <w:rPr>
          <w:color w:val="000000"/>
        </w:rPr>
        <w:t xml:space="preserve">™ </w:t>
      </w:r>
      <w:r>
        <w:rPr>
          <w:rFonts w:ascii="Arial;sans-serif" w:hAnsi="Arial;sans-serif"/>
          <w:b w:val="false"/>
          <w:color w:val="000000"/>
          <w:sz w:val="20"/>
        </w:rPr>
        <w:t>have been included in our consolidated results of operations from the date of acquisition. During the fourth quarter of 2024 we completed our allocation of the estimated fair values as of March 12, 2024, with final adjustments made primarily to inventories, identifiable intangible assets and goodwill. The “inventory step-up” of approximately $1.6 million was the most significant adjustment. Partially offsetting the decrease in customer backlog were increases to acquired technology and customer relationships. Other less significant changes affected property and equipment, other current assets, accrued expenses and deferred tax liability. 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F-22</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allocated the total purchase price of $21.9 million as follows:</w:t>
      </w:r>
    </w:p>
    <w:tbl>
      <w:tblPr>
        <w:tblW w:w="5837" w:type="dxa"/>
        <w:jc w:val="center"/>
        <w:tblInd w:w="0" w:type="dxa"/>
        <w:tblLayout w:type="fixed"/>
        <w:tblCellMar>
          <w:top w:w="28" w:type="dxa"/>
          <w:left w:w="28" w:type="dxa"/>
          <w:bottom w:w="28" w:type="dxa"/>
          <w:right w:w="28" w:type="dxa"/>
        </w:tblCellMar>
      </w:tblPr>
      <w:tblGrid>
        <w:gridCol w:w="1589"/>
        <w:gridCol w:w="1401"/>
        <w:gridCol w:w="1404"/>
        <w:gridCol w:w="109"/>
        <w:gridCol w:w="109"/>
        <w:gridCol w:w="109"/>
        <w:gridCol w:w="211"/>
        <w:gridCol w:w="751"/>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12,</w:t>
              <w:br/>
              <w:t>2024</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Identifiable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Tangible assets acquired and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(current and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21,901 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estimated the fair value of identifiable intangible assets acquired using the income approach. Acquired identifiable intangible assets included customer relationships, customer backlog, technology and a trade name. We are amortizing the finite-lived intangible assets acquired over their estimated useful lives based on the pattern in which the economic benefits of the intangible asset are expected to be consumed.</w:t>
      </w:r>
    </w:p>
    <w:p>
      <w:pPr>
        <w:pStyle w:val="TextBody"/>
        <w:bidi w:val="0"/>
        <w:spacing w:lineRule="auto" w:line="288" w:before="0" w:after="200"/>
        <w:jc w:val="left"/>
        <w:rPr/>
      </w:pPr>
      <w:r>
        <w:rPr>
          <w:rFonts w:ascii="Arial;sans-serif" w:hAnsi="Arial;sans-serif"/>
          <w:b w:val="false"/>
          <w:color w:val="000000"/>
          <w:sz w:val="20"/>
        </w:rPr>
        <w:t>The following table summarizes the estimated fair value of Alfamation</w:t>
      </w:r>
      <w:r>
        <w:rPr>
          <w:color w:val="000000"/>
        </w:rPr>
        <w:t>™’</w:t>
      </w:r>
      <w:r>
        <w:rPr>
          <w:rFonts w:ascii="Arial;sans-serif" w:hAnsi="Arial;sans-serif"/>
          <w:b w:val="false"/>
          <w:color w:val="000000"/>
          <w:sz w:val="20"/>
        </w:rPr>
        <w:t>s identifiable intangible assets and their estimated useful lives as of the acquisition date:</w:t>
      </w:r>
    </w:p>
    <w:tbl>
      <w:tblPr>
        <w:tblW w:w="5894"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333"/>
        <w:gridCol w:w="333"/>
        <w:gridCol w:w="473"/>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Estimated</w:t>
              <w:br/>
              <w:t>Useful Life</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(in years)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11,365 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For the period from March 13, 2024, to December 31, 2024, Alfamation</w:t>
      </w:r>
      <w:r>
        <w:rPr>
          <w:color w:val="000000"/>
        </w:rPr>
        <w:t xml:space="preserve">™ </w:t>
      </w:r>
      <w:r>
        <w:rPr>
          <w:rFonts w:ascii="Arial;sans-serif" w:hAnsi="Arial;sans-serif"/>
          <w:b w:val="false"/>
          <w:color w:val="000000"/>
          <w:sz w:val="20"/>
        </w:rPr>
        <w:t>contributed $25.0 million of revenue and had a net loss of $0.6 million.</w:t>
      </w:r>
    </w:p>
    <w:p>
      <w:pPr>
        <w:pStyle w:val="TextBody"/>
        <w:bidi w:val="0"/>
        <w:spacing w:lineRule="auto" w:line="288" w:before="0" w:after="200"/>
        <w:jc w:val="left"/>
        <w:rPr/>
      </w:pPr>
      <w:r>
        <w:rPr>
          <w:rFonts w:ascii="Arial;sans-serif" w:hAnsi="Arial;sans-serif"/>
          <w:b w:val="false"/>
          <w:color w:val="000000"/>
          <w:sz w:val="20"/>
        </w:rPr>
        <w:t>The following unaudited pro forma information gives effect to the acquisition of Alfamation</w:t>
      </w:r>
      <w:r>
        <w:rPr>
          <w:color w:val="000000"/>
        </w:rPr>
        <w:t xml:space="preserve">™ </w:t>
      </w:r>
      <w:r>
        <w:rPr>
          <w:rFonts w:ascii="Arial;sans-serif" w:hAnsi="Arial;sans-serif"/>
          <w:b w:val="false"/>
          <w:color w:val="000000"/>
          <w:sz w:val="20"/>
        </w:rPr>
        <w:t xml:space="preserve">as if the acquisition occurred on January 1, 2024. These proforma summaries do not reflect any operating efficiencies or costs savings that may be achieved by the combined businesses. These proforma summaries are presented for informational purposes only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605" cy="14605"/>
                <wp:effectExtent l="0" t="0" r="0" b="0"/>
                <wp:wrapNone/>
                <wp:docPr id="85" name="Frame7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F-23</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not necessarily indicative of what the actual results of operations would have been had the acquisition taken place as of that date, nor are they indicative of future consolidated results of operations:</w:t>
      </w:r>
    </w:p>
    <w:tbl>
      <w:tblPr>
        <w:tblW w:w="6080"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211"/>
        <w:gridCol w:w="856"/>
        <w:gridCol w:w="109"/>
        <w:gridCol w:w="109"/>
        <w:gridCol w:w="109"/>
        <w:gridCol w:w="109"/>
        <w:gridCol w:w="211"/>
        <w:gridCol w:w="85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br/>
              <w:t>December 31,</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135,753 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(loss)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pro forma results shown above do not reflect the impact on general and administrative expense of investment advisory costs, legal costs and other costs of $1.2 million incurred by us as a direct result of the transaction.</w:t>
      </w:r>
    </w:p>
    <w:p>
      <w:pPr>
        <w:pStyle w:val="TextBody"/>
        <w:bidi w:val="0"/>
        <w:spacing w:lineRule="auto" w:line="288" w:before="0" w:after="200"/>
        <w:jc w:val="left"/>
        <w:rPr/>
      </w:pPr>
      <w:r>
        <w:rPr>
          <w:rFonts w:ascii="Arial;sans-serif" w:hAnsi="Arial;sans-serif"/>
          <w:b w:val="false"/>
          <w:color w:val="000000"/>
          <w:sz w:val="20"/>
        </w:rPr>
        <w:t>In connection with the acquisition, we entered into a related-party lease agreement (the “</w:t>
      </w:r>
      <w:r>
        <w:rPr>
          <w:rFonts w:ascii="Arial;sans-serif" w:hAnsi="Arial;sans-serif"/>
          <w:b/>
          <w:color w:val="000000"/>
          <w:sz w:val="20"/>
          <w:u w:val="single"/>
        </w:rPr>
        <w:t>Alfamation Lease Agreement</w:t>
      </w:r>
      <w:r>
        <w:rPr>
          <w:color w:val="000000"/>
        </w:rPr>
        <w:t>”</w:t>
      </w:r>
      <w:r>
        <w:rPr>
          <w:rFonts w:ascii="Arial;sans-serif" w:hAnsi="Arial;sans-serif"/>
          <w:b w:val="false"/>
          <w:color w:val="000000"/>
          <w:sz w:val="20"/>
        </w:rPr>
        <w:t>) with the former owner of Alfamation</w:t>
      </w:r>
      <w:r>
        <w:rPr>
          <w:color w:val="000000"/>
        </w:rPr>
        <w:t xml:space="preserve">™ </w:t>
      </w:r>
      <w:r>
        <w:rPr>
          <w:rFonts w:ascii="Arial;sans-serif" w:hAnsi="Arial;sans-serif"/>
          <w:b w:val="false"/>
          <w:color w:val="000000"/>
          <w:sz w:val="20"/>
        </w:rPr>
        <w:t>who will continue to serve as the managing director of Alfamation</w:t>
      </w:r>
      <w:r>
        <w:rPr>
          <w:color w:val="000000"/>
        </w:rPr>
        <w:t xml:space="preserve">™ </w:t>
      </w:r>
      <w:r>
        <w:rPr>
          <w:rFonts w:ascii="Arial;sans-serif" w:hAnsi="Arial;sans-serif"/>
          <w:b w:val="false"/>
          <w:color w:val="000000"/>
          <w:sz w:val="20"/>
        </w:rPr>
        <w:t>under our ownership. The Alfamation Lease Agreement commenced on March 12, 2024, and will last for six years. It will be automatically renewed for the same period of time unless terminated by either party. Under the terms of the Alfamation Lease Agreement, Alfamation</w:t>
      </w:r>
      <w:r>
        <w:rPr>
          <w:color w:val="000000"/>
        </w:rPr>
        <w:t xml:space="preserve">™ </w:t>
      </w:r>
      <w:r>
        <w:rPr>
          <w:rFonts w:ascii="Arial;sans-serif" w:hAnsi="Arial;sans-serif"/>
          <w:b w:val="false"/>
          <w:color w:val="000000"/>
          <w:sz w:val="20"/>
        </w:rPr>
        <w:t>will lease warehouse and office space totaling about 52 thousand square feet. Alfamation</w:t>
      </w:r>
      <w:r>
        <w:rPr>
          <w:color w:val="000000"/>
        </w:rPr>
        <w:t xml:space="preserve">™ </w:t>
      </w:r>
      <w:r>
        <w:rPr>
          <w:rFonts w:ascii="Arial;sans-serif" w:hAnsi="Arial;sans-serif"/>
          <w:b w:val="false"/>
          <w:color w:val="000000"/>
          <w:sz w:val="20"/>
        </w:rPr>
        <w:t>will pay a yearly lease payment of €0.3 million broken up into two equal payments. At the date of the signing of the Alfamation Lease Agreement, the yearly lease payment equated to approximately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(4)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held at December 31 included the following:</w:t>
      </w:r>
    </w:p>
    <w:tbl>
      <w:tblPr>
        <w:tblW w:w="5541" w:type="dxa"/>
        <w:jc w:val="center"/>
        <w:tblInd w:w="0" w:type="dxa"/>
        <w:tblLayout w:type="fixed"/>
        <w:tblCellMar>
          <w:top w:w="28" w:type="dxa"/>
          <w:left w:w="28" w:type="dxa"/>
          <w:bottom w:w="28" w:type="dxa"/>
          <w:right w:w="28" w:type="dxa"/>
        </w:tblCellMar>
      </w:tblPr>
      <w:tblGrid>
        <w:gridCol w:w="976"/>
        <w:gridCol w:w="861"/>
        <w:gridCol w:w="863"/>
        <w:gridCol w:w="109"/>
        <w:gridCol w:w="109"/>
        <w:gridCol w:w="109"/>
        <w:gridCol w:w="211"/>
        <w:gridCol w:w="751"/>
        <w:gridCol w:w="109"/>
        <w:gridCol w:w="109"/>
        <w:gridCol w:w="109"/>
        <w:gridCol w:w="109"/>
        <w:gridCol w:w="211"/>
        <w:gridCol w:w="75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16,422 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16,109 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 consigned to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31,580 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26,837 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charges incurred for excess and obsolete inventory for the years ended December 31, 2025 and 2024, were as follows:</w:t>
      </w:r>
    </w:p>
    <w:tbl>
      <w:tblPr>
        <w:tblW w:w="5855" w:type="dxa"/>
        <w:jc w:val="center"/>
        <w:tblInd w:w="0" w:type="dxa"/>
        <w:tblLayout w:type="fixed"/>
        <w:tblCellMar>
          <w:top w:w="28" w:type="dxa"/>
          <w:left w:w="28" w:type="dxa"/>
          <w:bottom w:w="28" w:type="dxa"/>
          <w:right w:w="28" w:type="dxa"/>
        </w:tblCellMar>
      </w:tblPr>
      <w:tblGrid>
        <w:gridCol w:w="1285"/>
        <w:gridCol w:w="1133"/>
        <w:gridCol w:w="1136"/>
        <w:gridCol w:w="109"/>
        <w:gridCol w:w="109"/>
        <w:gridCol w:w="109"/>
        <w:gridCol w:w="211"/>
        <w:gridCol w:w="481"/>
        <w:gridCol w:w="109"/>
        <w:gridCol w:w="109"/>
        <w:gridCol w:w="109"/>
        <w:gridCol w:w="109"/>
        <w:gridCol w:w="211"/>
        <w:gridCol w:w="481"/>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and obsolete inventory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F-24</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(5)    PROPERTY AND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Property and equipment included the following:</w:t>
      </w:r>
    </w:p>
    <w:tbl>
      <w:tblPr>
        <w:tblW w:w="5616" w:type="dxa"/>
        <w:jc w:val="center"/>
        <w:tblInd w:w="0" w:type="dxa"/>
        <w:tblLayout w:type="fixed"/>
        <w:tblCellMar>
          <w:top w:w="28" w:type="dxa"/>
          <w:left w:w="28" w:type="dxa"/>
          <w:bottom w:w="28" w:type="dxa"/>
          <w:right w:w="28" w:type="dxa"/>
        </w:tblCellMar>
      </w:tblPr>
      <w:tblGrid>
        <w:gridCol w:w="1041"/>
        <w:gridCol w:w="918"/>
        <w:gridCol w:w="921"/>
        <w:gridCol w:w="109"/>
        <w:gridCol w:w="109"/>
        <w:gridCol w:w="109"/>
        <w:gridCol w:w="211"/>
        <w:gridCol w:w="751"/>
        <w:gridCol w:w="109"/>
        <w:gridCol w:w="109"/>
        <w:gridCol w:w="109"/>
        <w:gridCol w:w="109"/>
        <w:gridCol w:w="211"/>
        <w:gridCol w:w="64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9,162 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Depreciation expense related to property and equipment was as follows:</w:t>
      </w:r>
    </w:p>
    <w:tbl>
      <w:tblPr>
        <w:tblW w:w="3920"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11"/>
        <w:gridCol w:w="646"/>
        <w:gridCol w:w="109"/>
        <w:gridCol w:w="109"/>
        <w:gridCol w:w="109"/>
        <w:gridCol w:w="109"/>
        <w:gridCol w:w="211"/>
        <w:gridCol w:w="646"/>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(6)    GOODWILL AND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have three operating segments which are also our reporting units: Electronic Test, Environmental Technologies and Process Technologies. Goodwill and intangible assets on our Consolidated Balance Sheets are the result of our acquisitions. </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Goodwill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carrying value of our goodwill for the years ended December 31, 2025 and 2024 changed as follows:</w:t>
      </w:r>
    </w:p>
    <w:tbl>
      <w:tblPr>
        <w:tblW w:w="6033" w:type="dxa"/>
        <w:jc w:val="center"/>
        <w:tblInd w:w="0" w:type="dxa"/>
        <w:tblLayout w:type="fixed"/>
        <w:tblCellMar>
          <w:top w:w="28" w:type="dxa"/>
          <w:left w:w="28" w:type="dxa"/>
          <w:bottom w:w="28" w:type="dxa"/>
          <w:right w:w="28" w:type="dxa"/>
        </w:tblCellMar>
      </w:tblPr>
      <w:tblGrid>
        <w:gridCol w:w="1660"/>
        <w:gridCol w:w="1463"/>
        <w:gridCol w:w="1467"/>
        <w:gridCol w:w="109"/>
        <w:gridCol w:w="109"/>
        <w:gridCol w:w="109"/>
        <w:gridCol w:w="211"/>
        <w:gridCol w:w="751"/>
        <w:gridCol w:w="154"/>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Alfamation</w:t>
            </w:r>
            <w:r>
              <w:rPr>
                <w:color w:val="000000"/>
              </w:rPr>
              <w:t xml:space="preserve">™ </w:t>
            </w:r>
            <w:r>
              <w:rPr>
                <w:rFonts w:ascii="Arial;sans-serif" w:hAnsi="Arial;sans-serif"/>
                <w:b w:val="false"/>
                <w:color w:val="000000"/>
                <w:sz w:val="20"/>
              </w:rPr>
              <w:t>acquisition (Electronic Test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Balance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32,359 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Goodwill by reportable segment was as follows:</w:t>
      </w:r>
    </w:p>
    <w:tbl>
      <w:tblPr>
        <w:tblW w:w="5421" w:type="dxa"/>
        <w:jc w:val="center"/>
        <w:tblInd w:w="0" w:type="dxa"/>
        <w:tblLayout w:type="fixed"/>
        <w:tblCellMar>
          <w:top w:w="28" w:type="dxa"/>
          <w:left w:w="28" w:type="dxa"/>
          <w:bottom w:w="28" w:type="dxa"/>
          <w:right w:w="28" w:type="dxa"/>
        </w:tblCellMar>
      </w:tblPr>
      <w:tblGrid>
        <w:gridCol w:w="932"/>
        <w:gridCol w:w="823"/>
        <w:gridCol w:w="825"/>
        <w:gridCol w:w="109"/>
        <w:gridCol w:w="109"/>
        <w:gridCol w:w="109"/>
        <w:gridCol w:w="211"/>
        <w:gridCol w:w="751"/>
        <w:gridCol w:w="109"/>
        <w:gridCol w:w="109"/>
        <w:gridCol w:w="109"/>
        <w:gridCol w:w="109"/>
        <w:gridCol w:w="211"/>
        <w:gridCol w:w="751"/>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13,957 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12,567 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32,359 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30,744 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F-25</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carrying value of our intangible assets for the years ended December 31, 2025 and 2024 changed as follows:</w:t>
      </w:r>
    </w:p>
    <w:tbl>
      <w:tblPr>
        <w:tblW w:w="7930"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36"/>
        <w:gridCol w:w="842"/>
        <w:gridCol w:w="123"/>
        <w:gridCol w:w="109"/>
        <w:gridCol w:w="109"/>
        <w:gridCol w:w="109"/>
        <w:gridCol w:w="300"/>
        <w:gridCol w:w="1070"/>
        <w:gridCol w:w="221"/>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Indefinite-Lived</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8,198 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8,398 </w:t>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Alfamation</w:t>
            </w:r>
            <w:r>
              <w:rPr>
                <w:color w:val="000000"/>
              </w:rPr>
              <w:t xml:space="preserve">™ </w:t>
            </w:r>
            <w:r>
              <w:rPr>
                <w:rFonts w:ascii="Arial;sans-serif" w:hAnsi="Arial;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16,201 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14,372 </w:t>
            </w:r>
          </w:p>
        </w:tc>
        <w:tc>
          <w:tcPr>
            <w:tcW w:w="12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further detail about our intangible assets at December 31, 2025 and 2024:</w:t>
      </w:r>
    </w:p>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32,471 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18,099 </w:t>
            </w:r>
          </w:p>
        </w:tc>
        <w:tc>
          <w:tcPr>
            <w:tcW w:w="13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42,975 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18,099 </w:t>
            </w:r>
          </w:p>
        </w:tc>
        <w:tc>
          <w:tcPr>
            <w:tcW w:w="13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24,876 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31,179 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14,978 </w:t>
            </w:r>
          </w:p>
        </w:tc>
        <w:tc>
          <w:tcPr>
            <w:tcW w:w="13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41,354 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14,978 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26,376 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F-26</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estimated annual amortization expense for each of the next five years and thereafter at December 31, 2025:</w:t>
      </w:r>
    </w:p>
    <w:tbl>
      <w:tblPr>
        <w:tblW w:w="6737" w:type="dxa"/>
        <w:jc w:val="center"/>
        <w:tblInd w:w="0" w:type="dxa"/>
        <w:tblLayout w:type="fixed"/>
        <w:tblCellMar>
          <w:top w:w="28" w:type="dxa"/>
          <w:left w:w="28" w:type="dxa"/>
          <w:bottom w:w="28" w:type="dxa"/>
          <w:right w:w="28" w:type="dxa"/>
        </w:tblCellMar>
      </w:tblPr>
      <w:tblGrid>
        <w:gridCol w:w="1914"/>
        <w:gridCol w:w="1688"/>
        <w:gridCol w:w="1692"/>
        <w:gridCol w:w="109"/>
        <w:gridCol w:w="109"/>
        <w:gridCol w:w="109"/>
        <w:gridCol w:w="211"/>
        <w:gridCol w:w="751"/>
        <w:gridCol w:w="154"/>
      </w:tblGrid>
      <w:tr>
        <w:trPr/>
        <w:tc>
          <w:tcPr>
            <w:tcW w:w="1914"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estimated amortization of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Impairment of Goodwill and Indefinite Life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October 2025 and 2024, we assessed our goodwill and indefinite life intangible asset for impairment in accordance with the requirements of ASC 350 using a quantitative approach. Our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discount rate used in 2025 for the discounted cash flows ranged between 21.0% and 22.5% depending on the reporting unit. The discount rate used in 2024 for the discounted cash flows ranged between 19.5% and 20.5% depending on the reporting unit. The selection of the rates in each year was based upon our analysis of market-based estimates of capital costs and discount rates.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goodwill impairment assessment in both 2025 and 2024, we compared the fair value of our reporting units with their carrying values. This assessment indicated no impairment existed as the fair value of the reporting units exceeded their carrying values in both 2025 and 2024.</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indefinite life intangible asset impairment assessment in both 2025 and 2024, we compared the fair value of our indefinite life intangible assets with their carrying values. This assessment indicated no impairment existed as the fair value of the indefinite life intangible assets exceeded their carrying values in both 2025 and 2024.</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Impairment of Long-Lived Assets and Finite-lived Intangible Assets</w:t>
      </w:r>
    </w:p>
    <w:p>
      <w:pPr>
        <w:pStyle w:val="TextBody"/>
        <w:bidi w:val="0"/>
        <w:spacing w:lineRule="auto" w:line="288" w:before="0" w:after="200"/>
        <w:jc w:val="left"/>
        <w:rPr/>
      </w:pPr>
      <w:r>
        <w:rPr>
          <w:rFonts w:ascii="Arial;sans-serif" w:hAnsi="Arial;sans-serif"/>
          <w:b w:val="false"/>
          <w:color w:val="000000"/>
          <w:sz w:val="20"/>
        </w:rPr>
        <w:t>As part of the 2025 action to consolidate our Videology operations, we closed our Netherlands facility at the end of 2025, which resulted in the impairment of the long-lived assets at that facility. Those impairment charges were recorded as a component of our restructuring charges. See “</w:t>
      </w:r>
      <w:r>
        <w:rPr>
          <w:rFonts w:ascii="Arial;sans-serif" w:hAnsi="Arial;sans-serif"/>
          <w:b/>
          <w:color w:val="000000"/>
          <w:sz w:val="20"/>
        </w:rPr>
        <w:t>Note (16) Restructuring</w:t>
      </w:r>
      <w:r>
        <w:rPr>
          <w:color w:val="000000"/>
        </w:rPr>
        <w:t xml:space="preserve">” </w:t>
      </w:r>
      <w:r>
        <w:rPr>
          <w:rFonts w:ascii="Arial;sans-serif" w:hAnsi="Arial;sans-serif"/>
          <w:b w:val="false"/>
          <w:color w:val="000000"/>
          <w:sz w:val="20"/>
        </w:rPr>
        <w:t>for further details related to restructuring actions. There were no other events or changes during 2025 and 2024 that would indicate an impairment might exist.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(7)    FAIR VALUE MEASUREMENTS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Recurring Fair Value Measurements</w:t>
      </w:r>
    </w:p>
    <w:p>
      <w:pPr>
        <w:pStyle w:val="TextBody"/>
        <w:bidi w:val="0"/>
        <w:spacing w:lineRule="auto" w:line="288" w:before="0" w:after="200"/>
        <w:jc w:val="left"/>
        <w:rPr/>
      </w:pPr>
      <w:r>
        <w:rPr>
          <w:rFonts w:ascii="Arial;sans-serif" w:hAnsi="Arial;sans-serif"/>
          <w:b w:val="false"/>
          <w:color w:val="000000"/>
          <w:sz w:val="20"/>
        </w:rPr>
        <w:t>The interest rate swap agreement we entered into in connection with our Term Note, as discussed further in “</w:t>
      </w:r>
      <w:r>
        <w:rPr>
          <w:rFonts w:ascii="Arial;sans-serif" w:hAnsi="Arial;sans-serif"/>
          <w:b/>
          <w:color w:val="000000"/>
          <w:sz w:val="20"/>
        </w:rPr>
        <w:t>Note (2) Summary of Significant Accounting Policies; (m) Interest Rate Swap Agreement</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(10) Debt</w:t>
      </w:r>
      <w:r>
        <w:rPr>
          <w:rFonts w:ascii="Arial;sans-serif" w:hAnsi="Arial;sans-serif"/>
          <w:b w:val="false"/>
          <w:color w:val="000000"/>
          <w:sz w:val="20"/>
        </w:rPr>
        <w:t>,”, is measured at fair value on a recurring basis using Level 2 inputs. The contingent consideration liability on our Consolidated Balance Sheet is measured at fair value on a recurring basis using Level 3 inputs.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contingent consideration liability is a result of our acquisition of Acculogic on December 21, 2021, and represents the estimated fair value of the additional cash consideration payable that is contingent upon sales to EV or battery customers. We may pay the seller up to an additional CAD $5.0 million in the five-year period from 2022 through 2026. The additional payments will be based on a percent of net invoices for which payments have been received on systems sold to EV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F-27</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battery customers in excess of CAD $2.5 million per year in each of the five years. The maximum payment is capped at CAD $5.0 million, which equates to approximately $3.7 million at December 31, 2025. There were no payments due to the seller for the years ended December 31, 2022 or 2023. We paid the contractually due amount for 2024 during the first quarter of 2025 and expect to make the payment for the amount due for 2025 in the first quarter of 2026. To estimate the fair value of the contingent consideration at the acquisition date, an option-based income approach using a Monte Carlo simulation model was utilized due to the non-linear payout structure. As of the acquisition date, this resulted in an estimated fair value of $1.4 million.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fair value hierarchy tables presents our assets and (liabilities) measured at fair value on a recurring basis:</w:t>
      </w:r>
    </w:p>
    <w:tbl>
      <w:tblPr>
        <w:tblW w:w="7629" w:type="dxa"/>
        <w:jc w:val="center"/>
        <w:tblInd w:w="0" w:type="dxa"/>
        <w:tblLayout w:type="fixed"/>
        <w:tblCellMar>
          <w:top w:w="28" w:type="dxa"/>
          <w:left w:w="28" w:type="dxa"/>
          <w:bottom w:w="28" w:type="dxa"/>
          <w:right w:w="28" w:type="dxa"/>
        </w:tblCellMar>
      </w:tblPr>
      <w:tblGrid>
        <w:gridCol w:w="1177"/>
        <w:gridCol w:w="1037"/>
        <w:gridCol w:w="1041"/>
        <w:gridCol w:w="109"/>
        <w:gridCol w:w="109"/>
        <w:gridCol w:w="109"/>
        <w:gridCol w:w="211"/>
        <w:gridCol w:w="376"/>
        <w:gridCol w:w="109"/>
        <w:gridCol w:w="109"/>
        <w:gridCol w:w="109"/>
        <w:gridCol w:w="109"/>
        <w:gridCol w:w="222"/>
        <w:gridCol w:w="428"/>
        <w:gridCol w:w="114"/>
        <w:gridCol w:w="114"/>
        <w:gridCol w:w="114"/>
        <w:gridCol w:w="114"/>
        <w:gridCol w:w="232"/>
        <w:gridCol w:w="414"/>
        <w:gridCol w:w="119"/>
        <w:gridCol w:w="114"/>
        <w:gridCol w:w="114"/>
        <w:gridCol w:w="114"/>
        <w:gridCol w:w="222"/>
        <w:gridCol w:w="427"/>
        <w:gridCol w:w="162"/>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55" w:type="dxa"/>
        <w:jc w:val="center"/>
        <w:tblInd w:w="0" w:type="dxa"/>
        <w:tblLayout w:type="fixed"/>
        <w:tblCellMar>
          <w:top w:w="28" w:type="dxa"/>
          <w:left w:w="28" w:type="dxa"/>
          <w:bottom w:w="28" w:type="dxa"/>
          <w:right w:w="28" w:type="dxa"/>
        </w:tblCellMar>
      </w:tblPr>
      <w:tblGrid>
        <w:gridCol w:w="1177"/>
        <w:gridCol w:w="1037"/>
        <w:gridCol w:w="1041"/>
        <w:gridCol w:w="109"/>
        <w:gridCol w:w="109"/>
        <w:gridCol w:w="109"/>
        <w:gridCol w:w="211"/>
        <w:gridCol w:w="481"/>
        <w:gridCol w:w="109"/>
        <w:gridCol w:w="109"/>
        <w:gridCol w:w="109"/>
        <w:gridCol w:w="109"/>
        <w:gridCol w:w="222"/>
        <w:gridCol w:w="428"/>
        <w:gridCol w:w="114"/>
        <w:gridCol w:w="110"/>
        <w:gridCol w:w="110"/>
        <w:gridCol w:w="110"/>
        <w:gridCol w:w="214"/>
        <w:gridCol w:w="488"/>
        <w:gridCol w:w="110"/>
        <w:gridCol w:w="110"/>
        <w:gridCol w:w="110"/>
        <w:gridCol w:w="110"/>
        <w:gridCol w:w="221"/>
        <w:gridCol w:w="427"/>
        <w:gridCol w:w="161"/>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of our Level 3 contingent consideration liabilities for the years ended December 31, 2025 and 2024 changed as follows:</w:t>
      </w:r>
    </w:p>
    <w:tbl>
      <w:tblPr>
        <w:tblW w:w="6951"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211"/>
        <w:gridCol w:w="481"/>
        <w:gridCol w:w="109"/>
        <w:gridCol w:w="109"/>
        <w:gridCol w:w="109"/>
        <w:gridCol w:w="109"/>
        <w:gridCol w:w="211"/>
        <w:gridCol w:w="646"/>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F-28</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(8)    ACCRUED EXPENSES AND OTHER CURRENT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Accrued expenses and other current liabilities included the following:</w:t>
      </w:r>
    </w:p>
    <w:tbl>
      <w:tblPr>
        <w:tblW w:w="7280" w:type="dxa"/>
        <w:jc w:val="center"/>
        <w:tblInd w:w="0" w:type="dxa"/>
        <w:tblLayout w:type="fixed"/>
        <w:tblCellMar>
          <w:top w:w="28" w:type="dxa"/>
          <w:left w:w="28" w:type="dxa"/>
          <w:bottom w:w="28" w:type="dxa"/>
          <w:right w:w="28" w:type="dxa"/>
        </w:tblCellMar>
      </w:tblPr>
      <w:tblGrid>
        <w:gridCol w:w="1644"/>
        <w:gridCol w:w="1448"/>
        <w:gridCol w:w="1452"/>
        <w:gridCol w:w="109"/>
        <w:gridCol w:w="109"/>
        <w:gridCol w:w="109"/>
        <w:gridCol w:w="211"/>
        <w:gridCol w:w="751"/>
        <w:gridCol w:w="109"/>
        <w:gridCol w:w="109"/>
        <w:gridCol w:w="109"/>
        <w:gridCol w:w="109"/>
        <w:gridCol w:w="211"/>
        <w:gridCol w:w="646"/>
        <w:gridCol w:w="154"/>
      </w:tblGrid>
      <w:tr>
        <w:trPr/>
        <w:tc>
          <w:tcPr>
            <w:tcW w:w="16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(9)    LEASES</w:t>
      </w:r>
    </w:p>
    <w:p>
      <w:pPr>
        <w:pStyle w:val="TextBody"/>
        <w:bidi w:val="0"/>
        <w:spacing w:lineRule="auto" w:line="288" w:before="0" w:after="200"/>
        <w:jc w:val="left"/>
        <w:rPr/>
      </w:pPr>
      <w:r>
        <w:rPr>
          <w:rFonts w:ascii="Arial;sans-serif" w:hAnsi="Arial;sans-serif"/>
          <w:b w:val="false"/>
          <w:color w:val="000000"/>
          <w:sz w:val="20"/>
        </w:rPr>
        <w:t>As discussed in “</w:t>
      </w:r>
      <w:r>
        <w:rPr>
          <w:rFonts w:ascii="Arial;sans-serif" w:hAnsi="Arial;sans-serif"/>
          <w:b/>
          <w:color w:val="000000"/>
          <w:sz w:val="20"/>
        </w:rPr>
        <w:t>Note (2) Summary of Significant Accounting Policies; (l) Leases,</w:t>
      </w:r>
      <w:r>
        <w:rPr>
          <w:color w:val="000000"/>
        </w:rPr>
        <w:t xml:space="preserve">” </w:t>
      </w:r>
      <w:r>
        <w:rPr>
          <w:rFonts w:ascii="Arial;sans-serif" w:hAnsi="Arial;sans-serif"/>
          <w:b w:val="false"/>
          <w:color w:val="000000"/>
          <w:sz w:val="20"/>
        </w:rPr>
        <w:t>we account for our leases in accordance with the guidance in ASC 842. We lease our offices, warehouse facilities and certain equipment under non-cancellable operating leases that expire at various dates through 2032. Total operating lease and short-term lease costs for the years ended December 31, 2025 and 2024, respectively, were as follows:</w:t>
      </w:r>
    </w:p>
    <w:tbl>
      <w:tblPr>
        <w:tblW w:w="4626" w:type="dxa"/>
        <w:jc w:val="center"/>
        <w:tblInd w:w="0" w:type="dxa"/>
        <w:tblLayout w:type="fixed"/>
        <w:tblCellMar>
          <w:top w:w="28" w:type="dxa"/>
          <w:left w:w="28" w:type="dxa"/>
          <w:bottom w:w="28" w:type="dxa"/>
          <w:right w:w="28" w:type="dxa"/>
        </w:tblCellMar>
      </w:tblPr>
      <w:tblGrid>
        <w:gridCol w:w="721"/>
        <w:gridCol w:w="636"/>
        <w:gridCol w:w="638"/>
        <w:gridCol w:w="109"/>
        <w:gridCol w:w="109"/>
        <w:gridCol w:w="109"/>
        <w:gridCol w:w="211"/>
        <w:gridCol w:w="646"/>
        <w:gridCol w:w="109"/>
        <w:gridCol w:w="109"/>
        <w:gridCol w:w="109"/>
        <w:gridCol w:w="109"/>
        <w:gridCol w:w="211"/>
        <w:gridCol w:w="64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is additional information about our leases:</w:t>
      </w:r>
    </w:p>
    <w:tbl>
      <w:tblPr>
        <w:tblW w:w="6771" w:type="dxa"/>
        <w:jc w:val="center"/>
        <w:tblInd w:w="0" w:type="dxa"/>
        <w:tblLayout w:type="fixed"/>
        <w:tblCellMar>
          <w:top w:w="28" w:type="dxa"/>
          <w:left w:w="28" w:type="dxa"/>
          <w:bottom w:w="28" w:type="dxa"/>
          <w:right w:w="28" w:type="dxa"/>
        </w:tblCellMar>
      </w:tblPr>
      <w:tblGrid>
        <w:gridCol w:w="1602"/>
        <w:gridCol w:w="1409"/>
        <w:gridCol w:w="1413"/>
        <w:gridCol w:w="309"/>
        <w:gridCol w:w="309"/>
        <w:gridCol w:w="311"/>
        <w:gridCol w:w="148"/>
        <w:gridCol w:w="148"/>
        <w:gridCol w:w="148"/>
        <w:gridCol w:w="278"/>
        <w:gridCol w:w="278"/>
        <w:gridCol w:w="418"/>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4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Range of remaining lease terms (in years)</w:t>
            </w:r>
          </w:p>
        </w:tc>
        <w:tc>
          <w:tcPr>
            <w:tcW w:w="92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0.2 to 6.2</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0.5 to 7.2</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5.8</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6.6%</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Maturities of lease liabilities at December 31, 2025 are as follows:</w:t>
      </w:r>
    </w:p>
    <w:tbl>
      <w:tblPr>
        <w:tblW w:w="4787" w:type="dxa"/>
        <w:jc w:val="center"/>
        <w:tblInd w:w="0" w:type="dxa"/>
        <w:tblLayout w:type="fixed"/>
        <w:tblCellMar>
          <w:top w:w="28" w:type="dxa"/>
          <w:left w:w="28" w:type="dxa"/>
          <w:bottom w:w="28" w:type="dxa"/>
          <w:right w:w="28" w:type="dxa"/>
        </w:tblCellMar>
      </w:tblPr>
      <w:tblGrid>
        <w:gridCol w:w="1209"/>
        <w:gridCol w:w="1067"/>
        <w:gridCol w:w="1068"/>
        <w:gridCol w:w="109"/>
        <w:gridCol w:w="109"/>
        <w:gridCol w:w="109"/>
        <w:gridCol w:w="211"/>
        <w:gridCol w:w="751"/>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10,971 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9,500 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F-29</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Cash Flow Information</w:t>
      </w:r>
    </w:p>
    <w:tbl>
      <w:tblPr>
        <w:tblW w:w="8375" w:type="dxa"/>
        <w:jc w:val="center"/>
        <w:tblInd w:w="0" w:type="dxa"/>
        <w:tblLayout w:type="fixed"/>
        <w:tblCellMar>
          <w:top w:w="28" w:type="dxa"/>
          <w:left w:w="28" w:type="dxa"/>
          <w:bottom w:w="28" w:type="dxa"/>
          <w:right w:w="28" w:type="dxa"/>
        </w:tblCellMar>
      </w:tblPr>
      <w:tblGrid>
        <w:gridCol w:w="2076"/>
        <w:gridCol w:w="1832"/>
        <w:gridCol w:w="1836"/>
        <w:gridCol w:w="109"/>
        <w:gridCol w:w="109"/>
        <w:gridCol w:w="109"/>
        <w:gridCol w:w="211"/>
        <w:gridCol w:w="646"/>
        <w:gridCol w:w="109"/>
        <w:gridCol w:w="109"/>
        <w:gridCol w:w="109"/>
        <w:gridCol w:w="109"/>
        <w:gridCol w:w="211"/>
        <w:gridCol w:w="646"/>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5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disclosed in “</w:t>
      </w:r>
      <w:r>
        <w:rPr>
          <w:rFonts w:ascii="Arial;sans-serif" w:hAnsi="Arial;sans-serif"/>
          <w:b/>
          <w:color w:val="000000"/>
          <w:sz w:val="20"/>
        </w:rPr>
        <w:t>Note (3) Acquisition</w:t>
      </w:r>
      <w:r>
        <w:rPr>
          <w:rFonts w:ascii="Arial;sans-serif" w:hAnsi="Arial;sans-serif"/>
          <w:b w:val="false"/>
          <w:color w:val="000000"/>
          <w:sz w:val="20"/>
        </w:rPr>
        <w:t>,” on March 12, 2024, we acquired the stock of Alfamation</w:t>
      </w:r>
      <w:r>
        <w:rPr>
          <w:color w:val="000000"/>
        </w:rPr>
        <w:t>™</w:t>
      </w:r>
      <w:r>
        <w:rPr>
          <w:rFonts w:ascii="Arial;sans-serif" w:hAnsi="Arial;sans-serif"/>
          <w:b w:val="false"/>
          <w:color w:val="000000"/>
          <w:sz w:val="20"/>
        </w:rPr>
        <w:t>, and as such, we assumed several leases. In addition, we also entered into the related-party Alfamation Lease Agreement with the former owner of Alfamation</w:t>
      </w:r>
      <w:r>
        <w:rPr>
          <w:color w:val="000000"/>
        </w:rPr>
        <w:t xml:space="preserve">™ </w:t>
      </w:r>
      <w:r>
        <w:rPr>
          <w:rFonts w:ascii="Arial;sans-serif" w:hAnsi="Arial;sans-serif"/>
          <w:b w:val="false"/>
          <w:color w:val="000000"/>
          <w:sz w:val="20"/>
        </w:rPr>
        <w:t>who will continue to serve as the managing director of Alfamation</w:t>
      </w:r>
      <w:r>
        <w:rPr>
          <w:color w:val="000000"/>
        </w:rPr>
        <w:t xml:space="preserve">™ </w:t>
      </w:r>
      <w:r>
        <w:rPr>
          <w:rFonts w:ascii="Arial;sans-serif" w:hAnsi="Arial;sans-serif"/>
          <w:b w:val="false"/>
          <w:color w:val="000000"/>
          <w:sz w:val="20"/>
        </w:rPr>
        <w:t>under our ownership, for the seller-owned facility where Alfamation</w:t>
      </w:r>
      <w:r>
        <w:rPr>
          <w:color w:val="000000"/>
        </w:rPr>
        <w:t xml:space="preserve">™ </w:t>
      </w:r>
      <w:r>
        <w:rPr>
          <w:rFonts w:ascii="Arial;sans-serif" w:hAnsi="Arial;sans-serif"/>
          <w:b w:val="false"/>
          <w:color w:val="000000"/>
          <w:sz w:val="20"/>
        </w:rPr>
        <w:t>has its principal operations. The leased premises include warehouse and office space totaling approximately 52 thousand square feet. The semi-annual lease payments are €0.1 million. The impact of the assumption and execution of these leases was a non-cash increase in our ROU assets and operating lease liabilities of approximately $1.7 million at the date of the acquisition.</w:t>
      </w:r>
    </w:p>
    <w:p>
      <w:pPr>
        <w:pStyle w:val="TextBody"/>
        <w:bidi w:val="0"/>
        <w:spacing w:lineRule="auto" w:line="288" w:before="0" w:after="240"/>
        <w:jc w:val="left"/>
        <w:rPr/>
      </w:pPr>
      <w:r>
        <w:rPr>
          <w:rFonts w:ascii="Arial;sans-serif" w:hAnsi="Arial;sans-serif"/>
          <w:b w:val="false"/>
          <w:color w:val="000000"/>
          <w:sz w:val="20"/>
        </w:rPr>
        <w:t>As further disclosed in “</w:t>
      </w:r>
      <w:r>
        <w:rPr>
          <w:rFonts w:ascii="Arial;sans-serif" w:hAnsi="Arial;sans-serif"/>
          <w:b/>
          <w:color w:val="000000"/>
          <w:sz w:val="20"/>
        </w:rPr>
        <w:t>Note (16) Restructuring</w:t>
      </w:r>
      <w:r>
        <w:rPr>
          <w:rFonts w:ascii="Arial;sans-serif" w:hAnsi="Arial;sans-serif"/>
          <w:b w:val="false"/>
          <w:color w:val="000000"/>
          <w:sz w:val="20"/>
        </w:rPr>
        <w:t>,” we consolidated all Videology operations from the Netherlands into our facility located in Mansfield, Massachusetts as of December 31, 2025. This action resulted in an immaterial non-cash impairment of the ROU asset for the Netherlands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(10)    DEBT</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Letters of Credit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issued letters of credit as the security deposits for certain of our domestic leases. The terms of our leases require us to renew these letters of credit at least 30 days prior to their expiration dates for successive terms of not less than one year until lease expiration. Our outstanding letters of credit at December 31, 2025, and 2024, consisted of the following:</w:t>
      </w:r>
    </w:p>
    <w:tbl>
      <w:tblPr>
        <w:tblW w:w="10032"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409"/>
        <w:gridCol w:w="409"/>
        <w:gridCol w:w="411"/>
        <w:gridCol w:w="109"/>
        <w:gridCol w:w="109"/>
        <w:gridCol w:w="109"/>
        <w:gridCol w:w="634"/>
        <w:gridCol w:w="634"/>
        <w:gridCol w:w="636"/>
        <w:gridCol w:w="109"/>
        <w:gridCol w:w="109"/>
        <w:gridCol w:w="109"/>
        <w:gridCol w:w="709"/>
        <w:gridCol w:w="709"/>
        <w:gridCol w:w="711"/>
        <w:gridCol w:w="109"/>
        <w:gridCol w:w="109"/>
        <w:gridCol w:w="109"/>
        <w:gridCol w:w="222"/>
        <w:gridCol w:w="508"/>
        <w:gridCol w:w="115"/>
        <w:gridCol w:w="115"/>
        <w:gridCol w:w="115"/>
        <w:gridCol w:w="115"/>
        <w:gridCol w:w="222"/>
        <w:gridCol w:w="508"/>
        <w:gridCol w:w="162"/>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L/C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Lease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Letters of Credit</w:t>
              <w:br/>
              <w:t>Amount Outstanding</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Original L/C</w:t>
              <w:br/>
              <w:t>Issue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3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Mt. Laurel,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Mansfield,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6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On October 15, 2021 (the “</w:t>
      </w:r>
      <w:r>
        <w:rPr>
          <w:rFonts w:ascii="Arial;sans-serif" w:hAnsi="Arial;sans-serif"/>
          <w:b/>
          <w:color w:val="000000"/>
          <w:sz w:val="20"/>
          <w:u w:val="single"/>
        </w:rPr>
        <w:t>Closing Date</w:t>
      </w:r>
      <w:r>
        <w:rPr>
          <w:color w:val="000000"/>
        </w:rPr>
        <w:t>”</w:t>
      </w:r>
      <w:r>
        <w:rPr>
          <w:rFonts w:ascii="Arial;sans-serif" w:hAnsi="Arial;sans-serif"/>
          <w:b w:val="false"/>
          <w:color w:val="000000"/>
          <w:sz w:val="20"/>
        </w:rPr>
        <w:t>), we entered into an Amended and Restated Loan and Security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which, was subsequently amended on October 28, 2021, December 30, 2021, September 20, 2022, May 2, 2024, and December 18, 2024 (together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available funding at December 31, 2025, under the Term Note was $30 million and we have not borrowed any amounts under the $10.0 million Revolving Facility. The Credit Facility has a five-year contract period that began on October 15, 2021, and, as amended, expires on May 2, 2031, and draws under the Term Note, as amended, are permissible until May 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F-30</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outstanding debt with M&amp;T. At December 31, 2025, we had total debt of $3.8 million with M&amp;T. At December 31, 2025, we were in compliance with all of the other covenants included in the Loan Agreement.</w:t>
      </w:r>
    </w:p>
    <w:p>
      <w:pPr>
        <w:pStyle w:val="TextBody"/>
        <w:bidi w:val="0"/>
        <w:spacing w:lineRule="auto" w:line="288" w:before="0" w:after="200"/>
        <w:jc w:val="left"/>
        <w:rPr/>
      </w:pPr>
      <w:r>
        <w:rPr>
          <w:rFonts w:ascii="Arial;sans-serif" w:hAnsi="Arial;sans-serif"/>
          <w:b w:val="false"/>
          <w:color w:val="000000"/>
          <w:sz w:val="20"/>
        </w:rPr>
        <w:t>The principal balance of the Revolving Facility and the principal balance of any amount drawn under the Term Note accrues interest based on the secured overnight financing rate for U.S. government securities (“</w:t>
      </w:r>
      <w:r>
        <w:rPr>
          <w:rFonts w:ascii="Arial;sans-serif" w:hAnsi="Arial;sans-serif"/>
          <w:b/>
          <w:color w:val="000000"/>
          <w:sz w:val="20"/>
          <w:u w:val="single"/>
        </w:rPr>
        <w:t>SOFR</w:t>
      </w:r>
      <w:r>
        <w:rPr>
          <w:color w:val="000000"/>
        </w:rPr>
        <w:t>”</w:t>
      </w:r>
      <w:r>
        <w:rPr>
          <w:rFonts w:ascii="Arial;sans-serif" w:hAnsi="Arial;sans-serif"/>
          <w:b w:val="false"/>
          <w:color w:val="000000"/>
          <w:sz w:val="20"/>
        </w:rPr>
        <w:t>)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Loan Agreement contains customary default provisions, including but not limited to the failure by us to repay obligations when due, violation of provisions or representations provided in the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 that are owned as of the Closing Date or acquired thereafter. At December 31, 2025, we were in compliance with all of the covenants included in the Loan Agreement.</w:t>
      </w:r>
    </w:p>
    <w:p>
      <w:pPr>
        <w:pStyle w:val="TextBody"/>
        <w:bidi w:val="0"/>
        <w:spacing w:lineRule="auto" w:line="288" w:before="0" w:after="200"/>
        <w:jc w:val="left"/>
        <w:rPr/>
      </w:pPr>
      <w:r>
        <w:rPr>
          <w:rFonts w:ascii="Arial;sans-serif" w:hAnsi="Arial;sans-serif"/>
          <w:b w:val="false"/>
          <w:color w:val="000000"/>
          <w:sz w:val="20"/>
        </w:rPr>
        <w:t>On October 28, 2021, we drew $12.0 million under the Term Note to finance the acquisition of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December 31, 2025, it was approximately 6.0% based on current leverage. Effective February 27, 2026, this rate was approximately 5.8%.</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of December 31, 2025, the remainder of our Term Note matures in 2026.</w:t>
      </w:r>
    </w:p>
    <w:p>
      <w:pPr>
        <w:pStyle w:val="TextBody"/>
        <w:bidi w:val="0"/>
        <w:spacing w:lineRule="auto" w:line="288" w:before="0" w:after="200"/>
        <w:jc w:val="left"/>
        <w:rPr/>
      </w:pPr>
      <w:r>
        <w:rPr>
          <w:rFonts w:ascii="Arial;sans-serif" w:hAnsi="Arial;sans-serif"/>
          <w:b/>
          <w:i/>
          <w:color w:val="000000"/>
          <w:sz w:val="20"/>
          <w:u w:val="single"/>
        </w:rPr>
        <w:t>Alfamation</w:t>
      </w:r>
      <w:r>
        <w:rPr>
          <w:color w:val="000000"/>
          <w:u w:val="single"/>
        </w:rPr>
        <w:t xml:space="preserve">™ </w:t>
      </w:r>
      <w:r>
        <w:rPr>
          <w:rFonts w:ascii="Arial;sans-serif" w:hAnsi="Arial;sans-serif"/>
          <w:b/>
          <w:i/>
          <w:color w:val="000000"/>
          <w:sz w:val="20"/>
          <w:u w:val="single"/>
        </w:rPr>
        <w:t>Debt</w:t>
      </w:r>
    </w:p>
    <w:p>
      <w:pPr>
        <w:pStyle w:val="TextBody"/>
        <w:bidi w:val="0"/>
        <w:spacing w:lineRule="auto" w:line="288" w:before="0" w:after="200"/>
        <w:jc w:val="left"/>
        <w:rPr/>
      </w:pPr>
      <w:r>
        <w:rPr>
          <w:rFonts w:ascii="Arial;sans-serif" w:hAnsi="Arial;sans-serif"/>
          <w:b w:val="false"/>
          <w:color w:val="000000"/>
          <w:sz w:val="20"/>
        </w:rPr>
        <w:t>In connection with the acquisition of Alfamation</w:t>
      </w:r>
      <w:r>
        <w:rPr>
          <w:color w:val="000000"/>
        </w:rPr>
        <w:t xml:space="preserve">™ </w:t>
      </w:r>
      <w:r>
        <w:rPr>
          <w:rFonts w:ascii="Arial;sans-serif" w:hAnsi="Arial;sans-serif"/>
          <w:b w:val="false"/>
          <w:color w:val="000000"/>
          <w:sz w:val="20"/>
        </w:rPr>
        <w:t>(see “</w:t>
      </w:r>
      <w:r>
        <w:rPr>
          <w:rFonts w:ascii="Arial;sans-serif" w:hAnsi="Arial;sans-serif"/>
          <w:b/>
          <w:color w:val="000000"/>
          <w:sz w:val="20"/>
        </w:rPr>
        <w:t>Note (3) Acquisition</w:t>
      </w:r>
      <w:r>
        <w:rPr>
          <w:color w:val="000000"/>
        </w:rPr>
        <w:t>”</w:t>
      </w:r>
      <w:r>
        <w:rPr>
          <w:rFonts w:ascii="Arial;sans-serif" w:hAnsi="Arial;sans-serif"/>
          <w:b w:val="false"/>
          <w:color w:val="000000"/>
          <w:sz w:val="20"/>
        </w:rPr>
        <w:t>), we assumed debt which totaled $11.3 million as of the acquisition date. At December 31, 2025, Alfamation</w:t>
      </w:r>
      <w:r>
        <w:rPr>
          <w:color w:val="000000"/>
        </w:rPr>
        <w:t>™’</w:t>
      </w:r>
      <w:r>
        <w:rPr>
          <w:rFonts w:ascii="Arial;sans-serif" w:hAnsi="Arial;sans-serif"/>
          <w:b w:val="false"/>
          <w:color w:val="000000"/>
          <w:sz w:val="20"/>
        </w:rPr>
        <w:t>s total debt amounted to $3.6 million. This debt is comprised of both fixed and variable rate bank issued term loans as well as $1.0 million of short-term variable rate financing backed by Alfamation</w:t>
      </w:r>
      <w:r>
        <w:rPr>
          <w:color w:val="000000"/>
        </w:rPr>
        <w:t>™’</w:t>
      </w:r>
      <w:r>
        <w:rPr>
          <w:rFonts w:ascii="Arial;sans-serif" w:hAnsi="Arial;sans-serif"/>
          <w:b w:val="false"/>
          <w:color w:val="000000"/>
          <w:sz w:val="20"/>
        </w:rPr>
        <w:t>s accounts receivable. This debt is spread across several different institutions with monthly, quarterly or semi-annual repayment schedules. The short-term variable financing rate at December 31, 2025, was 3.2%. At December 31, 2025, the weighted average interest rate payable on the bank issued term loans was 1.0% for fixed rate debt and 3.8% for variable rate debt and the overall weighted average interest rate for the bank issued term loans was 3.3%.</w:t>
      </w:r>
    </w:p>
    <w:p>
      <w:pPr>
        <w:pStyle w:val="TextBody"/>
        <w:bidi w:val="0"/>
        <w:spacing w:lineRule="auto" w:line="288" w:before="0" w:after="200"/>
        <w:jc w:val="left"/>
        <w:rPr/>
      </w:pPr>
      <w:r>
        <w:rPr>
          <w:rFonts w:ascii="Arial;sans-serif" w:hAnsi="Arial;sans-serif"/>
          <w:b w:val="false"/>
          <w:color w:val="000000"/>
          <w:sz w:val="20"/>
        </w:rPr>
        <w:t>As of December 31, 2025, remaining maturities of the Alfamation</w:t>
      </w:r>
      <w:r>
        <w:rPr>
          <w:color w:val="000000"/>
        </w:rPr>
        <w:t xml:space="preserve">™ </w:t>
      </w:r>
      <w:r>
        <w:rPr>
          <w:rFonts w:ascii="Arial;sans-serif" w:hAnsi="Arial;sans-serif"/>
          <w:b w:val="false"/>
          <w:color w:val="000000"/>
          <w:sz w:val="20"/>
        </w:rPr>
        <w:t>debt are as follows:</w:t>
      </w:r>
    </w:p>
    <w:tbl>
      <w:tblPr>
        <w:tblW w:w="5957" w:type="dxa"/>
        <w:jc w:val="center"/>
        <w:tblInd w:w="0" w:type="dxa"/>
        <w:tblLayout w:type="fixed"/>
        <w:tblCellMar>
          <w:top w:w="28" w:type="dxa"/>
          <w:left w:w="28" w:type="dxa"/>
          <w:bottom w:w="28" w:type="dxa"/>
          <w:right w:w="28" w:type="dxa"/>
        </w:tblCellMar>
      </w:tblPr>
      <w:tblGrid>
        <w:gridCol w:w="1667"/>
        <w:gridCol w:w="1471"/>
        <w:gridCol w:w="1481"/>
        <w:gridCol w:w="109"/>
        <w:gridCol w:w="109"/>
        <w:gridCol w:w="109"/>
        <w:gridCol w:w="211"/>
        <w:gridCol w:w="64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Total remaining maturities of our Alfamation</w:t>
            </w:r>
            <w:r>
              <w:rPr>
                <w:color w:val="000000"/>
              </w:rPr>
              <w:t xml:space="preserve">™ </w:t>
            </w:r>
            <w:r>
              <w:rPr>
                <w:rFonts w:ascii="Arial;sans-serif" w:hAnsi="Arial;sans-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F-31</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(11)    REVENUE FROM CONTRACTS WITH CUSTOMERS</w:t>
      </w:r>
    </w:p>
    <w:p>
      <w:pPr>
        <w:pStyle w:val="TextBody"/>
        <w:bidi w:val="0"/>
        <w:spacing w:lineRule="auto" w:line="288" w:before="0" w:after="200"/>
        <w:jc w:val="left"/>
        <w:rPr/>
      </w:pPr>
      <w:r>
        <w:rPr>
          <w:rFonts w:ascii="Arial;sans-serif" w:hAnsi="Arial;sans-serif"/>
          <w:b w:val="false"/>
          <w:color w:val="000000"/>
          <w:sz w:val="20"/>
        </w:rPr>
        <w:t>The following tables disaggregate our revenue from contracts with customers, by customer type, product type and by market. See “</w:t>
      </w:r>
      <w:r>
        <w:rPr>
          <w:rFonts w:ascii="Arial;sans-serif" w:hAnsi="Arial;sans-serif"/>
          <w:b/>
          <w:color w:val="000000"/>
          <w:sz w:val="20"/>
        </w:rPr>
        <w:t>Note (19) Segment and Geographic Area Information</w:t>
      </w:r>
      <w:r>
        <w:rPr>
          <w:color w:val="000000"/>
        </w:rPr>
        <w:t xml:space="preserve">” </w:t>
      </w:r>
      <w:r>
        <w:rPr>
          <w:rFonts w:ascii="Arial;sans-serif" w:hAnsi="Arial;sans-serif"/>
          <w:b w:val="false"/>
          <w:color w:val="000000"/>
          <w:sz w:val="20"/>
        </w:rPr>
        <w:t>for information about revenue by operating segment and geographic region.</w:t>
      </w:r>
    </w:p>
    <w:tbl>
      <w:tblPr>
        <w:tblW w:w="5691" w:type="dxa"/>
        <w:jc w:val="center"/>
        <w:tblInd w:w="0" w:type="dxa"/>
        <w:tblLayout w:type="fixed"/>
        <w:tblCellMar>
          <w:top w:w="28" w:type="dxa"/>
          <w:left w:w="28" w:type="dxa"/>
          <w:bottom w:w="28" w:type="dxa"/>
          <w:right w:w="28" w:type="dxa"/>
        </w:tblCellMar>
      </w:tblPr>
      <w:tblGrid>
        <w:gridCol w:w="954"/>
        <w:gridCol w:w="842"/>
        <w:gridCol w:w="844"/>
        <w:gridCol w:w="109"/>
        <w:gridCol w:w="109"/>
        <w:gridCol w:w="109"/>
        <w:gridCol w:w="211"/>
        <w:gridCol w:w="856"/>
        <w:gridCol w:w="109"/>
        <w:gridCol w:w="109"/>
        <w:gridCol w:w="109"/>
        <w:gridCol w:w="109"/>
        <w:gridCol w:w="211"/>
        <w:gridCol w:w="85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customer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 user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OEM/Integrator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113,825 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130,690 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66" w:type="dxa"/>
        <w:jc w:val="center"/>
        <w:tblInd w:w="0" w:type="dxa"/>
        <w:tblLayout w:type="fixed"/>
        <w:tblCellMar>
          <w:top w:w="28" w:type="dxa"/>
          <w:left w:w="28" w:type="dxa"/>
          <w:bottom w:w="28" w:type="dxa"/>
          <w:right w:w="28" w:type="dxa"/>
        </w:tblCellMar>
      </w:tblPr>
      <w:tblGrid>
        <w:gridCol w:w="1090"/>
        <w:gridCol w:w="961"/>
        <w:gridCol w:w="964"/>
        <w:gridCol w:w="109"/>
        <w:gridCol w:w="109"/>
        <w:gridCol w:w="109"/>
        <w:gridCol w:w="211"/>
        <w:gridCol w:w="856"/>
        <w:gridCol w:w="109"/>
        <w:gridCol w:w="109"/>
        <w:gridCol w:w="109"/>
        <w:gridCol w:w="109"/>
        <w:gridCol w:w="211"/>
        <w:gridCol w:w="85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product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Semiconductor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Video imaging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Flying probe and in-circuit testers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Alfamation™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113,825 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130,690 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01" w:type="dxa"/>
        <w:jc w:val="center"/>
        <w:tblInd w:w="0" w:type="dxa"/>
        <w:tblLayout w:type="fixed"/>
        <w:tblCellMar>
          <w:top w:w="28" w:type="dxa"/>
          <w:left w:w="28" w:type="dxa"/>
          <w:bottom w:w="28" w:type="dxa"/>
          <w:right w:w="28" w:type="dxa"/>
        </w:tblCellMar>
      </w:tblPr>
      <w:tblGrid>
        <w:gridCol w:w="705"/>
        <w:gridCol w:w="622"/>
        <w:gridCol w:w="623"/>
        <w:gridCol w:w="109"/>
        <w:gridCol w:w="109"/>
        <w:gridCol w:w="109"/>
        <w:gridCol w:w="211"/>
        <w:gridCol w:w="856"/>
        <w:gridCol w:w="109"/>
        <w:gridCol w:w="109"/>
        <w:gridCol w:w="109"/>
        <w:gridCol w:w="109"/>
        <w:gridCol w:w="211"/>
        <w:gridCol w:w="85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113,825 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130,690 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Major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year ended December 31, 2025, no customer accounted for more than 10% of our consolidated revenue. During the year ended December 31, 2024, one customer accounted for 13% of our consolidated revenue. This revenue was primarily generated by our Electronic Test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F-32</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Contract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contract liabilities consist of our customer deposits and deferred revenue as well as deferred revenue net of current portion on our Consolidated Balance Sheets. As of December 31, 2025, and 2024, we had total contract liabilities of $7.4 million and $6.4 million, respectively. For the year ended December 31, 2025, we recognized $4.2 million as revenue from the contract liabilities balance as of December 31, 2024, while for the year ended December 31, 2024, we recognized $5.1 million as revenue from the contract liabilities balance as of December 31, 2023.</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Allowance for Credit Losses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allowance for credit losses changed as follows:</w:t>
      </w:r>
    </w:p>
    <w:tbl>
      <w:tblPr>
        <w:tblW w:w="7281" w:type="dxa"/>
        <w:jc w:val="center"/>
        <w:tblInd w:w="0" w:type="dxa"/>
        <w:tblLayout w:type="fixed"/>
        <w:tblCellMar>
          <w:top w:w="28" w:type="dxa"/>
          <w:left w:w="28" w:type="dxa"/>
          <w:bottom w:w="28" w:type="dxa"/>
          <w:right w:w="28" w:type="dxa"/>
        </w:tblCellMar>
      </w:tblPr>
      <w:tblGrid>
        <w:gridCol w:w="1801"/>
        <w:gridCol w:w="1588"/>
        <w:gridCol w:w="1591"/>
        <w:gridCol w:w="109"/>
        <w:gridCol w:w="109"/>
        <w:gridCol w:w="109"/>
        <w:gridCol w:w="211"/>
        <w:gridCol w:w="481"/>
        <w:gridCol w:w="109"/>
        <w:gridCol w:w="109"/>
        <w:gridCol w:w="109"/>
        <w:gridCol w:w="109"/>
        <w:gridCol w:w="211"/>
        <w:gridCol w:w="481"/>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loss expense, net of release of unused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(12)    EARNINGS (LOSS) PER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sets forth our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tbl>
      <w:tblPr>
        <w:tblW w:w="10205" w:type="dxa"/>
        <w:jc w:val="center"/>
        <w:tblInd w:w="0" w:type="dxa"/>
        <w:tblLayout w:type="fixed"/>
        <w:tblCellMar>
          <w:top w:w="28" w:type="dxa"/>
          <w:left w:w="28" w:type="dxa"/>
          <w:bottom w:w="28" w:type="dxa"/>
          <w:right w:w="28" w:type="dxa"/>
        </w:tblCellMar>
      </w:tblPr>
      <w:tblGrid>
        <w:gridCol w:w="2645"/>
        <w:gridCol w:w="2320"/>
        <w:gridCol w:w="2334"/>
        <w:gridCol w:w="109"/>
        <w:gridCol w:w="109"/>
        <w:gridCol w:w="109"/>
        <w:gridCol w:w="393"/>
        <w:gridCol w:w="366"/>
        <w:gridCol w:w="307"/>
        <w:gridCol w:w="133"/>
        <w:gridCol w:w="133"/>
        <w:gridCol w:w="133"/>
        <w:gridCol w:w="324"/>
        <w:gridCol w:w="324"/>
        <w:gridCol w:w="466"/>
      </w:tblGrid>
      <w:tr>
        <w:trPr/>
        <w:tc>
          <w:tcPr>
            <w:tcW w:w="2645"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12,204,323</w:t>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12,151,913</w:t>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Potentially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of restricted stock and 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87,245</w:t>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and common share equivalents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12,204,323</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12,239,158</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number of potentially dilutive securities excluded from calculation because their effect was anti-dilutive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852,960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612,794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(13)    EQUITY</w:t>
      </w:r>
    </w:p>
    <w:p>
      <w:pPr>
        <w:pStyle w:val="TextBody"/>
        <w:bidi w:val="0"/>
        <w:spacing w:lineRule="auto" w:line="288" w:before="0" w:after="200"/>
        <w:jc w:val="left"/>
        <w:rPr/>
      </w:pPr>
      <w:r>
        <w:rPr>
          <w:rFonts w:ascii="Arial;sans-serif" w:hAnsi="Arial;sans-serif"/>
          <w:b w:val="false"/>
          <w:color w:val="000000"/>
          <w:sz w:val="20"/>
        </w:rPr>
        <w:t>On November 20, 2023, our Board of Directors authorized a share repurchase plan (the “</w:t>
      </w:r>
      <w:r>
        <w:rPr>
          <w:rFonts w:ascii="Arial;sans-serif" w:hAnsi="Arial;sans-serif"/>
          <w:b/>
          <w:color w:val="000000"/>
          <w:sz w:val="20"/>
          <w:u w:val="single"/>
        </w:rPr>
        <w:t>Repurchase Plan</w:t>
      </w:r>
      <w:r>
        <w:rPr>
          <w:color w:val="000000"/>
        </w:rPr>
        <w:t>”</w:t>
      </w:r>
      <w:r>
        <w:rPr>
          <w:rFonts w:ascii="Arial;sans-serif" w:hAnsi="Arial;sans-serif"/>
          <w:b w:val="false"/>
          <w:color w:val="000000"/>
          <w:sz w:val="20"/>
        </w:rPr>
        <w:t>) whereby we could repurchase shares of our common stock on the open market with a total aggregate repurchase amount of up to $10.0 million until November 17, 2024. We repurchased 141,117 shares with a fair value of $1.0 million through the expiration date of the Repurchase Plan. Those repurchased shares were retired as of December 31, 2024, and no new authorization has been issued.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March 5, 2025, our Board of Directors authorized the renewal of our previously expired Repurchase Plan, whereby we may repurchase shares of our common stock on the open market with a total aggregate repurchase amount of up to $10.0 million. As of the renewal date, we had approximately $9.0 million available for repurchases under the Repurchase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F-33</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are not obligated to purchase any common stock under the Repurchase Plan. Further, the Repurchase Plan may be suspended or discontinued at any time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(14)    STOCK-BASED COMPENSATION PLAN</w:t>
      </w:r>
    </w:p>
    <w:p>
      <w:pPr>
        <w:pStyle w:val="TextBody"/>
        <w:bidi w:val="0"/>
        <w:spacing w:lineRule="auto" w:line="288" w:before="0" w:after="200"/>
        <w:jc w:val="left"/>
        <w:rPr/>
      </w:pPr>
      <w:r>
        <w:rPr>
          <w:rFonts w:ascii="Arial;sans-serif" w:hAnsi="Arial;sans-serif"/>
          <w:b w:val="false"/>
          <w:color w:val="000000"/>
          <w:sz w:val="20"/>
        </w:rPr>
        <w:t>As of December 31, 2025, we have unvested stock options, restricted stock awards, performance-based restricted stock awards and restricted stock units granted under stock-based compensation plans. On June 21, 2023, our stockholders approved the InTest Corporation 2023 Stock Incentive Plan (the “</w:t>
      </w:r>
      <w:r>
        <w:rPr>
          <w:rFonts w:ascii="Arial;sans-serif" w:hAnsi="Arial;sans-serif"/>
          <w:b/>
          <w:color w:val="000000"/>
          <w:sz w:val="20"/>
          <w:u w:val="single"/>
        </w:rPr>
        <w:t>2023 Plan</w:t>
      </w:r>
      <w:r>
        <w:rPr>
          <w:color w:val="000000"/>
        </w:rPr>
        <w:t>”</w:t>
      </w:r>
      <w:r>
        <w:rPr>
          <w:rFonts w:ascii="Arial;sans-serif" w:hAnsi="Arial;sans-serif"/>
          <w:b w:val="false"/>
          <w:color w:val="000000"/>
          <w:sz w:val="20"/>
        </w:rPr>
        <w:t>) which replaced the Fourth Amended and Restated 2014 Stock Plan (the “</w:t>
      </w:r>
      <w:r>
        <w:rPr>
          <w:rFonts w:ascii="Arial;sans-serif" w:hAnsi="Arial;sans-serif"/>
          <w:b/>
          <w:color w:val="000000"/>
          <w:sz w:val="20"/>
          <w:u w:val="single"/>
        </w:rPr>
        <w:t>2014 Plan</w:t>
      </w:r>
      <w:r>
        <w:rPr>
          <w:color w:val="000000"/>
        </w:rPr>
        <w:t>”</w:t>
      </w:r>
      <w:r>
        <w:rPr>
          <w:rFonts w:ascii="Arial;sans-serif" w:hAnsi="Arial;sans-serif"/>
          <w:b w:val="false"/>
          <w:color w:val="000000"/>
          <w:sz w:val="20"/>
        </w:rPr>
        <w:t>). No further awards can be granted under the 2014 Plan. The maximum number of shares of common stock available for grant and issuance under the 2023 Plan is (a) 350,000, plus (b) the number of shares of common stock available for issuance under the 2014 Plan on the date the 2023 Plan was approved by stockholders, plus (c) any shares of common stock that are subject to awards granted under the 2014 Plan that expire, are forfeited or canceled or terminate for any other reason on or after the date the 2023 Plan was approved by stockholders, without the issuance of shares. The number of shares available to be issued under the 2023 Plan as of June 21, 2023 was 1,117,942. Consistent with prior years’ performance-based awards, we reserve additional shares in the event that the performance achieves maximum levels. At December 31, 2025, as a result of the current year’s activity with regard to performance-based restricted stock awards (grants and forfeitures), we have 50,113 shares reserved in aggregate for performance in excess of target. As of December 31, 2025, the remaining authorization for issue under the 2023 Plan is 445,606.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compensation expense we recorded during years ended December 31, 2025 and 2024 related to unvested shares of stock options, restricted stock awards, performance-based restricted stock awards and restricted stock units:</w:t>
      </w:r>
    </w:p>
    <w:tbl>
      <w:tblPr>
        <w:tblW w:w="6815" w:type="dxa"/>
        <w:jc w:val="center"/>
        <w:tblInd w:w="0" w:type="dxa"/>
        <w:tblLayout w:type="fixed"/>
        <w:tblCellMar>
          <w:top w:w="28" w:type="dxa"/>
          <w:left w:w="28" w:type="dxa"/>
          <w:bottom w:w="28" w:type="dxa"/>
          <w:right w:w="28" w:type="dxa"/>
        </w:tblCellMar>
      </w:tblPr>
      <w:tblGrid>
        <w:gridCol w:w="1512"/>
        <w:gridCol w:w="1335"/>
        <w:gridCol w:w="1337"/>
        <w:gridCol w:w="109"/>
        <w:gridCol w:w="109"/>
        <w:gridCol w:w="109"/>
        <w:gridCol w:w="211"/>
        <w:gridCol w:w="646"/>
        <w:gridCol w:w="109"/>
        <w:gridCol w:w="109"/>
        <w:gridCol w:w="109"/>
        <w:gridCol w:w="109"/>
        <w:gridCol w:w="211"/>
        <w:gridCol w:w="646"/>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December 31, 2025, total compensation expense to be recognized in future periods is $3.3 million. The weighted average period over which this expense is expected to be recognized is 2.3 years. There was no compensation expense capitalized in 2025 or 2024.</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Stock Options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values for stock options granted during the years ended December 31, 2025 and 2024 were estimated at the date of grant using the Black-Scholes option pricing model with the following weighted average assumptions:</w:t>
      </w:r>
    </w:p>
    <w:tbl>
      <w:tblPr>
        <w:tblW w:w="7231" w:type="dxa"/>
        <w:jc w:val="center"/>
        <w:tblInd w:w="0" w:type="dxa"/>
        <w:tblLayout w:type="fixed"/>
        <w:tblCellMar>
          <w:top w:w="28" w:type="dxa"/>
          <w:left w:w="28" w:type="dxa"/>
          <w:bottom w:w="28" w:type="dxa"/>
          <w:right w:w="28" w:type="dxa"/>
        </w:tblCellMar>
      </w:tblPr>
      <w:tblGrid>
        <w:gridCol w:w="1797"/>
        <w:gridCol w:w="1580"/>
        <w:gridCol w:w="1587"/>
        <w:gridCol w:w="109"/>
        <w:gridCol w:w="109"/>
        <w:gridCol w:w="109"/>
        <w:gridCol w:w="240"/>
        <w:gridCol w:w="241"/>
        <w:gridCol w:w="300"/>
        <w:gridCol w:w="111"/>
        <w:gridCol w:w="111"/>
        <w:gridCol w:w="111"/>
        <w:gridCol w:w="240"/>
        <w:gridCol w:w="241"/>
        <w:gridCol w:w="345"/>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3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w:t>
            </w:r>
          </w:p>
        </w:tc>
        <w:tc>
          <w:tcPr>
            <w:tcW w:w="3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w:t>
            </w:r>
          </w:p>
        </w:tc>
        <w:tc>
          <w:tcPr>
            <w:tcW w:w="3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common stock market price volatility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.57</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expected life of stock options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F-34</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stock options for the year ended December 31, 2025:</w:t>
      </w:r>
    </w:p>
    <w:tbl>
      <w:tblPr>
        <w:tblW w:w="10205" w:type="dxa"/>
        <w:jc w:val="center"/>
        <w:tblInd w:w="0" w:type="dxa"/>
        <w:tblLayout w:type="fixed"/>
        <w:tblCellMar>
          <w:top w:w="28" w:type="dxa"/>
          <w:left w:w="28" w:type="dxa"/>
          <w:bottom w:w="28" w:type="dxa"/>
          <w:right w:w="28" w:type="dxa"/>
        </w:tblCellMar>
      </w:tblPr>
      <w:tblGrid>
        <w:gridCol w:w="818"/>
        <w:gridCol w:w="676"/>
        <w:gridCol w:w="605"/>
        <w:gridCol w:w="109"/>
        <w:gridCol w:w="109"/>
        <w:gridCol w:w="109"/>
        <w:gridCol w:w="309"/>
        <w:gridCol w:w="309"/>
        <w:gridCol w:w="310"/>
        <w:gridCol w:w="109"/>
        <w:gridCol w:w="109"/>
        <w:gridCol w:w="109"/>
        <w:gridCol w:w="250"/>
        <w:gridCol w:w="765"/>
        <w:gridCol w:w="130"/>
        <w:gridCol w:w="109"/>
        <w:gridCol w:w="109"/>
        <w:gridCol w:w="109"/>
        <w:gridCol w:w="850"/>
        <w:gridCol w:w="850"/>
        <w:gridCol w:w="852"/>
        <w:gridCol w:w="109"/>
        <w:gridCol w:w="109"/>
        <w:gridCol w:w="109"/>
        <w:gridCol w:w="540"/>
        <w:gridCol w:w="1232"/>
        <w:gridCol w:w="401"/>
      </w:tblGrid>
      <w:tr>
        <w:trPr/>
        <w:tc>
          <w:tcPr>
            <w:tcW w:w="81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Weighted Average Remaining Contractual Term </w:t>
            </w:r>
            <w:r>
              <w:rPr>
                <w:rFonts w:ascii="Arial;sans-serif" w:hAnsi="Arial;sans-serif"/>
                <w:b/>
                <w:color w:val="000000"/>
                <w:sz w:val="16"/>
              </w:rPr>
              <w:t>(yrs)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Aggregate Intrinsic Value </w:t>
            </w:r>
            <w:r>
              <w:rPr>
                <w:rFonts w:ascii="Arial;sans-serif" w:hAnsi="Arial;sans-serif"/>
                <w:b/>
                <w:color w:val="000000"/>
                <w:sz w:val="16"/>
              </w:rPr>
              <w:t>(in thousands)</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to 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summarizes certain additional information with respect to our options:</w:t>
      </w:r>
    </w:p>
    <w:tbl>
      <w:tblPr>
        <w:tblW w:w="6800" w:type="dxa"/>
        <w:jc w:val="center"/>
        <w:tblInd w:w="0" w:type="dxa"/>
        <w:tblLayout w:type="fixed"/>
        <w:tblCellMar>
          <w:top w:w="28" w:type="dxa"/>
          <w:left w:w="28" w:type="dxa"/>
          <w:bottom w:w="28" w:type="dxa"/>
          <w:right w:w="28" w:type="dxa"/>
        </w:tblCellMar>
      </w:tblPr>
      <w:tblGrid>
        <w:gridCol w:w="1587"/>
        <w:gridCol w:w="1394"/>
        <w:gridCol w:w="1398"/>
        <w:gridCol w:w="109"/>
        <w:gridCol w:w="109"/>
        <w:gridCol w:w="109"/>
        <w:gridCol w:w="211"/>
        <w:gridCol w:w="541"/>
        <w:gridCol w:w="109"/>
        <w:gridCol w:w="109"/>
        <w:gridCol w:w="109"/>
        <w:gridCol w:w="109"/>
        <w:gridCol w:w="211"/>
        <w:gridCol w:w="54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option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grant date fair value per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intrinsic value of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restricted stock awards for the year ended December 31, 2025:</w:t>
      </w:r>
    </w:p>
    <w:tbl>
      <w:tblPr>
        <w:tblW w:w="7238" w:type="dxa"/>
        <w:jc w:val="center"/>
        <w:tblInd w:w="0" w:type="dxa"/>
        <w:tblLayout w:type="fixed"/>
        <w:tblCellMar>
          <w:top w:w="28" w:type="dxa"/>
          <w:left w:w="28" w:type="dxa"/>
          <w:bottom w:w="28" w:type="dxa"/>
          <w:right w:w="28" w:type="dxa"/>
        </w:tblCellMar>
      </w:tblPr>
      <w:tblGrid>
        <w:gridCol w:w="1620"/>
        <w:gridCol w:w="1421"/>
        <w:gridCol w:w="1429"/>
        <w:gridCol w:w="109"/>
        <w:gridCol w:w="109"/>
        <w:gridCol w:w="109"/>
        <w:gridCol w:w="329"/>
        <w:gridCol w:w="329"/>
        <w:gridCol w:w="331"/>
        <w:gridCol w:w="109"/>
        <w:gridCol w:w="109"/>
        <w:gridCol w:w="109"/>
        <w:gridCol w:w="234"/>
        <w:gridCol w:w="719"/>
        <w:gridCol w:w="172"/>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47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restricted stock awards is summarized as follows:</w:t>
      </w:r>
    </w:p>
    <w:tbl>
      <w:tblPr>
        <w:tblW w:w="5975"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11"/>
        <w:gridCol w:w="481"/>
        <w:gridCol w:w="109"/>
        <w:gridCol w:w="109"/>
        <w:gridCol w:w="109"/>
        <w:gridCol w:w="109"/>
        <w:gridCol w:w="211"/>
        <w:gridCol w:w="481"/>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RSA’s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Performance-Based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March 17, 2025, our CEO, CFO and the Division Presidents of our three operating segments were granted PSAs totaling 49,098 shares with a grant date value of $0.4 million. These shares vest on the third anniversary of the grant date at a vesting percentage that could range from 0% to 150% of the number of shares awarded on March 17, 2025. The 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F-35</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vesting percentage will be based on the achievement of certain performance metrics related to the percentage of revenue received by us generated by recurring revenue streams for the year ended December 31, 2027, as determined by the Compensation Committee of our Board of Directors. At December 31, 2025, 44,791 shares remain outstanding for the remaining four participants and we have estimated that these shares will vest at 100% of the original amount based on our assessment of the probable achievement against the relevant performance metrics.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6, 2024, our CEO, CFO and the Division Presidents of our three operating segments were granted PSAs totaling 33,539 shares with a grant date value of $0.4 million. These shares vest on the third anniversary of the grant date at a vesting percentage that could range from 0% to 150% of the number of shares awarded on March 6, 2024. The final vesting percentage will be based on the achievement of certain performance metrics related to adjusted EBITDA for the year ended December 31, 2026, as determined by the Compensation Committee of our Board of Directors. At December 31, 2025, 30,597 shares remain outstanding. During 2025, we reduced this probability estimate from 100% to 0% for the remaining four participants based on our current projections for the performance metrics for the relevant measurement period. The adjustment for this award was recorded in general and administrative expense in our Consolidated Statements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January 16, 2024, the newly appointed president of our Process Technologies segment was granted PSAs totaling 8,231 shares with a grant date value of $0.1 million. These shares vest on the third anniversary of the grant date at a vesting percentage that could range from 0% to 150% of the number of shares of restricted stock awarded on January 16, 2024. The final vesting percentage will be based on the achievement of certain performance metrics including revenue and income from operations for specified time periods. During 2025, we reduced this probability estimate from 100% to 0% based on our current projections for the performance metrics for the relevant measurement period. The adjustment for this award was recorded in general and administrative expense in our Consolidated Statements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8, 2023, our CEO, CFO and certain other members of our senior management were granted PSAs, totaling 18,888 shares with a grant date value of $0.3 million. These shares vest on the third anniversary of the grant date at a vesting percentage that could range from 0% to 150% of the number of shares of restricted stock awarded on March 8, 2023. The final vesting percentage will be based on the achievement of certain performance metrics related to consolidated revenue for specified time periods as determined by the Compensation Committee of our Board of Directors. During the second quarter of 2025, we reduced this probability estimate from 50% to 0% based on our projections for the performance metrics for the relevant measurement period at that time. The adjustment for this award was recorded in general and administrative expense in our Consolidated Statements of Operations. At December 31, 2025, 16,605 shares remained outstanding and the probability estimate remained the same.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9, 2022, our CEO and CFO were granted PSAs totaling 20,493 shares. The performance criteria was based on the achievement of certain performance metrics including compound annual revenue growth rate. The probability of achievement was 0% as of December 31, 2024, and on March 9, 2025, none of the performance criteria were achieved, therefore, these PSAs were forfeited.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October 1, 2021, 5,000 PSAs were granted to a member of senior management with a vesting date of January 1, 2025. The performance criteria was based on the achievement of certain financial metrics. The probability of achievement was 0% as of December 31, 2024, and on January 1, 2025, none of the performance criteria were achieved, therefore, these PSAs were forfeited.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June 11, 2025, the president of our Environmental Technologies segment terminated employment with us. He had 5,081 PSAs granted on May 8, 2023, 2,942 PSAs granted on March 6, 2024 and 4,307 PSAs granted on March 17, 2025. The probability of achievement of the May 8, 2023 award was 50% as of March 31, 2025, while the March 6, 2024 and March 17, 2025 awards remained at 100% as of March 31, 2025. Due to the termination, none of the performance criteria were achieved and therefore, 12,330 PSAs were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F-36</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performance-based stock awards for the year December 31, 2025:</w:t>
      </w:r>
    </w:p>
    <w:tbl>
      <w:tblPr>
        <w:tblW w:w="7237" w:type="dxa"/>
        <w:jc w:val="center"/>
        <w:tblInd w:w="0" w:type="dxa"/>
        <w:tblLayout w:type="fixed"/>
        <w:tblCellMar>
          <w:top w:w="28" w:type="dxa"/>
          <w:left w:w="28" w:type="dxa"/>
          <w:bottom w:w="28" w:type="dxa"/>
          <w:right w:w="28" w:type="dxa"/>
        </w:tblCellMar>
      </w:tblPr>
      <w:tblGrid>
        <w:gridCol w:w="1618"/>
        <w:gridCol w:w="1424"/>
        <w:gridCol w:w="1427"/>
        <w:gridCol w:w="109"/>
        <w:gridCol w:w="109"/>
        <w:gridCol w:w="109"/>
        <w:gridCol w:w="329"/>
        <w:gridCol w:w="329"/>
        <w:gridCol w:w="331"/>
        <w:gridCol w:w="109"/>
        <w:gridCol w:w="109"/>
        <w:gridCol w:w="109"/>
        <w:gridCol w:w="234"/>
        <w:gridCol w:w="719"/>
        <w:gridCol w:w="172"/>
      </w:tblGrid>
      <w:tr>
        <w:trPr/>
        <w:tc>
          <w:tcPr>
            <w:tcW w:w="16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Performance-Based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46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performance-based restricted stock awards is summarized as follows:</w:t>
      </w:r>
    </w:p>
    <w:tbl>
      <w:tblPr>
        <w:tblW w:w="5900"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11"/>
        <w:gridCol w:w="406"/>
        <w:gridCol w:w="109"/>
        <w:gridCol w:w="109"/>
        <w:gridCol w:w="109"/>
        <w:gridCol w:w="109"/>
        <w:gridCol w:w="211"/>
        <w:gridCol w:w="481"/>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PSA’s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Restricted Stock Units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began granting restricted stock units to certain employees in 2025. The following table summarizes the activity related to unvested restricted stock units for the year December 31, 2025:</w:t>
      </w:r>
    </w:p>
    <w:tbl>
      <w:tblPr>
        <w:tblW w:w="6924" w:type="dxa"/>
        <w:jc w:val="center"/>
        <w:tblInd w:w="0" w:type="dxa"/>
        <w:tblLayout w:type="fixed"/>
        <w:tblCellMar>
          <w:top w:w="28" w:type="dxa"/>
          <w:left w:w="28" w:type="dxa"/>
          <w:bottom w:w="28" w:type="dxa"/>
          <w:right w:w="28" w:type="dxa"/>
        </w:tblCellMar>
      </w:tblPr>
      <w:tblGrid>
        <w:gridCol w:w="1561"/>
        <w:gridCol w:w="1368"/>
        <w:gridCol w:w="1376"/>
        <w:gridCol w:w="109"/>
        <w:gridCol w:w="109"/>
        <w:gridCol w:w="109"/>
        <w:gridCol w:w="280"/>
        <w:gridCol w:w="280"/>
        <w:gridCol w:w="281"/>
        <w:gridCol w:w="109"/>
        <w:gridCol w:w="109"/>
        <w:gridCol w:w="109"/>
        <w:gridCol w:w="261"/>
        <w:gridCol w:w="671"/>
        <w:gridCol w:w="192"/>
      </w:tblGrid>
      <w:tr>
        <w:trPr/>
        <w:tc>
          <w:tcPr>
            <w:tcW w:w="15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3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units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units outstanding,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 restricted stock units vested during the year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(15)    EMPLOYEE STOCK PURCHASE PLAN</w:t>
      </w:r>
    </w:p>
    <w:p>
      <w:pPr>
        <w:pStyle w:val="TextBody"/>
        <w:bidi w:val="0"/>
        <w:spacing w:lineRule="auto" w:line="288" w:before="0" w:after="200"/>
        <w:jc w:val="left"/>
        <w:rPr/>
      </w:pPr>
      <w:r>
        <w:rPr>
          <w:rFonts w:ascii="Arial;sans-serif" w:hAnsi="Arial;sans-serif"/>
          <w:b w:val="false"/>
          <w:color w:val="000000"/>
          <w:sz w:val="20"/>
        </w:rPr>
        <w:t>The InTest Corporation Employee Stock Purchase Plan (the “</w:t>
      </w:r>
      <w:r>
        <w:rPr>
          <w:rFonts w:ascii="Arial;sans-serif" w:hAnsi="Arial;sans-serif"/>
          <w:b/>
          <w:color w:val="000000"/>
          <w:sz w:val="20"/>
          <w:u w:val="single"/>
        </w:rPr>
        <w:t>ESPP</w:t>
      </w:r>
      <w:r>
        <w:rPr>
          <w:color w:val="000000"/>
        </w:rPr>
        <w:t>”</w:t>
      </w:r>
      <w:r>
        <w:rPr>
          <w:rFonts w:ascii="Arial;sans-serif" w:hAnsi="Arial;sans-serif"/>
          <w:b w:val="false"/>
          <w:color w:val="000000"/>
          <w:sz w:val="20"/>
        </w:rPr>
        <w:t>) was adopted by the Board in April 2021 subject to approval by our stockholders, which occurred on June 23, 2021, at our Annual Meeting of Stockholders and became effective on October 1, 2021.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ESPP provides our eligible employees with an opportunity to purchase common stock through accumulated payroll deductions at a 15% discount from the closing market price on the purchase date. The discount is recorded as a component of compensation expense in our Consolidated Statements of Operations. 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F-37</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activity in our ESPP was as follows:</w:t>
      </w:r>
    </w:p>
    <w:tbl>
      <w:tblPr>
        <w:tblW w:w="5958" w:type="dxa"/>
        <w:jc w:val="center"/>
        <w:tblInd w:w="0" w:type="dxa"/>
        <w:tblLayout w:type="fixed"/>
        <w:tblCellMar>
          <w:top w:w="28" w:type="dxa"/>
          <w:left w:w="28" w:type="dxa"/>
          <w:bottom w:w="28" w:type="dxa"/>
          <w:right w:w="28" w:type="dxa"/>
        </w:tblCellMar>
      </w:tblPr>
      <w:tblGrid>
        <w:gridCol w:w="1280"/>
        <w:gridCol w:w="1127"/>
        <w:gridCol w:w="1132"/>
        <w:gridCol w:w="109"/>
        <w:gridCol w:w="109"/>
        <w:gridCol w:w="109"/>
        <w:gridCol w:w="228"/>
        <w:gridCol w:w="523"/>
        <w:gridCol w:w="109"/>
        <w:gridCol w:w="109"/>
        <w:gridCol w:w="109"/>
        <w:gridCol w:w="109"/>
        <w:gridCol w:w="228"/>
        <w:gridCol w:w="523"/>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 -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per share prices related to the ESPP purchases were as follows:</w:t>
      </w:r>
    </w:p>
    <w:tbl>
      <w:tblPr>
        <w:tblW w:w="6129" w:type="dxa"/>
        <w:jc w:val="center"/>
        <w:tblInd w:w="0" w:type="dxa"/>
        <w:tblLayout w:type="fixed"/>
        <w:tblCellMar>
          <w:top w:w="28" w:type="dxa"/>
          <w:left w:w="28" w:type="dxa"/>
          <w:bottom w:w="28" w:type="dxa"/>
          <w:right w:w="28" w:type="dxa"/>
        </w:tblCellMar>
      </w:tblPr>
      <w:tblGrid>
        <w:gridCol w:w="679"/>
        <w:gridCol w:w="596"/>
        <w:gridCol w:w="600"/>
        <w:gridCol w:w="109"/>
        <w:gridCol w:w="109"/>
        <w:gridCol w:w="109"/>
        <w:gridCol w:w="500"/>
        <w:gridCol w:w="1282"/>
        <w:gridCol w:w="258"/>
        <w:gridCol w:w="109"/>
        <w:gridCol w:w="109"/>
        <w:gridCol w:w="109"/>
        <w:gridCol w:w="362"/>
        <w:gridCol w:w="931"/>
        <w:gridCol w:w="267"/>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Closing Market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Purchase Price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25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6.35 </w:t>
            </w:r>
          </w:p>
        </w:tc>
        <w:tc>
          <w:tcPr>
            <w:tcW w:w="2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(16)    RESTRUCTURING</w:t>
      </w:r>
    </w:p>
    <w:p>
      <w:pPr>
        <w:pStyle w:val="TextBody"/>
        <w:bidi w:val="0"/>
        <w:spacing w:lineRule="auto" w:line="288" w:before="0" w:after="200"/>
        <w:jc w:val="left"/>
        <w:rPr/>
      </w:pPr>
      <w:r>
        <w:rPr>
          <w:rFonts w:ascii="Arial;sans-serif" w:hAnsi="Arial;sans-serif"/>
          <w:b w:val="false"/>
          <w:color w:val="000000"/>
          <w:sz w:val="20"/>
        </w:rPr>
        <w:t>On February 25, 2025, we notified employees of our wholly-owned subsidiary, Videology Imaging Corporation, of our intention to consolidate all operations in the Netherlands into our facility located in Mansfield, Massachusetts (the “</w:t>
      </w:r>
      <w:r>
        <w:rPr>
          <w:rFonts w:ascii="Arial;sans-serif" w:hAnsi="Arial;sans-serif"/>
          <w:b/>
          <w:color w:val="000000"/>
          <w:sz w:val="20"/>
          <w:u w:val="single"/>
        </w:rPr>
        <w:t>Videology Consolidation</w:t>
      </w:r>
      <w:r>
        <w:rPr>
          <w:color w:val="000000"/>
        </w:rPr>
        <w:t>”</w:t>
      </w:r>
      <w:r>
        <w:rPr>
          <w:rFonts w:ascii="Arial;sans-serif" w:hAnsi="Arial;sans-serif"/>
          <w:b w:val="false"/>
          <w:color w:val="000000"/>
          <w:sz w:val="20"/>
        </w:rPr>
        <w:t>). Videology</w:t>
      </w:r>
      <w:r>
        <w:rPr>
          <w:rFonts w:ascii="Arial;sans-serif" w:hAnsi="Arial;sans-serif"/>
          <w:b w:val="false"/>
          <w:color w:val="000000"/>
          <w:sz w:val="13"/>
        </w:rPr>
        <w:t xml:space="preserve">® </w:t>
      </w:r>
      <w:r>
        <w:rPr>
          <w:rFonts w:ascii="Arial;sans-serif" w:hAnsi="Arial;sans-serif"/>
          <w:b w:val="false"/>
          <w:color w:val="000000"/>
          <w:sz w:val="20"/>
        </w:rPr>
        <w:t>is included in our Process Technologies segment. This plan resulted in the closure of the Netherlands facility and the termination of certain employees at that location. The Videology Consolidation of the Netherlands operations was undertaken to increase efficiencies and lower operating costs associated with the current operation of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was substantially completed by the end of 2025 at which point we vacated the Netherlands facility.</w:t>
      </w:r>
    </w:p>
    <w:p>
      <w:pPr>
        <w:pStyle w:val="TextBody"/>
        <w:bidi w:val="0"/>
        <w:spacing w:lineRule="auto" w:line="288" w:before="0" w:after="200"/>
        <w:jc w:val="left"/>
        <w:rPr/>
      </w:pPr>
      <w:r>
        <w:rPr>
          <w:rFonts w:ascii="Arial;sans-serif" w:hAnsi="Arial;sans-serif"/>
          <w:b w:val="false"/>
          <w:color w:val="000000"/>
          <w:sz w:val="20"/>
        </w:rPr>
        <w:t>On June 11, 2025, we transitioned leadership of our Environmental Technologies segment (the “</w:t>
      </w:r>
      <w:r>
        <w:rPr>
          <w:rFonts w:ascii="Arial;sans-serif" w:hAnsi="Arial;sans-serif"/>
          <w:b/>
          <w:color w:val="000000"/>
          <w:sz w:val="20"/>
          <w:u w:val="single"/>
        </w:rPr>
        <w:t>Environmental Transition</w:t>
      </w:r>
      <w:r>
        <w:rPr>
          <w:color w:val="000000"/>
        </w:rPr>
        <w:t>”</w:t>
      </w:r>
      <w:r>
        <w:rPr>
          <w:rFonts w:ascii="Arial;sans-serif" w:hAnsi="Arial;sans-serif"/>
          <w:b w:val="false"/>
          <w:color w:val="000000"/>
          <w:sz w:val="20"/>
        </w:rPr>
        <w:t>), appointing a new President. We incurred severance and payroll related costs for the outgoing President related to the Environmental Transition. As of December 31, 2025 this action has been completed.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charges for both these actions have been aggregated as restructuring costs within our Consolidated Statement of Operations. While we have substantially completed the Videology Consolidation, we expect to incur facility costs on the remaining lease until the earlier of lease termination or expiry of approximately $0.3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F-38</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recognized restructuring costs related to these actions as follows:</w:t>
      </w:r>
    </w:p>
    <w:tbl>
      <w:tblPr>
        <w:tblW w:w="6701" w:type="dxa"/>
        <w:jc w:val="center"/>
        <w:tblInd w:w="0" w:type="dxa"/>
        <w:tblLayout w:type="fixed"/>
        <w:tblCellMar>
          <w:top w:w="28" w:type="dxa"/>
          <w:left w:w="28" w:type="dxa"/>
          <w:bottom w:w="28" w:type="dxa"/>
          <w:right w:w="28" w:type="dxa"/>
        </w:tblCellMar>
      </w:tblPr>
      <w:tblGrid>
        <w:gridCol w:w="1792"/>
        <w:gridCol w:w="1583"/>
        <w:gridCol w:w="1590"/>
        <w:gridCol w:w="109"/>
        <w:gridCol w:w="109"/>
        <w:gridCol w:w="109"/>
        <w:gridCol w:w="352"/>
        <w:gridCol w:w="801"/>
        <w:gridCol w:w="256"/>
      </w:tblGrid>
      <w:tr>
        <w:trPr/>
        <w:tc>
          <w:tcPr>
            <w:tcW w:w="179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Videology 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charges related to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Process Technologies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portion of action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Videology Consolidation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Environmental Transition: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Environmental Technologies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portion of action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Environmental Transition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consolidated 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2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Our restructuring accrual is included as a component of accrued expenses and other current liabilities:</w:t>
      </w:r>
    </w:p>
    <w:tbl>
      <w:tblPr>
        <w:tblW w:w="6221"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352"/>
        <w:gridCol w:w="801"/>
        <w:gridCol w:w="256"/>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 Ended</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Non cash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(17)    EMPLOYEE BENEFIT PLANS</w:t>
      </w:r>
    </w:p>
    <w:p>
      <w:pPr>
        <w:pStyle w:val="TextBody"/>
        <w:bidi w:val="0"/>
        <w:spacing w:lineRule="auto" w:line="288" w:before="0" w:after="200"/>
        <w:jc w:val="left"/>
        <w:rPr/>
      </w:pPr>
      <w:r>
        <w:rPr>
          <w:rFonts w:ascii="Arial;sans-serif" w:hAnsi="Arial;sans-serif"/>
          <w:b w:val="false"/>
          <w:color w:val="000000"/>
          <w:sz w:val="20"/>
        </w:rPr>
        <w:t>The InTest Corporation Incentive Savings Plan is a defined contribution 401(k) plan for our employees who work in the U.S. (the “</w:t>
      </w:r>
      <w:r>
        <w:rPr>
          <w:rFonts w:ascii="Arial;sans-serif" w:hAnsi="Arial;sans-serif"/>
          <w:b/>
          <w:color w:val="000000"/>
          <w:sz w:val="20"/>
          <w:u w:val="single"/>
        </w:rPr>
        <w:t>InTest Savings Plan</w:t>
      </w:r>
      <w:r>
        <w:rPr>
          <w:color w:val="000000"/>
        </w:rPr>
        <w:t>”</w:t>
      </w:r>
      <w:r>
        <w:rPr>
          <w:rFonts w:ascii="Arial;sans-serif" w:hAnsi="Arial;sans-serif"/>
          <w:b w:val="false"/>
          <w:color w:val="000000"/>
          <w:sz w:val="20"/>
        </w:rPr>
        <w:t>). As of December 31, 2025, all permanent employees of Acculogic Ltd, Ambrell</w:t>
      </w:r>
      <w:r>
        <w:rPr>
          <w:rFonts w:ascii="Arial;sans-serif" w:hAnsi="Arial;sans-serif"/>
          <w:b w:val="false"/>
          <w:color w:val="000000"/>
          <w:sz w:val="13"/>
        </w:rPr>
        <w:t>®</w:t>
      </w:r>
      <w:r>
        <w:rPr>
          <w:rFonts w:ascii="Arial;sans-serif" w:hAnsi="Arial;sans-serif"/>
          <w:b w:val="false"/>
          <w:color w:val="000000"/>
          <w:sz w:val="20"/>
        </w:rPr>
        <w:t>, InTest Corporation, InTest EMS LLC, Temptronic Corporation and Videology</w:t>
      </w:r>
      <w:r>
        <w:rPr>
          <w:rFonts w:ascii="Arial;sans-serif" w:hAnsi="Arial;sans-serif"/>
          <w:b w:val="false"/>
          <w:color w:val="000000"/>
          <w:sz w:val="13"/>
        </w:rPr>
        <w:t>®</w:t>
      </w:r>
      <w:r>
        <w:rPr>
          <w:rFonts w:ascii="Arial;sans-serif" w:hAnsi="Arial;sans-serif"/>
          <w:b w:val="false"/>
          <w:color w:val="000000"/>
          <w:sz w:val="20"/>
        </w:rPr>
        <w:t>, who are at least 18 years of age, are eligible to participate in the InTest Savings Plan. We match employee contributions dollar for dollar up to 10% of the employee's annual compensation, with a maximum limit of $5 thousand. Employer contributions vest ratably over four years. Matching contributions are discretionary.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F-39</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recorded expense for matching contributions as follows:</w:t>
      </w:r>
    </w:p>
    <w:tbl>
      <w:tblPr>
        <w:tblW w:w="6441" w:type="dxa"/>
        <w:jc w:val="center"/>
        <w:tblInd w:w="0" w:type="dxa"/>
        <w:tblLayout w:type="fixed"/>
        <w:tblCellMar>
          <w:top w:w="28" w:type="dxa"/>
          <w:left w:w="28" w:type="dxa"/>
          <w:bottom w:w="28" w:type="dxa"/>
          <w:right w:w="28" w:type="dxa"/>
        </w:tblCellMar>
      </w:tblPr>
      <w:tblGrid>
        <w:gridCol w:w="1497"/>
        <w:gridCol w:w="1320"/>
        <w:gridCol w:w="1323"/>
        <w:gridCol w:w="109"/>
        <w:gridCol w:w="109"/>
        <w:gridCol w:w="109"/>
        <w:gridCol w:w="211"/>
        <w:gridCol w:w="481"/>
        <w:gridCol w:w="109"/>
        <w:gridCol w:w="109"/>
        <w:gridCol w:w="109"/>
        <w:gridCol w:w="109"/>
        <w:gridCol w:w="211"/>
        <w:gridCol w:w="481"/>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Discretionary employer matching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Employees of Alfamation</w:t>
      </w:r>
      <w:r>
        <w:rPr>
          <w:color w:val="000000"/>
        </w:rPr>
        <w:t xml:space="preserve">™ </w:t>
      </w:r>
      <w:r>
        <w:rPr>
          <w:rFonts w:ascii="Arial;sans-serif" w:hAnsi="Arial;sans-serif"/>
          <w:b w:val="false"/>
          <w:color w:val="000000"/>
          <w:sz w:val="20"/>
        </w:rPr>
        <w:t>in Italy are entitled to Trattamento di Fine Rapporto (“</w:t>
      </w:r>
      <w:r>
        <w:rPr>
          <w:rFonts w:ascii="Arial;sans-serif" w:hAnsi="Arial;sans-serif"/>
          <w:b/>
          <w:color w:val="000000"/>
          <w:sz w:val="20"/>
          <w:u w:val="single"/>
        </w:rPr>
        <w:t>TFR</w:t>
      </w:r>
      <w:r>
        <w:rPr>
          <w:color w:val="000000"/>
        </w:rPr>
        <w:t>”</w:t>
      </w:r>
      <w:r>
        <w:rPr>
          <w:rFonts w:ascii="Arial;sans-serif" w:hAnsi="Arial;sans-serif"/>
          <w:b w:val="false"/>
          <w:color w:val="000000"/>
          <w:sz w:val="20"/>
        </w:rPr>
        <w:t>),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as a component of payroll-related costs in our Consolidated Statements of Operations and the required accrual is included in other liabilities on our Consolidated Balance Sheets. At December 31, 2025, the amount recorded in other liabilities for TFR was $1.6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(18)    INCOME TAXES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are subject to Federal and certain state income taxes. In addition, we are taxed in certain foreign countries.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components of (loss) earnings before income taxes were as follows:</w:t>
      </w:r>
    </w:p>
    <w:tbl>
      <w:tblPr>
        <w:tblW w:w="6411" w:type="dxa"/>
        <w:jc w:val="center"/>
        <w:tblInd w:w="0" w:type="dxa"/>
        <w:tblLayout w:type="fixed"/>
        <w:tblCellMar>
          <w:top w:w="28" w:type="dxa"/>
          <w:left w:w="28" w:type="dxa"/>
          <w:bottom w:w="28" w:type="dxa"/>
          <w:right w:w="28" w:type="dxa"/>
        </w:tblCellMar>
      </w:tblPr>
      <w:tblGrid>
        <w:gridCol w:w="1345"/>
        <w:gridCol w:w="1186"/>
        <w:gridCol w:w="1189"/>
        <w:gridCol w:w="109"/>
        <w:gridCol w:w="109"/>
        <w:gridCol w:w="109"/>
        <w:gridCol w:w="211"/>
        <w:gridCol w:w="706"/>
        <w:gridCol w:w="109"/>
        <w:gridCol w:w="109"/>
        <w:gridCol w:w="109"/>
        <w:gridCol w:w="109"/>
        <w:gridCol w:w="211"/>
        <w:gridCol w:w="646"/>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(loss) 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components of income tax (benefit) expense were as follows:</w:t>
      </w:r>
    </w:p>
    <w:tbl>
      <w:tblPr>
        <w:tblW w:w="5661" w:type="dxa"/>
        <w:jc w:val="center"/>
        <w:tblInd w:w="0" w:type="dxa"/>
        <w:tblLayout w:type="fixed"/>
        <w:tblCellMar>
          <w:top w:w="28" w:type="dxa"/>
          <w:left w:w="28" w:type="dxa"/>
          <w:bottom w:w="28" w:type="dxa"/>
          <w:right w:w="28" w:type="dxa"/>
        </w:tblCellMar>
      </w:tblPr>
      <w:tblGrid>
        <w:gridCol w:w="1133"/>
        <w:gridCol w:w="999"/>
        <w:gridCol w:w="1003"/>
        <w:gridCol w:w="109"/>
        <w:gridCol w:w="109"/>
        <w:gridCol w:w="109"/>
        <w:gridCol w:w="211"/>
        <w:gridCol w:w="541"/>
        <w:gridCol w:w="109"/>
        <w:gridCol w:w="109"/>
        <w:gridCol w:w="109"/>
        <w:gridCol w:w="109"/>
        <w:gridCol w:w="211"/>
        <w:gridCol w:w="64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Domestic –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Domestic –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Domestic –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Domestic – 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Deferred income taxes reflect the net tax effect of net operating loss and tax credit carryforwards as well as temporary differences between the carrying amount of assets and liabilities for financial reporting purposes and the amounts used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F-40</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income tax purposes. The following summarizes the significant components of our deferred tax assets and liabilities at December 31, 2025 and 2024:</w:t>
      </w:r>
    </w:p>
    <w:tbl>
      <w:tblPr>
        <w:tblW w:w="7416" w:type="dxa"/>
        <w:jc w:val="center"/>
        <w:tblInd w:w="0" w:type="dxa"/>
        <w:tblLayout w:type="fixed"/>
        <w:tblCellMar>
          <w:top w:w="28" w:type="dxa"/>
          <w:left w:w="28" w:type="dxa"/>
          <w:bottom w:w="28" w:type="dxa"/>
          <w:right w:w="28" w:type="dxa"/>
        </w:tblCellMar>
      </w:tblPr>
      <w:tblGrid>
        <w:gridCol w:w="1730"/>
        <w:gridCol w:w="1525"/>
        <w:gridCol w:w="1530"/>
        <w:gridCol w:w="109"/>
        <w:gridCol w:w="109"/>
        <w:gridCol w:w="109"/>
        <w:gridCol w:w="211"/>
        <w:gridCol w:w="646"/>
        <w:gridCol w:w="109"/>
        <w:gridCol w:w="109"/>
        <w:gridCol w:w="109"/>
        <w:gridCol w:w="109"/>
        <w:gridCol w:w="211"/>
        <w:gridCol w:w="646"/>
        <w:gridCol w:w="154"/>
      </w:tblGrid>
      <w:tr>
        <w:trPr/>
        <w:tc>
          <w:tcPr>
            <w:tcW w:w="173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operating loss (domestic and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vacation pay and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credit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tax credit carryforwards which expire in various years through 2045.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not recognized any deferred taxes related to unremitted earnings from our international subsidiaries as these earnings will be indefinitely reinvested, including in relation to Alfamation Italy. We plan to distribute earnings from our German subsidiary, but have taken action to ensure zero withholding tax will be applicable. Therefore, no deferred tax liability has been recorded related to our unremitted earnings.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December 31, 2025, we had research and development tax credits of $0.1 million which expire in 2045 and foreign tax credits of $0.3 million which expire in 2035. We believe it is more likely than not that results of future operations will generate sufficient taxable income to utilize these credits.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reconciliations between our effective tax rate and the expected statutory rate of 21% for the years ended December 31, 2025 and 2024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F-41</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tbl>
      <w:tblPr>
        <w:tblW w:w="10205" w:type="dxa"/>
        <w:jc w:val="center"/>
        <w:tblInd w:w="0" w:type="dxa"/>
        <w:tblLayout w:type="fixed"/>
        <w:tblCellMar>
          <w:top w:w="28" w:type="dxa"/>
          <w:left w:w="28" w:type="dxa"/>
          <w:bottom w:w="28" w:type="dxa"/>
          <w:right w:w="28" w:type="dxa"/>
        </w:tblCellMar>
      </w:tblPr>
      <w:tblGrid>
        <w:gridCol w:w="1977"/>
        <w:gridCol w:w="1648"/>
        <w:gridCol w:w="1655"/>
        <w:gridCol w:w="117"/>
        <w:gridCol w:w="117"/>
        <w:gridCol w:w="117"/>
        <w:gridCol w:w="264"/>
        <w:gridCol w:w="264"/>
        <w:gridCol w:w="151"/>
        <w:gridCol w:w="151"/>
        <w:gridCol w:w="151"/>
        <w:gridCol w:w="151"/>
        <w:gridCol w:w="258"/>
        <w:gridCol w:w="261"/>
        <w:gridCol w:w="430"/>
        <w:gridCol w:w="117"/>
        <w:gridCol w:w="117"/>
        <w:gridCol w:w="117"/>
        <w:gridCol w:w="262"/>
        <w:gridCol w:w="265"/>
        <w:gridCol w:w="149"/>
        <w:gridCol w:w="149"/>
        <w:gridCol w:w="149"/>
        <w:gridCol w:w="149"/>
        <w:gridCol w:w="258"/>
        <w:gridCol w:w="261"/>
        <w:gridCol w:w="500"/>
      </w:tblGrid>
      <w:tr>
        <w:trPr/>
        <w:tc>
          <w:tcPr>
            <w:tcW w:w="197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5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 in thousands)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Expected income tax at U.S. federal statutory rate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1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4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726 </w:t>
            </w:r>
          </w:p>
        </w:tc>
        <w:tc>
          <w:tcPr>
            <w:tcW w:w="14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5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State and local income taxes, net of federal income tax effect*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Foreign tax effects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Netherlands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Statutory tax rate difference between Netherlands and the U.S.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Germany</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Statutory tax rate difference between Germany and the U.S.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Italy</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Statutory tax rate difference between Italy and the U.S.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Malaysia</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Statutory tax rate difference between Malaysia and the U.S.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Statutory tax rate difference between the U.K. and the U.S.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Statutory tax rate difference between Canada and the U.S.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foreign jurisdictions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Effect of changes in tax laws or rates enacted in the current period</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Effect of cross-border tax laws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Subpart F income for foreign subsidiaries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Section 250 foreign-derived intangible income deduction</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Tax credits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Research and development tax credits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tax credits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Changes in U.S. valuation allowances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Nontaxable or nondeductible items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awards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Federal provision-to-return adjustments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Acquisition costs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Changes in unrecognized tax benefits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Federal income tax benefit adjustment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Other adjustments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Effective income tax (benefit) expense**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 State taxes in CA, NJ, TN and TX made up the majority (greater than 50%) of the tax effect in this category in 2025; CA, MI, MA, NJ and TN in 2024.</w:t>
            </w:r>
          </w:p>
        </w:tc>
      </w:tr>
      <w:tr>
        <w:trPr/>
        <w:tc>
          <w:tcPr>
            <w:tcW w:w="5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 sum of percentages may not add due to rounding</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F-42</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December 31, 2025 and 2024, we did not have an accrual for uncertain tax positions.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file U.S. income tax returns and multiple state and foreign income tax returns. With few exceptions, the U.S. and state income tax returns filed for the tax years ended December 31, 2022 and thereafter are subject to examination by the relevant taxing authorities. As of December 31, 2025, we have federal net operating losses of $4.1 million inclusive of $0.4 million which is subject to a Section 382 limitation and will begin to expire in 2032 if not utilized. The remaining $3.7 million can be carried forward indefinitely subject to an annual 80% limitation. We have state net operating losses of $1.7 million which will begin to expire in 2027.</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Jurisdictions where cash paid for income taxes equal to or greater than 5% of the total income taxes paid (net of refunds received) were as follows:</w:t>
      </w:r>
    </w:p>
    <w:tbl>
      <w:tblPr>
        <w:tblW w:w="6726" w:type="dxa"/>
        <w:jc w:val="center"/>
        <w:tblInd w:w="0" w:type="dxa"/>
        <w:tblLayout w:type="fixed"/>
        <w:tblCellMar>
          <w:top w:w="28" w:type="dxa"/>
          <w:left w:w="28" w:type="dxa"/>
          <w:bottom w:w="28" w:type="dxa"/>
          <w:right w:w="28" w:type="dxa"/>
        </w:tblCellMar>
      </w:tblPr>
      <w:tblGrid>
        <w:gridCol w:w="1540"/>
        <w:gridCol w:w="1359"/>
        <w:gridCol w:w="1361"/>
        <w:gridCol w:w="109"/>
        <w:gridCol w:w="109"/>
        <w:gridCol w:w="109"/>
        <w:gridCol w:w="211"/>
        <w:gridCol w:w="481"/>
        <w:gridCol w:w="109"/>
        <w:gridCol w:w="109"/>
        <w:gridCol w:w="109"/>
        <w:gridCol w:w="109"/>
        <w:gridCol w:w="211"/>
        <w:gridCol w:w="646"/>
        <w:gridCol w:w="154"/>
      </w:tblGrid>
      <w:tr>
        <w:trPr/>
        <w:tc>
          <w:tcPr>
            <w:tcW w:w="154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 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 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 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income taxes paid net of refunds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F-43</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(19)    SEGMENT AND GEOGRAPHIC AREA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following tables present our results of operations by reportable segment as reconciled to consolidated net (loss) earnings before income tax (benefit) expense: </w:t>
      </w:r>
    </w:p>
    <w:tbl>
      <w:tblPr>
        <w:tblW w:w="10205" w:type="dxa"/>
        <w:jc w:val="center"/>
        <w:tblInd w:w="0" w:type="dxa"/>
        <w:tblLayout w:type="fixed"/>
        <w:tblCellMar>
          <w:top w:w="28" w:type="dxa"/>
          <w:left w:w="28" w:type="dxa"/>
          <w:bottom w:w="28" w:type="dxa"/>
          <w:right w:w="28" w:type="dxa"/>
        </w:tblCellMar>
      </w:tblPr>
      <w:tblGrid>
        <w:gridCol w:w="945"/>
        <w:gridCol w:w="663"/>
        <w:gridCol w:w="664"/>
        <w:gridCol w:w="238"/>
        <w:gridCol w:w="816"/>
        <w:gridCol w:w="123"/>
        <w:gridCol w:w="109"/>
        <w:gridCol w:w="109"/>
        <w:gridCol w:w="109"/>
        <w:gridCol w:w="365"/>
        <w:gridCol w:w="1253"/>
        <w:gridCol w:w="191"/>
        <w:gridCol w:w="109"/>
        <w:gridCol w:w="109"/>
        <w:gridCol w:w="109"/>
        <w:gridCol w:w="252"/>
        <w:gridCol w:w="862"/>
        <w:gridCol w:w="132"/>
        <w:gridCol w:w="109"/>
        <w:gridCol w:w="109"/>
        <w:gridCol w:w="109"/>
        <w:gridCol w:w="217"/>
        <w:gridCol w:w="782"/>
        <w:gridCol w:w="112"/>
        <w:gridCol w:w="109"/>
        <w:gridCol w:w="109"/>
        <w:gridCol w:w="109"/>
        <w:gridCol w:w="226"/>
        <w:gridCol w:w="884"/>
        <w:gridCol w:w="172"/>
      </w:tblGrid>
      <w:tr>
        <w:trPr/>
        <w:tc>
          <w:tcPr>
            <w:tcW w:w="94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Year Ended December 31, 2025</w:t>
            </w:r>
          </w:p>
        </w:tc>
      </w:tr>
      <w:tr>
        <w:trPr/>
        <w:tc>
          <w:tcPr>
            <w:tcW w:w="2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Process </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Corporate &amp; </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56,194 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29,294 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113,825 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18,304 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64,905 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6,970</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1,955</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431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9,356</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6,970</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1,955</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431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(13,081)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(3,725)</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expense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6,970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1,955</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431</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(12,578)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(3,222)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76,012 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22,571 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151,313 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2"/>
        <w:gridCol w:w="661"/>
        <w:gridCol w:w="662"/>
        <w:gridCol w:w="238"/>
        <w:gridCol w:w="817"/>
        <w:gridCol w:w="123"/>
        <w:gridCol w:w="109"/>
        <w:gridCol w:w="109"/>
        <w:gridCol w:w="109"/>
        <w:gridCol w:w="366"/>
        <w:gridCol w:w="1256"/>
        <w:gridCol w:w="192"/>
        <w:gridCol w:w="109"/>
        <w:gridCol w:w="109"/>
        <w:gridCol w:w="109"/>
        <w:gridCol w:w="252"/>
        <w:gridCol w:w="862"/>
        <w:gridCol w:w="132"/>
        <w:gridCol w:w="109"/>
        <w:gridCol w:w="109"/>
        <w:gridCol w:w="109"/>
        <w:gridCol w:w="217"/>
        <w:gridCol w:w="783"/>
        <w:gridCol w:w="112"/>
        <w:gridCol w:w="109"/>
        <w:gridCol w:w="109"/>
        <w:gridCol w:w="109"/>
        <w:gridCol w:w="226"/>
        <w:gridCol w:w="884"/>
        <w:gridCol w:w="172"/>
      </w:tblGrid>
      <w:tr>
        <w:trPr/>
        <w:tc>
          <w:tcPr>
            <w:tcW w:w="94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Year Ended December 31, 2024</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Process </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Corporate &amp; </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63,878 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28,898 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37,914 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130,690 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75,266 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8,732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2,116</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4,972</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15,820</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8,732</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2,116</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4,972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(12,426)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3,394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8,732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2,116</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4,972</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(12,366)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3,454</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75,671 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50,921 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152,288 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F-44</w:t>
                      </w:r>
                    </w:p>
                  </w:txbxContent>
                </v:textbox>
                <w10:wrap type="none"/>
              </v:rect>
            </w:pict>
          </mc:Fallback>
        </mc:AlternateContent>
      </w:r>
    </w:p>
    <w:p>
      <w:pPr>
        <w:pStyle w:val="TextBody"/>
        <w:bidi w:val="0"/>
        <w:spacing w:lineRule="auto" w:line="288" w:before="0" w:after="160"/>
        <w:jc w:val="left"/>
        <w:rPr/>
      </w:pPr>
      <w:hyperlink w:anchor="ic48d90a8909c40e38470f605b7a7d73f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information about our geographic areas of operation. Revenue is based on the location to which the goods are shipped.</w:t>
      </w:r>
    </w:p>
    <w:tbl>
      <w:tblPr>
        <w:tblW w:w="4356" w:type="dxa"/>
        <w:jc w:val="center"/>
        <w:tblInd w:w="0" w:type="dxa"/>
        <w:tblLayout w:type="fixed"/>
        <w:tblCellMar>
          <w:top w:w="28" w:type="dxa"/>
          <w:left w:w="28" w:type="dxa"/>
          <w:bottom w:w="28" w:type="dxa"/>
          <w:right w:w="28" w:type="dxa"/>
        </w:tblCellMar>
      </w:tblPr>
      <w:tblGrid>
        <w:gridCol w:w="472"/>
        <w:gridCol w:w="416"/>
        <w:gridCol w:w="417"/>
        <w:gridCol w:w="109"/>
        <w:gridCol w:w="109"/>
        <w:gridCol w:w="109"/>
        <w:gridCol w:w="211"/>
        <w:gridCol w:w="856"/>
        <w:gridCol w:w="109"/>
        <w:gridCol w:w="109"/>
        <w:gridCol w:w="109"/>
        <w:gridCol w:w="109"/>
        <w:gridCol w:w="211"/>
        <w:gridCol w:w="856"/>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113,825 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130,690 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86" w:type="dxa"/>
        <w:jc w:val="center"/>
        <w:tblInd w:w="0" w:type="dxa"/>
        <w:tblLayout w:type="fixed"/>
        <w:tblCellMar>
          <w:top w:w="28" w:type="dxa"/>
          <w:left w:w="28" w:type="dxa"/>
          <w:bottom w:w="28" w:type="dxa"/>
          <w:right w:w="28" w:type="dxa"/>
        </w:tblCellMar>
      </w:tblPr>
      <w:tblGrid>
        <w:gridCol w:w="959"/>
        <w:gridCol w:w="847"/>
        <w:gridCol w:w="849"/>
        <w:gridCol w:w="109"/>
        <w:gridCol w:w="109"/>
        <w:gridCol w:w="109"/>
        <w:gridCol w:w="211"/>
        <w:gridCol w:w="646"/>
        <w:gridCol w:w="109"/>
        <w:gridCol w:w="109"/>
        <w:gridCol w:w="109"/>
        <w:gridCol w:w="109"/>
        <w:gridCol w:w="211"/>
        <w:gridCol w:w="646"/>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4,778 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540"/>
        <w:jc w:val="left"/>
        <w:rPr>
          <w:rFonts w:ascii="Arial;sans-serif" w:hAnsi="Arial;sans-serif"/>
          <w:b/>
          <w:color w:val="C02026"/>
          <w:sz w:val="20"/>
        </w:rPr>
      </w:pPr>
      <w:r>
        <w:rPr>
          <w:rFonts w:ascii="Arial;sans-serif" w:hAnsi="Arial;sans-serif"/>
          <w:b/>
          <w:color w:val="C02026"/>
          <w:sz w:val="20"/>
        </w:rPr>
        <w:t>(20)    LEGAL PROCEEDINGS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 We record accruals for such contingencies to the extent that we conclude it is probable that a liability has been incurred and the amount of the loss can be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F-45</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SCHEDULE II -- VALUATION AND QUALIFYING ACCOUNTS</w:t>
      </w:r>
    </w:p>
    <w:tbl>
      <w:tblPr>
        <w:tblW w:w="10205" w:type="dxa"/>
        <w:jc w:val="center"/>
        <w:tblInd w:w="0" w:type="dxa"/>
        <w:tblLayout w:type="fixed"/>
        <w:tblCellMar>
          <w:top w:w="28" w:type="dxa"/>
          <w:left w:w="28" w:type="dxa"/>
          <w:bottom w:w="28" w:type="dxa"/>
          <w:right w:w="28" w:type="dxa"/>
        </w:tblCellMar>
      </w:tblPr>
      <w:tblGrid>
        <w:gridCol w:w="521"/>
        <w:gridCol w:w="459"/>
        <w:gridCol w:w="460"/>
        <w:gridCol w:w="292"/>
        <w:gridCol w:w="645"/>
        <w:gridCol w:w="151"/>
        <w:gridCol w:w="109"/>
        <w:gridCol w:w="109"/>
        <w:gridCol w:w="109"/>
        <w:gridCol w:w="230"/>
        <w:gridCol w:w="675"/>
        <w:gridCol w:w="120"/>
        <w:gridCol w:w="109"/>
        <w:gridCol w:w="109"/>
        <w:gridCol w:w="109"/>
        <w:gridCol w:w="384"/>
        <w:gridCol w:w="878"/>
        <w:gridCol w:w="200"/>
        <w:gridCol w:w="109"/>
        <w:gridCol w:w="109"/>
        <w:gridCol w:w="109"/>
        <w:gridCol w:w="346"/>
        <w:gridCol w:w="765"/>
        <w:gridCol w:w="180"/>
        <w:gridCol w:w="109"/>
        <w:gridCol w:w="109"/>
        <w:gridCol w:w="109"/>
        <w:gridCol w:w="362"/>
        <w:gridCol w:w="696"/>
        <w:gridCol w:w="188"/>
        <w:gridCol w:w="109"/>
        <w:gridCol w:w="109"/>
        <w:gridCol w:w="109"/>
        <w:gridCol w:w="217"/>
        <w:gridCol w:w="634"/>
        <w:gridCol w:w="167"/>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Balance at</w:t>
              <w:br/>
              <w:t> Beginning</w:t>
              <w:br/>
              <w:t>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Expense</w:t>
              <w:br/>
              <w:t>(Recovery)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Additions (Deductions)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Reserve </w:t>
              <w:br/>
              <w:t xml:space="preserve">Amounts </w:t>
              <w:br/>
              <w:t xml:space="preserve">Acquired </w:t>
              <w:br/>
              <w:t xml:space="preserve">through </w:t>
              <w:br/>
              <w:t>Business</w:t>
              <w:br/>
              <w:t>Combinations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Foreign</w:t>
              <w:br/>
              <w:t> Currency</w:t>
              <w:br/>
              <w:t> Translation</w:t>
              <w:br/>
              <w:t>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Balance at</w:t>
              <w:br/>
              <w:t> End of</w:t>
              <w:br/>
              <w:t> Period</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6"/>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8"/>
              </w:rPr>
            </w:pPr>
            <w:r>
              <w:rPr>
                <w:rFonts w:ascii="Arial;sans-serif" w:hAnsi="Arial;sans-serif"/>
                <w:b/>
                <w:color w:val="000000"/>
                <w:sz w:val="18"/>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Warranty reserve</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8"/>
              </w:rPr>
            </w:pPr>
            <w:r>
              <w:rPr>
                <w:rFonts w:ascii="Arial;sans-serif" w:hAnsi="Arial;sans-serif"/>
                <w:b/>
                <w:color w:val="000000"/>
                <w:sz w:val="18"/>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Warranty reserve</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F-46</w:t>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21</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Subsidiaries of the Registrant</w:t>
      </w:r>
    </w:p>
    <w:p>
      <w:pPr>
        <w:pStyle w:val="TextBody"/>
        <w:bidi w:val="0"/>
        <w:spacing w:before="0" w:after="0"/>
        <w:jc w:val="left"/>
        <w:rPr/>
      </w:pPr>
      <w:r>
        <w:rPr/>
      </w:r>
    </w:p>
    <w:tbl>
      <w:tblPr>
        <w:tblW w:w="7106" w:type="dxa"/>
        <w:jc w:val="center"/>
        <w:tblInd w:w="0" w:type="dxa"/>
        <w:tblLayout w:type="fixed"/>
        <w:tblCellMar>
          <w:top w:w="28" w:type="dxa"/>
          <w:left w:w="28" w:type="dxa"/>
          <w:bottom w:w="28" w:type="dxa"/>
          <w:right w:w="28" w:type="dxa"/>
        </w:tblCellMar>
      </w:tblPr>
      <w:tblGrid>
        <w:gridCol w:w="1433"/>
        <w:gridCol w:w="1253"/>
        <w:gridCol w:w="1274"/>
        <w:gridCol w:w="109"/>
        <w:gridCol w:w="109"/>
        <w:gridCol w:w="109"/>
        <w:gridCol w:w="825"/>
        <w:gridCol w:w="825"/>
        <w:gridCol w:w="1169"/>
      </w:tblGrid>
      <w:tr>
        <w:trPr/>
        <w:tc>
          <w:tcPr>
            <w:tcW w:w="143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Jurisdiction of Incorporation</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Acculogic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Ambrell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InTest EMS LLC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InTest 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InTest Silicon Valley Corporation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Temptronic Corporation </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Videology Imaging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Acculogic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Ontario</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Acculogic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Germany</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Ambrell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Netherlands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Ambrell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U.K.</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InTest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Singapore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InTest SE Asia Sdn Bhd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Malaysia</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InTest Thermal Solutions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Germany</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Alfamation S.p.A.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Italy</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Suzhou Alfa Testing Equipment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China</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0"/>
              </w:rPr>
              <w:t>(a)</w:t>
            </w:r>
            <w:r>
              <w:rPr>
                <w:color w:val="000000"/>
              </w:rPr>
              <w:t xml:space="preserve"> </w:t>
            </w:r>
            <w:r>
              <w:rPr>
                <w:rFonts w:ascii="Arial;sans-serif" w:hAnsi="Arial;sans-serif"/>
                <w:b w:val="false"/>
                <w:color w:val="000000"/>
                <w:sz w:val="16"/>
              </w:rPr>
              <w:t>Doing business as InTest 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0"/>
              </w:rPr>
              <w:t>(b)</w:t>
            </w:r>
            <w:r>
              <w:rPr>
                <w:color w:val="000000"/>
              </w:rPr>
              <w:t xml:space="preserve"> </w:t>
            </w:r>
            <w:r>
              <w:rPr>
                <w:rFonts w:ascii="Arial;sans-serif" w:hAnsi="Arial;sans-serif"/>
                <w:b w:val="false"/>
                <w:color w:val="000000"/>
                <w:sz w:val="16"/>
              </w:rPr>
              <w:t>Doing business as InTest Thermal Solutions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23</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333-145176, 333-197858, 333-226815, 333-233297, 333-258791, 333-266834, and 333-273886) on Form S-8 and the Registration Statement (No. 333-275451) on Form S-3 of InTest Corporation of our reports dated March 12, 2026, relating to the consolidated financial statements and the financial statement schedule and the effectiveness of internal control over financial reporting of InTest Corporation, appearing in this Annual Report on Form 10-K of InTest Corporation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RSM US LLP</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Blue Bell, Pennsylvania</w:t>
      </w:r>
    </w:p>
    <w:p>
      <w:pPr>
        <w:pStyle w:val="TextBody"/>
        <w:bidi w:val="0"/>
        <w:spacing w:lineRule="auto" w:line="240"/>
        <w:jc w:val="left"/>
        <w:rPr>
          <w:rFonts w:ascii="Arial;sans-serif" w:hAnsi="Arial;sans-serif"/>
          <w:b w:val="false"/>
          <w:color w:val="000000"/>
          <w:sz w:val="20"/>
        </w:rPr>
      </w:pPr>
      <w:r>
        <w:rPr>
          <w:rFonts w:ascii="Arial;sans-serif" w:hAnsi="Arial;sans-serif"/>
          <w:b w:val="false"/>
          <w:color w:val="000000"/>
          <w:sz w:val="20"/>
        </w:rPr>
        <w:t xml:space="preserve">March 12,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31.1</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Richard N. Grant, Jr.,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pPr>
      <w:r>
        <w:rPr>
          <w:rFonts w:ascii="Arial;sans-serif" w:hAnsi="Arial;sans-serif"/>
          <w:b w:val="false"/>
          <w:color w:val="000000"/>
          <w:sz w:val="20"/>
        </w:rPr>
        <w:t>3.</w:t>
      </w:r>
      <w:r>
        <w:rPr>
          <w:color w:val="000000"/>
        </w:rPr>
        <w:t xml:space="preserve"> </w:t>
      </w: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801"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109"/>
        <w:gridCol w:w="109"/>
        <w:gridCol w:w="109"/>
        <w:gridCol w:w="1004"/>
        <w:gridCol w:w="1004"/>
        <w:gridCol w:w="142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31.2</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Duncan Gilmour,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671"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109"/>
        <w:gridCol w:w="109"/>
        <w:gridCol w:w="109"/>
        <w:gridCol w:w="1261"/>
        <w:gridCol w:w="1261"/>
        <w:gridCol w:w="178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32.1</w:t>
      </w:r>
    </w:p>
    <w:p>
      <w:pPr>
        <w:pStyle w:val="TextBody"/>
        <w:bidi w:val="0"/>
        <w:spacing w:lineRule="auto" w:line="288" w:before="0" w:after="48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connection with the Annual Report of InTest Corporation (the “Company”) on Form 10-K for the year ended December 31, 2025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pStyle w:val="TextBody"/>
        <w:bidi w:val="0"/>
        <w:spacing w:lineRule="auto" w:line="288" w:before="0" w:after="240"/>
        <w:ind w:left="0" w:right="0" w:hanging="45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840"/>
        <w:ind w:left="0" w:right="0" w:hanging="45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801"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109"/>
        <w:gridCol w:w="109"/>
        <w:gridCol w:w="109"/>
        <w:gridCol w:w="1004"/>
        <w:gridCol w:w="1004"/>
        <w:gridCol w:w="142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32.2</w:t>
      </w:r>
    </w:p>
    <w:p>
      <w:pPr>
        <w:pStyle w:val="TextBody"/>
        <w:bidi w:val="0"/>
        <w:spacing w:lineRule="auto" w:line="288" w:before="0" w:after="48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connection with the Annual Report of InTest Corporation (the “Company”) on Form 10-K for the year ended December 31, 2025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pStyle w:val="TextBody"/>
        <w:bidi w:val="0"/>
        <w:spacing w:lineRule="auto" w:line="288" w:before="0" w:after="240"/>
        <w:ind w:left="0" w:right="0" w:hanging="45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840"/>
        <w:ind w:left="0" w:right="0" w:hanging="45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671"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109"/>
        <w:gridCol w:w="109"/>
        <w:gridCol w:w="109"/>
        <w:gridCol w:w="1261"/>
        <w:gridCol w:w="1261"/>
        <w:gridCol w:w="178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nul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036262/000143774920005921/ex_177250.htm" TargetMode="External"/><Relationship Id="rId14" Type="http://schemas.openxmlformats.org/officeDocument/2006/relationships/hyperlink" Target="https://www.sec.gov/Archives/edgar/data/1036262/000143774918007703/ex_111081.htm" TargetMode="External"/><Relationship Id="rId15" Type="http://schemas.openxmlformats.org/officeDocument/2006/relationships/hyperlink" Target="https://www.sec.gov/Archives/edgar/data/1036262/000143774920005921/ex_177251.htm" TargetMode="External"/><Relationship Id="rId16" Type="http://schemas.openxmlformats.org/officeDocument/2006/relationships/hyperlink" Target="https://www.sec.gov/Archives/edgar/data/1036262/000103626210000025/ex101-8k051010.htm" TargetMode="External"/><Relationship Id="rId17" Type="http://schemas.openxmlformats.org/officeDocument/2006/relationships/hyperlink" Target="https://www.sec.gov/Archives/edgar/data/1036262/000143774920020176/ex_204864.htm" TargetMode="External"/><Relationship Id="rId18" Type="http://schemas.openxmlformats.org/officeDocument/2006/relationships/hyperlink" Target="https://www.sec.gov/Archives/edgar/data/1036262/000143774921008828/ex_240270.htm" TargetMode="External"/><Relationship Id="rId19" Type="http://schemas.openxmlformats.org/officeDocument/2006/relationships/hyperlink" Target="https://www.sec.gov/Archives/edgar/data/1036262/000103626210000043/ex101-8k102710.htm" TargetMode="External"/><Relationship Id="rId20" Type="http://schemas.openxmlformats.org/officeDocument/2006/relationships/hyperlink" Target="https://www.sec.gov/Archives/edgar/data/1036262/000103626212000022/ex101-10q033112.htm" TargetMode="External"/><Relationship Id="rId21" Type="http://schemas.openxmlformats.org/officeDocument/2006/relationships/hyperlink" Target="https://www.sec.gov/Archives/edgar/data/1036262/000103626216000065/exh101-f8k111816.htm" TargetMode="External"/><Relationship Id="rId22" Type="http://schemas.openxmlformats.org/officeDocument/2006/relationships/hyperlink" Target="https://www.sec.gov/Archives/edgar/data/1036262/000103626212000022/ex102-10q033112.htm" TargetMode="External"/><Relationship Id="rId23" Type="http://schemas.openxmlformats.org/officeDocument/2006/relationships/hyperlink" Target="https://www.sec.gov/Archives/edgar/data/1036262/000143774917021126/ex_102407.htm" TargetMode="External"/><Relationship Id="rId24" Type="http://schemas.openxmlformats.org/officeDocument/2006/relationships/hyperlink" Target="https://www.sec.gov/Archives/edgar/data/1036262/000143774917021126/ex_102408.htm" TargetMode="External"/><Relationship Id="rId25" Type="http://schemas.openxmlformats.org/officeDocument/2006/relationships/hyperlink" Target="https://www.sec.gov/Archives/edgar/data/1036262/000143774922028501/ex_452797.htm" TargetMode="External"/><Relationship Id="rId26" Type="http://schemas.openxmlformats.org/officeDocument/2006/relationships/hyperlink" Target="https://www.sec.gov/Archives/edgar/data/1036262/000143774921023970/ex_292653.htm" TargetMode="External"/><Relationship Id="rId27" Type="http://schemas.openxmlformats.org/officeDocument/2006/relationships/hyperlink" Target="https://www.sec.gov/Archives/edgar/data/1036262/000143774922000553/ex_321680.htm" TargetMode="External"/><Relationship Id="rId28" Type="http://schemas.openxmlformats.org/officeDocument/2006/relationships/hyperlink" Target="https://www.sec.gov/Archives/edgar/data/1036262/000143774922023063/ex_426417.htm" TargetMode="External"/><Relationship Id="rId29" Type="http://schemas.openxmlformats.org/officeDocument/2006/relationships/hyperlink" Target="https://www.sec.gov/Archives/edgar/data/1036262/000143774922023063/ex_426418.htm" TargetMode="External"/><Relationship Id="rId30" Type="http://schemas.openxmlformats.org/officeDocument/2006/relationships/hyperlink" Target="https://www.sec.gov/Archives/edgar/data/1036262/000143774922000553/ex_321684.htm" TargetMode="External"/><Relationship Id="rId31" Type="http://schemas.openxmlformats.org/officeDocument/2006/relationships/hyperlink" Target="https://www.sec.gov/Archives/edgar/data/1036262/000143774922000553/ex_321685.htm" TargetMode="External"/><Relationship Id="rId32" Type="http://schemas.openxmlformats.org/officeDocument/2006/relationships/hyperlink" Target="https://www.sec.gov/Archives/edgar/data/1036262/000143774922000553/ex_321686.htm" TargetMode="External"/><Relationship Id="rId33" Type="http://schemas.openxmlformats.org/officeDocument/2006/relationships/hyperlink" Target="https://www.sec.gov/Archives/edgar/data/1036262/000143774922000553/ex_321687.htm" TargetMode="External"/><Relationship Id="rId34" Type="http://schemas.openxmlformats.org/officeDocument/2006/relationships/hyperlink" Target="https://www.sec.gov/Archives/edgar/data/1036262/000143774921023970/ex_292655.htm" TargetMode="External"/><Relationship Id="rId35" Type="http://schemas.openxmlformats.org/officeDocument/2006/relationships/hyperlink" Target="https://www.sec.gov/Archives/edgar/data/1036262/000143774920014043/ex_191785.htm" TargetMode="External"/><Relationship Id="rId36" Type="http://schemas.openxmlformats.org/officeDocument/2006/relationships/hyperlink" Target="https://www.sec.gov/Archives/edgar/data/1036262/000143774922015993/ex_390299.htm" TargetMode="External"/><Relationship Id="rId37" Type="http://schemas.openxmlformats.org/officeDocument/2006/relationships/hyperlink" Target="https://www.sec.gov/Archives/edgar/data/1036262/000143774921019703/ex_272464.htm" TargetMode="External"/><Relationship Id="rId38" Type="http://schemas.openxmlformats.org/officeDocument/2006/relationships/hyperlink" Target="https://www.sec.gov/Archives/edgar/data/1036262/000143774920017523/ex_198825.htm" TargetMode="External"/><Relationship Id="rId39" Type="http://schemas.openxmlformats.org/officeDocument/2006/relationships/hyperlink" Target="https://www.sec.gov/Archives/edgar/data/1036262/000143774921014664/ex_256878.htm" TargetMode="External"/><Relationship Id="rId40" Type="http://schemas.openxmlformats.org/officeDocument/2006/relationships/hyperlink" Target="https://www.sec.gov/Archives/edgar/data/1036262/000143774920023648/ex_212630.htm" TargetMode="External"/><Relationship Id="rId41" Type="http://schemas.openxmlformats.org/officeDocument/2006/relationships/hyperlink" Target="https://www.sec.gov/Archives/edgar/data/1036262/000143774922006956/ex_348726.htm" TargetMode="External"/><Relationship Id="rId42" Type="http://schemas.openxmlformats.org/officeDocument/2006/relationships/hyperlink" Target="https://www.sec.gov/Archives/edgar/data/1036262/000143774924009626/ex_641549.htm" TargetMode="External"/><Relationship Id="rId43" Type="http://schemas.openxmlformats.org/officeDocument/2006/relationships/hyperlink" Target="https://www.sec.gov/Archives/edgar/data/1036262/000143774924009626/ex_641550.htm" TargetMode="External"/><Relationship Id="rId44" Type="http://schemas.openxmlformats.org/officeDocument/2006/relationships/hyperlink" Target="https://www.sec.gov/Archives/edgar/data/1036262/000143774923033729/ex_603180.htm" TargetMode="External"/><Relationship Id="rId45" Type="http://schemas.openxmlformats.org/officeDocument/2006/relationships/hyperlink" Target="https://www.sec.gov/Archives/edgar/data/1036262/000143774924007466/ex_638061.htm" TargetMode="External"/><Relationship Id="rId46" Type="http://schemas.openxmlformats.org/officeDocument/2006/relationships/hyperlink" Target="https://www.sec.gov/Archives/edgar/data/1036262/000143774924014481/ex_666599.htm" TargetMode="External"/><Relationship Id="rId47" Type="http://schemas.openxmlformats.org/officeDocument/2006/relationships/hyperlink" Target="https://www.sec.gov/Archives/edgar/data/1036262/000143774924018544/ex_680448.htm" TargetMode="External"/><Relationship Id="rId48" Type="http://schemas.openxmlformats.org/officeDocument/2006/relationships/hyperlink" Target="https://www.sec.gov/Archives/edgar/data/1036262/000143774924033626/ex_743031.htm" TargetMode="External"/><Relationship Id="rId49" Type="http://schemas.openxmlformats.org/officeDocument/2006/relationships/hyperlink" Target="https://www.sec.gov/Archives/edgar/data/1036262/000143774924033626/ex_743032.htm" TargetMode="External"/><Relationship Id="rId50" Type="http://schemas.openxmlformats.org/officeDocument/2006/relationships/hyperlink" Target="https://www.sec.gov/Archives/edgar/data/1036262/000143774924033626/ex_743033.htm" TargetMode="External"/><Relationship Id="rId51" Type="http://schemas.openxmlformats.org/officeDocument/2006/relationships/hyperlink" Target="https://www.sec.gov/Archives/edgar/data/1036262/000143774924033626/ex_743034.htm" TargetMode="External"/><Relationship Id="rId52" Type="http://schemas.openxmlformats.org/officeDocument/2006/relationships/hyperlink" Target="https://www.sec.gov/Archives/edgar/data/1036262/000143774924033626/ex_743035.htm" TargetMode="External"/><Relationship Id="rId53" Type="http://schemas.openxmlformats.org/officeDocument/2006/relationships/hyperlink" Target="https://www.sec.gov/Archives/edgar/data/1036262/000143774924033626/ex_743036.htm" TargetMode="External"/><Relationship Id="rId54" Type="http://schemas.openxmlformats.org/officeDocument/2006/relationships/hyperlink" Target="https://www.sec.gov/Archives/edgar/data/1036262/000143774924037961/ex_759366.htm" TargetMode="External"/><Relationship Id="rId55" Type="http://schemas.openxmlformats.org/officeDocument/2006/relationships/hyperlink" Target="https://www.sec.gov/Archives/edgar/data/1036262/000143774924037961/ex_759367.htm" TargetMode="External"/><Relationship Id="rId56" Type="http://schemas.openxmlformats.org/officeDocument/2006/relationships/hyperlink" Target="https://www.sec.gov/Archives/edgar/data/1036262/000143774924037961/ex_759368.htm" TargetMode="External"/><Relationship Id="rId57" Type="http://schemas.openxmlformats.org/officeDocument/2006/relationships/hyperlink" Target="https://www.sec.gov/Archives/edgar/data/1036262/000143774924037961/ex_759369.htm" TargetMode="External"/><Relationship Id="rId58" Type="http://schemas.openxmlformats.org/officeDocument/2006/relationships/hyperlink" Target="https://www.sec.gov/Archives/edgar/data/1036262/000103626225000023/ex101sixthamendmenttoamend.htm" TargetMode="External"/><Relationship Id="rId59" Type="http://schemas.openxmlformats.org/officeDocument/2006/relationships/hyperlink" Target="https://www.sec.gov/Archives/edgar/data/1036262/000103626225000023/ex102pledgeandassignmentof.htm" TargetMode="External"/><Relationship Id="rId60" Type="http://schemas.openxmlformats.org/officeDocument/2006/relationships/hyperlink" Target="https://www.sec.gov/Archives/edgar/data/1036262/000143774925007520/ex_786773.htm" TargetMode="External"/><Relationship Id="rId61" Type="http://schemas.openxmlformats.org/officeDocument/2006/relationships/hyperlink" Target="https://www.sec.gov/Archives/edgar/data/1036262/000143774924009626/ex_641556.htm" TargetMode="External"/><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53122</Words>
  <Characters>297811</Characters>
  <CharactersWithSpaces>347831</CharactersWithSpaces>
  <Paragraphs>4429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