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UNITED STATES 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(Mark One)</w:t>
      </w:r>
    </w:p>
    <w:p>
      <w:pPr>
        <w:spacing w:after="0" w:line="6"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5"/>
          <w:szCs w:val="15"/>
          <w:color w:val="auto"/>
        </w:rPr>
        <w:t xml:space="preserve">For the fiscal year ended </w:t>
      </w:r>
      <w:r>
        <w:rPr>
          <w:rFonts w:ascii="Times New Roman" w:cs="Times New Roman" w:eastAsia="Times New Roman" w:hAnsi="Times New Roman"/>
          <w:sz w:val="15"/>
          <w:szCs w:val="15"/>
          <w:u w:val="single" w:color="auto"/>
          <w:color w:val="auto"/>
        </w:rPr>
        <w:t>December 31, 2023</w:t>
      </w:r>
    </w:p>
    <w:p>
      <w:pPr>
        <w:spacing w:after="0" w:line="9"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5"/>
          <w:szCs w:val="15"/>
          <w:color w:val="auto"/>
        </w:rPr>
        <w:t>OR</w:t>
      </w:r>
    </w:p>
    <w:p>
      <w:pPr>
        <w:spacing w:after="0" w:line="6"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TRANSITION REPORT PURSUANT TO SECTION 13 OR 15(d) OF THE SECURITIES EXCHANGE ACT OF 1934</w:t>
      </w:r>
    </w:p>
    <w:tbl>
      <w:tblPr>
        <w:tblLayout w:type="fixed"/>
        <w:tblInd w:w="900" w:type="dxa"/>
        <w:tblCellMar>
          <w:top w:w="0" w:type="dxa"/>
          <w:left w:w="0" w:type="dxa"/>
          <w:bottom w:w="0" w:type="dxa"/>
          <w:right w:w="0" w:type="dxa"/>
        </w:tblCellMar>
      </w:tblPr>
      <w:tr>
        <w:trPr>
          <w:trHeight w:val="163"/>
        </w:trPr>
        <w:tc>
          <w:tcPr>
            <w:tcW w:w="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2"/>
          </w:tcPr>
          <w:p>
            <w:pPr>
              <w:ind w:left="320"/>
              <w:spacing w:after="0" w:line="163" w:lineRule="exact"/>
              <w:rPr>
                <w:sz w:val="20"/>
                <w:szCs w:val="20"/>
                <w:color w:val="auto"/>
              </w:rPr>
            </w:pPr>
            <w:r>
              <w:rPr>
                <w:rFonts w:ascii="Times New Roman" w:cs="Times New Roman" w:eastAsia="Times New Roman" w:hAnsi="Times New Roman"/>
                <w:sz w:val="15"/>
                <w:szCs w:val="15"/>
                <w:color w:val="auto"/>
              </w:rPr>
              <w:t>For the transition period from</w:t>
            </w:r>
          </w:p>
        </w:tc>
        <w:tc>
          <w:tcPr>
            <w:tcW w:w="620" w:type="dxa"/>
            <w:vAlign w:val="bottom"/>
            <w:tcBorders>
              <w:bottom w:val="single" w:sz="8" w:color="auto"/>
            </w:tcBorders>
            <w:gridSpan w:val="2"/>
          </w:tcPr>
          <w:p>
            <w:pPr>
              <w:spacing w:after="0"/>
              <w:rPr>
                <w:sz w:val="14"/>
                <w:szCs w:val="14"/>
                <w:color w:val="auto"/>
              </w:rPr>
            </w:pPr>
          </w:p>
        </w:tc>
        <w:tc>
          <w:tcPr>
            <w:tcW w:w="180" w:type="dxa"/>
            <w:vAlign w:val="bottom"/>
          </w:tcPr>
          <w:p>
            <w:pPr>
              <w:ind w:left="20"/>
              <w:spacing w:after="0" w:line="163" w:lineRule="exact"/>
              <w:rPr>
                <w:sz w:val="20"/>
                <w:szCs w:val="20"/>
                <w:color w:val="auto"/>
              </w:rPr>
            </w:pPr>
            <w:r>
              <w:rPr>
                <w:rFonts w:ascii="Times New Roman" w:cs="Times New Roman" w:eastAsia="Times New Roman" w:hAnsi="Times New Roman"/>
                <w:sz w:val="15"/>
                <w:szCs w:val="15"/>
                <w:color w:val="auto"/>
              </w:rPr>
              <w:t>to</w:t>
            </w:r>
          </w:p>
        </w:tc>
        <w:tc>
          <w:tcPr>
            <w:tcW w:w="660" w:type="dxa"/>
            <w:vAlign w:val="bottom"/>
            <w:tcBorders>
              <w:bottom w:val="single" w:sz="8" w:color="auto"/>
            </w:tcBorders>
          </w:tcPr>
          <w:p>
            <w:pPr>
              <w:spacing w:after="0"/>
              <w:rPr>
                <w:sz w:val="14"/>
                <w:szCs w:val="14"/>
                <w:color w:val="auto"/>
              </w:rPr>
            </w:pPr>
          </w:p>
        </w:tc>
        <w:tc>
          <w:tcPr>
            <w:tcW w:w="3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8"/>
          </w:tcPr>
          <w:p>
            <w:pPr>
              <w:jc w:val="center"/>
              <w:ind w:right="2904"/>
              <w:spacing w:after="0"/>
              <w:rPr>
                <w:sz w:val="20"/>
                <w:szCs w:val="20"/>
                <w:color w:val="auto"/>
              </w:rPr>
            </w:pPr>
            <w:r>
              <w:rPr>
                <w:rFonts w:ascii="Times New Roman" w:cs="Times New Roman" w:eastAsia="Times New Roman" w:hAnsi="Times New Roman"/>
                <w:sz w:val="15"/>
                <w:szCs w:val="15"/>
                <w:color w:val="auto"/>
              </w:rPr>
              <w:t>Commission File Number 1-36117</w:t>
            </w:r>
          </w:p>
        </w:tc>
        <w:tc>
          <w:tcPr>
            <w:tcW w:w="0" w:type="dxa"/>
            <w:vAlign w:val="bottom"/>
          </w:tcPr>
          <w:p>
            <w:pPr>
              <w:spacing w:after="0"/>
              <w:rPr>
                <w:sz w:val="1"/>
                <w:szCs w:val="1"/>
                <w:color w:val="auto"/>
              </w:rPr>
            </w:pPr>
          </w:p>
        </w:tc>
      </w:tr>
      <w:tr>
        <w:trPr>
          <w:trHeight w:val="350"/>
        </w:trPr>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4"/>
          </w:tcPr>
          <w:p>
            <w:pPr>
              <w:jc w:val="center"/>
              <w:ind w:left="1064"/>
              <w:spacing w:after="0"/>
              <w:rPr>
                <w:sz w:val="20"/>
                <w:szCs w:val="20"/>
                <w:color w:val="auto"/>
              </w:rPr>
            </w:pPr>
            <w:r>
              <w:rPr>
                <w:rFonts w:ascii="Times New Roman" w:cs="Times New Roman" w:eastAsia="Times New Roman" w:hAnsi="Times New Roman"/>
                <w:sz w:val="15"/>
                <w:szCs w:val="15"/>
                <w:b w:val="1"/>
                <w:bCs w:val="1"/>
                <w:color w:val="auto"/>
              </w:rPr>
              <w:t>inTEST Corporation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00" w:type="dxa"/>
            <w:vAlign w:val="bottom"/>
            <w:gridSpan w:val="8"/>
          </w:tcPr>
          <w:p>
            <w:pPr>
              <w:jc w:val="center"/>
              <w:ind w:right="2884"/>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0" w:type="dxa"/>
            <w:vAlign w:val="bottom"/>
          </w:tcPr>
          <w:p>
            <w:pPr>
              <w:spacing w:after="0"/>
              <w:rPr>
                <w:sz w:val="1"/>
                <w:szCs w:val="1"/>
                <w:color w:val="auto"/>
              </w:rPr>
            </w:pPr>
          </w:p>
        </w:tc>
      </w:tr>
      <w:tr>
        <w:trPr>
          <w:trHeight w:val="350"/>
        </w:trPr>
        <w:tc>
          <w:tcPr>
            <w:tcW w:w="200" w:type="dxa"/>
            <w:vAlign w:val="bottom"/>
          </w:tcPr>
          <w:p>
            <w:pPr>
              <w:spacing w:after="0"/>
              <w:rPr>
                <w:sz w:val="24"/>
                <w:szCs w:val="24"/>
                <w:color w:val="auto"/>
              </w:rPr>
            </w:pPr>
          </w:p>
        </w:tc>
        <w:tc>
          <w:tcPr>
            <w:tcW w:w="2560" w:type="dxa"/>
            <w:vAlign w:val="bottom"/>
            <w:gridSpan w:val="2"/>
          </w:tcPr>
          <w:p>
            <w:pPr>
              <w:jc w:val="center"/>
              <w:ind w:left="7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gridSpan w:val="4"/>
          </w:tcPr>
          <w:p>
            <w:pPr>
              <w:jc w:val="right"/>
              <w:ind w:right="1664"/>
              <w:spacing w:after="0"/>
              <w:rPr>
                <w:sz w:val="20"/>
                <w:szCs w:val="20"/>
                <w:color w:val="auto"/>
              </w:rPr>
            </w:pPr>
            <w:r>
              <w:rPr>
                <w:rFonts w:ascii="Times New Roman" w:cs="Times New Roman" w:eastAsia="Times New Roman" w:hAnsi="Times New Roman"/>
                <w:sz w:val="15"/>
                <w:szCs w:val="15"/>
                <w:b w:val="1"/>
                <w:bCs w:val="1"/>
                <w:color w:val="auto"/>
              </w:rPr>
              <w:t>22-2370659</w:t>
            </w:r>
          </w:p>
        </w:tc>
        <w:tc>
          <w:tcPr>
            <w:tcW w:w="0" w:type="dxa"/>
            <w:vAlign w:val="bottom"/>
          </w:tcPr>
          <w:p>
            <w:pPr>
              <w:spacing w:after="0"/>
              <w:rPr>
                <w:sz w:val="1"/>
                <w:szCs w:val="1"/>
                <w:color w:val="auto"/>
              </w:rPr>
            </w:pPr>
          </w:p>
        </w:tc>
      </w:tr>
      <w:tr>
        <w:trPr>
          <w:trHeight w:val="198"/>
        </w:trPr>
        <w:tc>
          <w:tcPr>
            <w:tcW w:w="5540" w:type="dxa"/>
            <w:vAlign w:val="bottom"/>
            <w:gridSpan w:val="7"/>
          </w:tcPr>
          <w:p>
            <w:pPr>
              <w:jc w:val="center"/>
              <w:ind w:right="172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180" w:type="dxa"/>
            <w:vAlign w:val="bottom"/>
          </w:tcPr>
          <w:p>
            <w:pPr>
              <w:spacing w:after="0"/>
              <w:rPr>
                <w:sz w:val="17"/>
                <w:szCs w:val="17"/>
                <w:color w:val="auto"/>
              </w:rPr>
            </w:pPr>
          </w:p>
        </w:tc>
        <w:tc>
          <w:tcPr>
            <w:tcW w:w="3940" w:type="dxa"/>
            <w:vAlign w:val="bottom"/>
            <w:gridSpan w:val="3"/>
          </w:tcPr>
          <w:p>
            <w:pPr>
              <w:jc w:val="center"/>
              <w:ind w:right="224"/>
              <w:spacing w:after="0"/>
              <w:rPr>
                <w:sz w:val="20"/>
                <w:szCs w:val="20"/>
                <w:color w:val="auto"/>
              </w:rPr>
            </w:pPr>
            <w:r>
              <w:rPr>
                <w:rFonts w:ascii="Times New Roman" w:cs="Times New Roman" w:eastAsia="Times New Roman" w:hAnsi="Times New Roman"/>
                <w:sz w:val="15"/>
                <w:szCs w:val="15"/>
                <w:color w:val="auto"/>
              </w:rPr>
              <w:t>(I.R.S. Employer Identification Number)</w:t>
            </w:r>
          </w:p>
        </w:tc>
        <w:tc>
          <w:tcPr>
            <w:tcW w:w="0" w:type="dxa"/>
            <w:vAlign w:val="bottom"/>
          </w:tcPr>
          <w:p>
            <w:pPr>
              <w:spacing w:after="0"/>
              <w:rPr>
                <w:sz w:val="1"/>
                <w:szCs w:val="1"/>
                <w:color w:val="auto"/>
              </w:rPr>
            </w:pPr>
          </w:p>
        </w:tc>
      </w:tr>
      <w:tr>
        <w:trPr>
          <w:trHeight w:val="346"/>
        </w:trPr>
        <w:tc>
          <w:tcPr>
            <w:tcW w:w="200" w:type="dxa"/>
            <w:vAlign w:val="bottom"/>
          </w:tcPr>
          <w:p>
            <w:pPr>
              <w:spacing w:after="0"/>
              <w:rPr>
                <w:sz w:val="24"/>
                <w:szCs w:val="24"/>
                <w:color w:val="auto"/>
              </w:rPr>
            </w:pPr>
          </w:p>
        </w:tc>
        <w:tc>
          <w:tcPr>
            <w:tcW w:w="5340" w:type="dxa"/>
            <w:vAlign w:val="bottom"/>
            <w:gridSpan w:val="6"/>
          </w:tcPr>
          <w:p>
            <w:pPr>
              <w:jc w:val="center"/>
              <w:ind w:right="1920"/>
              <w:spacing w:after="0"/>
              <w:rPr>
                <w:sz w:val="20"/>
                <w:szCs w:val="20"/>
                <w:color w:val="auto"/>
              </w:rPr>
            </w:pPr>
            <w:r>
              <w:rPr>
                <w:rFonts w:ascii="Times New Roman" w:cs="Times New Roman" w:eastAsia="Times New Roman" w:hAnsi="Times New Roman"/>
                <w:sz w:val="15"/>
                <w:szCs w:val="15"/>
                <w:b w:val="1"/>
                <w:bCs w:val="1"/>
                <w:color w:val="auto"/>
              </w:rPr>
              <w:t>804 East Gate Drive, Suite 200</w:t>
            </w:r>
          </w:p>
        </w:tc>
        <w:tc>
          <w:tcPr>
            <w:tcW w:w="4120" w:type="dxa"/>
            <w:vAlign w:val="bottom"/>
            <w:gridSpan w:val="4"/>
            <w:vMerge w:val="restart"/>
          </w:tcPr>
          <w:p>
            <w:pPr>
              <w:jc w:val="right"/>
              <w:ind w:right="1844"/>
              <w:spacing w:after="0"/>
              <w:rPr>
                <w:sz w:val="20"/>
                <w:szCs w:val="20"/>
                <w:color w:val="auto"/>
              </w:rPr>
            </w:pPr>
            <w:r>
              <w:rPr>
                <w:rFonts w:ascii="Times New Roman" w:cs="Times New Roman" w:eastAsia="Times New Roman" w:hAnsi="Times New Roman"/>
                <w:sz w:val="15"/>
                <w:szCs w:val="15"/>
                <w:b w:val="1"/>
                <w:bCs w:val="1"/>
                <w:color w:val="auto"/>
              </w:rPr>
              <w:t>08054</w:t>
            </w: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560" w:type="dxa"/>
            <w:vAlign w:val="bottom"/>
            <w:gridSpan w:val="2"/>
            <w:vMerge w:val="restart"/>
          </w:tcPr>
          <w:p>
            <w:pPr>
              <w:jc w:val="center"/>
              <w:ind w:left="784"/>
              <w:spacing w:after="0"/>
              <w:rPr>
                <w:sz w:val="20"/>
                <w:szCs w:val="20"/>
                <w:color w:val="auto"/>
              </w:rPr>
            </w:pPr>
            <w:r>
              <w:rPr>
                <w:rFonts w:ascii="Times New Roman" w:cs="Times New Roman" w:eastAsia="Times New Roman" w:hAnsi="Times New Roman"/>
                <w:sz w:val="15"/>
                <w:szCs w:val="15"/>
                <w:b w:val="1"/>
                <w:bCs w:val="1"/>
                <w:color w:val="auto"/>
              </w:rPr>
              <w:t>Mt. Laurel, New Jersey</w:t>
            </w: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80" w:type="dxa"/>
            <w:vAlign w:val="bottom"/>
            <w:vMerge w:val="restart"/>
          </w:tcPr>
          <w:p>
            <w:pPr>
              <w:jc w:val="center"/>
              <w:ind w:right="1184"/>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5340" w:type="dxa"/>
            <w:vAlign w:val="bottom"/>
            <w:gridSpan w:val="6"/>
            <w:vMerge w:val="restart"/>
          </w:tcPr>
          <w:p>
            <w:pPr>
              <w:jc w:val="center"/>
              <w:ind w:right="1900"/>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534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80" w:type="dxa"/>
            <w:vAlign w:val="bottom"/>
            <w:gridSpan w:val="9"/>
          </w:tcPr>
          <w:p>
            <w:pPr>
              <w:jc w:val="center"/>
              <w:ind w:right="252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(856) 505-8800</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8"/>
          </w:tcPr>
          <w:p>
            <w:pPr>
              <w:jc w:val="center"/>
              <w:ind w:right="290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gridSpan w:val="2"/>
          </w:tcPr>
          <w:p>
            <w:pPr>
              <w:jc w:val="center"/>
              <w:ind w:left="22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gridSpan w:val="3"/>
          </w:tcPr>
          <w:p>
            <w:pPr>
              <w:jc w:val="center"/>
              <w:ind w:right="124"/>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144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w w:val="99"/>
              </w:rPr>
              <w:t>INTT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NYSE American</w:t>
            </w:r>
          </w:p>
        </w:tc>
        <w:tc>
          <w:tcPr>
            <w:tcW w:w="0" w:type="dxa"/>
            <w:vAlign w:val="bottom"/>
          </w:tcPr>
          <w:p>
            <w:pPr>
              <w:spacing w:after="0"/>
              <w:rPr>
                <w:sz w:val="1"/>
                <w:szCs w:val="1"/>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15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4" w:lineRule="exact"/>
        <w:rPr>
          <w:sz w:val="24"/>
          <w:szCs w:val="24"/>
          <w:color w:val="auto"/>
        </w:rPr>
      </w:pPr>
    </w:p>
    <w:p>
      <w:pPr>
        <w:ind w:right="40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4" w:lineRule="exact"/>
        <w:rPr>
          <w:sz w:val="24"/>
          <w:szCs w:val="24"/>
          <w:color w:val="auto"/>
        </w:rPr>
      </w:pPr>
    </w:p>
    <w:p>
      <w:pPr>
        <w:ind w:right="40"/>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600" w:right="359" w:bottom="1440" w:gutter="0" w:footer="0" w:header="0"/>
        </w:sectPr>
      </w:pPr>
    </w:p>
    <w:p>
      <w:pPr>
        <w:spacing w:after="0" w:line="9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6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6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77" w:lineRule="exact"/>
        <w:rPr>
          <w:sz w:val="24"/>
          <w:szCs w:val="24"/>
          <w:color w:val="auto"/>
        </w:rPr>
      </w:pPr>
    </w:p>
    <w:p>
      <w:pPr>
        <w:sectPr>
          <w:pgSz w:w="11900" w:h="16838" w:orient="portrait"/>
          <w:cols w:equalWidth="0" w:num="2">
            <w:col w:w="4900" w:space="720"/>
            <w:col w:w="5600"/>
          </w:cols>
          <w:pgMar w:left="320" w:top="600" w:right="359" w:bottom="1440" w:gutter="0" w:footer="0" w:header="0"/>
          <w:type w:val="continuous"/>
        </w:sectPr>
      </w:pPr>
    </w:p>
    <w:p>
      <w:pPr>
        <w:ind w:right="140"/>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5"/>
          <w:szCs w:val="15"/>
          <w:color w:val="auto"/>
        </w:rPr>
        <w:t>☐</w:t>
      </w:r>
    </w:p>
    <w:p>
      <w:pPr>
        <w:spacing w:after="0" w:line="144" w:lineRule="exact"/>
        <w:rPr>
          <w:sz w:val="24"/>
          <w:szCs w:val="24"/>
          <w:color w:val="auto"/>
        </w:rPr>
      </w:pPr>
    </w:p>
    <w:p>
      <w:pPr>
        <w:ind w:right="2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532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type w:val="continuous"/>
        </w:sectPr>
      </w:pPr>
    </w:p>
    <w:bookmarkStart w:id="1" w:name="page2"/>
    <w:bookmarkEnd w:id="1"/>
    <w:p>
      <w:pPr>
        <w:spacing w:after="0" w:line="20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4" w:lineRule="exact"/>
        <w:rPr>
          <w:sz w:val="20"/>
          <w:szCs w:val="20"/>
          <w:color w:val="auto"/>
        </w:rPr>
      </w:pPr>
    </w:p>
    <w:p>
      <w:pPr>
        <w:ind w:right="2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08"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computed by reference to the price at which the common equity was last sold on June 30, 2023 (the last business day of the registrant's most recently completed second fiscal quarter), was: $304,734,005.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outstanding of the registrant's Common Stock, at March 1, 2024, was 12,164,698.</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193"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5"/>
          <w:szCs w:val="15"/>
          <w:color w:val="auto"/>
        </w:rPr>
        <w:t>Portions of the definitive proxy statement of the Registrant for the Registrant's 2023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5327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600" w:type="dxa"/>
            <w:vAlign w:val="bottom"/>
          </w:tcPr>
          <w:p>
            <w:pPr>
              <w:spacing w:after="0"/>
              <w:rPr>
                <w:sz w:val="15"/>
                <w:szCs w:val="15"/>
                <w:color w:val="auto"/>
              </w:rPr>
            </w:pPr>
          </w:p>
        </w:tc>
        <w:tc>
          <w:tcPr>
            <w:tcW w:w="8620" w:type="dxa"/>
            <w:vAlign w:val="bottom"/>
          </w:tcPr>
          <w:p>
            <w:pPr>
              <w:jc w:val="center"/>
              <w:ind w:left="1364"/>
              <w:spacing w:after="0"/>
              <w:rPr>
                <w:sz w:val="20"/>
                <w:szCs w:val="20"/>
                <w:color w:val="auto"/>
              </w:rPr>
            </w:pPr>
            <w:r>
              <w:rPr>
                <w:rFonts w:ascii="Times New Roman" w:cs="Times New Roman" w:eastAsia="Times New Roman" w:hAnsi="Times New Roman"/>
                <w:sz w:val="15"/>
                <w:szCs w:val="15"/>
                <w:b w:val="1"/>
                <w:bCs w:val="1"/>
                <w:color w:val="auto"/>
              </w:rPr>
              <w:t>inTEST CORPORATION</w:t>
            </w: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jc w:val="center"/>
              <w:ind w:left="1364"/>
              <w:spacing w:after="0"/>
              <w:rPr>
                <w:sz w:val="20"/>
                <w:szCs w:val="20"/>
                <w:color w:val="auto"/>
              </w:rPr>
            </w:pPr>
            <w:r>
              <w:rPr>
                <w:rFonts w:ascii="Times New Roman" w:cs="Times New Roman" w:eastAsia="Times New Roman" w:hAnsi="Times New Roman"/>
                <w:sz w:val="15"/>
                <w:szCs w:val="15"/>
                <w:b w:val="1"/>
                <w:bCs w:val="1"/>
                <w:color w:val="auto"/>
              </w:rPr>
              <w:t>FORM 10-K</w:t>
            </w: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8620" w:type="dxa"/>
            <w:vAlign w:val="bottom"/>
          </w:tcPr>
          <w:p>
            <w:pPr>
              <w:jc w:val="center"/>
              <w:ind w:left="1344"/>
              <w:spacing w:after="0"/>
              <w:rPr>
                <w:sz w:val="20"/>
                <w:szCs w:val="20"/>
                <w:color w:val="auto"/>
              </w:rPr>
            </w:pPr>
            <w:r>
              <w:rPr>
                <w:rFonts w:ascii="Times New Roman" w:cs="Times New Roman" w:eastAsia="Times New Roman" w:hAnsi="Times New Roman"/>
                <w:sz w:val="15"/>
                <w:szCs w:val="15"/>
                <w:b w:val="1"/>
                <w:bCs w:val="1"/>
                <w:color w:val="auto"/>
              </w:rPr>
              <w:t>FOR THE YEAR ENDED DECEMBER 31, 2023</w:t>
            </w: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8620" w:type="dxa"/>
            <w:vAlign w:val="bottom"/>
          </w:tcPr>
          <w:p>
            <w:pPr>
              <w:jc w:val="center"/>
              <w:ind w:left="1344"/>
              <w:spacing w:after="0"/>
              <w:rPr>
                <w:sz w:val="20"/>
                <w:szCs w:val="20"/>
                <w:color w:val="auto"/>
              </w:rPr>
            </w:pPr>
            <w:r>
              <w:rPr>
                <w:rFonts w:ascii="Times New Roman" w:cs="Times New Roman" w:eastAsia="Times New Roman" w:hAnsi="Times New Roman"/>
                <w:sz w:val="15"/>
                <w:szCs w:val="15"/>
                <w:b w:val="1"/>
                <w:bCs w:val="1"/>
                <w:color w:val="auto"/>
                <w:w w:val="99"/>
              </w:rPr>
              <w:t>INDEX</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0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60" w:type="dxa"/>
            <w:vAlign w:val="bottom"/>
            <w:gridSpan w:val="3"/>
          </w:tcPr>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Page</w:t>
            </w:r>
          </w:p>
        </w:tc>
        <w:tc>
          <w:tcPr>
            <w:tcW w:w="0" w:type="dxa"/>
            <w:vAlign w:val="bottom"/>
          </w:tcPr>
          <w:p>
            <w:pPr>
              <w:spacing w:after="0"/>
              <w:rPr>
                <w:sz w:val="1"/>
                <w:szCs w:val="1"/>
                <w:color w:val="auto"/>
              </w:rPr>
            </w:pPr>
          </w:p>
        </w:tc>
      </w:tr>
      <w:tr>
        <w:trPr>
          <w:trHeight w:val="190"/>
        </w:trPr>
        <w:tc>
          <w:tcPr>
            <w:tcW w:w="600" w:type="dxa"/>
            <w:vAlign w:val="bottom"/>
            <w:shd w:val="clear" w:color="auto" w:fill="CCEEFF"/>
          </w:tcPr>
          <w:p>
            <w:pPr>
              <w:spacing w:after="0"/>
              <w:rPr>
                <w:sz w:val="16"/>
                <w:szCs w:val="16"/>
                <w:color w:val="auto"/>
              </w:rPr>
            </w:pPr>
          </w:p>
        </w:tc>
        <w:tc>
          <w:tcPr>
            <w:tcW w:w="8620" w:type="dxa"/>
            <w:vAlign w:val="bottom"/>
            <w:shd w:val="clear" w:color="auto" w:fill="CCEEFF"/>
          </w:tcPr>
          <w:p>
            <w:pPr>
              <w:jc w:val="center"/>
              <w:ind w:left="1364"/>
              <w:spacing w:after="0"/>
              <w:rPr>
                <w:sz w:val="20"/>
                <w:szCs w:val="20"/>
                <w:color w:val="auto"/>
              </w:rPr>
            </w:pPr>
            <w:r>
              <w:rPr>
                <w:rFonts w:ascii="Times New Roman" w:cs="Times New Roman" w:eastAsia="Times New Roman" w:hAnsi="Times New Roman"/>
                <w:sz w:val="15"/>
                <w:szCs w:val="15"/>
                <w:b w:val="1"/>
                <w:bCs w:val="1"/>
                <w:color w:val="auto"/>
                <w:w w:val="99"/>
              </w:rPr>
              <w:t>PART I</w:t>
            </w:r>
          </w:p>
        </w:tc>
        <w:tc>
          <w:tcPr>
            <w:tcW w:w="17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Business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Risk Factors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1B.</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Unresolved Staff Comments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1C.</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Cybersecurity</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2.</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Properties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Legal Proceedings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4.</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Mine Safety Disclosures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15"/>
                <w:szCs w:val="15"/>
                <w:color w:val="auto"/>
              </w:rPr>
            </w:pPr>
          </w:p>
        </w:tc>
        <w:tc>
          <w:tcPr>
            <w:tcW w:w="8620" w:type="dxa"/>
            <w:vAlign w:val="bottom"/>
            <w:shd w:val="clear" w:color="auto" w:fill="CCEEFF"/>
          </w:tcPr>
          <w:p>
            <w:pPr>
              <w:jc w:val="center"/>
              <w:ind w:left="1344"/>
              <w:spacing w:after="0"/>
              <w:rPr>
                <w:sz w:val="20"/>
                <w:szCs w:val="20"/>
                <w:color w:val="auto"/>
              </w:rPr>
            </w:pPr>
            <w:r>
              <w:rPr>
                <w:rFonts w:ascii="Times New Roman" w:cs="Times New Roman" w:eastAsia="Times New Roman" w:hAnsi="Times New Roman"/>
                <w:sz w:val="15"/>
                <w:szCs w:val="15"/>
                <w:b w:val="1"/>
                <w:bCs w:val="1"/>
                <w:color w:val="auto"/>
                <w:w w:val="99"/>
              </w:rPr>
              <w:t>PART II</w:t>
            </w: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5.</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Market for Registrant's Common Equity, Related Stockholder Matters and Issuer Purchases of Equity Securities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[Reserved]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7.</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7A.</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8.</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Financial Statements and Supplementary Data</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9.</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Changes in and Disagreements with Accountants on Accounting and Financial Disclosure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9A.</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Controls and Procedures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9B.</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Information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9C</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Disclosure Regarding Foreign Jurisdictions that Prevent Inspections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15"/>
                <w:szCs w:val="15"/>
                <w:color w:val="auto"/>
              </w:rPr>
            </w:pPr>
          </w:p>
        </w:tc>
        <w:tc>
          <w:tcPr>
            <w:tcW w:w="8620" w:type="dxa"/>
            <w:vAlign w:val="bottom"/>
            <w:shd w:val="clear" w:color="auto" w:fill="CCEEFF"/>
          </w:tcPr>
          <w:p>
            <w:pPr>
              <w:jc w:val="center"/>
              <w:ind w:left="1364"/>
              <w:spacing w:after="0"/>
              <w:rPr>
                <w:sz w:val="20"/>
                <w:szCs w:val="20"/>
                <w:color w:val="auto"/>
              </w:rPr>
            </w:pPr>
            <w:r>
              <w:rPr>
                <w:rFonts w:ascii="Times New Roman" w:cs="Times New Roman" w:eastAsia="Times New Roman" w:hAnsi="Times New Roman"/>
                <w:sz w:val="15"/>
                <w:szCs w:val="15"/>
                <w:b w:val="1"/>
                <w:bCs w:val="1"/>
                <w:color w:val="auto"/>
                <w:w w:val="99"/>
              </w:rPr>
              <w:t>PART III</w:t>
            </w: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10.</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Directors, Executive Officers and Corporate Governance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11.</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Executive Compensation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12.</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 and Related Stockholder Matters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13.</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Certain Relationships and Related Transactions, and Director Independence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14.</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Principal Accounting Fees and Services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15"/>
                <w:szCs w:val="15"/>
                <w:color w:val="auto"/>
              </w:rPr>
            </w:pPr>
          </w:p>
        </w:tc>
        <w:tc>
          <w:tcPr>
            <w:tcW w:w="8620" w:type="dxa"/>
            <w:vAlign w:val="bottom"/>
            <w:shd w:val="clear" w:color="auto" w:fill="CCEEFF"/>
          </w:tcPr>
          <w:p>
            <w:pPr>
              <w:jc w:val="center"/>
              <w:ind w:left="1344"/>
              <w:spacing w:after="0"/>
              <w:rPr>
                <w:sz w:val="20"/>
                <w:szCs w:val="20"/>
                <w:color w:val="auto"/>
              </w:rPr>
            </w:pPr>
            <w:r>
              <w:rPr>
                <w:rFonts w:ascii="Times New Roman" w:cs="Times New Roman" w:eastAsia="Times New Roman" w:hAnsi="Times New Roman"/>
                <w:sz w:val="15"/>
                <w:szCs w:val="15"/>
                <w:b w:val="1"/>
                <w:bCs w:val="1"/>
                <w:color w:val="auto"/>
                <w:w w:val="97"/>
              </w:rPr>
              <w:t>PART IV</w:t>
            </w: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15.</w:t>
            </w: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Exhibits and Financial Statement Schedules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Item 16.</w:t>
            </w: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Form 10-K Summary</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15"/>
                <w:szCs w:val="15"/>
                <w:color w:val="auto"/>
              </w:rPr>
            </w:pP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Index to Exhibits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Signatures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shd w:val="clear" w:color="auto" w:fill="CCEEFF"/>
          </w:tcPr>
          <w:p>
            <w:pPr>
              <w:spacing w:after="0"/>
              <w:rPr>
                <w:sz w:val="15"/>
                <w:szCs w:val="15"/>
                <w:color w:val="auto"/>
              </w:rPr>
            </w:pPr>
          </w:p>
        </w:tc>
        <w:tc>
          <w:tcPr>
            <w:tcW w:w="8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Index to Consolidated Financial Statements and Financial Statement Schedule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600" w:type="dxa"/>
            <w:vAlign w:val="bottom"/>
          </w:tcPr>
          <w:p>
            <w:pPr>
              <w:spacing w:after="0"/>
              <w:rPr>
                <w:sz w:val="24"/>
                <w:szCs w:val="24"/>
                <w:color w:val="auto"/>
              </w:rPr>
            </w:pPr>
          </w:p>
        </w:tc>
        <w:tc>
          <w:tcPr>
            <w:tcW w:w="8620" w:type="dxa"/>
            <w:vAlign w:val="bottom"/>
          </w:tcPr>
          <w:p>
            <w:pPr>
              <w:jc w:val="center"/>
              <w:ind w:left="1344"/>
              <w:spacing w:after="0"/>
              <w:rPr>
                <w:sz w:val="20"/>
                <w:szCs w:val="20"/>
                <w:color w:val="auto"/>
              </w:rPr>
            </w:pPr>
            <w:r>
              <w:rPr>
                <w:rFonts w:ascii="Times New Roman" w:cs="Times New Roman" w:eastAsia="Times New Roman" w:hAnsi="Times New Roman"/>
                <w:sz w:val="15"/>
                <w:szCs w:val="15"/>
                <w:color w:val="auto"/>
              </w:rPr>
              <w:t>2</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86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14"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YEAR ENDED DECEMBER 31,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From time to time, we make written or oral "forward-looking statements" within the meaning of the Private Securities Litigation Reform Act of 1995, as amended, including statements contained in our filings with the Securities and Exchange Commission (the “SEC”) (including this Annual Report on Form 10-K for the year ended December 31, 2023 (this “Report”)), in our annual report to stockholders and in other communications.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“intends,” “may,” “could,” “will,” “should,” “plans,” “depending,” “projects,” “forecasts,” “seeks,” “anticipates,” “goal,” “objective,” “target,” “estimates,” “future,” “outlook,” “strategy,” “vision,”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57" w:lineRule="exact"/>
        <w:rPr>
          <w:sz w:val="20"/>
          <w:szCs w:val="20"/>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on our 5-Point Strategy;</w:t>
      </w:r>
    </w:p>
    <w:p>
      <w:pPr>
        <w:spacing w:after="0" w:line="25"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our presence in the automotive/electric vehicle (“EV”), life sciences, security, industrial and international markets;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future acquisitions or dispositions and the successful integration of any acquired operations;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our strategy to diversify our business by entering markets outside the semiconductor automated test equipment (“ATE”) market;</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indications of a change in the market cycles in the semiconductor (“semi”) market, or other markets we serve;</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trends in the semi market, including changes in the demand for semiconductors;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convert backlog to sales and to ship product in a timely manner;</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any one or more of our largest customers, or a reduction in orders by a major customer;</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materials used to manufacture our products;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interruptions in our supply chain caused by external factors;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sufficiency of cash balances, lines of credit and net cash from operations;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price fluctuations;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borrow funds or raise capital to finance potential acquisitions or for working capital;</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rate of, and timing of, capital expenditures by our customers;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effects of exchange rate fluctuations;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progress of product development programs;</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market for our products;</w:t>
      </w:r>
    </w:p>
    <w:p>
      <w:pPr>
        <w:spacing w:after="0" w:line="10" w:lineRule="exact"/>
        <w:rPr>
          <w:rFonts w:ascii="Times New Roman" w:cs="Times New Roman" w:eastAsia="Times New Roman" w:hAnsi="Times New Roman"/>
          <w:sz w:val="15"/>
          <w:szCs w:val="15"/>
          <w:color w:val="auto"/>
        </w:rPr>
      </w:pPr>
    </w:p>
    <w:p>
      <w:pPr>
        <w:ind w:left="820" w:right="200" w:hanging="281"/>
        <w:spacing w:after="0" w:line="254" w:lineRule="auto"/>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effectively remediate the material weakness in our internal control over financial reporting that we have identified or our failure to develop and maintain a proper and effective system of disclosure controls and internal control over financial reporting;</w:t>
      </w: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and retention of key personnel or our ability to hire personnel at anticipated costs; and</w:t>
      </w:r>
    </w:p>
    <w:p>
      <w:pPr>
        <w:spacing w:after="0" w:line="10" w:lineRule="exact"/>
        <w:rPr>
          <w:rFonts w:ascii="Times New Roman" w:cs="Times New Roman" w:eastAsia="Times New Roman" w:hAnsi="Times New Roman"/>
          <w:sz w:val="15"/>
          <w:szCs w:val="15"/>
          <w:color w:val="auto"/>
        </w:rPr>
      </w:pPr>
    </w:p>
    <w:p>
      <w:pPr>
        <w:ind w:left="820" w:hanging="281"/>
        <w:spacing w:after="0"/>
        <w:tabs>
          <w:tab w:leader="none" w:pos="8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both domestically and globally.</w:t>
      </w:r>
    </w:p>
    <w:p>
      <w:pPr>
        <w:spacing w:after="0" w:line="17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We discuss many of these risks and uncertainties and others under Part I, Item 1A "Risk Factors,"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PART I</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OVERVIEW AND STRATEGY</w:t>
      </w:r>
    </w:p>
    <w:p>
      <w:pPr>
        <w:spacing w:after="0" w:line="193" w:lineRule="exact"/>
        <w:rPr>
          <w:sz w:val="20"/>
          <w:szCs w:val="20"/>
          <w:color w:val="auto"/>
        </w:rPr>
      </w:pPr>
    </w:p>
    <w:p>
      <w:pPr>
        <w:ind w:left="560" w:right="120"/>
        <w:spacing w:after="0" w:line="288" w:lineRule="auto"/>
        <w:rPr>
          <w:sz w:val="20"/>
          <w:szCs w:val="20"/>
          <w:color w:val="auto"/>
        </w:rPr>
      </w:pPr>
      <w:r>
        <w:rPr>
          <w:rFonts w:ascii="Times New Roman" w:cs="Times New Roman" w:eastAsia="Times New Roman" w:hAnsi="Times New Roman"/>
          <w:sz w:val="15"/>
          <w:szCs w:val="15"/>
          <w:color w:val="auto"/>
        </w:rPr>
        <w:t>inTEST Corporation was incorporated in New Jersey in 1981 and reincorporated in Delaware in April 1997. The consolidated entity is comprised of inTEST Corporation and our wholly-owned subsidiaries. In this Report, "we," "us," "our," and the "Company" refer to inTEST Corporation and our consolidated subsidiaries.</w:t>
      </w:r>
    </w:p>
    <w:p>
      <w:pPr>
        <w:spacing w:after="0" w:line="134" w:lineRule="exact"/>
        <w:rPr>
          <w:sz w:val="20"/>
          <w:szCs w:val="20"/>
          <w:color w:val="auto"/>
        </w:rPr>
      </w:pPr>
    </w:p>
    <w:p>
      <w:pPr>
        <w:ind w:left="560" w:right="320"/>
        <w:spacing w:after="0" w:line="271" w:lineRule="auto"/>
        <w:rPr>
          <w:sz w:val="20"/>
          <w:szCs w:val="20"/>
          <w:color w:val="auto"/>
        </w:rPr>
      </w:pPr>
      <w:r>
        <w:rPr>
          <w:rFonts w:ascii="Times New Roman" w:cs="Times New Roman" w:eastAsia="Times New Roman" w:hAnsi="Times New Roman"/>
          <w:sz w:val="15"/>
          <w:szCs w:val="15"/>
          <w:color w:val="auto"/>
        </w:rPr>
        <w:t>We are a global supplier of innovative test and process technology solutions for use in manufacturing and testing across a wide range of markets including automotive, defense/aerospace, industrial, life sciences, security and semiconductors (“semi”). We have three operating segments which are also our reportable segments and reporting units: Electronic Test, Environmental Technologies and Process Technologies.</w:t>
      </w:r>
    </w:p>
    <w:p>
      <w:pPr>
        <w:spacing w:after="0" w:line="146"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5"/>
          <w:szCs w:val="15"/>
          <w:color w:val="auto"/>
        </w:rPr>
        <w:t>In early 2021, we launched our 5-Point Strategy, our new corporate vision and our mission statement. Our vision is to be the supplier of choice for innovative test and process technology solutions. Our mission is to leverage our deep industry knowledge and expertise to develop and deliver high quality, innovative customer solutions and superior support for complex global challenges. We are committed to becoming recognized as a leader in our markets for design and manufacturing capabilities that help solve our customers’ most complex challenges in their manufacturing and quality processes. Our products provide highly engineered, high quality and cost-effective test and process technology solutions which are delivered with a customer focus that are intended to drive a high level of customer satisfaction. Our strategy is to consistently develop unique and differentiated solutions through innovative new product development and acquisitions. We expect to expand our portfolio of products, services, and support to drive increased value to our customers to drive revenue and earnings growth. We believe by executing on our 5-Point Strategy, as described more fully below, that we can grow our annual revenue to between $200 million to $250 million by 2025, while maintaining our strong margin profile. We expect to do this through a combination of organic growth and acquisitions. Our 5-Point Strategy is as follows:</w:t>
      </w:r>
    </w:p>
    <w:p>
      <w:pPr>
        <w:spacing w:after="0" w:line="153" w:lineRule="exact"/>
        <w:rPr>
          <w:sz w:val="20"/>
          <w:szCs w:val="20"/>
          <w:color w:val="auto"/>
        </w:rPr>
      </w:pPr>
    </w:p>
    <w:p>
      <w:pPr>
        <w:ind w:left="2820" w:right="20"/>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Global and Market Expansion. </w:t>
      </w:r>
      <w:r>
        <w:rPr>
          <w:rFonts w:ascii="Times New Roman" w:cs="Times New Roman" w:eastAsia="Times New Roman" w:hAnsi="Times New Roman"/>
          <w:sz w:val="15"/>
          <w:szCs w:val="15"/>
          <w:color w:val="auto"/>
        </w:rPr>
        <w:t>We believe our serviceable addressable market (“SAM”) is currently in excess of $2.0 billion and that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can provide significant and sustainable long-term growth by expanding our SAM and building a larger installed product base. To capture this opportunity, we intend to make investments to drive further penetration in our existing markets. These investments may include initiatives to increase revenue both by leveraging our customer relationships to provide a broader array of our current portfolio of products to our existing customer base as well as by expanding our customer base within these markets. In addition, we intend to increase our global footprint and coverage to better serve new and existing customers. Finally, our strategy in this area includes targeting expansion into new markets with our existing product portfolio. During 2023, our businesses continued to gain new customers in both the semi market and in our other target markets and we have expanded our sales and support network to regions of the world where we identified gaps in coverage. We also announced in December that we have signed a lease on a 25,000 square foot facility in Penang, Malaysia which will support applications engineering, product development and localized manufacturing for nearly all inTEST brands. It will serve as the main location in the region for customer product demonstrations, customer service and applications training. Currently, revenue from products shipped to Asia–Pacific represents approximately 35% of our consolidated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1384300" cy="1601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4300" cy="1601470"/>
                    </a:xfrm>
                    <a:prstGeom prst="rect">
                      <a:avLst/>
                    </a:prstGeom>
                    <a:noFill/>
                  </pic:spPr>
                </pic:pic>
              </a:graphicData>
            </a:graphic>
          </wp:anchor>
        </w:drawing>
      </w:r>
    </w:p>
    <w:p>
      <w:pPr>
        <w:spacing w:after="0" w:line="138" w:lineRule="exact"/>
        <w:rPr>
          <w:sz w:val="20"/>
          <w:szCs w:val="20"/>
          <w:color w:val="auto"/>
        </w:rPr>
      </w:pPr>
    </w:p>
    <w:p>
      <w:pPr>
        <w:ind w:left="2820"/>
        <w:spacing w:after="0" w:line="256" w:lineRule="auto"/>
        <w:rPr>
          <w:sz w:val="20"/>
          <w:szCs w:val="20"/>
          <w:color w:val="auto"/>
        </w:rPr>
      </w:pPr>
      <w:r>
        <w:rPr>
          <w:rFonts w:ascii="Times New Roman" w:cs="Times New Roman" w:eastAsia="Times New Roman" w:hAnsi="Times New Roman"/>
          <w:sz w:val="15"/>
          <w:szCs w:val="15"/>
          <w:i w:val="1"/>
          <w:iCs w:val="1"/>
          <w:color w:val="auto"/>
        </w:rPr>
        <w:t>Innovation and Differentiation</w:t>
      </w:r>
      <w:r>
        <w:rPr>
          <w:rFonts w:ascii="Times New Roman" w:cs="Times New Roman" w:eastAsia="Times New Roman" w:hAnsi="Times New Roman"/>
          <w:sz w:val="15"/>
          <w:szCs w:val="15"/>
          <w:color w:val="auto"/>
        </w:rPr>
        <w:t>. Our 5-Point Strategy focuses on leveraging our engineering know-how and expertise to deliver innovative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solutions which we believe will outperform those of our competitors. We continue to invest in engineering resources with the goal of developing new and unique solutions to help solve our customers’ most complex challenges in their manufacturing and quality processes. Designed to be broadly applicable through more standardized platforms, these solution platforms enable late-stage configuration to address each customers’ unique requirements. We believe creating more standardization to increase market availability will drive growth and reduce costs by enabling us to increase the breadth and depth of our customer base. In 2023 in our Process Technologies division, we continued the roll out of our all-new Zoom Block camera with SCAiLX technology manufactured by Videology, which is a first-to-market product with custom artificial intelligence on the Edge platform. We also introduced our all-new EKOHEAT 2 induction heating products manufactured by Ambrell. The EKOHEAT 2 offering is the next generation and evolution of Ambrell’s renowned VPA Technology. In our Environmental Technologies division, we made great progress on the BT28, our next generation benchtop Thermostream. The BT28 is a new benchtop thermal testing system that we intend to officially be released at the OTC Conference in San Diego on March 26, 2024. It uses the same compressor technology that is in our large Thermostream to deliver -28 degrees Celsius to +225 degrees Celsius air at 14 standard cubic feet per minute, enabling our customers to save space and still be able to test a broad range of devices. Environmental Technologies also released several new industrial process chillers, specifically designed for the expanding automotive electric vehicle inverter testing market. In our Electronic Test division, we continued to expand our automated manipulator offerings with the launch of the LS2 manipulator for test heads under 250kg and the fully automated LSL manipulator for test heads weighing up to 1200kg. We expanded our solutions for the high-powered integrated circuit (“IC”) test market with new interface solutions supporting test equipment up to 2KV and 300AMPs with high site counts and our first automated hinge manipulator. Acculogic Inc. (“Acculogic”) shipped its first Flying Probe system with an integrated radio frequency (“RF”) measurement system for improved high frequency test measurement capability for semiconductor ATE and communications markets.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5" w:name="page6"/>
    <w:bookmarkEnd w:id="5"/>
    <w:p>
      <w:pPr>
        <w:ind w:left="560" w:right="20"/>
        <w:spacing w:after="0" w:line="260" w:lineRule="auto"/>
        <w:rPr>
          <w:sz w:val="20"/>
          <w:szCs w:val="20"/>
          <w:color w:val="auto"/>
        </w:rPr>
      </w:pPr>
      <w:r>
        <w:rPr>
          <w:rFonts w:ascii="Times New Roman" w:cs="Times New Roman" w:eastAsia="Times New Roman" w:hAnsi="Times New Roman"/>
          <w:sz w:val="15"/>
          <w:szCs w:val="15"/>
          <w:i w:val="1"/>
          <w:iCs w:val="1"/>
          <w:color w:val="auto"/>
        </w:rPr>
        <w:t>Service and Support</w:t>
      </w:r>
      <w:r>
        <w:rPr>
          <w:rFonts w:ascii="Times New Roman" w:cs="Times New Roman" w:eastAsia="Times New Roman" w:hAnsi="Times New Roman"/>
          <w:sz w:val="15"/>
          <w:szCs w:val="15"/>
          <w:color w:val="auto"/>
        </w:rPr>
        <w:t>. We have strong customer relationships and believe service and support activities are valuable in strengthening customer satisfaction, loyalty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retention. Through ensuring that we serve our customers’ needs, whether by expanding service coverage and decreasing response time or through expanding and enhancing service offerings, we believe we can drive revenue growth and strengthen our customer relationships. We expect to invest in resources to fill areas where we have identified gaps in service and support. As we expand our SAM and increase our market penetration, we also expect to identify opportunities to add more consumable products within our offerings. We believe that increasing the number of ways and the frequency with which we make customer contacts can drive growth in our business in the future. In 2023, we continued to expand our global service partner network. In addition, as noted previously, we recently announced our plans to open a facility in Malaysia which will serve as the main location in the region for customer product demonstrations, customer service and applications training. This facility is expected to begin operations in the second or third quarter of 2024.</w:t>
      </w:r>
    </w:p>
    <w:p>
      <w:pPr>
        <w:spacing w:after="0" w:line="336" w:lineRule="exact"/>
        <w:rPr>
          <w:sz w:val="20"/>
          <w:szCs w:val="20"/>
          <w:color w:val="auto"/>
        </w:rPr>
      </w:pPr>
    </w:p>
    <w:p>
      <w:pPr>
        <w:ind w:left="560" w:right="220"/>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Strategic Acquisitions &amp; Partnerships. </w:t>
      </w:r>
      <w:r>
        <w:rPr>
          <w:rFonts w:ascii="Times New Roman" w:cs="Times New Roman" w:eastAsia="Times New Roman" w:hAnsi="Times New Roman"/>
          <w:sz w:val="15"/>
          <w:szCs w:val="15"/>
          <w:color w:val="auto"/>
        </w:rPr>
        <w:t>In addition to driving organic growth, our strategy includes acquiring businesses, technologies or products that are complementary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current product offerings. Our acquisition strategy is to add to our current solutions by expanding capabilities, such as expanded induction heating frequency or refrigeration temperature range, and to expand our geographic presence. We also will consider new technologies that replicate the highly engineered, high quality and differentiated solutions of our current product portfolio for test and process solutions. Our focus is on expanding our electronic test capabilities, widening our thermal test capabilities in areas such as environmental test, and building our processing technologies offerings with expanded imaging and heating capabilities. We continue to assess target companies to drive further inorganic growth in support of our 5-year plan.</w:t>
      </w:r>
    </w:p>
    <w:p>
      <w:pPr>
        <w:spacing w:after="0" w:line="149" w:lineRule="exact"/>
        <w:rPr>
          <w:sz w:val="20"/>
          <w:szCs w:val="20"/>
          <w:color w:val="auto"/>
        </w:rPr>
      </w:pPr>
    </w:p>
    <w:p>
      <w:pPr>
        <w:ind w:left="560" w:right="140"/>
        <w:spacing w:after="0" w:line="262" w:lineRule="auto"/>
        <w:rPr>
          <w:sz w:val="20"/>
          <w:szCs w:val="20"/>
          <w:color w:val="auto"/>
        </w:rPr>
      </w:pPr>
      <w:r>
        <w:rPr>
          <w:rFonts w:ascii="Times New Roman" w:cs="Times New Roman" w:eastAsia="Times New Roman" w:hAnsi="Times New Roman"/>
          <w:sz w:val="15"/>
          <w:szCs w:val="15"/>
          <w:i w:val="1"/>
          <w:iCs w:val="1"/>
          <w:color w:val="auto"/>
        </w:rPr>
        <w:t>Talent and Culture</w:t>
      </w:r>
      <w:r>
        <w:rPr>
          <w:rFonts w:ascii="Times New Roman" w:cs="Times New Roman" w:eastAsia="Times New Roman" w:hAnsi="Times New Roman"/>
          <w:sz w:val="15"/>
          <w:szCs w:val="15"/>
          <w:color w:val="auto"/>
        </w:rPr>
        <w:t>. We believe ensuring the right people are in the right roles and are empowered to deliver success is crucial to the achievement of our core strategies.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addition, we have and will continue to create a culture and environment of openness, one that is results-oriented and drives accountability across the organization. Finally, we intend to foster diversity, equity and inclusion and provide opportunities for career development so as to maximize employee engagement, all of which is necessary to achieving our corporate vision. In 2023, we created the inTEST leadership academy which is another tool for identifying and developing talent from within, connecting emerging leaders across our organization and promoting collaboration and teamwork. In addition, we held our first company-wide marketing summit where our sales and marketing leadership from across the organization came together to collaborate on a global level and share ideas for growing and expanding the inTEST brand.</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ACQUISITION</w:t>
      </w:r>
    </w:p>
    <w:p>
      <w:pPr>
        <w:spacing w:after="0" w:line="193"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5"/>
          <w:szCs w:val="15"/>
          <w:color w:val="auto"/>
        </w:rPr>
        <w:t>On March 12, 2024 we entered into a stock purchase agreement to acquire all of the outstanding capital shares of Alfamation S.p.A.,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will become a part of our Electronic Test operating segment. The aggregate purchase price was approximately €20 million comprised of approximately €18 million in cash, 187,432 shares of our common stock and an additional approximately €542,000 in cash for assets delivered at closing in excess of agreed upon thresholds. On the closing date, this equated to a total purchase price of approximately $22.4 million.</w:t>
      </w:r>
    </w:p>
    <w:p>
      <w:pPr>
        <w:spacing w:after="0" w:line="153" w:lineRule="exact"/>
        <w:rPr>
          <w:sz w:val="20"/>
          <w:szCs w:val="20"/>
          <w:color w:val="auto"/>
        </w:rPr>
      </w:pPr>
    </w:p>
    <w:p>
      <w:pPr>
        <w:ind w:left="540" w:right="60"/>
        <w:spacing w:after="0" w:line="265" w:lineRule="auto"/>
        <w:rPr>
          <w:sz w:val="20"/>
          <w:szCs w:val="20"/>
          <w:color w:val="auto"/>
        </w:rPr>
      </w:pPr>
      <w:r>
        <w:rPr>
          <w:rFonts w:ascii="Times New Roman" w:cs="Times New Roman" w:eastAsia="Times New Roman" w:hAnsi="Times New Roman"/>
          <w:sz w:val="15"/>
          <w:szCs w:val="15"/>
          <w:color w:val="auto"/>
        </w:rPr>
        <w:t>In connection with the acquisition, we have entered into a lease agreement (the “Lease Agreement”) with the former owner of Alfamation. The Lease Agreement will last for six years starting on March 12, 2024 and will be automatically renewed for the same period of time unless terminated by either party. Under the terms of the Lease Agreement, Alfamation will lease warehouse and office space totaling about 51,817 square feet. Alfamation will pay a yearly lease payment of €231,312 broken up into four equal payments. At the date of the signing of the Lease Agreement, the yearly lease payment equated to approximately $253,000.</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MARKETS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Overview</w:t>
      </w:r>
    </w:p>
    <w:p>
      <w:pPr>
        <w:spacing w:after="0" w:line="197" w:lineRule="exact"/>
        <w:rPr>
          <w:sz w:val="20"/>
          <w:szCs w:val="20"/>
          <w:color w:val="auto"/>
        </w:rPr>
      </w:pPr>
    </w:p>
    <w:p>
      <w:pPr>
        <w:jc w:val="both"/>
        <w:ind w:left="560" w:right="200"/>
        <w:spacing w:after="0" w:line="271" w:lineRule="auto"/>
        <w:rPr>
          <w:sz w:val="20"/>
          <w:szCs w:val="20"/>
          <w:color w:val="auto"/>
        </w:rPr>
      </w:pPr>
      <w:r>
        <w:rPr>
          <w:rFonts w:ascii="Times New Roman" w:cs="Times New Roman" w:eastAsia="Times New Roman" w:hAnsi="Times New Roman"/>
          <w:sz w:val="15"/>
          <w:szCs w:val="15"/>
          <w:color w:val="auto"/>
        </w:rPr>
        <w:t>We are focused on specific target markets which include automotive, defense/aerospace, industrial, life sciences, security and semi. Our largest market is semi. Products and equipment sold into semi are generally delineated as being part of either “front-end” or “back-end.” The roots of inTEST’s engineered product history are in the back-end of semi in integrated circuit (“IC”) testing.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Pr>
          <w:p>
            <w:pPr>
              <w:spacing w:after="0"/>
              <w:rPr>
                <w:sz w:val="16"/>
                <w:szCs w:val="16"/>
                <w:color w:val="auto"/>
              </w:rPr>
            </w:pP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 in 000s)</w:t>
            </w: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6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12/31/2023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vMerge w:val="restart"/>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12/31/2022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40" w:type="dxa"/>
            <w:vAlign w:val="bottom"/>
            <w:tcBorders>
              <w:bottom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2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Semi</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65,735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53.3%</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68,422</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58.6%</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(2,687)</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Industrial</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14,310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11.6%</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10,038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4,272</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Automotive/EV</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9,895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10,776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(881)</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Life Sciences</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4,856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3.9%</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4,589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267</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Defense/Aerospace</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12,537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10.2%</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7,006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5,531</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Security</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3,688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3.0%</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3,241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447</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12,281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12,756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(475)</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0" w:type="dxa"/>
            <w:vAlign w:val="bottom"/>
          </w:tcPr>
          <w:p>
            <w:pPr>
              <w:spacing w:after="0"/>
              <w:rPr>
                <w:sz w:val="18"/>
                <w:szCs w:val="18"/>
                <w:color w:val="auto"/>
              </w:rPr>
            </w:pPr>
          </w:p>
        </w:tc>
        <w:tc>
          <w:tcPr>
            <w:tcW w:w="25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123,302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100.0%</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116,828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100.0%</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6,474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540" w:type="dxa"/>
            <w:vAlign w:val="bottom"/>
          </w:tcPr>
          <w:p>
            <w:pPr>
              <w:spacing w:after="0"/>
              <w:rPr>
                <w:sz w:val="24"/>
                <w:szCs w:val="24"/>
                <w:color w:val="auto"/>
              </w:rPr>
            </w:pPr>
          </w:p>
        </w:tc>
        <w:tc>
          <w:tcPr>
            <w:tcW w:w="25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9" w:right="31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5"/>
          <w:szCs w:val="15"/>
          <w:color w:val="auto"/>
        </w:rPr>
        <w:t>During 2023 our consolidated revenue grew $6.5 million or 6%. The increase primarily reflects increased demand for our thermal test solutions from customers in the defense/aerospace and industrial markets, and, to a lesser extent, increased demand for our induction heating solutions from customers in the industrial market. These increases were partially offset by declines in demand from the semi market. While demand from our customers in both the front-end and back-end of the semi market remained strong throughout most of 2023, we experienced declines in revenue from both these sectors of the semi market in the fourth quarter of 2023. We attribute these declines to the cyclical slowdown in the semi market which has been impacting this market as a whole for most of 2023 but which had not yet impacted us significantly as certain specific customers to which we sell many of our products in this market had continued to place orders with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Semi Market</w:t>
      </w:r>
    </w:p>
    <w:p>
      <w:pPr>
        <w:spacing w:after="0" w:line="1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The semi market includes both the broader semiconductor manufacturing industry as well as the more specialized wafer manufacturing (front-end) and semiconductor ATE (back-end) sectors within the broader semiconductor market. With our induction heating products, we serve the front-end of the semiconductor manufacturing process including silicon carbide ("SiC") crystal growth and epitaxial reactors. A variety of our electronic test and environmental technologies segments’ products are used in the back-end of the semiconductor manufacturing process, which includes the testing of ICs.</w:t>
      </w:r>
    </w:p>
    <w:p>
      <w:pPr>
        <w:spacing w:after="0" w:line="14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i w:val="1"/>
          <w:iCs w:val="1"/>
          <w:color w:val="auto"/>
        </w:rPr>
        <w:t>IC Testing</w:t>
      </w:r>
      <w:r>
        <w:rPr>
          <w:rFonts w:ascii="Times New Roman" w:cs="Times New Roman" w:eastAsia="Times New Roman" w:hAnsi="Times New Roman"/>
          <w:sz w:val="15"/>
          <w:szCs w:val="15"/>
          <w:color w:val="auto"/>
        </w:rPr>
        <w:t>. Semiconductor manufacturers typically produce ICs in multiples of several hundred or more on a silicon wafer that is later separated or "diced" into individual ICs.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4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5"/>
          <w:szCs w:val="15"/>
          <w:color w:val="auto"/>
        </w:rPr>
        <w:t>Wafers are tested before being diced and packaged to ensure that only properly functioning ICs are packaged. This testing step has several names, including "front-end test," "wafer test," "wafer probe" or "wafer sort." In front-end testing,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Once the good ICs have been identified, they are packaged.</w:t>
      </w:r>
    </w:p>
    <w:p>
      <w:pPr>
        <w:spacing w:after="0" w:line="1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5"/>
          <w:szCs w:val="15"/>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that is attached to the test head. These handlers may be temperature controlled for testing.</w:t>
      </w:r>
    </w:p>
    <w:p>
      <w:pPr>
        <w:spacing w:after="0" w:line="146"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5"/>
          <w:szCs w:val="15"/>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5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5"/>
          <w:szCs w:val="15"/>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w:t>
      </w:r>
    </w:p>
    <w:p>
      <w:pPr>
        <w:spacing w:after="0" w:line="13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i w:val="1"/>
          <w:iCs w:val="1"/>
          <w:color w:val="auto"/>
        </w:rPr>
        <w:t>Market Trends</w:t>
      </w:r>
      <w:r>
        <w:rPr>
          <w:rFonts w:ascii="Times New Roman" w:cs="Times New Roman" w:eastAsia="Times New Roman" w:hAnsi="Times New Roman"/>
          <w:sz w:val="15"/>
          <w:szCs w:val="15"/>
          <w:color w:val="auto"/>
        </w:rPr>
        <w:t>. We believe the semi market, an historically highly cyclical industry, will experience increased growth in the overall size of the market over the next several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years as a result of billions of dollars of investments in new fabrication (“fab”) facilities around the world. These investments are being driven by the continued growth of the use of electronics, the need for powering an ever-growing number of devices and the continued economic development of less wealthy nations. We believe the COVID-19 pandemic and an increase in geopolitical tensions in recent years have made the high concentration of semiconductor manufacturing in China and Taiwan very apparent to more wealthy nations and has spurred the investment in expansion of this industry in areas outside of these regions. While we believe the semi market will continue to experience its historical pattern of cyclicality, we expect the effect on our business to be reduced due to our efforts to expand our customer base and the release of new products. Nonetheless, we expect the shifts in demand in the industry from periods of expansion to periods of contraction may be significant, as has been the case for much of the semi market in 2023, when the industry was in a period of slowing growth and overall declines as compared to 2021 and 2022.</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13" w:right="339" w:bottom="1440" w:gutter="0" w:footer="0" w:header="0"/>
        </w:sectPr>
      </w:pPr>
    </w:p>
    <w:bookmarkStart w:id="7" w:name="page8"/>
    <w:bookmarkEnd w:id="7"/>
    <w:p>
      <w:pPr>
        <w:ind w:right="60"/>
        <w:spacing w:after="0" w:line="261" w:lineRule="auto"/>
        <w:rPr>
          <w:sz w:val="20"/>
          <w:szCs w:val="20"/>
          <w:color w:val="auto"/>
        </w:rPr>
      </w:pPr>
      <w:r>
        <w:rPr>
          <w:rFonts w:ascii="Times New Roman" w:cs="Times New Roman" w:eastAsia="Times New Roman" w:hAnsi="Times New Roman"/>
          <w:sz w:val="15"/>
          <w:szCs w:val="15"/>
          <w:color w:val="auto"/>
        </w:rPr>
        <w:t>We believe that semiconductor manufacturers remain under pressure to maximize production yields and reduce testing costs. At the same time, the growing complexity of ICs has increased the difficulty of maximizing test yields. In order to address these market trends, we believe semiconductor manufacturers strive for more effective utilization of ATE, smaller test areas and increased wafer level testing which requires our differentiated solutions that include test head manipulators, test head docking stations and test interfaces. As technology advances and ICs become increasingly more complex, we believe the need for increased capabilities in the test process should drive greater demand for our equipment. We expect that more front-end testing is going to be required in order to ensure maximum yield from the massive capital investments being made in fab expansion.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Other Markets</w:t>
      </w:r>
    </w:p>
    <w:p>
      <w:pPr>
        <w:spacing w:after="0" w:line="19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5"/>
          <w:szCs w:val="15"/>
          <w:color w:val="auto"/>
        </w:rPr>
        <w:t>We provide a variety of solutions to our automotive, defense/aerospace, industrial, life sciences, and security markets. We believe a number of drivers are creating more opportunity for our highly-engineered solutions in these markets.</w:t>
      </w:r>
    </w:p>
    <w:p>
      <w:pPr>
        <w:spacing w:after="0" w:line="13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In the automotive market, we provide solutions that help in the quality and productivity of both internal combustion and electric vehicle (“EV”) manufacturing. Our EV solutions include, but are not limited to, induction heating solutions for motor manufacturing, automated test equipment for battery cells, and industrial process chillers and thermal test chambers for inverter and battery testing. We believe there is a strong global growth trend in EVs and that our differentiated solutions can be applied with more customers in more geographic regions.</w:t>
      </w:r>
    </w:p>
    <w:p>
      <w:pPr>
        <w:spacing w:after="0" w:line="15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5"/>
          <w:szCs w:val="15"/>
          <w:color w:val="auto"/>
        </w:rPr>
        <w:t>In the defense/aerospace industry, we provide ATE to prime and subcontract manufacturers to ensure quality control is maintained while also providing quicker, more accurate test times of electronic circuit boards. We also provide solutions for thermal testing of equipment to ensure it will function over the specified temperature range. We believe this market is growing, in part, due to recent global instability.</w:t>
      </w:r>
    </w:p>
    <w:p>
      <w:pPr>
        <w:spacing w:after="0" w:line="14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The industrial market is the broadest, most diverse area we serve with a majority of our products serving a variety of applications. Applications for our induction heating products include annealing, bonding, brazing, curing, forging, heat treating, melting and shrink-fitting. Applications for our thermal test and process products include pressure-sensor testing, printed circuit board testing and cold-trap cooling for industrial processes. We believe the trend toward the use of green energy, automation, increased productivity and expanding manufacturing technology present opportunities for us to help our customers solve their complex challenges.</w:t>
      </w:r>
    </w:p>
    <w:p>
      <w:pPr>
        <w:spacing w:after="0" w:line="151"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color w:val="auto"/>
        </w:rPr>
        <w:t>In the life sciences industry, we provide image capture products, electronic test systems and heating systems for medical device manufacturing and equipment for critical applications within the medical cold chain for pharmaceuticals.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security industry, our image capture and data management technologies are used in a broad variety of applications.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OUR SOLUTIONS</w:t>
      </w:r>
    </w:p>
    <w:p>
      <w:pPr>
        <w:spacing w:after="0" w:line="19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5"/>
          <w:szCs w:val="15"/>
          <w:color w:val="auto"/>
        </w:rPr>
        <w:t>We focus our development efforts on designing and producing high quality products that provide superior performance and cost-effectiveness. We seek to address each manufacturer's individual needs through innovative and customized designs, use of the best materials available, quality manufacturing practices and personalized service. We design solutions to overcome the evolving challenges facing the semi market and other markets that we serve, which we believe provide the following advantages:</w:t>
      </w:r>
    </w:p>
    <w:p>
      <w:pPr>
        <w:spacing w:after="0" w:line="14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i w:val="1"/>
          <w:iCs w:val="1"/>
          <w:color w:val="auto"/>
        </w:rPr>
        <w:t>Temperature-Controlled Testing</w:t>
      </w:r>
      <w:r>
        <w:rPr>
          <w:rFonts w:ascii="Times New Roman" w:cs="Times New Roman" w:eastAsia="Times New Roman" w:hAnsi="Times New Roman"/>
          <w:sz w:val="15"/>
          <w:szCs w:val="15"/>
          <w:color w:val="auto"/>
        </w:rPr>
        <w:t>. Our ThermoStream(R) products are used by manufacturers in a number of markets to stress test a variety of semiconductor and electronic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49"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Ultra-Cold Storage Solutions. </w:t>
      </w:r>
      <w:r>
        <w:rPr>
          <w:rFonts w:ascii="Times New Roman" w:cs="Times New Roman" w:eastAsia="Times New Roman" w:hAnsi="Times New Roman"/>
          <w:sz w:val="15"/>
          <w:szCs w:val="15"/>
          <w:color w:val="auto"/>
        </w:rPr>
        <w:t>Our North Sciences offerings include high-performance biomedical freezer, refrigerators and mobile storage solutions that meet versatile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applications, including ultra-cold storage solutions for biological sample banks, blood safety, vaccine safety, medical supplies and reagent safety.</w:t>
      </w:r>
    </w:p>
    <w:p>
      <w:pPr>
        <w:spacing w:after="0" w:line="1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60"/>
          </w:cols>
          <w:pgMar w:left="880" w:top="513" w:right="359" w:bottom="1440" w:gutter="0" w:footer="0" w:header="0"/>
        </w:sectPr>
      </w:pPr>
    </w:p>
    <w:bookmarkStart w:id="8" w:name="page9"/>
    <w:bookmarkEnd w:id="8"/>
    <w:p>
      <w:pPr>
        <w:ind w:right="100"/>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Induction Heating. </w:t>
      </w:r>
      <w:r>
        <w:rPr>
          <w:rFonts w:ascii="Times New Roman" w:cs="Times New Roman" w:eastAsia="Times New Roman" w:hAnsi="Times New Roman"/>
          <w:sz w:val="15"/>
          <w:szCs w:val="15"/>
          <w:color w:val="auto"/>
        </w:rPr>
        <w:t>Our induction heating products are used in process applications where precision-controlled heating is needed. Customers use our induction heating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products in conjunction with other technologies in various manufacturing environments to improve production efficiencies and reduce or eliminate greenhouse gas emissions. Applications for our EKOHEAT(R) or EASYHEAT™ induction heating products include annealing, bonding, brazing, curing, forging, heat treating, melting, shrink-fitting, crystal growing, semi-wafer heating and material testing.</w:t>
      </w:r>
    </w:p>
    <w:p>
      <w:pPr>
        <w:spacing w:after="0" w:line="146"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Digital Streaming and Image Capturing Solutions. </w:t>
      </w:r>
      <w:r>
        <w:rPr>
          <w:rFonts w:ascii="Times New Roman" w:cs="Times New Roman" w:eastAsia="Times New Roman" w:hAnsi="Times New Roman"/>
          <w:sz w:val="15"/>
          <w:szCs w:val="15"/>
          <w:color w:val="auto"/>
        </w:rPr>
        <w:t>Videology offers industrial-grade circuit board mounted digital imaging solutions, Zoom Block cameras and complete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image capture systems. Videology also offers OEMs imaging solutions designed to the customers’ specifications and that can interface with the customers’ software.</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i w:val="1"/>
          <w:iCs w:val="1"/>
          <w:color w:val="auto"/>
        </w:rPr>
        <w:t>Scalable, Universal, High Performance ATE Integration Solutions</w:t>
      </w:r>
      <w:r>
        <w:rPr>
          <w:rFonts w:ascii="Times New Roman" w:cs="Times New Roman" w:eastAsia="Times New Roman" w:hAnsi="Times New Roman"/>
          <w:sz w:val="15"/>
          <w:szCs w:val="15"/>
          <w:color w:val="auto"/>
        </w:rPr>
        <w:t>. Our universal test head manipulators provide a high degree of positioning flexibility with a minimum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of effort. As a result, our products can be used in virtually any test setting. Our manipulator products are designed to accommodate the increased size of test heads and can now supporting test heads weighing up to 1200kg.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which results in increased accuracy of the test data and may thus enable improved test yields. Our interface product offerings have recently been expanded to serve the growing market for testing higher powered devices. A hallmark of our semi market product offerings has been, and continues to be, compatibility with a wide variety of ATE. Our manipulator 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5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Robotics-Based Electronic Production Test Equipment. </w:t>
      </w:r>
      <w:r>
        <w:rPr>
          <w:rFonts w:ascii="Times New Roman" w:cs="Times New Roman" w:eastAsia="Times New Roman" w:hAnsi="Times New Roman"/>
          <w:sz w:val="15"/>
          <w:szCs w:val="15"/>
          <w:color w:val="auto"/>
        </w:rPr>
        <w:t>Acculogic adds to our electronic test platform offerings beyond those which exclusively serve the semi market.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Acculogic designs and manufactures robotics-based electronic production test equipment and provides application support services which are sold to electronic manufacturers including OEM and contract electronic manufacturers as well as battery manufacturers.</w:t>
      </w:r>
    </w:p>
    <w:p>
      <w:pPr>
        <w:spacing w:after="0" w:line="1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i w:val="1"/>
          <w:iCs w:val="1"/>
          <w:color w:val="auto"/>
        </w:rPr>
        <w:t>Worldwide Customer Service and Support</w:t>
      </w:r>
      <w:r>
        <w:rPr>
          <w:rFonts w:ascii="Times New Roman" w:cs="Times New Roman" w:eastAsia="Times New Roman" w:hAnsi="Times New Roman"/>
          <w:sz w:val="15"/>
          <w:szCs w:val="15"/>
          <w:color w:val="auto"/>
        </w:rPr>
        <w:t>. We have long recognized the need to maintain a physical presence near our customers' facilities. At December 31, 2023, we had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manufacturing facilities in the U.S. in Massachusetts, New Jersey, and New York as well as outside the U.S. in Canada, Germany and the Netherlands. We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5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5"/>
          <w:szCs w:val="15"/>
          <w:color w:val="auto"/>
        </w:rPr>
        <w:t>As previously mentioned, we announced in December 2023 that we have signed a lease on a 25,000 square foot facility in Penang, Malaysia which will support applications engineering, product development and localized manufacturing for nearly all inTEST brands. It will serve as the main location in the region for customer product demonstrations, customer service and applications training. This facility is expected to begin operations in the second or third quarter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OUR SEGMENTS</w:t>
      </w:r>
    </w:p>
    <w:p>
      <w:pPr>
        <w:spacing w:after="0" w:line="193"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5"/>
          <w:szCs w:val="15"/>
          <w:color w:val="auto"/>
        </w:rPr>
        <w:t>As noted above, we have three operating segments which are also our reportable segments and reporting units: Electronic Test, Environmental Technologies and Process Technologies.</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Our Electronic Test segment consists of (i) inTEST EMS which has operations in New Jersey and California, and (ii) Acculogic, which has operations in Canada, California and Germany. Semiconductor manufacturers use our inTEST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consumer electronics, industrial, and mobile communication markets. Our products are a combination of standard designs based on industry requirements and those designed specifically to meet a customer's particular combination of ATE. Acculogic’s product offerings include robotics-based electronic test equipment and application support services used primarily in defense/aerospace, automotive, battery, life sciences and electronic manufacturing services industries.</w:t>
      </w:r>
    </w:p>
    <w:p>
      <w:pPr>
        <w:spacing w:after="0" w:line="15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Our Environmental Technologies segment consists of inTEST Thermal Solutions (“iTS”), which manufactures and sells products under the Temptronic, Sigma, Thermonics and North Sciences brand names and has operations in Massachusetts, Germany and Singapore. Customers use the thermal solutions produced by iTS for product development, characterization and production test. This segment also offers ultra-cold storage solutions for the life sciences cold chain market. Our Environmental Technologies segment provides these solutions across an array of markets including automotive, defense/aerospace, industrial, life sciences and semiconductor.</w:t>
      </w:r>
    </w:p>
    <w:p>
      <w:pPr>
        <w:spacing w:after="0" w:line="1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09" w:right="339" w:bottom="1440" w:gutter="0" w:footer="0" w:header="0"/>
        </w:sectPr>
      </w:pPr>
    </w:p>
    <w:bookmarkStart w:id="9" w:name="page10"/>
    <w:bookmarkEnd w:id="9"/>
    <w:p>
      <w:pPr>
        <w:ind w:right="360"/>
        <w:spacing w:after="0" w:line="265" w:lineRule="auto"/>
        <w:rPr>
          <w:sz w:val="20"/>
          <w:szCs w:val="20"/>
          <w:color w:val="auto"/>
        </w:rPr>
      </w:pPr>
      <w:r>
        <w:rPr>
          <w:rFonts w:ascii="Times New Roman" w:cs="Times New Roman" w:eastAsia="Times New Roman" w:hAnsi="Times New Roman"/>
          <w:sz w:val="15"/>
          <w:szCs w:val="15"/>
          <w:color w:val="auto"/>
        </w:rPr>
        <w:t>Our Process Technologies segment consists of (i) Ambrell which has operations in New York, the Netherlands and the U.K. and (ii) Videology, which has operations in Massachusetts and the Netherlands. Ambrell provides customers with induction heating solutions for a wide variety of manufacturing processes. Videology is a designer, developer and manufacturer of digital streaming and image capturing solutions. Our Process Technologies segment provides these solutions across an array of markets including automotive, defense/aerospace, industrial, life sciences, security and semiconductor.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Electronic Test Products</w:t>
      </w:r>
    </w:p>
    <w:p>
      <w:pPr>
        <w:spacing w:after="0" w:line="19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Manipulator Products. </w:t>
      </w:r>
      <w:r>
        <w:rPr>
          <w:rFonts w:ascii="Times New Roman" w:cs="Times New Roman" w:eastAsia="Times New Roman" w:hAnsi="Times New Roman"/>
          <w:sz w:val="15"/>
          <w:szCs w:val="15"/>
          <w:color w:val="auto"/>
        </w:rPr>
        <w:t>We offer three lines of manipulator products: the in2(R), the Cobal and the LS Series. These free-standing universal manipulators can hold a variety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test heads and enable an operator to reposition a test head for alternate use with any one of several probers or handlers on a test floor.</w:t>
      </w:r>
    </w:p>
    <w:p>
      <w:pPr>
        <w:spacing w:after="0" w:line="12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Our manipulator products incorporate a balanced floating-head design. This design permits a test head weighing up to 1,760 pounds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or Cobal Series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computer controlled pendant. Our manipulator products generally range in price from approximately $12,000 to $100,000.</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i w:val="1"/>
          <w:iCs w:val="1"/>
          <w:color w:val="auto"/>
        </w:rPr>
        <w:t>Docking Hardware Products</w:t>
      </w:r>
      <w:r>
        <w:rPr>
          <w:rFonts w:ascii="Times New Roman" w:cs="Times New Roman" w:eastAsia="Times New Roman" w:hAnsi="Times New Roman"/>
          <w:sz w:val="15"/>
          <w:szCs w:val="15"/>
          <w:color w:val="auto"/>
        </w:rPr>
        <w:t>. We offer two lines of docking hardware products: fixed manual docking and IntelliDock pin and cup docking. Both types protect the delicate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and when coupled with the LS Series manipulator, redeployment of the test head can be done automatically and accurately via the computer pendant. Both types of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generally range in price from approximately $2,000 to $25,000.</w:t>
      </w:r>
    </w:p>
    <w:p>
      <w:pPr>
        <w:spacing w:after="0" w:line="1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i w:val="1"/>
          <w:iCs w:val="1"/>
          <w:color w:val="auto"/>
        </w:rPr>
        <w:t>Interface Products</w:t>
      </w:r>
      <w:r>
        <w:rPr>
          <w:rFonts w:ascii="Times New Roman" w:cs="Times New Roman" w:eastAsia="Times New Roman" w:hAnsi="Times New Roman"/>
          <w:sz w:val="15"/>
          <w:szCs w:val="15"/>
          <w:color w:val="auto"/>
        </w:rPr>
        <w:t>. Our tester interface products provide the electrical connections between the tester and the wafer prober or IC handler to carry the electrical signals between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tester interface products generally range in price from approximately $7,000 to $175,000.</w:t>
      </w:r>
    </w:p>
    <w:p>
      <w:pPr>
        <w:spacing w:after="0" w:line="15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Acculogic Scorpion Flying Probe Test Systems. </w:t>
      </w:r>
      <w:r>
        <w:rPr>
          <w:rFonts w:ascii="Times New Roman" w:cs="Times New Roman" w:eastAsia="Times New Roman" w:hAnsi="Times New Roman"/>
          <w:sz w:val="15"/>
          <w:szCs w:val="15"/>
          <w:color w:val="auto"/>
        </w:rPr>
        <w:t>Acculogic designs and manufactures robotics-based electronic test equipment and provides application support services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OEMs, contract electronic manufacturers and battery manufacturers. These systems are used to structurally test an electronic device including printed circuit board assembly (“PCBA”) and battery interconnect test. Structural testing provides confirmation that the device was manufactured properly by confirming circuits are functioning properly. In addition to testing of the basic circuitry of a PCBA, our Acculogic solutions can integrate various functional testing capabilities such as boundary scan and RF measurement to confirm that the device will perform the functions for which it is designed. Acculogic’s Scorpion Flying Probe system can be quickly programmed to test almost any printed circuit board. This programming is done with computer-aided design or design data of the device to be tested. Traditional in-circuit testing systems require a dedicated fixture for each board to be tested. Acculogic’s Flying Probe system can test a virtually unlimited number of boards without any hardware modifications. These systems generally sell for between $250,000 and $800,000.</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13" w:right="339" w:bottom="1440" w:gutter="0" w:footer="0" w:header="0"/>
        </w:sectPr>
      </w:pPr>
    </w:p>
    <w:bookmarkStart w:id="10" w:name="page11"/>
    <w:bookmarkEnd w:id="10"/>
    <w:p>
      <w:pPr>
        <w:ind w:right="120"/>
        <w:spacing w:after="0" w:line="294" w:lineRule="auto"/>
        <w:rPr>
          <w:sz w:val="20"/>
          <w:szCs w:val="20"/>
          <w:color w:val="auto"/>
        </w:rPr>
      </w:pPr>
      <w:r>
        <w:rPr>
          <w:rFonts w:ascii="Times New Roman" w:cs="Times New Roman" w:eastAsia="Times New Roman" w:hAnsi="Times New Roman"/>
          <w:sz w:val="15"/>
          <w:szCs w:val="15"/>
          <w:i w:val="1"/>
          <w:iCs w:val="1"/>
          <w:color w:val="auto"/>
        </w:rPr>
        <w:t>Acculogic BRiZ Automated Test and Programming Services</w:t>
      </w:r>
      <w:r>
        <w:rPr>
          <w:rFonts w:ascii="Times New Roman" w:cs="Times New Roman" w:eastAsia="Times New Roman" w:hAnsi="Times New Roman"/>
          <w:sz w:val="15"/>
          <w:szCs w:val="15"/>
          <w:color w:val="auto"/>
        </w:rPr>
        <w:t>: BRiZ is an automated test platform that can consolidate any variety of circuit board test and programming into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single, compact, low-cost test station. These platforms generally sell for between $50,000 and $250,000.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Environmental Technologies Products</w:t>
      </w:r>
    </w:p>
    <w:p>
      <w:pPr>
        <w:spacing w:after="0" w:line="1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i w:val="1"/>
          <w:iCs w:val="1"/>
          <w:color w:val="auto"/>
        </w:rPr>
        <w:t>ThermoStream(R) Products</w:t>
      </w:r>
      <w:r>
        <w:rPr>
          <w:rFonts w:ascii="Times New Roman" w:cs="Times New Roman" w:eastAsia="Times New Roman" w:hAnsi="Times New Roman"/>
          <w:sz w:val="15"/>
          <w:szCs w:val="15"/>
          <w:color w:val="auto"/>
        </w:rPr>
        <w:t>: Our ThermoStream(R) products are used in the semi market as a stand-alone temperature management tool, or in a variety of electronic test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applications as part of our MobileTemp systems. ThermoStream(R)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5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 in the automotive, electronic, fiber optic and oil field service markets testing such things as electronic sub-assemblies, sensor assemblies, and printed circuit boards.</w:t>
      </w:r>
    </w:p>
    <w:p>
      <w:pPr>
        <w:spacing w:after="0" w:line="15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5"/>
          <w:szCs w:val="15"/>
          <w:color w:val="auto"/>
        </w:rPr>
        <w:t>Traditionally, our customers use ThermoStream(R) products primarily in engineering, quality assurance and small-run manufacturing environments. ThermoStream(R) and MobileTemp products generally range in price from approximately $15,000 to $55,000.</w:t>
      </w:r>
    </w:p>
    <w:p>
      <w:pPr>
        <w:spacing w:after="0" w:line="13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Thermal Chambers: </w:t>
      </w:r>
      <w:r>
        <w:rPr>
          <w:rFonts w:ascii="Times New Roman" w:cs="Times New Roman" w:eastAsia="Times New Roman" w:hAnsi="Times New Roman"/>
          <w:sz w:val="15"/>
          <w:szCs w:val="15"/>
          <w:color w:val="auto"/>
        </w:rPr>
        <w:t>Our thermal chamber products are available in a variety of sizes, from small bench-top units to chambers with internal volumes of twenty-seven cubic feet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generally priced from $18,000 to $150,000.</w:t>
      </w:r>
    </w:p>
    <w:p>
      <w:pPr>
        <w:spacing w:after="0" w:line="14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Thermal Platforms: </w:t>
      </w:r>
      <w:r>
        <w:rPr>
          <w:rFonts w:ascii="Times New Roman" w:cs="Times New Roman" w:eastAsia="Times New Roman" w:hAnsi="Times New Roman"/>
          <w:sz w:val="15"/>
          <w:szCs w:val="15"/>
          <w:color w:val="auto"/>
        </w:rPr>
        <w:t>Our thermal platforms are available in surface sizes ranging from 7.2 square inches to 616 square inches. They provide a flat, thermally conductive,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generally priced from $6,500 to $65,000.</w:t>
      </w:r>
    </w:p>
    <w:p>
      <w:pPr>
        <w:spacing w:after="0" w:line="147"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Thermonics(R) Products: </w:t>
      </w:r>
      <w:r>
        <w:rPr>
          <w:rFonts w:ascii="Times New Roman" w:cs="Times New Roman" w:eastAsia="Times New Roman" w:hAnsi="Times New Roman"/>
          <w:sz w:val="15"/>
          <w:szCs w:val="15"/>
          <w:color w:val="auto"/>
        </w:rPr>
        <w:t>Our Thermonics temperature conditioning products, which include our process chillers, provide tempered gas or fluid to enable customers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maintain desired thermal conditions within their tool or process. Applications include general industrial, chemical processing, energy, electronics, automotive, defense/aerospace and semiconductor markets. Prices generally range from $25,000 to greater than $300,000.</w:t>
      </w:r>
    </w:p>
    <w:p>
      <w:pPr>
        <w:spacing w:after="0" w:line="14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Ultra-Cold Storage Solutions: </w:t>
      </w:r>
      <w:r>
        <w:rPr>
          <w:rFonts w:ascii="Times New Roman" w:cs="Times New Roman" w:eastAsia="Times New Roman" w:hAnsi="Times New Roman"/>
          <w:sz w:val="15"/>
          <w:szCs w:val="15"/>
          <w:color w:val="auto"/>
        </w:rPr>
        <w:t>Our high-performance biomedical freezers, refrigerators and mobile storage solutions meet versatile applications, including ultra-cold storage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solutions for biological sample banks, blood safety, vaccine safety, medical supplies and reagent safety. Prices generally range from $1,500 to $20,000.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Process Technologies Products</w:t>
      </w:r>
    </w:p>
    <w:p>
      <w:pPr>
        <w:spacing w:after="0" w:line="19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EKOHEAT(R) Products: </w:t>
      </w:r>
      <w:r>
        <w:rPr>
          <w:rFonts w:ascii="Times New Roman" w:cs="Times New Roman" w:eastAsia="Times New Roman" w:hAnsi="Times New Roman"/>
          <w:sz w:val="15"/>
          <w:szCs w:val="15"/>
          <w:color w:val="auto"/>
        </w:rPr>
        <w:t>Our EKOHEAT(R) induction heating systems with power ratings from 10kW to 1 MW are manufactured by Ambrell and are used to conduct fast,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efficient, repeatable non-contact heating of metals or other electrically conductive materials in order to transform raw materials into finished parts. Prices generally range from $25,000 to $250,000.</w:t>
      </w:r>
    </w:p>
    <w:p>
      <w:pPr>
        <w:spacing w:after="0" w:line="140"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5"/>
          <w:szCs w:val="15"/>
          <w:i w:val="1"/>
          <w:iCs w:val="1"/>
          <w:color w:val="auto"/>
        </w:rPr>
        <w:t>EASYHEAT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Products: </w:t>
      </w:r>
      <w:r>
        <w:rPr>
          <w:rFonts w:ascii="Times New Roman" w:cs="Times New Roman" w:eastAsia="Times New Roman" w:hAnsi="Times New Roman"/>
          <w:sz w:val="15"/>
          <w:szCs w:val="15"/>
          <w:color w:val="auto"/>
        </w:rPr>
        <w:t>Our compact EASYHEAT™ induction heating systems with power ratings from 0.5kW to 10kW are manufactured by Ambrell and used to conduct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fast, efficient, repeatable non-contact heating of metals or other electrically conductive materials in order to transform raw materials into finished parts. Prices generally range from $5,000 to $25,000.</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60"/>
          </w:cols>
          <w:pgMar w:left="880" w:top="509" w:right="359" w:bottom="1440" w:gutter="0" w:footer="0" w:header="0"/>
        </w:sectPr>
      </w:pPr>
    </w:p>
    <w:bookmarkStart w:id="11" w:name="page12"/>
    <w:bookmarkEnd w:id="11"/>
    <w:p>
      <w:pPr>
        <w:ind w:right="260"/>
        <w:spacing w:after="0" w:line="288" w:lineRule="auto"/>
        <w:rPr>
          <w:sz w:val="20"/>
          <w:szCs w:val="20"/>
          <w:color w:val="auto"/>
        </w:rPr>
      </w:pPr>
      <w:r>
        <w:rPr>
          <w:rFonts w:ascii="Times New Roman" w:cs="Times New Roman" w:eastAsia="Times New Roman" w:hAnsi="Times New Roman"/>
          <w:sz w:val="15"/>
          <w:szCs w:val="15"/>
          <w:color w:val="auto"/>
        </w:rPr>
        <w:t>Applications for both EKOHEAT(R) and EASYHEAT™ products include annealing, bonding, brazing, curing, forging, heat treating, melting, shrink-fitting, soldering and testing.</w:t>
      </w:r>
    </w:p>
    <w:p>
      <w:pPr>
        <w:spacing w:after="0" w:line="130"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Digital Streaming and Image Capturing Solutions. </w:t>
      </w:r>
      <w:r>
        <w:rPr>
          <w:rFonts w:ascii="Times New Roman" w:cs="Times New Roman" w:eastAsia="Times New Roman" w:hAnsi="Times New Roman"/>
          <w:sz w:val="15"/>
          <w:szCs w:val="15"/>
          <w:color w:val="auto"/>
        </w:rPr>
        <w:t>Our industrial-grade imaging solutions are designed and manufactured by Videology. They provide custom solutions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OEMs and end users and specialize in meeting customer’s design specifications for imaging systems. Per unit prices for these products can range from less than $100 to as much as $5,000 for a single unit. These products are generally purchased in higher volumes than our other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Financial Information About Operating Segments and Geographic Areas</w:t>
      </w:r>
    </w:p>
    <w:p>
      <w:pPr>
        <w:spacing w:after="0" w:line="19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5"/>
          <w:szCs w:val="15"/>
          <w:color w:val="auto"/>
        </w:rPr>
        <w:t>Please see Note 17 to the consolidated financial statements included in Item 8 of this Report for additional data regarding revenue, profit or loss and total assets of each of our segments and revenue attributable to foreign countries.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MARKETING, SALES AND CUSTOMER SUPPORT</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market and sell our products globally and across multiple markets, as previously discussed. North American and European semiconductor manufacturers, as well as third-party foundries, test and assembly providers, have located most of their back-end factories in China, Taiwan and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47" w:lineRule="exact"/>
        <w:rPr>
          <w:sz w:val="20"/>
          <w:szCs w:val="20"/>
          <w:color w:val="auto"/>
        </w:rPr>
      </w:pPr>
    </w:p>
    <w:p>
      <w:pPr>
        <w:jc w:val="both"/>
        <w:ind w:right="300"/>
        <w:spacing w:after="0" w:line="274" w:lineRule="auto"/>
        <w:rPr>
          <w:sz w:val="20"/>
          <w:szCs w:val="20"/>
          <w:color w:val="auto"/>
        </w:rPr>
      </w:pPr>
      <w:r>
        <w:rPr>
          <w:rFonts w:ascii="Times New Roman" w:cs="Times New Roman" w:eastAsia="Times New Roman" w:hAnsi="Times New Roman"/>
          <w:sz w:val="15"/>
          <w:szCs w:val="15"/>
          <w:i w:val="1"/>
          <w:iCs w:val="1"/>
          <w:color w:val="auto"/>
        </w:rPr>
        <w:t>Electronic Test Products</w:t>
      </w:r>
      <w:r>
        <w:rPr>
          <w:rFonts w:ascii="Times New Roman" w:cs="Times New Roman" w:eastAsia="Times New Roman" w:hAnsi="Times New Roman"/>
          <w:sz w:val="15"/>
          <w:szCs w:val="15"/>
          <w:color w:val="auto"/>
        </w:rPr>
        <w:t>: In North America, we sell our inTEST EMS products to semiconductor manufacturers through internal account representatives and independent,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commissioned sales representatives. North American sales representatives also coordinate product installation and support with our technical staff and participate in trade shows.</w:t>
      </w:r>
    </w:p>
    <w:p>
      <w:pPr>
        <w:spacing w:after="0" w:line="14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5"/>
          <w:szCs w:val="15"/>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by employees based in New Jersey, California and Texas.</w:t>
      </w:r>
    </w:p>
    <w:p>
      <w:pPr>
        <w:spacing w:after="0" w:line="14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Our robotics-based electronic test equipment and automated test programming services are sold in North America through a combination of internal sales staff and manufacturer representatives. Customer support is supplied by a team located throughout North America. In Europe, these products and services are sold through manufacturer representatives and supported with direct employees based in our Hamburg, Germany facility. In Asia, these products and services are sold through a mixture of distributors and manufacturer representatives. Customer support is provided by trained distributors and supplemented by direct employees from North America and Europe.</w:t>
      </w:r>
    </w:p>
    <w:p>
      <w:pPr>
        <w:spacing w:after="0" w:line="1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i w:val="1"/>
          <w:iCs w:val="1"/>
          <w:color w:val="auto"/>
        </w:rPr>
        <w:t>Environmental Technologies Products</w:t>
      </w:r>
      <w:r>
        <w:rPr>
          <w:rFonts w:ascii="Times New Roman" w:cs="Times New Roman" w:eastAsia="Times New Roman" w:hAnsi="Times New Roman"/>
          <w:sz w:val="15"/>
          <w:szCs w:val="15"/>
          <w:color w:val="auto"/>
        </w:rPr>
        <w:t>: We market our Temptronic, Sigma Thermonics, and North Sciences brands under the umbrella name of inTEST Thermal Solutions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sales to ATE manufacturers are handled directly by our own sales force and our network of independent representatives and distributors. Sales to life sciences customers worldwide are handled directly by our own sales force and by our network of independent representatives and distributors.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spacing w:after="0" w:line="15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i w:val="1"/>
          <w:iCs w:val="1"/>
          <w:color w:val="auto"/>
        </w:rPr>
        <w:t>Process Technologies Products</w:t>
      </w:r>
      <w:r>
        <w:rPr>
          <w:rFonts w:ascii="Times New Roman" w:cs="Times New Roman" w:eastAsia="Times New Roman" w:hAnsi="Times New Roman"/>
          <w:sz w:val="15"/>
          <w:szCs w:val="15"/>
          <w:color w:val="auto"/>
        </w:rPr>
        <w:t>: We market our EASYHEAT™ and EKOHEAT(R) precision induction heating equipment to manufacturers who require specialized industrial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heating in a wide array of industries, including automotive, aerospace and semiconductor, and are sold globally through a combination of regional sales managers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where we display our products and technology.</w:t>
      </w:r>
    </w:p>
    <w:p>
      <w:pPr>
        <w:spacing w:after="0" w:line="1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60"/>
          </w:cols>
          <w:pgMar w:left="880" w:top="513" w:right="359" w:bottom="1440" w:gutter="0" w:footer="0" w:header="0"/>
        </w:sectPr>
      </w:pPr>
    </w:p>
    <w:bookmarkStart w:id="12" w:name="page13"/>
    <w:bookmarkEnd w:id="12"/>
    <w:p>
      <w:pPr>
        <w:ind w:right="20"/>
        <w:spacing w:after="0" w:line="271" w:lineRule="auto"/>
        <w:rPr>
          <w:sz w:val="20"/>
          <w:szCs w:val="20"/>
          <w:color w:val="auto"/>
        </w:rPr>
      </w:pPr>
      <w:r>
        <w:rPr>
          <w:rFonts w:ascii="Times New Roman" w:cs="Times New Roman" w:eastAsia="Times New Roman" w:hAnsi="Times New Roman"/>
          <w:sz w:val="15"/>
          <w:szCs w:val="15"/>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Europe and Asia have factory-trained service technicians.</w:t>
      </w:r>
    </w:p>
    <w:p>
      <w:pPr>
        <w:spacing w:after="0" w:line="146"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5"/>
          <w:szCs w:val="15"/>
          <w:color w:val="auto"/>
        </w:rPr>
        <w:t>We market our Videology industrial camera solutions to OEMs and end users both directly and through distributors. We have both manufacturing and service capabilities in the U.S. and the Netherlands. We acquire our sales from repeat long-term customers, new leads through our website, regional sales managers and distributors as well as through trade show attendance where we display our products and technology.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CUSTOMERS</w:t>
      </w:r>
    </w:p>
    <w:p>
      <w:pPr>
        <w:spacing w:after="0" w:line="19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We market our products to end users including semiconductor manufacturers, third-party foundries and test and assembly providers, as well as to OEMs, which include ATE manufacturers and their third-party outsource manufacturing partners. We also market our products to independent testers of semiconductors, manufacturers of automotive, defense/aerospace, industrial, life sciences and security products, semiconductor research facilities, and manufacturers and manufacturing process integrators for a variety of industrial process applications. Our customers use our products principally in production testing or process/manufacturing applications, although our ThermoStream(R) products traditionally have been used largely in engineering development and quality assurance. We believe that we sell to most of the major semiconductor manufacturers in the world.</w:t>
      </w:r>
    </w:p>
    <w:p>
      <w:pPr>
        <w:spacing w:after="0" w:line="15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5"/>
          <w:szCs w:val="15"/>
          <w:color w:val="auto"/>
        </w:rPr>
        <w:t>During the year ended December 31, 2023, one customer accounted for 13% of our consolidated revenue. This revenue was primarily generated by our Electronic Test segment. During the year ended December 31, 2023, no other customer accounted for 10% or more of our consolidated revenue. During the year ended December 31, 2022, no customer accounted for 10% or more of our consolidated revenue.</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An important aspect of our 5-Point Strategy includes broadening and diversifying our customer base. We plan to do this both through acquisitions as well as through leveraging current customer relationships, increasing our portfolio of product offerings and expanding our global footprint to better serve existing and new customers. The list of our largest customers in any given period continues to shift as we advance the applications of our technologies, acquire new technologies and grow the business. The loss of any one or more of our largest customers, or a reduction in orders by a major customer, could materially reduce our revenue or otherwise materially affect our business, financial condition or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MANUFACTURING AND SUPPLY</w:t>
      </w:r>
    </w:p>
    <w:p>
      <w:pPr>
        <w:spacing w:after="0" w:line="19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5"/>
          <w:szCs w:val="15"/>
          <w:color w:val="auto"/>
        </w:rPr>
        <w:t>At December 31, 2023, our principal manufacturing operations consisted of assembly and testing at our facilities in in the U.S. (Massachusetts, New Jersey and New York), Canada, Germany and the Netherlands. We assemble most of our products from a combination of standard components and custom parts that have been fabricated to our specifications by either third-party manufacturers or our own facilities. Our practice is to use high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as discussed further in Item 7, “Management's Discussion and Analysis of Financial Condition and Results of Operations”. Although, from time to time, certain components may be in short supply due to high demand or inability of vendors to meet quality or delivery requirements, we believe that all materials and components are available in adequate amounts from other sources, except as noted above.</w:t>
      </w:r>
    </w:p>
    <w:p>
      <w:pPr>
        <w:spacing w:after="0" w:line="15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5"/>
          <w:szCs w:val="15"/>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4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5"/>
          <w:szCs w:val="15"/>
          <w:color w:val="auto"/>
        </w:rPr>
        <w:t>Each of our Massachusetts, New York, and Canada facilities is ISO 9001:2015 certified. Our New Jersey facility manufactures products only for the semiconductor industry where ISO certification is not required, so we do not maintain any ISO certifications there. However, this location does employ the practices embodied in the ISO 9001:2008.</w:t>
      </w:r>
    </w:p>
    <w:p>
      <w:pPr>
        <w:spacing w:after="0" w:line="13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5"/>
          <w:szCs w:val="15"/>
          <w:color w:val="auto"/>
        </w:rPr>
        <w:t>Our Massachusetts facility and our Acculogic office in CA are ITAR compliant enabling them to support the specific requirement of the U.S. Department of Defense. Our Canadian facility is compliant with the Canadian Controlled Goods Program, enabling them to support the Canadian Department of Defense.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ENGINEERING AND PRODUCT DEVELOPMENT</w:t>
      </w:r>
    </w:p>
    <w:p>
      <w:pPr>
        <w:spacing w:after="0" w:line="1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Our success depends on our ability to provide our customers with products and solutions that are well engineered and to design those products and solutions before, or at least no later than, our competitors. At December 31, 2023, we employed a total of 84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80" w:top="513" w:right="319" w:bottom="1440" w:gutter="0" w:footer="0" w:header="0"/>
        </w:sectPr>
      </w:pPr>
    </w:p>
    <w:bookmarkStart w:id="13" w:name="page14"/>
    <w:bookmarkEnd w:id="13"/>
    <w:p>
      <w:pPr>
        <w:ind w:right="20"/>
        <w:spacing w:after="0" w:line="288" w:lineRule="auto"/>
        <w:rPr>
          <w:sz w:val="20"/>
          <w:szCs w:val="20"/>
          <w:color w:val="auto"/>
        </w:rPr>
      </w:pPr>
      <w:r>
        <w:rPr>
          <w:rFonts w:ascii="Times New Roman" w:cs="Times New Roman" w:eastAsia="Times New Roman" w:hAnsi="Times New Roman"/>
          <w:sz w:val="15"/>
          <w:szCs w:val="15"/>
          <w:color w:val="auto"/>
        </w:rPr>
        <w:t>Since most of our products are customized, we consider substantially all of our engineering activities to be engineering and product development. In the years ended December 31, 2023 and 2022, we spent approximately $7.6 million and $7.5 million, respectively, on engineering and product development.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PATENTS AND OTHER PROPRIETARY RIGHTS</w:t>
      </w:r>
    </w:p>
    <w:p>
      <w:pPr>
        <w:spacing w:after="0" w:line="193" w:lineRule="exact"/>
        <w:rPr>
          <w:sz w:val="20"/>
          <w:szCs w:val="20"/>
          <w:color w:val="auto"/>
        </w:rPr>
      </w:pPr>
    </w:p>
    <w:p>
      <w:pPr>
        <w:ind w:left="20" w:right="280"/>
        <w:spacing w:after="0" w:line="288" w:lineRule="auto"/>
        <w:rPr>
          <w:sz w:val="20"/>
          <w:szCs w:val="20"/>
          <w:color w:val="auto"/>
        </w:rPr>
      </w:pPr>
      <w:r>
        <w:rPr>
          <w:rFonts w:ascii="Times New Roman" w:cs="Times New Roman" w:eastAsia="Times New Roman" w:hAnsi="Times New Roman"/>
          <w:sz w:val="15"/>
          <w:szCs w:val="15"/>
          <w:color w:val="auto"/>
        </w:rPr>
        <w:t>We intend to protect our technology by filing patent applications for the technologies that we consider important to our business. We also rely on trademarks, trade secrets, copyrights and unpatented know-how to protect our proprietary rights.</w:t>
      </w:r>
    </w:p>
    <w:p>
      <w:pPr>
        <w:spacing w:after="0" w:line="134" w:lineRule="exact"/>
        <w:rPr>
          <w:sz w:val="20"/>
          <w:szCs w:val="20"/>
          <w:color w:val="auto"/>
        </w:rPr>
      </w:pPr>
    </w:p>
    <w:p>
      <w:pPr>
        <w:ind w:left="20" w:right="40"/>
        <w:spacing w:after="0" w:line="265" w:lineRule="auto"/>
        <w:rPr>
          <w:sz w:val="20"/>
          <w:szCs w:val="20"/>
          <w:color w:val="auto"/>
        </w:rPr>
      </w:pPr>
      <w:r>
        <w:rPr>
          <w:rFonts w:ascii="Times New Roman" w:cs="Times New Roman" w:eastAsia="Times New Roman" w:hAnsi="Times New Roman"/>
          <w:sz w:val="15"/>
          <w:szCs w:val="15"/>
          <w:color w:val="auto"/>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In the absence of intellectual property protection, we may be vulnerable to competitors who attempt to copy or imitate our products or processes. For additional information regarding risks related to our intellectual property, see Part I, Item 1A "Risk Factors" in this Report.</w:t>
      </w:r>
    </w:p>
    <w:p>
      <w:pPr>
        <w:spacing w:after="0" w:line="151" w:lineRule="exact"/>
        <w:rPr>
          <w:sz w:val="20"/>
          <w:szCs w:val="20"/>
          <w:color w:val="auto"/>
        </w:rPr>
      </w:pPr>
    </w:p>
    <w:p>
      <w:pPr>
        <w:ind w:left="20" w:right="120"/>
        <w:spacing w:after="0" w:line="288" w:lineRule="auto"/>
        <w:rPr>
          <w:sz w:val="20"/>
          <w:szCs w:val="20"/>
          <w:color w:val="auto"/>
        </w:rPr>
      </w:pPr>
      <w:r>
        <w:rPr>
          <w:rFonts w:ascii="Times New Roman" w:cs="Times New Roman" w:eastAsia="Times New Roman" w:hAnsi="Times New Roman"/>
          <w:sz w:val="15"/>
          <w:szCs w:val="15"/>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w:t>
      </w:r>
    </w:p>
    <w:p>
      <w:pPr>
        <w:spacing w:after="0" w:line="134" w:lineRule="exact"/>
        <w:rPr>
          <w:sz w:val="20"/>
          <w:szCs w:val="20"/>
          <w:color w:val="auto"/>
        </w:rPr>
      </w:pPr>
    </w:p>
    <w:p>
      <w:pPr>
        <w:jc w:val="both"/>
        <w:ind w:left="20" w:right="240"/>
        <w:spacing w:after="0" w:line="271" w:lineRule="auto"/>
        <w:rPr>
          <w:sz w:val="20"/>
          <w:szCs w:val="20"/>
          <w:color w:val="auto"/>
        </w:rPr>
      </w:pPr>
      <w:r>
        <w:rPr>
          <w:rFonts w:ascii="Times New Roman" w:cs="Times New Roman" w:eastAsia="Times New Roman" w:hAnsi="Times New Roman"/>
          <w:sz w:val="15"/>
          <w:szCs w:val="15"/>
          <w:color w:val="auto"/>
        </w:rPr>
        <w:t>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46"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5"/>
          <w:szCs w:val="15"/>
          <w:color w:val="auto"/>
        </w:rPr>
        <w:t>At December 31, 2023, we held 30 active U.S. patents and had no pending U.S. patent applications covering various aspects of our technology. Our U.S. patents expire at various times beginning in 2024 and extending through 2039. During 2023, one U.S. patent was issued and 18 U.S. patents expired. We do not believe that the upcoming expiration of certain of our patents in 2024 will have a material impact on our business. We also hold foreign patents and file foreign patent applications, in selected cases corresponding to our U.S. patents and patent applications, to the extent management deems appropriate.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COMPETITION</w:t>
      </w:r>
    </w:p>
    <w:p>
      <w:pPr>
        <w:spacing w:after="0" w:line="193" w:lineRule="exact"/>
        <w:rPr>
          <w:sz w:val="20"/>
          <w:szCs w:val="20"/>
          <w:color w:val="auto"/>
        </w:rPr>
      </w:pPr>
    </w:p>
    <w:p>
      <w:pPr>
        <w:ind w:left="20" w:right="160"/>
        <w:spacing w:after="0" w:line="262" w:lineRule="auto"/>
        <w:rPr>
          <w:sz w:val="20"/>
          <w:szCs w:val="20"/>
          <w:color w:val="auto"/>
        </w:rPr>
      </w:pPr>
      <w:r>
        <w:rPr>
          <w:rFonts w:ascii="Times New Roman" w:cs="Times New Roman" w:eastAsia="Times New Roman" w:hAnsi="Times New Roman"/>
          <w:sz w:val="15"/>
          <w:szCs w:val="15"/>
          <w:color w:val="auto"/>
        </w:rPr>
        <w:t>We operate in an increasingly competitive environment within all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54" w:lineRule="exact"/>
        <w:rPr>
          <w:sz w:val="20"/>
          <w:szCs w:val="20"/>
          <w:color w:val="auto"/>
        </w:rPr>
      </w:pPr>
    </w:p>
    <w:p>
      <w:pPr>
        <w:ind w:left="20" w:right="240"/>
        <w:spacing w:after="0" w:line="265" w:lineRule="auto"/>
        <w:rPr>
          <w:sz w:val="20"/>
          <w:szCs w:val="20"/>
          <w:color w:val="auto"/>
        </w:rPr>
      </w:pPr>
      <w:r>
        <w:rPr>
          <w:rFonts w:ascii="Times New Roman" w:cs="Times New Roman" w:eastAsia="Times New Roman" w:hAnsi="Times New Roman"/>
          <w:sz w:val="15"/>
          <w:szCs w:val="15"/>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51" w:lineRule="exact"/>
        <w:rPr>
          <w:sz w:val="20"/>
          <w:szCs w:val="20"/>
          <w:color w:val="auto"/>
        </w:rPr>
      </w:pPr>
    </w:p>
    <w:p>
      <w:pPr>
        <w:ind w:left="20" w:right="80"/>
        <w:spacing w:after="0" w:line="265" w:lineRule="auto"/>
        <w:rPr>
          <w:sz w:val="20"/>
          <w:szCs w:val="20"/>
          <w:color w:val="auto"/>
        </w:rPr>
      </w:pPr>
      <w:r>
        <w:rPr>
          <w:rFonts w:ascii="Times New Roman" w:cs="Times New Roman" w:eastAsia="Times New Roman" w:hAnsi="Times New Roman"/>
          <w:sz w:val="15"/>
          <w:szCs w:val="15"/>
          <w:color w:val="auto"/>
        </w:rPr>
        <w:t>Our principal competitors for manipulator products are Advantest Corporation, Esmo AG, Reid-Ashman Manufacturing and Teradyne, Inc. Our principal competitors for docking hardware products include Advantest Corporation, Esmo AG, Reid-Ashman Manufacturing and Teradyne, Inc. Our principal competitors for tester interface products are Advantest Corporation, Esmo AG, Reid-Ashman Manufacturing and Teradyne, Inc. Our principal competitors for Acculogic products are Digitaltest GmbH, Seica S.P.A., SPEC S.P.A., and Takaya Corporation.</w:t>
      </w:r>
    </w:p>
    <w:p>
      <w:pPr>
        <w:spacing w:after="0" w:line="151"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5"/>
          <w:szCs w:val="15"/>
          <w:color w:val="auto"/>
        </w:rPr>
        <w:t>Our principal competitors for Thermostream(R) products are FTS Systems, a part of SP Industries, and MPI Corporation. Our principal competitors for environmental chambers are Cincinnati Sub-Zero Products, Inc., Espec Corp. and Thermotron Industries. Our principal competitor for thermal platforms is Environmental Stress Systems Inc. Our principal competitors for liquid chillers include Huber Kältemaschinenbau AG, Julabo GmbH, Boyd Corporation, and Advanced Thermal Sciences Corporation. Our principal competitors for life sciences products include Panasonic Health Care Holdings Corporation, Haier Group Corporation, Thermo Fisher Scientific Corporation, and Eppendoerf AG.</w:t>
      </w:r>
    </w:p>
    <w:p>
      <w:pPr>
        <w:spacing w:after="0" w:line="1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13" w:right="339" w:bottom="1440" w:gutter="0" w:footer="0" w:header="0"/>
        </w:sectPr>
      </w:pPr>
    </w:p>
    <w:bookmarkStart w:id="14" w:name="page15"/>
    <w:bookmarkEnd w:id="14"/>
    <w:p>
      <w:pPr>
        <w:jc w:val="both"/>
        <w:ind w:left="560"/>
        <w:spacing w:after="0" w:line="271" w:lineRule="auto"/>
        <w:rPr>
          <w:sz w:val="20"/>
          <w:szCs w:val="20"/>
          <w:color w:val="auto"/>
        </w:rPr>
      </w:pPr>
      <w:r>
        <w:rPr>
          <w:rFonts w:ascii="Times New Roman" w:cs="Times New Roman" w:eastAsia="Times New Roman" w:hAnsi="Times New Roman"/>
          <w:sz w:val="15"/>
          <w:szCs w:val="15"/>
          <w:color w:val="auto"/>
        </w:rPr>
        <w:t>Our principal competitors for EKOHEAT(R) and EASYHEAT™ products are Inductotherm Corporation, Park-Ohio Holdings, EFD Induction Corporation, Trumpf Huettinger GmbH, Ultraflex Power Technologies and CEIA SpA. Our digital streaming and image capturing solutions products compete in a large space with multiple small competitors. There is no competitor that has over 5% share of the current market.</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BACKLOG</w:t>
      </w:r>
    </w:p>
    <w:p>
      <w:pPr>
        <w:spacing w:after="0" w:line="193"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5"/>
          <w:szCs w:val="15"/>
          <w:color w:val="auto"/>
        </w:rPr>
        <w:t>At December 31, 2023, our backlog of unfilled orders for all products was $40.1 million compared with $46.8 million at December 31, 2022. Our backlog consists of purchase orders that we have accepted, substantially all of which we expect to deliver in 2024.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 See also the discussion of backlog in Part II, Item 7 under “Orders and Backlog.”</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EMPLOYEES</w:t>
      </w:r>
    </w:p>
    <w:p>
      <w:pPr>
        <w:spacing w:after="0" w:line="193" w:lineRule="exact"/>
        <w:rPr>
          <w:sz w:val="20"/>
          <w:szCs w:val="20"/>
          <w:color w:val="auto"/>
        </w:rPr>
      </w:pPr>
    </w:p>
    <w:p>
      <w:pPr>
        <w:ind w:left="560" w:right="20"/>
        <w:spacing w:after="0" w:line="265" w:lineRule="auto"/>
        <w:rPr>
          <w:sz w:val="20"/>
          <w:szCs w:val="20"/>
          <w:color w:val="auto"/>
        </w:rPr>
      </w:pPr>
      <w:r>
        <w:rPr>
          <w:rFonts w:ascii="Times New Roman" w:cs="Times New Roman" w:eastAsia="Times New Roman" w:hAnsi="Times New Roman"/>
          <w:sz w:val="15"/>
          <w:szCs w:val="15"/>
          <w:color w:val="auto"/>
        </w:rPr>
        <w:t>At December 31, 2023, we had 334 employees (323 of which were full-time), including 154 in manufacturing operations, 130 in customer support/operations and 50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u w:val="single" w:color="auto"/>
          <w:color w:val="auto"/>
        </w:rPr>
        <w:t>ADDITIONAL INFORMATION</w:t>
      </w:r>
    </w:p>
    <w:p>
      <w:pPr>
        <w:spacing w:after="0" w:line="193" w:lineRule="exact"/>
        <w:rPr>
          <w:sz w:val="20"/>
          <w:szCs w:val="20"/>
          <w:color w:val="auto"/>
        </w:rPr>
      </w:pPr>
    </w:p>
    <w:p>
      <w:pPr>
        <w:jc w:val="both"/>
        <w:ind w:left="560" w:right="40"/>
        <w:spacing w:after="0" w:line="265" w:lineRule="auto"/>
        <w:rPr>
          <w:sz w:val="20"/>
          <w:szCs w:val="20"/>
          <w:color w:val="auto"/>
        </w:rPr>
      </w:pPr>
      <w:r>
        <w:rPr>
          <w:rFonts w:ascii="Times New Roman" w:cs="Times New Roman" w:eastAsia="Times New Roman" w:hAnsi="Times New Roman"/>
          <w:sz w:val="15"/>
          <w:szCs w:val="15"/>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97" w:lineRule="exact"/>
        <w:rPr>
          <w:sz w:val="20"/>
          <w:szCs w:val="20"/>
          <w:color w:val="auto"/>
        </w:rPr>
      </w:pPr>
    </w:p>
    <w:p>
      <w:pPr>
        <w:jc w:val="both"/>
        <w:ind w:left="560" w:right="60"/>
        <w:spacing w:after="0" w:line="265" w:lineRule="auto"/>
        <w:rPr>
          <w:sz w:val="20"/>
          <w:szCs w:val="20"/>
          <w:color w:val="auto"/>
        </w:rPr>
      </w:pPr>
      <w:r>
        <w:rPr>
          <w:rFonts w:ascii="Times New Roman" w:cs="Times New Roman" w:eastAsia="Times New Roman" w:hAnsi="Times New Roman"/>
          <w:sz w:val="15"/>
          <w:szCs w:val="15"/>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risks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ACQUISITION AND GROWTH STRATEGY</w:t>
      </w:r>
    </w:p>
    <w:p>
      <w:pPr>
        <w:spacing w:after="0" w:line="193" w:lineRule="exact"/>
        <w:rPr>
          <w:sz w:val="20"/>
          <w:szCs w:val="20"/>
          <w:color w:val="auto"/>
        </w:rPr>
      </w:pPr>
    </w:p>
    <w:p>
      <w:pPr>
        <w:ind w:left="560" w:right="240"/>
        <w:spacing w:after="0" w:line="294" w:lineRule="auto"/>
        <w:rPr>
          <w:sz w:val="20"/>
          <w:szCs w:val="20"/>
          <w:color w:val="auto"/>
        </w:rPr>
      </w:pPr>
      <w:r>
        <w:rPr>
          <w:rFonts w:ascii="Times New Roman" w:cs="Times New Roman" w:eastAsia="Times New Roman" w:hAnsi="Times New Roman"/>
          <w:sz w:val="15"/>
          <w:szCs w:val="15"/>
          <w:b w:val="1"/>
          <w:bCs w:val="1"/>
          <w:color w:val="auto"/>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29" w:lineRule="exact"/>
        <w:rPr>
          <w:sz w:val="20"/>
          <w:szCs w:val="20"/>
          <w:color w:val="auto"/>
        </w:rPr>
      </w:pPr>
    </w:p>
    <w:p>
      <w:pPr>
        <w:ind w:left="560" w:right="60"/>
        <w:spacing w:after="0" w:line="271" w:lineRule="auto"/>
        <w:rPr>
          <w:sz w:val="20"/>
          <w:szCs w:val="20"/>
          <w:color w:val="auto"/>
        </w:rPr>
      </w:pPr>
      <w:r>
        <w:rPr>
          <w:rFonts w:ascii="Times New Roman" w:cs="Times New Roman" w:eastAsia="Times New Roman" w:hAnsi="Times New Roman"/>
          <w:sz w:val="15"/>
          <w:szCs w:val="15"/>
          <w:color w:val="auto"/>
        </w:rPr>
        <w:t>A key element of our growth strategy is to acquire businesses, technologies or products that are complementary to our current product offerings. We seek to make acquisitions that will further expand our product lines as well as strengthen our positions in served markets and provide expansion into new markets. We may not be able to execute our acquisition strategy and our future growth may be limited if:</w:t>
      </w:r>
    </w:p>
    <w:p>
      <w:pPr>
        <w:spacing w:after="0" w:line="146" w:lineRule="exact"/>
        <w:rPr>
          <w:sz w:val="20"/>
          <w:szCs w:val="20"/>
          <w:color w:val="auto"/>
        </w:rPr>
      </w:pPr>
    </w:p>
    <w:p>
      <w:pPr>
        <w:ind w:left="1080" w:hanging="267"/>
        <w:spacing w:after="0"/>
        <w:tabs>
          <w:tab w:leader="none" w:pos="10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identify suitable businesses, technologies or products to acquire;</w:t>
      </w:r>
    </w:p>
    <w:p>
      <w:pPr>
        <w:spacing w:after="0" w:line="32" w:lineRule="exact"/>
        <w:rPr>
          <w:rFonts w:ascii="Times New Roman" w:cs="Times New Roman" w:eastAsia="Times New Roman" w:hAnsi="Times New Roman"/>
          <w:sz w:val="15"/>
          <w:szCs w:val="15"/>
          <w:color w:val="auto"/>
        </w:rPr>
      </w:pPr>
    </w:p>
    <w:p>
      <w:pPr>
        <w:ind w:left="1080" w:hanging="267"/>
        <w:spacing w:after="0"/>
        <w:tabs>
          <w:tab w:leader="none" w:pos="10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have sufficient cash or access to required capital at the necessary time;</w:t>
      </w:r>
    </w:p>
    <w:p>
      <w:pPr>
        <w:spacing w:after="0" w:line="32" w:lineRule="exact"/>
        <w:rPr>
          <w:rFonts w:ascii="Times New Roman" w:cs="Times New Roman" w:eastAsia="Times New Roman" w:hAnsi="Times New Roman"/>
          <w:sz w:val="15"/>
          <w:szCs w:val="15"/>
          <w:color w:val="auto"/>
        </w:rPr>
      </w:pPr>
    </w:p>
    <w:p>
      <w:pPr>
        <w:ind w:left="1080" w:hanging="267"/>
        <w:spacing w:after="0"/>
        <w:tabs>
          <w:tab w:leader="none" w:pos="10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unwilling or unable to outbid larger companies with greater resources; or</w:t>
      </w:r>
    </w:p>
    <w:p>
      <w:pPr>
        <w:spacing w:after="0" w:line="32" w:lineRule="exact"/>
        <w:rPr>
          <w:rFonts w:ascii="Times New Roman" w:cs="Times New Roman" w:eastAsia="Times New Roman" w:hAnsi="Times New Roman"/>
          <w:sz w:val="15"/>
          <w:szCs w:val="15"/>
          <w:color w:val="auto"/>
        </w:rPr>
      </w:pPr>
    </w:p>
    <w:p>
      <w:pPr>
        <w:ind w:left="1080" w:hanging="267"/>
        <w:spacing w:after="0"/>
        <w:tabs>
          <w:tab w:leader="none" w:pos="10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successfully close proposed acquisitions.</w:t>
      </w:r>
    </w:p>
    <w:p>
      <w:pPr>
        <w:spacing w:after="0" w:line="216" w:lineRule="exact"/>
        <w:rPr>
          <w:sz w:val="20"/>
          <w:szCs w:val="20"/>
          <w:color w:val="auto"/>
        </w:rPr>
      </w:pPr>
    </w:p>
    <w:p>
      <w:pPr>
        <w:ind w:left="560" w:right="360"/>
        <w:spacing w:after="0" w:line="288" w:lineRule="auto"/>
        <w:rPr>
          <w:sz w:val="20"/>
          <w:szCs w:val="20"/>
          <w:color w:val="auto"/>
        </w:rPr>
      </w:pPr>
      <w:r>
        <w:rPr>
          <w:rFonts w:ascii="Times New Roman" w:cs="Times New Roman" w:eastAsia="Times New Roman" w:hAnsi="Times New Roman"/>
          <w:sz w:val="15"/>
          <w:szCs w:val="15"/>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color w:val="auto"/>
        </w:rPr>
        <w:t>Our acquisition strategy involves financial and management risks which may adversely affect our results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we acquire additional businesses, technologies or products, we will face the following additional risks:</w:t>
      </w:r>
    </w:p>
    <w:p>
      <w:pPr>
        <w:spacing w:after="0" w:line="193" w:lineRule="exact"/>
        <w:rPr>
          <w:sz w:val="20"/>
          <w:szCs w:val="20"/>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acquisitions could divert management's attention from daily operations or otherwise require additional management, operational and financial resources;</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might not be able to integrate acquisitions into our business successfully or operate acquired businesses profitably;</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realize substantial acquisition related expenses that would reduce our net earnings in future years;</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expected benefits of such acquisitions;</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investigation of potential acquisition candidates may not reveal problems and liabilities of the companies and businesses that we acquire;</w:t>
      </w:r>
    </w:p>
    <w:p>
      <w:pPr>
        <w:spacing w:after="0" w:line="32" w:lineRule="exact"/>
        <w:rPr>
          <w:rFonts w:ascii="Times New Roman" w:cs="Times New Roman" w:eastAsia="Times New Roman" w:hAnsi="Times New Roman"/>
          <w:sz w:val="15"/>
          <w:szCs w:val="15"/>
          <w:color w:val="auto"/>
        </w:rPr>
      </w:pPr>
    </w:p>
    <w:p>
      <w:pPr>
        <w:ind w:left="520" w:right="260" w:hanging="267"/>
        <w:spacing w:after="0" w:line="261" w:lineRule="auto"/>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acquisitions may pose risks associated with entry into new geographic markets, including outside the U.S., distribution channels, lines of business or product categories, where we may not have significant or any prior experience and where we may not be as successful or profitable as we are in businesses and geographic regions where we have greater familiarity and brand recognition;</w:t>
      </w: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acquisition may result in disparate information technology, internal control, financial reporting and record-keeping systems;</w:t>
      </w:r>
    </w:p>
    <w:p>
      <w:pPr>
        <w:spacing w:after="0" w:line="18"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acquisition may result in employee anxiety, morale and/or engagement issues and employees not familiar with our business;</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acquisition may result in the loss of our or the acquired company’s key personnel, customers, distributors or suppliers; and</w:t>
      </w:r>
    </w:p>
    <w:p>
      <w:pPr>
        <w:spacing w:after="0" w:line="32" w:lineRule="exact"/>
        <w:rPr>
          <w:rFonts w:ascii="Times New Roman" w:cs="Times New Roman" w:eastAsia="Times New Roman" w:hAnsi="Times New Roman"/>
          <w:sz w:val="15"/>
          <w:szCs w:val="15"/>
          <w:color w:val="auto"/>
        </w:rPr>
      </w:pPr>
    </w:p>
    <w:p>
      <w:pPr>
        <w:ind w:left="520" w:hanging="267"/>
        <w:spacing w:after="0"/>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become exposed to litigation or claims associated with an acquisition.</w:t>
      </w:r>
    </w:p>
    <w:p>
      <w:pPr>
        <w:spacing w:after="0" w:line="21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If any of the events described above occur, our earnings could be reduced and may adversely affect our financial condition, results of operations and ability to grow our business or otherwise achieve our financial and strategic objectives. If we issue shares of our stock or other rights to purchase our stock in connection with any future acquisitions, the issuance will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b w:val="1"/>
          <w:bCs w:val="1"/>
          <w:color w:val="auto"/>
        </w:rPr>
        <w:t>We may attempt to acquire a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4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In connection with our acquisition strategy, we may pursue potential acquisition opportunities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5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5"/>
          <w:szCs w:val="15"/>
          <w:b w:val="1"/>
          <w:bCs w:val="1"/>
          <w:color w:val="auto"/>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trading price.</w:t>
      </w:r>
    </w:p>
    <w:p>
      <w:pPr>
        <w:spacing w:after="0" w:line="14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auto"/>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5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In connection with our acquisition of Acculogic we have recorded a contingent consideration liability that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battery customers in excess of CAD $2.5 million per year in each of the five years. The maximum payment is capped at CAD $5.0 million, which equates to approximately USD $3.8 million at December 31, 2023. There were no payments due for the years ended December 31, 2022 or 2023. The fair value of this contingent consideration liability involves assessing the total amount of revenue we expect from sales to EV or battery customers during the applicable time periods as well as when we expect to receive payment for the related net invoices. At December 31, 2023, the contingent consideration liability on our balance sheet was USD $1.1 million which was its estimated fair value at that date. Any future adjustments to the estimated fair value of the contingent liability will be recorded in our results of operations for the period in which the adjustment occurs.</w:t>
      </w:r>
    </w:p>
    <w:p>
      <w:pPr>
        <w:spacing w:after="0" w:line="1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09"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5"/>
          <w:szCs w:val="15"/>
          <w:b w:val="1"/>
          <w:bCs w:val="1"/>
          <w:color w:val="auto"/>
        </w:rPr>
        <w:t>We may not be able to effectively manage our growth and operations, which could materially and adversely affect our business.</w:t>
      </w:r>
    </w:p>
    <w:p>
      <w:pPr>
        <w:spacing w:after="0" w:line="197"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5"/>
          <w:szCs w:val="15"/>
          <w:color w:val="auto"/>
        </w:rPr>
        <w:t>As we implement our business strategy as intended, we have and may in the future experience rapid growth and development in a relatively short period of time. The management of this growth will require, among other things, continued development of our financial and management controls and management information systems, stringent control of costs, the ability to attract and retain qualified management personnel and the training of new personnel. Failure to successfully manage our possible growth and development could have a material adverse effect on our business.</w:t>
      </w:r>
    </w:p>
    <w:p>
      <w:pPr>
        <w:spacing w:after="0" w:line="151" w:lineRule="exact"/>
        <w:rPr>
          <w:sz w:val="20"/>
          <w:szCs w:val="20"/>
          <w:color w:val="auto"/>
        </w:rPr>
      </w:pPr>
    </w:p>
    <w:p>
      <w:pPr>
        <w:ind w:left="20" w:right="160"/>
        <w:spacing w:after="0" w:line="265" w:lineRule="auto"/>
        <w:rPr>
          <w:sz w:val="20"/>
          <w:szCs w:val="20"/>
          <w:color w:val="auto"/>
        </w:rPr>
      </w:pPr>
      <w:r>
        <w:rPr>
          <w:rFonts w:ascii="Times New Roman" w:cs="Times New Roman" w:eastAsia="Times New Roman" w:hAnsi="Times New Roman"/>
          <w:sz w:val="15"/>
          <w:szCs w:val="15"/>
          <w:color w:val="auto"/>
        </w:rPr>
        <w:t>There is a risk that some or all of the anticipated strategic and financial benefits may fail to materialize, may not continue on their existing terms, or may not occur within the time period anticipated. Although we have conducted due diligence with respect to material aspects of the development of our business, there is no certainty that our due diligence procedures will reveal all of the risks and liabilities associated with our current plans. Although we are not aware of any specific liabilities, such liabilities may be unknown and, accordingly, the potential monetary cost of such liability is also unknown.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may fail to effectively integrate acquired businesses into our operations or otherwise fail to realize the anticipated benefits of the acquisitions.</w:t>
      </w:r>
    </w:p>
    <w:p>
      <w:pPr>
        <w:spacing w:after="0" w:line="19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5"/>
          <w:szCs w:val="15"/>
          <w:color w:val="auto"/>
        </w:rPr>
        <w:t>If we fail to accurately assess and successfully integrate any recent or future acquisitions, we may not achieve the anticipated benefits, which could result in lower revenue, unanticipated operating expenses, and financial losses. Successful integration involves many challenges, including:</w:t>
      </w:r>
    </w:p>
    <w:p>
      <w:pPr>
        <w:spacing w:after="0" w:line="134" w:lineRule="exact"/>
        <w:rPr>
          <w:sz w:val="20"/>
          <w:szCs w:val="20"/>
          <w:color w:val="auto"/>
        </w:rPr>
      </w:pPr>
    </w:p>
    <w:p>
      <w:pPr>
        <w:ind w:left="820" w:hanging="54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difficulty of integrating acquired operations and personnel with our existing operations;</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difficulty of developing, manufacturing, and marketing new products and services;</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diversion of our management’s attention as a result of evaluating, negotiating and integrating acquisitions;</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some cases, our exposure to unforeseen liabilities of acquired companies; and</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key employees of an acquired business operation.</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In addition, an acquisition could adversely impact cash flows, operating results, and stockholder interests, for many reasons, including:</w:t>
      </w:r>
    </w:p>
    <w:p>
      <w:pPr>
        <w:spacing w:after="0" w:line="193" w:lineRule="exact"/>
        <w:rPr>
          <w:sz w:val="20"/>
          <w:szCs w:val="20"/>
          <w:color w:val="auto"/>
        </w:rPr>
      </w:pPr>
    </w:p>
    <w:p>
      <w:pPr>
        <w:ind w:left="820" w:hanging="54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contingent consideration payments;</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securities in connection with an acquisition or new business venture that dilutes or lessens the rights of our current stockholders;</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charges to our income to reflect the impairment of acquired intangible assets, including goodwill; and</w:t>
      </w:r>
    </w:p>
    <w:p>
      <w:pPr>
        <w:spacing w:after="0" w:line="32" w:lineRule="exact"/>
        <w:rPr>
          <w:rFonts w:ascii="Times New Roman" w:cs="Times New Roman" w:eastAsia="Times New Roman" w:hAnsi="Times New Roman"/>
          <w:sz w:val="15"/>
          <w:szCs w:val="15"/>
          <w:color w:val="auto"/>
        </w:rPr>
      </w:pPr>
    </w:p>
    <w:p>
      <w:pPr>
        <w:ind w:left="820" w:hanging="54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costs and debt service requirements for any debt incurred in connection with an acquisition or new business venture.</w:t>
      </w:r>
    </w:p>
    <w:p>
      <w:pPr>
        <w:spacing w:after="0" w:line="216" w:lineRule="exact"/>
        <w:rPr>
          <w:sz w:val="20"/>
          <w:szCs w:val="20"/>
          <w:color w:val="auto"/>
        </w:rPr>
      </w:pPr>
    </w:p>
    <w:p>
      <w:pPr>
        <w:ind w:left="20" w:right="100"/>
        <w:spacing w:after="0" w:line="271" w:lineRule="auto"/>
        <w:rPr>
          <w:sz w:val="20"/>
          <w:szCs w:val="20"/>
          <w:color w:val="auto"/>
        </w:rPr>
      </w:pPr>
      <w:r>
        <w:rPr>
          <w:rFonts w:ascii="Times New Roman" w:cs="Times New Roman" w:eastAsia="Times New Roman" w:hAnsi="Times New Roman"/>
          <w:sz w:val="15"/>
          <w:szCs w:val="15"/>
          <w:color w:val="auto"/>
        </w:rPr>
        <w:t>The anticipated benefit of any of our acquisitions may never materialize. Future acquisitions could result in potentially dilutive issuances of our equity securities, the incurrence of debt, contingent liabilities or amortization expenses, or write-offs of goodwill, any of which could harm our financial condition. Future acquisitions may require us to obtain additional equity or debt financing, which may not be available on favorable terms, or at all.</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MARKETS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Our sales are affected by the cyclicality of the semi market, which causes our operating results to fluctuate significantly.</w:t>
      </w:r>
    </w:p>
    <w:p>
      <w:pPr>
        <w:spacing w:after="0" w:line="197"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5"/>
          <w:szCs w:val="15"/>
          <w:color w:val="auto"/>
        </w:rPr>
        <w:t>A significant portion of our business depends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5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509" w:right="319" w:bottom="1440" w:gutter="0" w:footer="0" w:header="0"/>
        </w:sectPr>
      </w:pPr>
    </w:p>
    <w:bookmarkStart w:id="17" w:name="page18"/>
    <w:bookmarkEnd w:id="17"/>
    <w:p>
      <w:pPr>
        <w:ind w:left="20" w:right="80"/>
        <w:spacing w:after="0" w:line="294" w:lineRule="auto"/>
        <w:rPr>
          <w:sz w:val="20"/>
          <w:szCs w:val="20"/>
          <w:color w:val="auto"/>
        </w:rPr>
      </w:pPr>
      <w:r>
        <w:rPr>
          <w:rFonts w:ascii="Times New Roman" w:cs="Times New Roman" w:eastAsia="Times New Roman" w:hAnsi="Times New Roman"/>
          <w:sz w:val="15"/>
          <w:szCs w:val="15"/>
          <w:b w:val="1"/>
          <w:bCs w:val="1"/>
          <w:color w:val="auto"/>
        </w:rPr>
        <w:t>We seek to further diversify the markets for our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5"/>
          <w:szCs w:val="15"/>
          <w:color w:val="auto"/>
        </w:rPr>
        <w:t>We sell certain of our products in markets other than the semi market, including the automotive, defense/aerospace, industrial, life sciences and security markets. During 2023 and 2022, our sales to markets other than the semi market were $57.6 million and $48.4 million, respectively, and represented 47% and 42% of our consolidated revenue, respectively. Our goal is to increase our sales to markets other than the semi market; however, in most cases, the expansion of our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these markets, we do not expect broad market penetration in many of these markets. If we are unable to expand these sales, our revenue and results of operations will remain substantially dependent upon the cycles of the semi market.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BUSINESS OPERATIONS</w:t>
      </w:r>
    </w:p>
    <w:p>
      <w:pPr>
        <w:spacing w:after="0" w:line="193" w:lineRule="exact"/>
        <w:rPr>
          <w:sz w:val="20"/>
          <w:szCs w:val="20"/>
          <w:color w:val="auto"/>
        </w:rPr>
      </w:pPr>
    </w:p>
    <w:p>
      <w:pPr>
        <w:ind w:left="20" w:right="80"/>
        <w:spacing w:after="0" w:line="294" w:lineRule="auto"/>
        <w:rPr>
          <w:sz w:val="20"/>
          <w:szCs w:val="20"/>
          <w:color w:val="auto"/>
        </w:rPr>
      </w:pPr>
      <w:r>
        <w:rPr>
          <w:rFonts w:ascii="Times New Roman" w:cs="Times New Roman" w:eastAsia="Times New Roman" w:hAnsi="Times New Roman"/>
          <w:sz w:val="15"/>
          <w:szCs w:val="15"/>
          <w:b w:val="1"/>
          <w:bCs w:val="1"/>
          <w:color w:val="auto"/>
        </w:rPr>
        <w:t>If our suppliers do not meet product or delivery requirements, or inflationary pressures continue to increase and we cannot increase our prices to our customers, we could have reduced revenues and earnings.</w:t>
      </w:r>
    </w:p>
    <w:p>
      <w:pPr>
        <w:spacing w:after="0" w:line="1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5"/>
          <w:szCs w:val="15"/>
          <w:color w:val="auto"/>
        </w:rPr>
        <w:t>During 2022, as global supply chain constraints became more pronounced, we experienced price increases and lack of availability from several of our normal suppliers for the materials needed to produce our products in a timely manner and/or with the level of margins we typically expect to achieve. While the global supply chain seems to have returned to a more normalized state as of the end of 2023, certain components of our products may continue to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experience reputational harm and be subject to contractual penalties, any of which could have a material adverse effect on our business, results of operations and financial condition. Additionally, we may not be able to raise our prices to our customers in an amount or timeframe sufficient to offset the increases in price we are experiencing from our suppliers. This could result in a reduction in our earnings in future periods.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A breach of our operational or security systems could negatively affect our business, our reputation and results of operations.</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5"/>
          <w:szCs w:val="15"/>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and continue to be the target of security breaches,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We are subject to significant environmental, health and safety laws and regulations and related compliance expenditures and liabilities.</w:t>
      </w:r>
    </w:p>
    <w:p>
      <w:pPr>
        <w:spacing w:after="0" w:line="197"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5"/>
          <w:szCs w:val="15"/>
          <w:color w:val="auto"/>
        </w:rPr>
        <w:t>Our businesses are subject to many foreign, federal, state and local environmental, health and safety laws and regulations, particularly with respect to the use, handling, treatment, storage, discharge and disposal of substances and hazardous wastes used or generated in our manufacturing processes. Compliance with these laws and regulations is a significant factor in our business. We have incurred and expect to continue to incur significant expenditures to comply with applicable environmental laws and regulations.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w:t>
      </w:r>
    </w:p>
    <w:p>
      <w:pPr>
        <w:spacing w:after="0" w:line="154"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5"/>
          <w:szCs w:val="15"/>
          <w:color w:val="auto"/>
        </w:rPr>
        <w:t>We expect to continue to be subject to increasingly stringent environmental and health and safety laws and regulations. It is difficult to predict the future interpretation and development of environmental and health and safety laws and regulations or their impact on our future earnings and operations. We anticipate that compliance will continue to require increased capital expenditures and operating costs. Any increase in these costs, or unanticipated liabilities arising from, among other things, discovery of previously unknown conditions or more aggressive enforcement actions, could adversely affect our results of operations, and there is no assurance that they will not exceed our reserves or have a material adverse effect on our financial condition.</w:t>
      </w:r>
    </w:p>
    <w:p>
      <w:pPr>
        <w:spacing w:after="0" w:line="15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509" w:right="319" w:bottom="1440" w:gutter="0" w:footer="0" w:header="0"/>
        </w:sectPr>
      </w:pPr>
    </w:p>
    <w:bookmarkStart w:id="18" w:name="page19"/>
    <w:bookmarkEnd w:id="18"/>
    <w:p>
      <w:pPr>
        <w:ind w:right="40"/>
        <w:spacing w:after="0" w:line="274" w:lineRule="auto"/>
        <w:rPr>
          <w:sz w:val="20"/>
          <w:szCs w:val="20"/>
          <w:color w:val="auto"/>
        </w:rPr>
      </w:pPr>
      <w:r>
        <w:rPr>
          <w:rFonts w:ascii="Times New Roman" w:cs="Times New Roman" w:eastAsia="Times New Roman" w:hAnsi="Times New Roman"/>
          <w:sz w:val="15"/>
          <w:szCs w:val="15"/>
          <w:b w:val="1"/>
          <w:bCs w:val="1"/>
          <w:color w:val="auto"/>
        </w:rPr>
        <w:t>We have identified a material weakness in our internal control over financial reporting,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We determined that our internal control over financial reporting and disclosure controls and procedures were not effective as of September 30, 2023 as a result of the material weakness related to recognition of revenue related to the sale of discontinued material/components purchased on behalf of customers where the associated materials/components were still physically located with us and the materials/components are expected to be applied to future product orders for these customers, as discussed in Part II, Item 9A of this Annual Report on Form 10-K. This material weakness has not been remediated and accordingly our internal control over financial reporting and disclosure controls and procedures remains ineffective. Management is actively engaged in the planning for, and implementation of, remediation efforts to address our material weakness but there can be no assurance that those efforts will be successful. Refer to Part II, Item 9A for further details of the material weakness and remediation efforts.</w:t>
      </w:r>
    </w:p>
    <w:p>
      <w:pPr>
        <w:spacing w:after="0" w:line="153"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auto"/>
        </w:rPr>
        <w:t>As such, if we do not remediate this material weakness in a timely manner, or if additional material weaknesses in our internal control over financial reporting are discovered, they may adversely affect our ability to record, process, summarize and report financial information timely and accurately and our financial statements may contain material misstatements or omissions. Additionally, our internal control environment and remediation efforts do not provide absolute assurance with regard to timely detecting or preventing control deficiencies and thus do not insulate us from any failure to meet our financial reporting obligations.</w:t>
      </w:r>
    </w:p>
    <w:p>
      <w:pPr>
        <w:spacing w:after="0" w:line="1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It is possible that additional control deficiencies could be identified by our management or by our independent registered public accounting firm in the future or may occur without being identified. Such a failure could require us to incur the expense of remediation, result in regulatory scrutiny, investigations or enforcement actions, cause investors to lose confidence in our reported financial condition and have a negative effect on the trading price of our common stock, lead to a default under our indebtedness, and otherwise have a material adverse effect on our business, financial condition, results of operations, and cash flows.</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Further, if we are unable to conclude that our internal control over financial reporting is effective, or, if and when required, our independent registered public accounting firm is unable to express an unqualified opinion as to the effectiveness of our internal control over financial reporting, investors may lose confidence in the accuracy and completeness of our financial statements, the market price of our common stock could be adversely affected, our common stock could become subject to delisting and we could become subject to litigation or investigations by the stock exchange or exchanges on which our securities are listed, the SEC or other regulatory authorities, any of which could require additional financial and management resources.</w:t>
      </w:r>
    </w:p>
    <w:p>
      <w:pPr>
        <w:spacing w:after="0" w:line="15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5"/>
          <w:szCs w:val="15"/>
          <w:color w:val="auto"/>
        </w:rPr>
        <w:t>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financial statements for prior periods.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Our business may suffer if we are unable to attract and retain key employees or hire personnel at the costs we currently project.</w:t>
      </w:r>
    </w:p>
    <w:p>
      <w:pPr>
        <w:spacing w:after="0" w:line="197" w:lineRule="exact"/>
        <w:rPr>
          <w:sz w:val="20"/>
          <w:szCs w:val="20"/>
          <w:color w:val="auto"/>
        </w:rPr>
      </w:pPr>
    </w:p>
    <w:p>
      <w:pPr>
        <w:ind w:left="20" w:right="160"/>
        <w:spacing w:after="0" w:line="265" w:lineRule="auto"/>
        <w:rPr>
          <w:sz w:val="20"/>
          <w:szCs w:val="20"/>
          <w:color w:val="auto"/>
        </w:rPr>
      </w:pPr>
      <w:r>
        <w:rPr>
          <w:rFonts w:ascii="Times New Roman" w:cs="Times New Roman" w:eastAsia="Times New Roman" w:hAnsi="Times New Roman"/>
          <w:sz w:val="15"/>
          <w:szCs w:val="15"/>
          <w:color w:val="auto"/>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spacing w:after="0" w:line="151" w:lineRule="exact"/>
        <w:rPr>
          <w:sz w:val="20"/>
          <w:szCs w:val="20"/>
          <w:color w:val="auto"/>
        </w:rPr>
      </w:pPr>
    </w:p>
    <w:p>
      <w:pPr>
        <w:jc w:val="both"/>
        <w:ind w:left="20" w:right="260"/>
        <w:spacing w:after="0" w:line="271" w:lineRule="auto"/>
        <w:rPr>
          <w:sz w:val="20"/>
          <w:szCs w:val="20"/>
          <w:color w:val="auto"/>
        </w:rPr>
      </w:pPr>
      <w:r>
        <w:rPr>
          <w:rFonts w:ascii="Times New Roman" w:cs="Times New Roman" w:eastAsia="Times New Roman" w:hAnsi="Times New Roman"/>
          <w:sz w:val="15"/>
          <w:szCs w:val="15"/>
          <w:color w:val="auto"/>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We have experienced and may continue to experience significant variability in our effective tax rates and may have exposure to additional tax liabilities and costs.</w:t>
      </w:r>
    </w:p>
    <w:p>
      <w:pPr>
        <w:spacing w:after="0" w:line="197" w:lineRule="exact"/>
        <w:rPr>
          <w:sz w:val="20"/>
          <w:szCs w:val="20"/>
          <w:color w:val="auto"/>
        </w:rPr>
      </w:pPr>
    </w:p>
    <w:p>
      <w:pPr>
        <w:jc w:val="both"/>
        <w:ind w:left="20" w:right="60"/>
        <w:spacing w:after="0" w:line="271" w:lineRule="auto"/>
        <w:rPr>
          <w:sz w:val="20"/>
          <w:szCs w:val="20"/>
          <w:color w:val="auto"/>
        </w:rPr>
      </w:pPr>
      <w:r>
        <w:rPr>
          <w:rFonts w:ascii="Times New Roman" w:cs="Times New Roman" w:eastAsia="Times New Roman" w:hAnsi="Times New Roman"/>
          <w:sz w:val="15"/>
          <w:szCs w:val="15"/>
          <w:color w:val="auto"/>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42" w:lineRule="exact"/>
        <w:rPr>
          <w:sz w:val="20"/>
          <w:szCs w:val="20"/>
          <w:color w:val="auto"/>
        </w:rPr>
      </w:pPr>
    </w:p>
    <w:p>
      <w:pPr>
        <w:ind w:left="20" w:right="260"/>
        <w:spacing w:after="0" w:line="294" w:lineRule="auto"/>
        <w:rPr>
          <w:sz w:val="20"/>
          <w:szCs w:val="20"/>
          <w:color w:val="auto"/>
        </w:rPr>
      </w:pPr>
      <w:r>
        <w:rPr>
          <w:rFonts w:ascii="Times New Roman" w:cs="Times New Roman" w:eastAsia="Times New Roman" w:hAnsi="Times New Roman"/>
          <w:sz w:val="15"/>
          <w:szCs w:val="15"/>
          <w:b w:val="1"/>
          <w:bCs w:val="1"/>
          <w:color w:val="auto"/>
        </w:rPr>
        <w:t>The terms and covenants relating to our credit facility could adversely impact our ability to pursue our strategy and our financial performance and liquidity, and thus we may need additional financial resources to maintain our liquidity.</w:t>
      </w:r>
    </w:p>
    <w:p>
      <w:pPr>
        <w:spacing w:after="0" w:line="129"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5"/>
          <w:szCs w:val="15"/>
          <w:color w:val="auto"/>
        </w:rPr>
        <w:t>Our credit facility with M&amp;T Bank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 See “Management's Discussion and Analysis of Financial Condition and Results of Operations – Overview – Credit Facility” and Note 10 to our consolidated financial statements in this Report for a discussion of the material terms of our credit facility.</w:t>
      </w:r>
    </w:p>
    <w:p>
      <w:pPr>
        <w:spacing w:after="0" w:line="15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509" w:right="319" w:bottom="1440" w:gutter="0" w:footer="0" w:header="0"/>
        </w:sectPr>
      </w:pPr>
    </w:p>
    <w:bookmarkStart w:id="19" w:name="page20"/>
    <w:bookmarkEnd w:id="19"/>
    <w:p>
      <w:pPr>
        <w:ind w:right="80"/>
        <w:spacing w:after="0" w:line="294" w:lineRule="auto"/>
        <w:rPr>
          <w:sz w:val="20"/>
          <w:szCs w:val="20"/>
          <w:color w:val="auto"/>
        </w:rPr>
      </w:pPr>
      <w:r>
        <w:rPr>
          <w:rFonts w:ascii="Times New Roman" w:cs="Times New Roman" w:eastAsia="Times New Roman" w:hAnsi="Times New Roman"/>
          <w:sz w:val="15"/>
          <w:szCs w:val="15"/>
          <w:b w:val="1"/>
          <w:bCs w:val="1"/>
          <w:color w:val="auto"/>
        </w:rPr>
        <w:t>We hold our cash and cash equivalents that we use to meet our working capital needs in deposit accounts that could be adversely affected if the financial institutions holding such funds fail.</w:t>
      </w:r>
    </w:p>
    <w:p>
      <w:pPr>
        <w:spacing w:after="0" w:line="12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We hold our cash and cash equivalents that we use to meet our working capital needs in deposit accounts at multiple financial institutions. The balance held in these accounts may exceed the Federal Deposit Insurance Corporation ("FDIC"), standard deposit insurance limit or similar government guarantee schemes.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obligations.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For example, on March 10, 2023, Silicon Valley Bank ("SVB"), and on March 12, 2023,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were to fail, we cannot provide any assurances that such governmental agencies would take action to protect our uninsured deposits in a similar manner.</w:t>
      </w:r>
    </w:p>
    <w:p>
      <w:pPr>
        <w:spacing w:after="0" w:line="15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5"/>
          <w:szCs w:val="15"/>
          <w:color w:val="auto"/>
        </w:rPr>
        <w:t>We also maintain investment accounts with other financial institutions in which we hold our investments and, if access to the funds we use for working capital is impaired, we may not be able to sell investments or transfer funds from our investment accounts to new accounts on a timely basis sufficient to meet our working capital needs.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face risks associated with doing business in China.</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We conduct sales and other business operations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intellectual property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57" w:lineRule="exact"/>
        <w:rPr>
          <w:sz w:val="20"/>
          <w:szCs w:val="20"/>
          <w:color w:val="auto"/>
        </w:rPr>
      </w:pP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Chinese government exerts substantial influence over the manner in which we must conduct our business activities;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currency exchange may limit our ability to receive, transfer and use our cash effectively;</w:t>
      </w:r>
    </w:p>
    <w:p>
      <w:pPr>
        <w:spacing w:after="0" w:line="32" w:lineRule="exact"/>
        <w:rPr>
          <w:rFonts w:ascii="Times New Roman" w:cs="Times New Roman" w:eastAsia="Times New Roman" w:hAnsi="Times New Roman"/>
          <w:sz w:val="15"/>
          <w:szCs w:val="15"/>
          <w:color w:val="auto"/>
        </w:rPr>
      </w:pPr>
    </w:p>
    <w:p>
      <w:pPr>
        <w:ind w:left="800" w:right="280" w:hanging="547"/>
        <w:spacing w:after="0" w:line="264" w:lineRule="auto"/>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uncertainties related to the enforcement of intellectual property rights including any intellectual property rights that we may license to a Chinese (or other emerging jurisdiction) entity, including any joint ventures we may form;</w:t>
      </w: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uncertainties relating to Chinese regulation of exports of products and technology to and from China;</w:t>
      </w:r>
    </w:p>
    <w:p>
      <w:pPr>
        <w:spacing w:after="0" w:line="18"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and rapidly changing export and related trade regulations and restrictions imposed by U.S. and Chinese legislation, executive actions and regulations;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of travel to and from China (and to and from United States) arising from or related to the COVID-19 pandemic or any future pandemic;</w:t>
      </w:r>
    </w:p>
    <w:p>
      <w:pPr>
        <w:spacing w:after="0" w:line="32" w:lineRule="exact"/>
        <w:rPr>
          <w:rFonts w:ascii="Times New Roman" w:cs="Times New Roman" w:eastAsia="Times New Roman" w:hAnsi="Times New Roman"/>
          <w:sz w:val="15"/>
          <w:szCs w:val="15"/>
          <w:color w:val="auto"/>
        </w:rPr>
      </w:pPr>
    </w:p>
    <w:p>
      <w:pPr>
        <w:ind w:left="800" w:right="500" w:hanging="547"/>
        <w:spacing w:after="0" w:line="264" w:lineRule="auto"/>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uncertainties related to the enforcement of contracts with certain parties;</w:t>
      </w:r>
    </w:p>
    <w:p>
      <w:pPr>
        <w:spacing w:after="0" w:line="18"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More restrictive rules on foreign investment could adversely affect our ability to expand our operations in China; and</w:t>
      </w:r>
    </w:p>
    <w:p>
      <w:pPr>
        <w:spacing w:after="0" w:line="32" w:lineRule="exact"/>
        <w:rPr>
          <w:rFonts w:ascii="Times New Roman" w:cs="Times New Roman" w:eastAsia="Times New Roman" w:hAnsi="Times New Roman"/>
          <w:sz w:val="15"/>
          <w:szCs w:val="15"/>
          <w:color w:val="auto"/>
        </w:rPr>
      </w:pPr>
    </w:p>
    <w:p>
      <w:pPr>
        <w:ind w:left="800" w:right="40" w:hanging="547"/>
        <w:spacing w:after="0" w:line="288" w:lineRule="auto"/>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result of our growing operations in China, these risks could harm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face political and other risks conducting business in Taiwan particularly due to their tense relationships with China.</w:t>
      </w:r>
    </w:p>
    <w:p>
      <w:pPr>
        <w:spacing w:after="0" w:line="197"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5"/>
          <w:szCs w:val="15"/>
          <w:color w:val="auto"/>
        </w:rPr>
        <w:t>We have customers located in Taiwan. Accordingly, our business, financial condition and results of operations may be affected by changes in governmental and economic policies in Taiwan, social instability and diplomatic and social developments in or affecting Taiwan due to its unique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80" w:top="509" w:right="31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CUSTOMER BASE</w:t>
      </w:r>
    </w:p>
    <w:p>
      <w:pPr>
        <w:spacing w:after="0" w:line="193" w:lineRule="exact"/>
        <w:rPr>
          <w:sz w:val="20"/>
          <w:szCs w:val="20"/>
          <w:color w:val="auto"/>
        </w:rPr>
      </w:pPr>
    </w:p>
    <w:p>
      <w:pPr>
        <w:ind w:left="20" w:right="40"/>
        <w:spacing w:after="0" w:line="294" w:lineRule="auto"/>
        <w:rPr>
          <w:sz w:val="20"/>
          <w:szCs w:val="20"/>
          <w:color w:val="auto"/>
        </w:rPr>
      </w:pPr>
      <w:r>
        <w:rPr>
          <w:rFonts w:ascii="Times New Roman" w:cs="Times New Roman" w:eastAsia="Times New Roman" w:hAnsi="Times New Roman"/>
          <w:sz w:val="15"/>
          <w:szCs w:val="15"/>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29"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5"/>
          <w:szCs w:val="15"/>
          <w:color w:val="auto"/>
        </w:rPr>
        <w:t>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 on our revenue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53" w:lineRule="exact"/>
        <w:rPr>
          <w:sz w:val="20"/>
          <w:szCs w:val="20"/>
          <w:color w:val="auto"/>
        </w:rPr>
      </w:pPr>
    </w:p>
    <w:p>
      <w:pPr>
        <w:ind w:left="20" w:right="80"/>
        <w:spacing w:after="0" w:line="294" w:lineRule="auto"/>
        <w:rPr>
          <w:sz w:val="20"/>
          <w:szCs w:val="20"/>
          <w:color w:val="auto"/>
        </w:rPr>
      </w:pPr>
      <w:r>
        <w:rPr>
          <w:rFonts w:ascii="Times New Roman" w:cs="Times New Roman" w:eastAsia="Times New Roman" w:hAnsi="Times New Roman"/>
          <w:sz w:val="15"/>
          <w:szCs w:val="15"/>
          <w:b w:val="1"/>
          <w:bCs w:val="1"/>
          <w:color w:val="auto"/>
        </w:rPr>
        <w:t>We generate a large portion of our sales from a small number of customers. If we were to lose one or more of our large customers, our operating results could suffer dramatically.</w:t>
      </w:r>
    </w:p>
    <w:p>
      <w:pPr>
        <w:spacing w:after="0" w:line="1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During the year ended December 31, 2023, one customer accounted for 13% of our consolidated revenue. This revenue was primarily generated by our Electronic Test segment. During the year ended December 31, 2023, no other customer accounted for 10% or more of our consolidated revenue. During the year ended December 31, 2022, no customer accounted for 10% or more of our consolidated revenue. During the years ended December 31, 2023 and 2022, our ten largest customers accounted for approximately 42% and 43% of our consolidated revenue,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COMPETITION</w:t>
      </w:r>
    </w:p>
    <w:p>
      <w:pPr>
        <w:spacing w:after="0" w:line="193" w:lineRule="exact"/>
        <w:rPr>
          <w:sz w:val="20"/>
          <w:szCs w:val="20"/>
          <w:color w:val="auto"/>
        </w:rPr>
      </w:pPr>
    </w:p>
    <w:p>
      <w:pPr>
        <w:ind w:left="20" w:right="80"/>
        <w:spacing w:after="0" w:line="294" w:lineRule="auto"/>
        <w:rPr>
          <w:sz w:val="20"/>
          <w:szCs w:val="20"/>
          <w:color w:val="auto"/>
        </w:rPr>
      </w:pPr>
      <w:r>
        <w:rPr>
          <w:rFonts w:ascii="Times New Roman" w:cs="Times New Roman" w:eastAsia="Times New Roman" w:hAnsi="Times New Roman"/>
          <w:sz w:val="15"/>
          <w:szCs w:val="15"/>
          <w:b w:val="1"/>
          <w:bCs w:val="1"/>
          <w:color w:val="auto"/>
        </w:rPr>
        <w:t>Our business is subject to intense competition, which has in the past and could in the future, materially adversely affect our business, financial condition and results of operations.</w:t>
      </w:r>
    </w:p>
    <w:p>
      <w:pPr>
        <w:spacing w:after="0" w:line="129"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5"/>
          <w:szCs w:val="15"/>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In order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w:t>
      </w:r>
    </w:p>
    <w:p>
      <w:pPr>
        <w:spacing w:after="0" w:line="154" w:lineRule="exact"/>
        <w:rPr>
          <w:sz w:val="20"/>
          <w:szCs w:val="20"/>
          <w:color w:val="auto"/>
        </w:rPr>
      </w:pPr>
    </w:p>
    <w:p>
      <w:pPr>
        <w:ind w:left="20"/>
        <w:spacing w:after="0" w:line="294" w:lineRule="auto"/>
        <w:rPr>
          <w:sz w:val="20"/>
          <w:szCs w:val="20"/>
          <w:color w:val="auto"/>
        </w:rPr>
      </w:pPr>
      <w:r>
        <w:rPr>
          <w:rFonts w:ascii="Times New Roman" w:cs="Times New Roman" w:eastAsia="Times New Roman" w:hAnsi="Times New Roman"/>
          <w:sz w:val="15"/>
          <w:szCs w:val="15"/>
          <w:b w:val="1"/>
          <w:bCs w:val="1"/>
          <w:color w:val="auto"/>
        </w:rPr>
        <w:t>Our markets are subject to rapid technological change, and our business prospects would be negatively affected if we are unable to quickly and effectively respond to innovation in the semi market or other markets that we serve.</w:t>
      </w:r>
    </w:p>
    <w:p>
      <w:pPr>
        <w:spacing w:after="0" w:line="129"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5"/>
          <w:szCs w:val="15"/>
          <w:color w:val="auto"/>
        </w:rPr>
        <w:t>Technology, including semiconductor technology, continues to become more complex as the pace of innovation and development of new technology increases. In addition, manufacturers are incorporating ICs into an increasing variety of products. This trend, including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FOREIGN OPERATIONS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The current conflict in the Ukraine could disrupt our supply chain or cause other adverse effects on our revenue and earnings.</w:t>
      </w:r>
    </w:p>
    <w:p>
      <w:pPr>
        <w:spacing w:after="0" w:line="197"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5"/>
          <w:szCs w:val="15"/>
          <w:color w:val="auto"/>
        </w:rPr>
        <w:t>In late February 2022, Russia initiated significant military action against Ukraine. In response, the U.S. and certain other countries imposed significant sanctions and trade actions against Russia. The U.S. and certain other countries could impose further sanctions, trade restrictions and other retaliatory actions should the conflict continue or worsen. It is not possible to predict the broader consequences of the conflict, including related geopolitical tensions, and the measures and retaliatory actions taken by the U.S. and other countries in respect thereof, as well as any counter measures or retaliatory actions by Russia in response. The continuing conflict has caused regional instability and could cause geopolitical shifts and could materially adversely affect global trade, currency exchange rates, regional economies and the global economy, which could materially adversely affect our financial condition or results of operations. In addition, the conflict and actions taken in response to the conflict could increase our costs or disrupt our supply chain for certain material which Acculogic currently primarily acquires from one supplier in Belarus. If we cannot source this material from alternate suppliers for similar costs, our revenue and earnings could be adversely affected.</w:t>
      </w:r>
    </w:p>
    <w:p>
      <w:pPr>
        <w:spacing w:after="0" w:line="1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09" w:right="339" w:bottom="1440" w:gutter="0" w:footer="0" w:header="0"/>
        </w:sectPr>
      </w:pPr>
    </w:p>
    <w:bookmarkStart w:id="21" w:name="page22"/>
    <w:bookmarkEnd w:id="21"/>
    <w:p>
      <w:pPr>
        <w:ind w:right="240"/>
        <w:spacing w:after="0" w:line="294" w:lineRule="auto"/>
        <w:rPr>
          <w:sz w:val="20"/>
          <w:szCs w:val="20"/>
          <w:color w:val="auto"/>
        </w:rPr>
      </w:pPr>
      <w:r>
        <w:rPr>
          <w:rFonts w:ascii="Times New Roman" w:cs="Times New Roman" w:eastAsia="Times New Roman" w:hAnsi="Times New Roman"/>
          <w:sz w:val="15"/>
          <w:szCs w:val="15"/>
          <w:b w:val="1"/>
          <w:bCs w:val="1"/>
          <w:color w:val="auto"/>
        </w:rPr>
        <w:t>We have a sole source supplier of components in Israel and the current Hamas-Israel conflict could disrupt our supply chain or cause other adverse effects on our revenue and earnings.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In early October 2023, Hamas attacked Israel and Israel formally declared war in response to the attack. The conflict is ongoing, and it is unclear when it might end. The continuing conflict is likely to cause regional instability and could materially adversely affect global trade, regional economies and the global economy, which could materially adversely affect our financial condition and results of operations. Our subsidiary, Ambrell has a sole source supplier of capacitors used in certain of our induction heating products that is located in Israel. This supplier is the sole source supplier of capacitors for numerous induction companies, and currently there are not viable alternatives available. There can be no assurance that the situation will not worsen, which could impact our ability to assemble and ship certain of our induction heating products which could have a material impact on our results of operations in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substantial portion of our customers are located outside the U.S., which exposes us to foreign political and economic risks.</w:t>
      </w:r>
    </w:p>
    <w:p>
      <w:pPr>
        <w:spacing w:after="0" w:line="19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5"/>
          <w:szCs w:val="15"/>
          <w:color w:val="auto"/>
        </w:rPr>
        <w:t>We have operated internationally for many years and expect to expand our international operations to continue expansion of our sales and service to our non-U.S. customers. Our foreign subsidiaries generated 24% and 19% of consolidated revenue in 2023 and 2022, respectively. Revenue from foreign customers totaled $78.1 million, or 63% of consolidated revenue in 2023, and $67.7 million, or 58% of consolidated revenue in 2022. We expect our revenue from foreign customers will continue to represent a significant portion of total revenue.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54" w:lineRule="exact"/>
        <w:rPr>
          <w:sz w:val="20"/>
          <w:szCs w:val="20"/>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certain foreign customers being added to the list of restricted customers by the U.S. Department of Commerce;</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trade tariffs by the U.S. and other countries that would impact our products;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and economic instability in foreign countries;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imposition of financial and operational controls and regulatory restrictions by foreign governments;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to comply with a wide variety of U.S. and foreign import and export laws;</w:t>
      </w:r>
    </w:p>
    <w:p>
      <w:pPr>
        <w:spacing w:after="0" w:line="32" w:lineRule="exact"/>
        <w:rPr>
          <w:rFonts w:ascii="Times New Roman" w:cs="Times New Roman" w:eastAsia="Times New Roman" w:hAnsi="Times New Roman"/>
          <w:sz w:val="15"/>
          <w:szCs w:val="15"/>
          <w:color w:val="auto"/>
        </w:rPr>
      </w:pPr>
    </w:p>
    <w:p>
      <w:pPr>
        <w:ind w:left="800" w:right="60" w:hanging="547"/>
        <w:spacing w:after="0" w:line="264" w:lineRule="auto"/>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 restrictions;</w:t>
      </w:r>
    </w:p>
    <w:p>
      <w:pPr>
        <w:spacing w:after="0" w:line="18"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taxes;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payment cycles;</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 and</w:t>
      </w:r>
    </w:p>
    <w:p>
      <w:pPr>
        <w:spacing w:after="0" w:line="32" w:lineRule="exact"/>
        <w:rPr>
          <w:rFonts w:ascii="Times New Roman" w:cs="Times New Roman" w:eastAsia="Times New Roman" w:hAnsi="Times New Roman"/>
          <w:sz w:val="15"/>
          <w:szCs w:val="15"/>
          <w:color w:val="auto"/>
        </w:rPr>
      </w:pPr>
    </w:p>
    <w:p>
      <w:pPr>
        <w:ind w:left="800" w:hanging="547"/>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greater difficulty of administering business abroad.</w:t>
      </w:r>
    </w:p>
    <w:p>
      <w:pPr>
        <w:spacing w:after="0" w:line="212"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5"/>
          <w:szCs w:val="15"/>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While much of our cash is in the U.S., a significant portion is generated from and maintained by our foreign operations. At December 31, 2023, $5.8 million, or 13% of our cash and cash equivalents was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Claims of intellectual property infringement by or against us could seriously harm our businesses.</w:t>
      </w:r>
    </w:p>
    <w:p>
      <w:pPr>
        <w:spacing w:after="0" w:line="19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80" w:top="509" w:right="319" w:bottom="1440" w:gutter="0" w:footer="0" w:header="0"/>
        </w:sectPr>
      </w:pPr>
    </w:p>
    <w:bookmarkStart w:id="22" w:name="page23"/>
    <w:bookmarkEnd w:id="22"/>
    <w:p>
      <w:pPr>
        <w:ind w:left="560"/>
        <w:spacing w:after="0"/>
        <w:rPr>
          <w:sz w:val="20"/>
          <w:szCs w:val="20"/>
          <w:color w:val="auto"/>
        </w:rPr>
      </w:pPr>
      <w:r>
        <w:rPr>
          <w:rFonts w:ascii="Times New Roman" w:cs="Times New Roman" w:eastAsia="Times New Roman" w:hAnsi="Times New Roman"/>
          <w:sz w:val="15"/>
          <w:szCs w:val="15"/>
          <w:b w:val="1"/>
          <w:bCs w:val="1"/>
          <w:color w:val="auto"/>
        </w:rPr>
        <w:t>If we are unable to protect our intellectual property, we may lose a valuable asset or may incur costly litigation to protect our rights.</w:t>
      </w:r>
    </w:p>
    <w:p>
      <w:pPr>
        <w:spacing w:after="0" w:line="197" w:lineRule="exact"/>
        <w:rPr>
          <w:sz w:val="20"/>
          <w:szCs w:val="20"/>
          <w:color w:val="auto"/>
        </w:rPr>
      </w:pPr>
    </w:p>
    <w:p>
      <w:pPr>
        <w:ind w:left="560" w:right="100"/>
        <w:spacing w:after="0" w:line="265" w:lineRule="auto"/>
        <w:rPr>
          <w:sz w:val="20"/>
          <w:szCs w:val="20"/>
          <w:color w:val="auto"/>
        </w:rPr>
      </w:pPr>
      <w:r>
        <w:rPr>
          <w:rFonts w:ascii="Times New Roman" w:cs="Times New Roman" w:eastAsia="Times New Roman" w:hAnsi="Times New Roman"/>
          <w:sz w:val="15"/>
          <w:szCs w:val="15"/>
          <w:color w:val="auto"/>
        </w:rPr>
        <w:t>We protect the technology that is incorporated in our products in several ways, including through patent, copyright, trademark and trade secret protection and by contractual agreement. However, even with these protections, our intellectual property may still be challenged, invalidated or subject to other infringement actions. While we believe that our intellectual property has value in the aggregate, no single element of our intellectual property is in itself essential. If a significant portion of our intellectual property is invalidated or ineffective, our business could be materially adversely affected.</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OPERATING RESULTS AND STOCK PRICE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Our operating results often change significantly from quarter to quarter and may cause fluctuations in our stock price.</w:t>
      </w:r>
    </w:p>
    <w:p>
      <w:pPr>
        <w:spacing w:after="0" w:line="197" w:lineRule="exact"/>
        <w:rPr>
          <w:sz w:val="20"/>
          <w:szCs w:val="20"/>
          <w:color w:val="auto"/>
        </w:rPr>
      </w:pPr>
    </w:p>
    <w:p>
      <w:pPr>
        <w:ind w:left="560" w:right="80"/>
        <w:spacing w:after="0" w:line="271" w:lineRule="auto"/>
        <w:rPr>
          <w:sz w:val="20"/>
          <w:szCs w:val="20"/>
          <w:color w:val="auto"/>
        </w:rPr>
      </w:pPr>
      <w:r>
        <w:rPr>
          <w:rFonts w:ascii="Times New Roman" w:cs="Times New Roman" w:eastAsia="Times New Roman" w:hAnsi="Times New Roman"/>
          <w:sz w:val="15"/>
          <w:szCs w:val="15"/>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46" w:lineRule="exact"/>
        <w:rPr>
          <w:sz w:val="20"/>
          <w:szCs w:val="20"/>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due diligence and transaction-related expenses for a proposed acquisition that does not get completed;</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timing of integration of our acquisitions and plant consolidations and relocations;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demand in the markets we serve including the automotive, defense/aerospace, industrial, life sciences and security markets;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state of the U.S. and global economies;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buying patterns of our customers including any changes in the rate of, and timing of, purchases by our customers;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interruptions in our supply chain caused by external factors;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market share;</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COVID-19 or any other pandemic on our business;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technological obsolescence of our inventories;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quantities of our inventories greater than is reasonably likely to be utilized in future periods;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level of product warranty charges;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pricing pressures;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manufacturing capacity;</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control operating costs;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shipments of our products;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mix of our products sold;</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mix of customers and geographic regions where we sell our products;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level of our fixed costs;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the development of our proprietary technology;</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raw materials or fabricated parts when needed;</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costs of component materials;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cancellation or rescheduling of orders by our customers;</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government regulations; and</w:t>
      </w:r>
    </w:p>
    <w:p>
      <w:pPr>
        <w:spacing w:after="0" w:line="32" w:lineRule="exact"/>
        <w:rPr>
          <w:rFonts w:ascii="Times New Roman" w:cs="Times New Roman" w:eastAsia="Times New Roman" w:hAnsi="Times New Roman"/>
          <w:sz w:val="15"/>
          <w:szCs w:val="15"/>
          <w:color w:val="auto"/>
        </w:rPr>
      </w:pPr>
    </w:p>
    <w:p>
      <w:pPr>
        <w:ind w:left="1360" w:hanging="547"/>
        <w:spacing w:after="0"/>
        <w:tabs>
          <w:tab w:leader="none" w:pos="1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instability.</w:t>
      </w:r>
    </w:p>
    <w:p>
      <w:pPr>
        <w:spacing w:after="0" w:line="216" w:lineRule="exact"/>
        <w:rPr>
          <w:sz w:val="20"/>
          <w:szCs w:val="20"/>
          <w:color w:val="auto"/>
        </w:rPr>
      </w:pPr>
    </w:p>
    <w:p>
      <w:pPr>
        <w:ind w:left="560"/>
        <w:spacing w:after="0" w:line="288" w:lineRule="auto"/>
        <w:rPr>
          <w:sz w:val="20"/>
          <w:szCs w:val="20"/>
          <w:color w:val="auto"/>
        </w:rPr>
      </w:pPr>
      <w:r>
        <w:rPr>
          <w:rFonts w:ascii="Times New Roman" w:cs="Times New Roman" w:eastAsia="Times New Roman" w:hAnsi="Times New Roman"/>
          <w:sz w:val="15"/>
          <w:szCs w:val="15"/>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None.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1C.</w:t>
      </w:r>
      <w:r>
        <w:rPr>
          <w:sz w:val="20"/>
          <w:szCs w:val="20"/>
          <w:color w:val="auto"/>
        </w:rPr>
        <w:tab/>
      </w:r>
      <w:r>
        <w:rPr>
          <w:rFonts w:ascii="Times New Roman" w:cs="Times New Roman" w:eastAsia="Times New Roman" w:hAnsi="Times New Roman"/>
          <w:sz w:val="15"/>
          <w:szCs w:val="15"/>
          <w:b w:val="1"/>
          <w:bCs w:val="1"/>
          <w:color w:val="auto"/>
        </w:rPr>
        <w:t>CYBERSECURITY</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Cyber Security Governance</w:t>
      </w:r>
    </w:p>
    <w:p>
      <w:pPr>
        <w:spacing w:after="0" w:line="197" w:lineRule="exact"/>
        <w:rPr>
          <w:sz w:val="20"/>
          <w:szCs w:val="20"/>
          <w:color w:val="auto"/>
        </w:rPr>
      </w:pPr>
    </w:p>
    <w:p>
      <w:pPr>
        <w:ind w:left="540" w:right="60"/>
        <w:spacing w:after="0" w:line="265" w:lineRule="auto"/>
        <w:rPr>
          <w:sz w:val="20"/>
          <w:szCs w:val="20"/>
          <w:color w:val="auto"/>
        </w:rPr>
      </w:pPr>
      <w:r>
        <w:rPr>
          <w:rFonts w:ascii="Times New Roman" w:cs="Times New Roman" w:eastAsia="Times New Roman" w:hAnsi="Times New Roman"/>
          <w:sz w:val="15"/>
          <w:szCs w:val="15"/>
          <w:color w:val="auto"/>
        </w:rPr>
        <w:t>Oversight of cybersecurity risks by management is led by our Information Technology (“IT”) Committee, which is chaired by our Director of IT and comprised of members of senior management including our Chief Executive Officer and Chief Financial Officer. Among its responsibilities, the IT Committee identifies our material cyber risks and reviews the strategies, processes and controls in place to facilitate the understanding, identification, prevention, measurement, reporting and mitigation of those risks. The IT Committee meets quarterly to review our cyber risk management strategy. A member of the Board attends these meetings as an observer.</w:t>
      </w:r>
    </w:p>
    <w:p>
      <w:pPr>
        <w:spacing w:after="0" w:line="151" w:lineRule="exact"/>
        <w:rPr>
          <w:sz w:val="20"/>
          <w:szCs w:val="20"/>
          <w:color w:val="auto"/>
        </w:rPr>
      </w:pPr>
    </w:p>
    <w:p>
      <w:pPr>
        <w:ind w:left="540" w:right="100"/>
        <w:spacing w:after="0" w:line="288" w:lineRule="auto"/>
        <w:rPr>
          <w:sz w:val="20"/>
          <w:szCs w:val="20"/>
          <w:color w:val="auto"/>
        </w:rPr>
      </w:pPr>
      <w:r>
        <w:rPr>
          <w:rFonts w:ascii="Times New Roman" w:cs="Times New Roman" w:eastAsia="Times New Roman" w:hAnsi="Times New Roman"/>
          <w:sz w:val="15"/>
          <w:szCs w:val="15"/>
          <w:color w:val="auto"/>
        </w:rPr>
        <w:t>The Board and senior management provide general oversight and support to the IT Committee. The Board periodically reviews, appraises and discusses with management the effectiveness of our information technology security, data privacy and cyber security and related risks.</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Risk Management and Strategy</w:t>
      </w:r>
    </w:p>
    <w:p>
      <w:pPr>
        <w:spacing w:after="0" w:line="197"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5"/>
          <w:szCs w:val="15"/>
          <w:color w:val="auto"/>
        </w:rPr>
        <w:t>Cybersecurity is a key component of our overall risk management system. We are implementing processes that are designed to effectively manage risks from cybersecurity threats. The IT Committee currently has in place an Incident Response Plan (the “IRP”). The IRP lays out our guidelines for responding to and handling cyber incidents. The IRP helps to ensure a quick and organized response in the event of a cyber incident and helps ensure all necessary members of management, the Board and legal counsel are informed so action can be taken as soon as possible. Under the IRP, once a cyber incident is identified, a response team will review the details of the cyber incident, inform management and the Board and work to secure our systems and fix the vulnerability. An investigation will be conducted, with the assistance of third-party consultants if needed, to determine the root cause of the cyber incident, the materiality of the cyber incident, and any disclosure or legal obligations that will stem from the cyber incident.</w:t>
      </w:r>
    </w:p>
    <w:p>
      <w:pPr>
        <w:spacing w:after="0" w:line="153" w:lineRule="exact"/>
        <w:rPr>
          <w:sz w:val="20"/>
          <w:szCs w:val="20"/>
          <w:color w:val="auto"/>
        </w:rPr>
      </w:pPr>
    </w:p>
    <w:p>
      <w:pPr>
        <w:ind w:left="540"/>
        <w:spacing w:after="0" w:line="265" w:lineRule="auto"/>
        <w:rPr>
          <w:sz w:val="20"/>
          <w:szCs w:val="20"/>
          <w:color w:val="auto"/>
        </w:rPr>
      </w:pPr>
      <w:r>
        <w:rPr>
          <w:rFonts w:ascii="Times New Roman" w:cs="Times New Roman" w:eastAsia="Times New Roman" w:hAnsi="Times New Roman"/>
          <w:sz w:val="15"/>
          <w:szCs w:val="15"/>
          <w:color w:val="auto"/>
        </w:rPr>
        <w:t>To help prevent cyber security incidents we have integrated a number of third-party services into our IT systems to bolster our cyber security defenses. These services include a detection and response system which provides continuous monitoring of our IT systems, end-point protection on all of our computers and connected devices, as well as two-step verification for accessing our systems. We also engage a third-party consultant with experience in cyber defense to review our IRP to ensure it meets current standards and best practices.</w:t>
      </w:r>
    </w:p>
    <w:p>
      <w:pPr>
        <w:spacing w:after="0" w:line="151" w:lineRule="exact"/>
        <w:rPr>
          <w:sz w:val="20"/>
          <w:szCs w:val="20"/>
          <w:color w:val="auto"/>
        </w:rPr>
      </w:pPr>
    </w:p>
    <w:p>
      <w:pPr>
        <w:ind w:left="540" w:right="140"/>
        <w:spacing w:after="0" w:line="288" w:lineRule="auto"/>
        <w:rPr>
          <w:sz w:val="20"/>
          <w:szCs w:val="20"/>
          <w:color w:val="auto"/>
        </w:rPr>
      </w:pPr>
      <w:r>
        <w:rPr>
          <w:rFonts w:ascii="Times New Roman" w:cs="Times New Roman" w:eastAsia="Times New Roman" w:hAnsi="Times New Roman"/>
          <w:sz w:val="15"/>
          <w:szCs w:val="15"/>
          <w:color w:val="auto"/>
        </w:rPr>
        <w:t>We have been the victim of cyber incidents and may be the subject of cyber incidents in the future. See Item 1A, Risk Factors for more information about the risk posed to us by cybersecurity threats.</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PROPERTIES</w:t>
      </w:r>
    </w:p>
    <w:p>
      <w:pPr>
        <w:spacing w:after="0" w:line="197" w:lineRule="exact"/>
        <w:rPr>
          <w:sz w:val="20"/>
          <w:szCs w:val="20"/>
          <w:color w:val="auto"/>
        </w:rPr>
      </w:pPr>
    </w:p>
    <w:p>
      <w:pPr>
        <w:ind w:left="560" w:right="80"/>
        <w:spacing w:after="0" w:line="288" w:lineRule="auto"/>
        <w:rPr>
          <w:sz w:val="20"/>
          <w:szCs w:val="20"/>
          <w:color w:val="auto"/>
        </w:rPr>
      </w:pPr>
      <w:r>
        <w:rPr>
          <w:rFonts w:ascii="Times New Roman" w:cs="Times New Roman" w:eastAsia="Times New Roman" w:hAnsi="Times New Roman"/>
          <w:sz w:val="15"/>
          <w:szCs w:val="15"/>
          <w:color w:val="auto"/>
        </w:rPr>
        <w:t>At December 31, 2023, we leased thirteen facilities worldwide. The following chart provides information regarding each of our principal facilities that we leased at December 31, 2023:</w:t>
      </w:r>
    </w:p>
    <w:p>
      <w:pPr>
        <w:spacing w:after="0" w:line="130"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Approx.</w:t>
            </w:r>
          </w:p>
        </w:tc>
        <w:tc>
          <w:tcPr>
            <w:tcW w:w="620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1920" w:type="dxa"/>
            <w:vAlign w:val="bottom"/>
          </w:tcPr>
          <w:p>
            <w:pPr>
              <w:ind w:left="980"/>
              <w:spacing w:after="0"/>
              <w:rPr>
                <w:sz w:val="20"/>
                <w:szCs w:val="20"/>
                <w:color w:val="auto"/>
              </w:rPr>
            </w:pPr>
            <w:r>
              <w:rPr>
                <w:rFonts w:ascii="Times New Roman" w:cs="Times New Roman" w:eastAsia="Times New Roman" w:hAnsi="Times New Roman"/>
                <w:sz w:val="15"/>
                <w:szCs w:val="15"/>
                <w:b w:val="1"/>
                <w:bCs w:val="1"/>
                <w:color w:val="auto"/>
              </w:rPr>
              <w:t>Lease</w:t>
            </w:r>
          </w:p>
        </w:tc>
        <w:tc>
          <w:tcPr>
            <w:tcW w:w="118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Square</w:t>
            </w:r>
          </w:p>
        </w:tc>
        <w:tc>
          <w:tcPr>
            <w:tcW w:w="6200" w:type="dxa"/>
            <w:vAlign w:val="bottom"/>
          </w:tcPr>
          <w:p>
            <w:pPr>
              <w:spacing w:after="0"/>
              <w:rPr>
                <w:sz w:val="15"/>
                <w:szCs w:val="15"/>
                <w:color w:val="auto"/>
              </w:rPr>
            </w:pPr>
          </w:p>
        </w:tc>
      </w:tr>
      <w:tr>
        <w:trPr>
          <w:trHeight w:val="201"/>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5"/>
                <w:szCs w:val="15"/>
                <w:b w:val="1"/>
                <w:bCs w:val="1"/>
                <w:color w:val="auto"/>
              </w:rPr>
              <w:t>Expiration</w:t>
            </w:r>
          </w:p>
        </w:tc>
        <w:tc>
          <w:tcPr>
            <w:tcW w:w="118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Footage</w:t>
            </w:r>
          </w:p>
        </w:tc>
        <w:tc>
          <w:tcPr>
            <w:tcW w:w="6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Principal Uses</w:t>
            </w:r>
          </w:p>
        </w:tc>
      </w:tr>
      <w:tr>
        <w:trPr>
          <w:trHeight w:val="17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Rochester, NY</w:t>
            </w:r>
          </w:p>
        </w:tc>
        <w:tc>
          <w:tcPr>
            <w:tcW w:w="1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April 2028</w:t>
            </w:r>
          </w:p>
        </w:tc>
        <w:tc>
          <w:tcPr>
            <w:tcW w:w="118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5"/>
                <w:szCs w:val="15"/>
                <w:color w:val="auto"/>
              </w:rPr>
              <w:t>79,150</w:t>
            </w:r>
          </w:p>
        </w:tc>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Process Technologies segment operations (principal facility for Ambrell)</w:t>
            </w:r>
          </w:p>
        </w:tc>
      </w:tr>
      <w:tr>
        <w:trPr>
          <w:trHeight w:val="168"/>
        </w:trPr>
        <w:tc>
          <w:tcPr>
            <w:tcW w:w="14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Mansfield, MA</w:t>
            </w:r>
          </w:p>
        </w:tc>
        <w:tc>
          <w:tcPr>
            <w:tcW w:w="1920" w:type="dxa"/>
            <w:vAlign w:val="bottom"/>
          </w:tcPr>
          <w:p>
            <w:pPr>
              <w:ind w:left="320"/>
              <w:spacing w:after="0" w:line="168" w:lineRule="exact"/>
              <w:rPr>
                <w:sz w:val="20"/>
                <w:szCs w:val="20"/>
                <w:color w:val="auto"/>
              </w:rPr>
            </w:pPr>
            <w:r>
              <w:rPr>
                <w:rFonts w:ascii="Times New Roman" w:cs="Times New Roman" w:eastAsia="Times New Roman" w:hAnsi="Times New Roman"/>
                <w:sz w:val="15"/>
                <w:szCs w:val="15"/>
                <w:color w:val="auto"/>
              </w:rPr>
              <w:t>December 2024</w:t>
            </w:r>
          </w:p>
        </w:tc>
        <w:tc>
          <w:tcPr>
            <w:tcW w:w="1180" w:type="dxa"/>
            <w:vAlign w:val="bottom"/>
          </w:tcPr>
          <w:p>
            <w:pPr>
              <w:jc w:val="center"/>
              <w:ind w:left="124"/>
              <w:spacing w:after="0" w:line="168" w:lineRule="exact"/>
              <w:rPr>
                <w:sz w:val="20"/>
                <w:szCs w:val="20"/>
                <w:color w:val="auto"/>
              </w:rPr>
            </w:pPr>
            <w:r>
              <w:rPr>
                <w:rFonts w:ascii="Times New Roman" w:cs="Times New Roman" w:eastAsia="Times New Roman" w:hAnsi="Times New Roman"/>
                <w:sz w:val="15"/>
                <w:szCs w:val="15"/>
                <w:color w:val="auto"/>
              </w:rPr>
              <w:t>52,700</w:t>
            </w:r>
          </w:p>
        </w:tc>
        <w:tc>
          <w:tcPr>
            <w:tcW w:w="6200" w:type="dxa"/>
            <w:vAlign w:val="bottom"/>
          </w:tcPr>
          <w:p>
            <w:pPr>
              <w:ind w:left="220"/>
              <w:spacing w:after="0" w:line="168" w:lineRule="exact"/>
              <w:rPr>
                <w:sz w:val="20"/>
                <w:szCs w:val="20"/>
                <w:color w:val="auto"/>
              </w:rPr>
            </w:pPr>
            <w:r>
              <w:rPr>
                <w:rFonts w:ascii="Times New Roman" w:cs="Times New Roman" w:eastAsia="Times New Roman" w:hAnsi="Times New Roman"/>
                <w:sz w:val="15"/>
                <w:szCs w:val="15"/>
                <w:color w:val="auto"/>
              </w:rPr>
              <w:t>Environmental Technologies segment operations (principal facility for iTS), Process Technologies</w:t>
            </w:r>
          </w:p>
        </w:tc>
      </w:tr>
      <w:tr>
        <w:trPr>
          <w:trHeight w:val="197"/>
        </w:trPr>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segment operations (principal facility for Videology)</w:t>
            </w: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Mt. Laurel, NJ</w:t>
            </w:r>
          </w:p>
        </w:tc>
        <w:tc>
          <w:tcPr>
            <w:tcW w:w="1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April 2031</w:t>
            </w:r>
          </w:p>
        </w:tc>
        <w:tc>
          <w:tcPr>
            <w:tcW w:w="118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5"/>
                <w:szCs w:val="15"/>
                <w:color w:val="auto"/>
              </w:rPr>
              <w:t>33,650</w:t>
            </w:r>
          </w:p>
        </w:tc>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headquarters and Electronic Test segment operations</w:t>
            </w:r>
          </w:p>
        </w:tc>
      </w:tr>
      <w:tr>
        <w:trPr>
          <w:trHeight w:val="168"/>
        </w:trPr>
        <w:tc>
          <w:tcPr>
            <w:tcW w:w="14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Penang, Malaysia</w:t>
            </w:r>
          </w:p>
        </w:tc>
        <w:tc>
          <w:tcPr>
            <w:tcW w:w="1920" w:type="dxa"/>
            <w:vAlign w:val="bottom"/>
          </w:tcPr>
          <w:p>
            <w:pPr>
              <w:ind w:left="320"/>
              <w:spacing w:after="0" w:line="168" w:lineRule="exact"/>
              <w:rPr>
                <w:sz w:val="20"/>
                <w:szCs w:val="20"/>
                <w:color w:val="auto"/>
              </w:rPr>
            </w:pPr>
            <w:r>
              <w:rPr>
                <w:rFonts w:ascii="Times New Roman" w:cs="Times New Roman" w:eastAsia="Times New Roman" w:hAnsi="Times New Roman"/>
                <w:sz w:val="12"/>
                <w:szCs w:val="12"/>
                <w:color w:val="auto"/>
              </w:rPr>
              <w:t>March 2027</w:t>
            </w:r>
            <w:r>
              <w:rPr>
                <w:rFonts w:ascii="Times New Roman" w:cs="Times New Roman" w:eastAsia="Times New Roman" w:hAnsi="Times New Roman"/>
                <w:sz w:val="19"/>
                <w:szCs w:val="19"/>
                <w:color w:val="auto"/>
                <w:vertAlign w:val="superscript"/>
              </w:rPr>
              <w:t>(1)</w:t>
            </w:r>
          </w:p>
        </w:tc>
        <w:tc>
          <w:tcPr>
            <w:tcW w:w="1180" w:type="dxa"/>
            <w:vAlign w:val="bottom"/>
          </w:tcPr>
          <w:p>
            <w:pPr>
              <w:jc w:val="center"/>
              <w:ind w:left="124"/>
              <w:spacing w:after="0" w:line="168" w:lineRule="exact"/>
              <w:rPr>
                <w:sz w:val="20"/>
                <w:szCs w:val="20"/>
                <w:color w:val="auto"/>
              </w:rPr>
            </w:pPr>
            <w:r>
              <w:rPr>
                <w:rFonts w:ascii="Times New Roman" w:cs="Times New Roman" w:eastAsia="Times New Roman" w:hAnsi="Times New Roman"/>
                <w:sz w:val="15"/>
                <w:szCs w:val="15"/>
                <w:color w:val="auto"/>
              </w:rPr>
              <w:t>25,000</w:t>
            </w:r>
          </w:p>
        </w:tc>
        <w:tc>
          <w:tcPr>
            <w:tcW w:w="6200" w:type="dxa"/>
            <w:vAlign w:val="bottom"/>
          </w:tcPr>
          <w:p>
            <w:pPr>
              <w:ind w:left="220"/>
              <w:spacing w:after="0" w:line="168" w:lineRule="exact"/>
              <w:rPr>
                <w:sz w:val="20"/>
                <w:szCs w:val="20"/>
                <w:color w:val="auto"/>
              </w:rPr>
            </w:pPr>
            <w:r>
              <w:rPr>
                <w:rFonts w:ascii="Times New Roman" w:cs="Times New Roman" w:eastAsia="Times New Roman" w:hAnsi="Times New Roman"/>
                <w:sz w:val="15"/>
                <w:szCs w:val="15"/>
                <w:color w:val="auto"/>
              </w:rPr>
              <w:t>Applications engineering, product development and localized manufacturing for nearly all</w:t>
            </w:r>
          </w:p>
        </w:tc>
      </w:tr>
      <w:tr>
        <w:trPr>
          <w:trHeight w:val="197"/>
        </w:trPr>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inTEST brands</w:t>
            </w: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Ontario, Canada</w:t>
            </w:r>
          </w:p>
        </w:tc>
        <w:tc>
          <w:tcPr>
            <w:tcW w:w="1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February 2028</w:t>
            </w:r>
          </w:p>
        </w:tc>
        <w:tc>
          <w:tcPr>
            <w:tcW w:w="118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5"/>
                <w:szCs w:val="15"/>
                <w:color w:val="auto"/>
              </w:rPr>
              <w:t>16,437</w:t>
            </w:r>
          </w:p>
        </w:tc>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Electronic Test segment operations (primary facility for Acculogic Inc.)</w:t>
            </w:r>
          </w:p>
        </w:tc>
      </w:tr>
      <w:tr>
        <w:trPr>
          <w:trHeight w:val="334"/>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Fremont, CA</w:t>
            </w:r>
          </w:p>
        </w:tc>
        <w:tc>
          <w:tcPr>
            <w:tcW w:w="19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November 2025</w:t>
            </w:r>
            <w:r>
              <w:rPr>
                <w:rFonts w:ascii="Times New Roman" w:cs="Times New Roman" w:eastAsia="Times New Roman" w:hAnsi="Times New Roman"/>
                <w:sz w:val="25"/>
                <w:szCs w:val="25"/>
                <w:color w:val="auto"/>
                <w:vertAlign w:val="superscript"/>
              </w:rPr>
              <w:t>(2)</w:t>
            </w:r>
          </w:p>
        </w:tc>
        <w:tc>
          <w:tcPr>
            <w:tcW w:w="1180" w:type="dxa"/>
            <w:vAlign w:val="bottom"/>
          </w:tcPr>
          <w:p>
            <w:pPr>
              <w:jc w:val="center"/>
              <w:ind w:left="124"/>
              <w:spacing w:after="0"/>
              <w:rPr>
                <w:sz w:val="20"/>
                <w:szCs w:val="20"/>
                <w:color w:val="auto"/>
              </w:rPr>
            </w:pPr>
            <w:r>
              <w:rPr>
                <w:rFonts w:ascii="Times New Roman" w:cs="Times New Roman" w:eastAsia="Times New Roman" w:hAnsi="Times New Roman"/>
                <w:sz w:val="15"/>
                <w:szCs w:val="15"/>
                <w:color w:val="auto"/>
              </w:rPr>
              <w:t>15,746</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Formerly Electronic Test segment sales and engineering</w:t>
            </w:r>
          </w:p>
        </w:tc>
      </w:tr>
    </w:tbl>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All of our facilities have space to accommodate our needs for the foreseeable future.</w:t>
      </w:r>
    </w:p>
    <w:p>
      <w:pPr>
        <w:spacing w:after="0" w:line="193" w:lineRule="exact"/>
        <w:rPr>
          <w:sz w:val="20"/>
          <w:szCs w:val="20"/>
          <w:color w:val="auto"/>
        </w:rPr>
      </w:pPr>
    </w:p>
    <w:p>
      <w:pPr>
        <w:ind w:left="960" w:hanging="421"/>
        <w:spacing w:after="0"/>
        <w:tabs>
          <w:tab w:leader="none" w:pos="9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to commence operations in the second half of 2024.</w:t>
      </w:r>
    </w:p>
    <w:p>
      <w:pPr>
        <w:spacing w:after="0" w:line="32" w:lineRule="exact"/>
        <w:rPr>
          <w:rFonts w:ascii="Times New Roman" w:cs="Times New Roman" w:eastAsia="Times New Roman" w:hAnsi="Times New Roman"/>
          <w:sz w:val="15"/>
          <w:szCs w:val="15"/>
          <w:color w:val="auto"/>
        </w:rPr>
      </w:pPr>
    </w:p>
    <w:p>
      <w:pPr>
        <w:ind w:left="960" w:right="140" w:hanging="421"/>
        <w:spacing w:after="0" w:line="271" w:lineRule="auto"/>
        <w:tabs>
          <w:tab w:leader="none" w:pos="9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fourth quarter of 2020, we consolidated all manufacturing operations for our EMS segment into our facility in Mt. Laurel, New Jersey, as more fully discussed in Note 5 to our consolidated financial statements for the year ended December 31, 2022 in our Annual Report on Form 10-K that was filed with the SEC on March 22, 2023. In August 2021, we subleased this facility for the balance of the term.</w:t>
      </w:r>
    </w:p>
    <w:p>
      <w:pPr>
        <w:spacing w:after="0" w:line="146" w:lineRule="exact"/>
        <w:rPr>
          <w:sz w:val="20"/>
          <w:szCs w:val="20"/>
          <w:color w:val="auto"/>
        </w:rPr>
      </w:pPr>
    </w:p>
    <w:p>
      <w:pPr>
        <w:ind w:left="540" w:right="140"/>
        <w:spacing w:after="0" w:line="271" w:lineRule="auto"/>
        <w:rPr>
          <w:sz w:val="20"/>
          <w:szCs w:val="20"/>
          <w:color w:val="auto"/>
        </w:rPr>
      </w:pPr>
      <w:r>
        <w:rPr>
          <w:rFonts w:ascii="Times New Roman" w:cs="Times New Roman" w:eastAsia="Times New Roman" w:hAnsi="Times New Roman"/>
          <w:sz w:val="15"/>
          <w:szCs w:val="15"/>
          <w:color w:val="auto"/>
        </w:rPr>
        <w:t>As described further in Item 1, “Business—Acquisition,” effective March 12, 2024, in connection with our acquisition of Alfamation, we leased an additional facility for that operation. That facility is approximately 51,817 square feet and is located in Milan, Italy. The initial lease term expires on March 12, 2030, and renews automatically unless terminated by either party.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From time to time we may be a party to legal proceedings occurring in the ordinary course of business. We are not currently involved in any material legal proceedings.</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Not applicable.</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u w:val="single" w:color="auto"/>
          <w:color w:val="auto"/>
        </w:rPr>
        <w:t>PART II</w:t>
      </w:r>
    </w:p>
    <w:p>
      <w:pPr>
        <w:spacing w:after="0" w:line="193" w:lineRule="exact"/>
        <w:rPr>
          <w:sz w:val="20"/>
          <w:szCs w:val="20"/>
          <w:color w:val="auto"/>
        </w:rPr>
      </w:pPr>
    </w:p>
    <w:p>
      <w:pPr>
        <w:ind w:left="560" w:right="220" w:hanging="562"/>
        <w:spacing w:after="0" w:line="510" w:lineRule="auto"/>
        <w:tabs>
          <w:tab w:leader="none" w:pos="540" w:val="left"/>
        </w:tabs>
        <w:rPr>
          <w:sz w:val="20"/>
          <w:szCs w:val="20"/>
          <w:color w:val="auto"/>
        </w:rPr>
      </w:pPr>
      <w:r>
        <w:rPr>
          <w:rFonts w:ascii="Times New Roman" w:cs="Times New Roman" w:eastAsia="Times New Roman" w:hAnsi="Times New Roman"/>
          <w:sz w:val="15"/>
          <w:szCs w:val="15"/>
          <w:b w:val="1"/>
          <w:bCs w:val="1"/>
          <w:color w:val="auto"/>
        </w:rPr>
        <w:t>Item 5.</w:t>
        <w:tab/>
        <w:t xml:space="preserve">MARKET FOR REGISTRANT'S COMMON EQUITY, RELATED STOCKHOLDER MATTERS AND ISSUER PURCHASES OF EQUITY SECURITIES </w:t>
      </w:r>
      <w:r>
        <w:rPr>
          <w:rFonts w:ascii="Times New Roman" w:cs="Times New Roman" w:eastAsia="Times New Roman" w:hAnsi="Times New Roman"/>
          <w:sz w:val="15"/>
          <w:szCs w:val="15"/>
          <w:b w:val="1"/>
          <w:bCs w:val="1"/>
          <w:u w:val="single" w:color="auto"/>
          <w:color w:val="auto"/>
        </w:rPr>
        <w:t>Market for Common Stock</w:t>
      </w:r>
    </w:p>
    <w:p>
      <w:pPr>
        <w:spacing w:after="0" w:line="1" w:lineRule="exact"/>
        <w:rPr>
          <w:sz w:val="20"/>
          <w:szCs w:val="20"/>
          <w:color w:val="auto"/>
        </w:rPr>
      </w:pPr>
    </w:p>
    <w:p>
      <w:pPr>
        <w:ind w:left="560" w:right="80"/>
        <w:spacing w:after="0" w:line="288" w:lineRule="auto"/>
        <w:rPr>
          <w:sz w:val="20"/>
          <w:szCs w:val="20"/>
          <w:color w:val="auto"/>
        </w:rPr>
      </w:pPr>
      <w:r>
        <w:rPr>
          <w:rFonts w:ascii="Times New Roman" w:cs="Times New Roman" w:eastAsia="Times New Roman" w:hAnsi="Times New Roman"/>
          <w:sz w:val="15"/>
          <w:szCs w:val="15"/>
          <w:color w:val="auto"/>
        </w:rPr>
        <w:t>Our common stock is traded on NYSE American LLC (“NYSE American”) under the symbol "INTT." On March 1, 2024, the closing price for our common stock as reported on the NYSE American was $12.16. At March 1, we had 12,164,698 shares outstanding that were held by approximately 1,000 beneficial and record holders.</w:t>
      </w:r>
    </w:p>
    <w:p>
      <w:pPr>
        <w:spacing w:after="0" w:line="134" w:lineRule="exact"/>
        <w:rPr>
          <w:sz w:val="20"/>
          <w:szCs w:val="20"/>
          <w:color w:val="auto"/>
        </w:rPr>
      </w:pPr>
    </w:p>
    <w:p>
      <w:pPr>
        <w:ind w:left="560"/>
        <w:spacing w:after="0" w:line="265" w:lineRule="auto"/>
        <w:rPr>
          <w:sz w:val="20"/>
          <w:szCs w:val="20"/>
          <w:color w:val="auto"/>
        </w:rPr>
      </w:pPr>
      <w:r>
        <w:rPr>
          <w:rFonts w:ascii="Times New Roman" w:cs="Times New Roman" w:eastAsia="Times New Roman" w:hAnsi="Times New Roman"/>
          <w:sz w:val="15"/>
          <w:szCs w:val="15"/>
          <w:color w:val="auto"/>
        </w:rPr>
        <w:t>No dividends were paid on our common stock in the years ended December 31, 2023 or 2022.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u w:val="single" w:color="auto"/>
          <w:color w:val="auto"/>
        </w:rPr>
        <w:t>Purchases of Equity Securities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There were no shares of our common stock repurchased by us or on our behalf during the three months ended December 31, 2023.</w:t>
      </w:r>
    </w:p>
    <w:p>
      <w:pPr>
        <w:spacing w:after="0" w:line="193" w:lineRule="exact"/>
        <w:rPr>
          <w:sz w:val="20"/>
          <w:szCs w:val="20"/>
          <w:color w:val="auto"/>
        </w:rPr>
      </w:pPr>
    </w:p>
    <w:p>
      <w:pPr>
        <w:jc w:val="both"/>
        <w:ind w:left="560" w:right="160"/>
        <w:spacing w:after="0" w:line="265" w:lineRule="auto"/>
        <w:rPr>
          <w:sz w:val="20"/>
          <w:szCs w:val="20"/>
          <w:color w:val="auto"/>
        </w:rPr>
      </w:pPr>
      <w:r>
        <w:rPr>
          <w:rFonts w:ascii="Times New Roman" w:cs="Times New Roman" w:eastAsia="Times New Roman" w:hAnsi="Times New Roman"/>
          <w:sz w:val="15"/>
          <w:szCs w:val="15"/>
          <w:color w:val="auto"/>
        </w:rPr>
        <w:t>On November 20, 2023, our Board of Directors authorized a share repurchase plan (the “Repurchase Plan”) whereby we may repurchase shares of our common stock on the open market with a total aggregate repurchase amount of up to $10 million until November 2024. We are not obligated to purchase any common stock under the Repurchase Plan. Further, the Repurchase Plan may be suspended or discontinued at any time without prior notice. As of December 31, 2023, no shares had been repurchased under the Repurchase Plan.</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u w:val="single" w:color="auto"/>
          <w:color w:val="auto"/>
        </w:rPr>
        <w:t>Securities Authorized for Issuance Under Equity Compensation Plan</w:t>
      </w:r>
    </w:p>
    <w:p>
      <w:pPr>
        <w:spacing w:after="0" w:line="197" w:lineRule="exact"/>
        <w:rPr>
          <w:sz w:val="20"/>
          <w:szCs w:val="20"/>
          <w:color w:val="auto"/>
        </w:rPr>
      </w:pPr>
    </w:p>
    <w:p>
      <w:pPr>
        <w:ind w:left="560" w:right="400"/>
        <w:spacing w:after="0" w:line="288" w:lineRule="auto"/>
        <w:rPr>
          <w:sz w:val="20"/>
          <w:szCs w:val="20"/>
          <w:color w:val="auto"/>
        </w:rPr>
      </w:pPr>
      <w:r>
        <w:rPr>
          <w:rFonts w:ascii="Times New Roman" w:cs="Times New Roman" w:eastAsia="Times New Roman" w:hAnsi="Times New Roman"/>
          <w:sz w:val="15"/>
          <w:szCs w:val="15"/>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3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3" w:lineRule="exact"/>
        <w:rPr>
          <w:sz w:val="20"/>
          <w:szCs w:val="20"/>
          <w:color w:val="auto"/>
        </w:rPr>
      </w:pPr>
    </w:p>
    <w:p>
      <w:pPr>
        <w:ind w:left="560"/>
        <w:spacing w:after="0" w:line="262"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and quantitative and qualitative disclosures should be read in conjunction with our audited consolidated financial statements and related notes included in this Annual Report on Form 10-K for the year ended December 31, 2023. In addition, please refer to the discussion of our business and markets contained in Part I, Item 1 of this Report. Management's Discussion and Analysis of Financial Condition and Results of Operations contains a number of forward-looking statements that reflect our plans, estimates, and beliefs, all of which are based on our current expectations and could be affected by certain uncertainties, risks, and other factors described under Cautionary Statement Regarding Forward-Looking Statements, Risk Factors, and elsewhere throughout this Annual Report. Our actual results could differ materially from those discussed in the forward-looking statements or from our prior results.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auto"/>
        </w:rPr>
        <w:t>Overview</w:t>
      </w:r>
    </w:p>
    <w:p>
      <w:pPr>
        <w:spacing w:after="0" w:line="19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We are a global supplier of innovative test and process solutions for use in manufacturing and testing across a wide range of markets including automotive, defense/aerospace, industrial, life sciences, security and semiconductor.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Markets</w:t>
      </w:r>
    </w:p>
    <w:p>
      <w:pPr>
        <w:spacing w:after="0" w:line="19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As discussed further in Part I, Item 1 “Markets”, we are focused on specific target markets which include automotive, defense/aerospace, industrial, life sciences, 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34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The portion of our business that is derived from the semi market is substantially dependent upon the demand for ATE by semiconductor manufacturers and companies that specialize in the testing of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80" w:top="509" w:right="319" w:bottom="1440" w:gutter="0" w:footer="0" w:header="0"/>
        </w:sectPr>
      </w:pPr>
    </w:p>
    <w:bookmarkStart w:id="26" w:name="page27"/>
    <w:bookmarkEnd w:id="26"/>
    <w:p>
      <w:pPr>
        <w:ind w:left="20"/>
        <w:spacing w:after="0" w:line="262" w:lineRule="auto"/>
        <w:rPr>
          <w:sz w:val="20"/>
          <w:szCs w:val="20"/>
          <w:color w:val="auto"/>
        </w:rPr>
      </w:pPr>
      <w:r>
        <w:rPr>
          <w:rFonts w:ascii="Times New Roman" w:cs="Times New Roman" w:eastAsia="Times New Roman" w:hAnsi="Times New Roman"/>
          <w:sz w:val="15"/>
          <w:szCs w:val="15"/>
          <w:color w:val="auto"/>
        </w:rPr>
        <w:t>As discussed further in Part I, Item 1 “Overview and Strategy”,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54" w:lineRule="exact"/>
        <w:rPr>
          <w:sz w:val="20"/>
          <w:szCs w:val="20"/>
          <w:color w:val="auto"/>
        </w:rPr>
      </w:pPr>
    </w:p>
    <w:p>
      <w:pPr>
        <w:ind w:left="20" w:right="60"/>
        <w:spacing w:after="0" w:line="265" w:lineRule="auto"/>
        <w:rPr>
          <w:sz w:val="20"/>
          <w:szCs w:val="20"/>
          <w:color w:val="auto"/>
        </w:rPr>
      </w:pPr>
      <w:r>
        <w:rPr>
          <w:rFonts w:ascii="Times New Roman" w:cs="Times New Roman" w:eastAsia="Times New Roman" w:hAnsi="Times New Roman"/>
          <w:sz w:val="15"/>
          <w:szCs w:val="15"/>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u w:val="single" w:color="auto"/>
          <w:color w:val="auto"/>
        </w:rPr>
        <w:t>Acquisition</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On March 12, 2024 we entered into a stock purchase agreement to acquire all of the outstanding capital shares of Alfamation S.p.A.,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will become a part of our Electronic Test operating segment. The aggregate purchase price was approximately €20 million comprised of approximately €18 million in cash, 187,432 shares of our common stock and an additional approximately €542,000 in cash for assets delivered at closing in excess of agreed upon thresholds. On the closing date, this equated to a total purchase price of approximately $22.4 million.</w:t>
      </w:r>
    </w:p>
    <w:p>
      <w:pPr>
        <w:spacing w:after="0" w:line="15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In connection with the acquisition, we have entered into a lease agreement (the “Lease Agreement”) with the former owner of Alfamation. The Lease Agreement will last for six years starting on March 12, 2024 and will be automatically renewed for the same period of time unless terminated by either party. Under the terms of the Lease Agreement, Alfamation will lease warehouse and office space totaling about 51,817 square feet. Alfamation will pay a yearly lease payment of €231,312 broken up into four equal payments. At the date of the signing of the Lease Agreement, the yearly lease payment equated to approximately $253,000.</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u w:val="single" w:color="auto"/>
          <w:color w:val="auto"/>
        </w:rPr>
        <w:t>Revenue</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sets forth, for the periods indicated, a breakdown of the revenue by market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 in 000s)</w:t>
            </w: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6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12/31/2023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vMerge w:val="restart"/>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12/31/2022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40" w:type="dxa"/>
            <w:vAlign w:val="bottom"/>
            <w:tcBorders>
              <w:bottom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Semi</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65,735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53.3%</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68,422</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58.6%</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(2,687)</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83"/>
        </w:trPr>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Industrial</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14,310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11.6%</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10,038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4,272</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42.6%</w:t>
            </w:r>
          </w:p>
        </w:tc>
        <w:tc>
          <w:tcPr>
            <w:tcW w:w="0" w:type="dxa"/>
            <w:vAlign w:val="bottom"/>
          </w:tcPr>
          <w:p>
            <w:pPr>
              <w:spacing w:after="0"/>
              <w:rPr>
                <w:sz w:val="1"/>
                <w:szCs w:val="1"/>
                <w:color w:val="auto"/>
              </w:rPr>
            </w:pPr>
          </w:p>
        </w:tc>
      </w:tr>
      <w:tr>
        <w:trPr>
          <w:trHeight w:val="183"/>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Automotive/EV</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9,895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10,776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(881)</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83"/>
        </w:trPr>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Life Sciences</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4,856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3.9%</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4,589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267</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183"/>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Defense/Aerospace</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12,537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10.2%</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7,006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5,531</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78.9%</w:t>
            </w:r>
          </w:p>
        </w:tc>
        <w:tc>
          <w:tcPr>
            <w:tcW w:w="0" w:type="dxa"/>
            <w:vAlign w:val="bottom"/>
          </w:tcPr>
          <w:p>
            <w:pPr>
              <w:spacing w:after="0"/>
              <w:rPr>
                <w:sz w:val="1"/>
                <w:szCs w:val="1"/>
                <w:color w:val="auto"/>
              </w:rPr>
            </w:pPr>
          </w:p>
        </w:tc>
      </w:tr>
      <w:tr>
        <w:trPr>
          <w:trHeight w:val="183"/>
        </w:trPr>
        <w:tc>
          <w:tcPr>
            <w:tcW w:w="2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Security</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3,688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3.0%</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3,241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447</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83"/>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Pr>
          <w:p>
            <w:pPr>
              <w:spacing w:after="0"/>
              <w:rPr>
                <w:sz w:val="15"/>
                <w:szCs w:val="15"/>
                <w:color w:val="auto"/>
              </w:rPr>
            </w:pPr>
          </w:p>
        </w:tc>
        <w:tc>
          <w:tcPr>
            <w:tcW w:w="15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12,281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12,756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(475)</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5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123,302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100.0%</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116,828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100.0%</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6,474</w:t>
            </w:r>
          </w:p>
        </w:tc>
        <w:tc>
          <w:tcPr>
            <w:tcW w:w="3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 w:right="40"/>
        <w:spacing w:after="0" w:line="259" w:lineRule="auto"/>
        <w:rPr>
          <w:sz w:val="20"/>
          <w:szCs w:val="20"/>
          <w:color w:val="auto"/>
        </w:rPr>
      </w:pPr>
      <w:r>
        <w:rPr>
          <w:rFonts w:ascii="Times New Roman" w:cs="Times New Roman" w:eastAsia="Times New Roman" w:hAnsi="Times New Roman"/>
          <w:sz w:val="15"/>
          <w:szCs w:val="15"/>
          <w:color w:val="auto"/>
        </w:rPr>
        <w:t>Total consolidated revenue for the year ended December 31, 2023 was $123.3 million compared to $116.8 million in 2022, an increase of $6.5 million or 6%. The increase in revenue for 2023 as compared to 2022 primarily reflects increased demand for our thermal test solutions from customers in the defense/aerospace and industrial markets, and, to a lesser extent, increased demand for our induction heating solutions from customers in the industrial market. These increases were partially offset by declines in demand from the semi market. While demand from our customers in both the front-end and back-end of the semi market remained strong throughout most of 2023, we experienced declines in revenue from both these sectors of the semi market in the fourth quarter of 2023. We attribute these declines to the cyclical slowdown in the semi market which has been impacting this market as a whole for most of 2023 but which had not yet impacted us significantly as certain specific customers to which we sell many of our products in this market had continued to place orders with us.</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u w:val="single" w:color="auto"/>
          <w:color w:val="auto"/>
        </w:rPr>
        <w:t>Orders and Backlog</w:t>
      </w:r>
    </w:p>
    <w:p>
      <w:pPr>
        <w:spacing w:after="0" w:line="197" w:lineRule="exact"/>
        <w:rPr>
          <w:sz w:val="20"/>
          <w:szCs w:val="20"/>
          <w:color w:val="auto"/>
        </w:rPr>
      </w:pPr>
    </w:p>
    <w:p>
      <w:pPr>
        <w:ind w:left="20"/>
        <w:spacing w:after="0" w:line="257" w:lineRule="auto"/>
        <w:rPr>
          <w:sz w:val="20"/>
          <w:szCs w:val="20"/>
          <w:color w:val="auto"/>
        </w:rPr>
      </w:pPr>
      <w:r>
        <w:rPr>
          <w:rFonts w:ascii="Times New Roman" w:cs="Times New Roman" w:eastAsia="Times New Roman" w:hAnsi="Times New Roman"/>
          <w:sz w:val="15"/>
          <w:szCs w:val="15"/>
          <w:color w:val="auto"/>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spacing w:after="0" w:line="16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13"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5"/>
          <w:szCs w:val="15"/>
          <w:color w:val="auto"/>
        </w:rPr>
        <w:t>The following table sets forth, for the periods indicated, a breakdown of the orders received by market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1"/>
        </w:trPr>
        <w:tc>
          <w:tcPr>
            <w:tcW w:w="3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4"/>
        </w:trPr>
        <w:tc>
          <w:tcPr>
            <w:tcW w:w="3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r>
      <w:tr>
        <w:trPr>
          <w:trHeight w:val="17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Orders:</w:t>
            </w:r>
          </w:p>
        </w:tc>
        <w:tc>
          <w:tcPr>
            <w:tcW w:w="2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Semi</w:t>
            </w:r>
          </w:p>
        </w:tc>
        <w:tc>
          <w:tcPr>
            <w:tcW w:w="2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59,297</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73,070</w:t>
            </w:r>
          </w:p>
        </w:tc>
        <w:tc>
          <w:tcPr>
            <w:tcW w:w="4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(13,773)</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-18.8%</w:t>
            </w:r>
          </w:p>
        </w:tc>
      </w:tr>
      <w:tr>
        <w:trPr>
          <w:trHeight w:val="18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Industrial</w:t>
            </w:r>
          </w:p>
        </w:tc>
        <w:tc>
          <w:tcPr>
            <w:tcW w:w="2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14,980</w:t>
            </w: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10,554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4,426</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41.9%</w:t>
            </w:r>
          </w:p>
        </w:tc>
      </w:tr>
      <w:tr>
        <w:trPr>
          <w:trHeight w:val="18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Auto/EV</w:t>
            </w: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10,193</w:t>
            </w:r>
          </w:p>
        </w:tc>
        <w:tc>
          <w:tcPr>
            <w:tcW w:w="3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294</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Life Sciences</w:t>
            </w:r>
          </w:p>
        </w:tc>
        <w:tc>
          <w:tcPr>
            <w:tcW w:w="2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4,353</w:t>
            </w: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(1,352)</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-23.7%</w:t>
            </w:r>
          </w:p>
        </w:tc>
      </w:tr>
      <w:tr>
        <w:trPr>
          <w:trHeight w:val="18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Defense/Aerospace</w:t>
            </w: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13,386</w:t>
            </w:r>
          </w:p>
        </w:tc>
        <w:tc>
          <w:tcPr>
            <w:tcW w:w="3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3,125</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30.5%</w:t>
            </w:r>
          </w:p>
        </w:tc>
      </w:tr>
      <w:tr>
        <w:trPr>
          <w:trHeight w:val="18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Security</w:t>
            </w:r>
          </w:p>
        </w:tc>
        <w:tc>
          <w:tcPr>
            <w:tcW w:w="2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2,945</w:t>
            </w: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(1,441)</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-32.9%</w:t>
            </w:r>
          </w:p>
        </w:tc>
      </w:tr>
      <w:tr>
        <w:trPr>
          <w:trHeight w:val="18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(4,223)</w:t>
            </w:r>
          </w:p>
        </w:tc>
        <w:tc>
          <w:tcPr>
            <w:tcW w:w="3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-26.9%</w:t>
            </w:r>
          </w:p>
        </w:tc>
      </w:tr>
      <w:tr>
        <w:trPr>
          <w:trHeight w:val="20"/>
        </w:trPr>
        <w:tc>
          <w:tcPr>
            <w:tcW w:w="3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3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116,632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(12,944)</w:t>
            </w:r>
          </w:p>
        </w:tc>
        <w:tc>
          <w:tcPr>
            <w:tcW w:w="3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20" w:right="20"/>
        <w:spacing w:after="0" w:line="265" w:lineRule="auto"/>
        <w:rPr>
          <w:sz w:val="20"/>
          <w:szCs w:val="20"/>
          <w:color w:val="auto"/>
        </w:rPr>
      </w:pPr>
      <w:r>
        <w:rPr>
          <w:rFonts w:ascii="Times New Roman" w:cs="Times New Roman" w:eastAsia="Times New Roman" w:hAnsi="Times New Roman"/>
          <w:sz w:val="15"/>
          <w:szCs w:val="15"/>
          <w:color w:val="auto"/>
        </w:rPr>
        <w:t>Total consolidated orders for the year ended December 31, 2023 were $116.6 million compared to $129.6 million in 2022, a decrease of $12.9 million, or 10%. Our orders from the semi market decreased $13.8 million, primarily reflecting the aforementioned decline in demand in this market in 2023, which impacted us most significantly in the fourth quarter of the year. We also experienced declines in demand from the security and life sciences markets, as well as other markets we serve. These declines were partially offset by increases in demand from customers in the industrial and defense/aerospace markets.</w:t>
      </w:r>
    </w:p>
    <w:p>
      <w:pPr>
        <w:spacing w:after="0" w:line="151"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5"/>
          <w:szCs w:val="15"/>
          <w:color w:val="auto"/>
        </w:rPr>
        <w:t>At December 31, 2023, our backlog of unfilled orders for all products was approximately $40.1 million compared with approximately $46.8 million at December 31, 2022. The decrease in our backlog reflects reduced demand for our products and, to a lesser extent, lead times returning to a more normalized pattern. During 2022 our lead times were much longer than they have been historically as global supply chain challenges significantly impacted availability of products for both us and most of our customers. Our backlog includes customer orders that we have accepted, substantially all of which we expect to deliver in 2024.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Israel-Hamas War, War in Ukraine and Global Supply Chain Constraints</w:t>
      </w:r>
    </w:p>
    <w:p>
      <w:pPr>
        <w:spacing w:after="0" w:line="197" w:lineRule="exact"/>
        <w:rPr>
          <w:sz w:val="20"/>
          <w:szCs w:val="20"/>
          <w:color w:val="auto"/>
        </w:rPr>
      </w:pPr>
    </w:p>
    <w:p>
      <w:pPr>
        <w:ind w:left="20" w:right="60"/>
        <w:spacing w:after="0" w:line="259" w:lineRule="auto"/>
        <w:rPr>
          <w:sz w:val="20"/>
          <w:szCs w:val="20"/>
          <w:color w:val="auto"/>
        </w:rPr>
      </w:pPr>
      <w:r>
        <w:rPr>
          <w:rFonts w:ascii="Times New Roman" w:cs="Times New Roman" w:eastAsia="Times New Roman" w:hAnsi="Times New Roman"/>
          <w:sz w:val="15"/>
          <w:szCs w:val="15"/>
          <w:color w:val="auto"/>
        </w:rPr>
        <w:t>In early October 2023, Hamas attacked Israel and Israel formally declared war in response to the attack. The conflict is ongoing, and it is unclear when it might end. Ambrell 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spacing w:after="0" w:line="158" w:lineRule="exact"/>
        <w:rPr>
          <w:sz w:val="20"/>
          <w:szCs w:val="20"/>
          <w:color w:val="auto"/>
        </w:rPr>
      </w:pPr>
    </w:p>
    <w:p>
      <w:pPr>
        <w:ind w:left="20" w:right="140"/>
        <w:spacing w:after="0" w:line="262" w:lineRule="auto"/>
        <w:rPr>
          <w:sz w:val="20"/>
          <w:szCs w:val="20"/>
          <w:color w:val="auto"/>
        </w:rPr>
      </w:pPr>
      <w:r>
        <w:rPr>
          <w:rFonts w:ascii="Times New Roman" w:cs="Times New Roman" w:eastAsia="Times New Roman" w:hAnsi="Times New Roman"/>
          <w:sz w:val="15"/>
          <w:szCs w:val="15"/>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Acculogic purchases certain material from a key sole-source supplier in Belarus, which is bordered by Russia to the east and northeast and Ukraine to the south. At present, we are still receiving shipments from this supplier, and we estimate that we have a six-to-nine-month supply of these parts that we are maintaining. We are currently in the process of qualifying an alternate supplier for these parts. We received prototype sample parts from the alternate supplier which we are now evaluating. We expect to complete this evaluation by the third quarter of 2024.</w:t>
      </w:r>
    </w:p>
    <w:p>
      <w:pPr>
        <w:spacing w:after="0" w:line="1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13" w:right="339" w:bottom="1440" w:gutter="0" w:footer="0" w:header="0"/>
        </w:sectPr>
      </w:pPr>
    </w:p>
    <w:bookmarkStart w:id="28" w:name="page29"/>
    <w:bookmarkEnd w:id="28"/>
    <w:p>
      <w:pPr>
        <w:ind w:left="20" w:right="40"/>
        <w:spacing w:after="0" w:line="259" w:lineRule="auto"/>
        <w:rPr>
          <w:sz w:val="20"/>
          <w:szCs w:val="20"/>
          <w:color w:val="auto"/>
        </w:rPr>
      </w:pPr>
      <w:r>
        <w:rPr>
          <w:rFonts w:ascii="Times New Roman" w:cs="Times New Roman" w:eastAsia="Times New Roman" w:hAnsi="Times New Roman"/>
          <w:sz w:val="15"/>
          <w:szCs w:val="15"/>
          <w:color w:val="auto"/>
        </w:rPr>
        <w:t>In addition, while the supply chain and logistics challenges that we encountered throughout 2022 have eased and conditions appear to have stabilized, uncertainty in the global trade environment and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Please refer to Part I, Item 1A in this Report for further discussion of the risks associated with our business operations, including risks associated with foreign operations.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Results of Operations</w:t>
      </w:r>
    </w:p>
    <w:p>
      <w:pPr>
        <w:spacing w:after="0" w:line="197" w:lineRule="exact"/>
        <w:rPr>
          <w:sz w:val="20"/>
          <w:szCs w:val="20"/>
          <w:color w:val="auto"/>
        </w:rPr>
      </w:pPr>
    </w:p>
    <w:p>
      <w:pPr>
        <w:ind w:left="20" w:right="400"/>
        <w:spacing w:after="0" w:line="271" w:lineRule="auto"/>
        <w:rPr>
          <w:sz w:val="20"/>
          <w:szCs w:val="20"/>
          <w:color w:val="auto"/>
        </w:rPr>
      </w:pPr>
      <w:r>
        <w:rPr>
          <w:rFonts w:ascii="Times New Roman" w:cs="Times New Roman" w:eastAsia="Times New Roman" w:hAnsi="Times New Roman"/>
          <w:sz w:val="15"/>
          <w:szCs w:val="15"/>
          <w:color w:val="auto"/>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u w:val="single" w:color="auto"/>
          <w:color w:val="auto"/>
        </w:rPr>
        <w:t>Year Ended December 31, 2023 Compared to Year Ended December 31, 2022</w:t>
      </w:r>
    </w:p>
    <w:p>
      <w:pPr>
        <w:spacing w:after="0" w:line="19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Revenue. </w:t>
      </w:r>
      <w:r>
        <w:rPr>
          <w:rFonts w:ascii="Times New Roman" w:cs="Times New Roman" w:eastAsia="Times New Roman" w:hAnsi="Times New Roman"/>
          <w:sz w:val="15"/>
          <w:szCs w:val="15"/>
          <w:color w:val="auto"/>
        </w:rPr>
        <w:t>Revenue was $123.3 million for the year ended December 31, 2023 compared to $116.8 million in 2022, an increase of $6.5 million or 6%. We believe this increase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reflects the factors previously discussed in the Overview section above.</w:t>
      </w:r>
    </w:p>
    <w:p>
      <w:pPr>
        <w:spacing w:after="0" w:line="125" w:lineRule="exact"/>
        <w:rPr>
          <w:sz w:val="20"/>
          <w:szCs w:val="20"/>
          <w:color w:val="auto"/>
        </w:rPr>
      </w:pPr>
    </w:p>
    <w:p>
      <w:pPr>
        <w:jc w:val="both"/>
        <w:ind w:left="20" w:right="240"/>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Gross Margin. </w:t>
      </w:r>
      <w:r>
        <w:rPr>
          <w:rFonts w:ascii="Times New Roman" w:cs="Times New Roman" w:eastAsia="Times New Roman" w:hAnsi="Times New Roman"/>
          <w:sz w:val="15"/>
          <w:szCs w:val="15"/>
          <w:color w:val="auto"/>
        </w:rPr>
        <w:t>Gross margin was 46% in each of the years ended December 31, 2023 and 2022. During 2023, our fixed operating costs increased $1.6 million compared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2022, however, these costs represented 12% of revenue in both 2023 and 2022 as they were better absorbed by the higher revenue levels in 2023. The $1.6 million increase primarily reflects higher levels of salary and benefits expense as we made headcount investments to support the higher revenue levels in 2023. To a lesser extent there were also increases in depreciation, reflecting a higher fixed asset base, and travel, reflecting the increased business activity.</w:t>
      </w:r>
    </w:p>
    <w:p>
      <w:pPr>
        <w:spacing w:after="0" w:line="146" w:lineRule="exact"/>
        <w:rPr>
          <w:sz w:val="20"/>
          <w:szCs w:val="20"/>
          <w:color w:val="auto"/>
        </w:rPr>
      </w:pPr>
    </w:p>
    <w:p>
      <w:pPr>
        <w:ind w:left="20"/>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Selling Expense. </w:t>
      </w:r>
      <w:r>
        <w:rPr>
          <w:rFonts w:ascii="Times New Roman" w:cs="Times New Roman" w:eastAsia="Times New Roman" w:hAnsi="Times New Roman"/>
          <w:sz w:val="15"/>
          <w:szCs w:val="15"/>
          <w:color w:val="auto"/>
        </w:rPr>
        <w:t>Selling expense was $17.6 million for the year ended December 31, 2023 compared to $15.9 million in 2022, an increase of $1.7 million or 11%. The increase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primarily reflects higher salary and benefits expense, reflecting annual merit adjustments and additional headcount investments, along with higher levels of commission expense as a result of the growth in revenue in 2023. In addition, we incurred higher costs for travel and advertising as we increased the number of customer visits and trade show attendance as we work to continue to grow our business.</w:t>
      </w:r>
    </w:p>
    <w:p>
      <w:pPr>
        <w:spacing w:after="0" w:line="146" w:lineRule="exact"/>
        <w:rPr>
          <w:sz w:val="20"/>
          <w:szCs w:val="20"/>
          <w:color w:val="auto"/>
        </w:rPr>
      </w:pPr>
    </w:p>
    <w:p>
      <w:pPr>
        <w:ind w:left="20" w:right="120"/>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Engineering and Product Development Expense. </w:t>
      </w:r>
      <w:r>
        <w:rPr>
          <w:rFonts w:ascii="Times New Roman" w:cs="Times New Roman" w:eastAsia="Times New Roman" w:hAnsi="Times New Roman"/>
          <w:sz w:val="15"/>
          <w:szCs w:val="15"/>
          <w:color w:val="auto"/>
        </w:rPr>
        <w:t>Engineering and product development expense was $7.6 million for the year ended December 31, 2023 compared to $7.5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in 2022, an increase of $89,000, or 1%, primarily reflecting an increase in materials used in product development projects and fees paid to third parties to assist in our development efforts. These increases were offset somewhat by a decrease in salary and benefits expense as we had open positions in 2023 that were filled in the comparable prior period.</w:t>
      </w:r>
    </w:p>
    <w:p>
      <w:pPr>
        <w:spacing w:after="0" w:line="2"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 </w:t>
      </w:r>
      <w:r>
        <w:rPr>
          <w:rFonts w:ascii="Times New Roman" w:cs="Times New Roman" w:eastAsia="Times New Roman" w:hAnsi="Times New Roman"/>
          <w:sz w:val="15"/>
          <w:szCs w:val="15"/>
          <w:color w:val="auto"/>
        </w:rPr>
        <w:t>General and administrative expense was $21.3 million for the year ended December 31, 2023 compared to $19.3 million in 2022,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increase of $2.0 million, or 11%. This increase includes the impact of $1.2 million of costs for corporate development activities, a significant portion of which were incurred in the third quarter of 2023 related to an acquisition opportunity which we are no longer pursuing. In addition, we recorded higher levels of salary and benefits expense, reflecting annual merit adjustments and headcount investments. To a lesser extent there were also higher bonus accruals and stock-based compensation expense in 2023 as compared to 2022. These increases were partially offset by a reduction in amortization expense related to our acquired intangible assets and a reduction in the liability for contingent consideration related to the acquisition of Acculogic. The reduction in this liability reflects a decrease in the expected final payout amount, which is discussed more fully in the notes to our consolidated financial statements.</w:t>
      </w:r>
    </w:p>
    <w:p>
      <w:pPr>
        <w:spacing w:after="0" w:line="154" w:lineRule="exact"/>
        <w:rPr>
          <w:sz w:val="20"/>
          <w:szCs w:val="20"/>
          <w:color w:val="auto"/>
        </w:rPr>
      </w:pPr>
    </w:p>
    <w:p>
      <w:pPr>
        <w:ind w:left="20" w:right="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Other Income. </w:t>
      </w:r>
      <w:r>
        <w:rPr>
          <w:rFonts w:ascii="Times New Roman" w:cs="Times New Roman" w:eastAsia="Times New Roman" w:hAnsi="Times New Roman"/>
          <w:sz w:val="15"/>
          <w:szCs w:val="15"/>
          <w:color w:val="auto"/>
        </w:rPr>
        <w:t>For the year ended December 31, 2023, we recorded other income of $1.3 million compared to $59,000 for the same period in 2022, an increase of $1.2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increase in other income was primarily the result of increased interest earned on our cash balances. This reflects both higher average cash balances as well as higher rates of return being earned.</w:t>
      </w:r>
    </w:p>
    <w:p>
      <w:pPr>
        <w:spacing w:after="0" w:line="14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Income Tax Expense. </w:t>
      </w:r>
      <w:r>
        <w:rPr>
          <w:rFonts w:ascii="Times New Roman" w:cs="Times New Roman" w:eastAsia="Times New Roman" w:hAnsi="Times New Roman"/>
          <w:sz w:val="15"/>
          <w:szCs w:val="15"/>
          <w:color w:val="auto"/>
        </w:rPr>
        <w:t>For the year ended December 31, 2023, we recorded income tax expense of $1.7 million in each of the years ended December 31, 2023 and 2022.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effective tax rate was 15% for 2023 compared to 17% for 2022. On a quarterly basis, we record income tax expense or benefit based on the expected annualized effective tax rate for the various taxing jurisdictions in which we operate our businesses. See Note 11 to our consolidated financial statements for further detail of the difference between our effective tax rates in 2023 and 2022 and the statutory tax rate of 21%.</w:t>
      </w:r>
    </w:p>
    <w:p>
      <w:pPr>
        <w:spacing w:after="0" w:line="15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13" w:right="339" w:bottom="1440" w:gutter="0" w:footer="0" w:header="0"/>
        </w:sectPr>
      </w:pPr>
    </w:p>
    <w:bookmarkStart w:id="29" w:name="page30"/>
    <w:bookmarkEnd w:id="29"/>
    <w:p>
      <w:pPr>
        <w:ind w:left="560"/>
        <w:spacing w:after="0"/>
        <w:rPr>
          <w:sz w:val="20"/>
          <w:szCs w:val="20"/>
          <w:color w:val="auto"/>
        </w:rPr>
      </w:pPr>
      <w:r>
        <w:rPr>
          <w:rFonts w:ascii="Times New Roman" w:cs="Times New Roman" w:eastAsia="Times New Roman" w:hAnsi="Times New Roman"/>
          <w:sz w:val="15"/>
          <w:szCs w:val="15"/>
          <w:b w:val="1"/>
          <w:bCs w:val="1"/>
          <w:u w:val="single" w:color="auto"/>
          <w:color w:val="auto"/>
        </w:rPr>
        <w:t>Liquidity and Capital Resources</w:t>
      </w:r>
    </w:p>
    <w:p>
      <w:pPr>
        <w:spacing w:after="0" w:line="197" w:lineRule="exact"/>
        <w:rPr>
          <w:sz w:val="20"/>
          <w:szCs w:val="20"/>
          <w:color w:val="auto"/>
        </w:rPr>
      </w:pPr>
    </w:p>
    <w:p>
      <w:pPr>
        <w:ind w:left="560" w:right="60"/>
        <w:spacing w:after="0" w:line="271" w:lineRule="auto"/>
        <w:rPr>
          <w:sz w:val="20"/>
          <w:szCs w:val="20"/>
          <w:color w:val="auto"/>
        </w:rPr>
      </w:pPr>
      <w:r>
        <w:rPr>
          <w:rFonts w:ascii="Times New Roman" w:cs="Times New Roman" w:eastAsia="Times New Roman" w:hAnsi="Times New Roman"/>
          <w:sz w:val="15"/>
          <w:szCs w:val="15"/>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46"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5"/>
          <w:szCs w:val="15"/>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Proceeds from Sale of Common Stock</w:t>
      </w:r>
    </w:p>
    <w:p>
      <w:pPr>
        <w:spacing w:after="0" w:line="197" w:lineRule="exact"/>
        <w:rPr>
          <w:sz w:val="20"/>
          <w:szCs w:val="20"/>
          <w:color w:val="auto"/>
        </w:rPr>
      </w:pPr>
    </w:p>
    <w:p>
      <w:pPr>
        <w:ind w:left="560" w:right="140"/>
        <w:spacing w:after="0" w:line="271" w:lineRule="auto"/>
        <w:rPr>
          <w:sz w:val="20"/>
          <w:szCs w:val="20"/>
          <w:color w:val="auto"/>
        </w:rPr>
      </w:pPr>
      <w:r>
        <w:rPr>
          <w:rFonts w:ascii="Times New Roman" w:cs="Times New Roman" w:eastAsia="Times New Roman" w:hAnsi="Times New Roman"/>
          <w:sz w:val="15"/>
          <w:szCs w:val="15"/>
          <w:color w:val="auto"/>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Credit Facility</w:t>
      </w:r>
    </w:p>
    <w:p>
      <w:pPr>
        <w:spacing w:after="0" w:line="197" w:lineRule="exact"/>
        <w:rPr>
          <w:sz w:val="20"/>
          <w:szCs w:val="20"/>
          <w:color w:val="auto"/>
        </w:rPr>
      </w:pPr>
    </w:p>
    <w:p>
      <w:pPr>
        <w:ind w:left="560" w:right="40"/>
        <w:spacing w:after="0" w:line="265" w:lineRule="auto"/>
        <w:rPr>
          <w:sz w:val="20"/>
          <w:szCs w:val="20"/>
          <w:color w:val="auto"/>
        </w:rPr>
      </w:pPr>
      <w:r>
        <w:rPr>
          <w:rFonts w:ascii="Times New Roman" w:cs="Times New Roman" w:eastAsia="Times New Roman" w:hAnsi="Times New Roman"/>
          <w:sz w:val="15"/>
          <w:szCs w:val="15"/>
          <w:color w:val="auto"/>
        </w:rPr>
        <w:t>As discussed in Note 10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spacing w:after="0" w:line="151" w:lineRule="exact"/>
        <w:rPr>
          <w:sz w:val="20"/>
          <w:szCs w:val="20"/>
          <w:color w:val="auto"/>
        </w:rPr>
      </w:pPr>
    </w:p>
    <w:p>
      <w:pPr>
        <w:ind w:left="560" w:right="40"/>
        <w:spacing w:after="0" w:line="257" w:lineRule="auto"/>
        <w:rPr>
          <w:sz w:val="20"/>
          <w:szCs w:val="20"/>
          <w:color w:val="auto"/>
        </w:rPr>
      </w:pPr>
      <w:r>
        <w:rPr>
          <w:rFonts w:ascii="Times New Roman" w:cs="Times New Roman" w:eastAsia="Times New Roman" w:hAnsi="Times New Roman"/>
          <w:sz w:val="15"/>
          <w:szCs w:val="15"/>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December 31, 2023 to $30 million. Under the Amended Loan Agreement, the maturity date of the Term Note and Revolving Facility were also extended to September 19, 2027 (the “Contract Period”). At December 31, 2023,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December 31, 2023, we were in compliance with all of the covenants included in the Credit Facility. At December 31, 2023, we were in compliance with debt covenants of the Amended Loan Agreement.</w:t>
      </w:r>
    </w:p>
    <w:p>
      <w:pPr>
        <w:spacing w:after="0" w:line="160" w:lineRule="exact"/>
        <w:rPr>
          <w:sz w:val="20"/>
          <w:szCs w:val="20"/>
          <w:color w:val="auto"/>
        </w:rPr>
      </w:pPr>
    </w:p>
    <w:p>
      <w:pPr>
        <w:ind w:left="560" w:right="80"/>
        <w:spacing w:after="0" w:line="271" w:lineRule="auto"/>
        <w:rPr>
          <w:sz w:val="20"/>
          <w:szCs w:val="20"/>
          <w:color w:val="auto"/>
        </w:rPr>
      </w:pPr>
      <w:r>
        <w:rPr>
          <w:rFonts w:ascii="Times New Roman" w:cs="Times New Roman" w:eastAsia="Times New Roman" w:hAnsi="Times New Roman"/>
          <w:sz w:val="15"/>
          <w:szCs w:val="15"/>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46" w:lineRule="exact"/>
        <w:rPr>
          <w:sz w:val="20"/>
          <w:szCs w:val="20"/>
          <w:color w:val="auto"/>
        </w:rPr>
      </w:pPr>
    </w:p>
    <w:p>
      <w:pPr>
        <w:ind w:left="560" w:right="200"/>
        <w:spacing w:after="0" w:line="271" w:lineRule="auto"/>
        <w:rPr>
          <w:sz w:val="20"/>
          <w:szCs w:val="20"/>
          <w:color w:val="auto"/>
        </w:rPr>
      </w:pPr>
      <w:r>
        <w:rPr>
          <w:rFonts w:ascii="Times New Roman" w:cs="Times New Roman" w:eastAsia="Times New Roman" w:hAnsi="Times New Roman"/>
          <w:sz w:val="15"/>
          <w:szCs w:val="15"/>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2023, it was approximately 7.4% based on current leverage.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Interest expense for the years ended December 31, 2023 and 2022 was $679,000 and $635,000,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Liquidity</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cash and cash equivalents and working capital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5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45,260</w:t>
            </w: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13,434</w:t>
            </w:r>
          </w:p>
        </w:tc>
        <w:tc>
          <w:tcPr>
            <w:tcW w:w="20" w:type="dxa"/>
            <w:vAlign w:val="bottom"/>
          </w:tcPr>
          <w:p>
            <w:pPr>
              <w:spacing w:after="0"/>
              <w:rPr>
                <w:sz w:val="15"/>
                <w:szCs w:val="15"/>
                <w:color w:val="auto"/>
              </w:rPr>
            </w:pPr>
          </w:p>
        </w:tc>
      </w:tr>
      <w:tr>
        <w:trPr>
          <w:trHeight w:val="198"/>
        </w:trPr>
        <w:tc>
          <w:tcPr>
            <w:tcW w:w="5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Working capital</w:t>
            </w:r>
          </w:p>
        </w:tc>
        <w:tc>
          <w:tcPr>
            <w:tcW w:w="44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61,479</w:t>
            </w: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33,182</w:t>
            </w:r>
          </w:p>
        </w:tc>
        <w:tc>
          <w:tcPr>
            <w:tcW w:w="20" w:type="dxa"/>
            <w:vAlign w:val="bottom"/>
          </w:tcPr>
          <w:p>
            <w:pPr>
              <w:spacing w:after="0"/>
              <w:rPr>
                <w:sz w:val="17"/>
                <w:szCs w:val="17"/>
                <w:color w:val="auto"/>
              </w:rPr>
            </w:pPr>
          </w:p>
        </w:tc>
      </w:tr>
      <w:tr>
        <w:trPr>
          <w:trHeight w:val="351"/>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100" w:type="dxa"/>
            <w:vAlign w:val="bottom"/>
          </w:tcPr>
          <w:p>
            <w:pPr>
              <w:jc w:val="right"/>
              <w:ind w:right="2164"/>
              <w:spacing w:after="0"/>
              <w:rPr>
                <w:sz w:val="20"/>
                <w:szCs w:val="20"/>
                <w:color w:val="auto"/>
              </w:rPr>
            </w:pPr>
            <w:r>
              <w:rPr>
                <w:rFonts w:ascii="Times New Roman" w:cs="Times New Roman" w:eastAsia="Times New Roman" w:hAnsi="Times New Roman"/>
                <w:sz w:val="15"/>
                <w:szCs w:val="15"/>
                <w:color w:val="auto"/>
              </w:rPr>
              <w:t>29</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09" w:right="319" w:bottom="1440" w:gutter="0" w:footer="0" w:header="0"/>
        </w:sectPr>
      </w:pPr>
    </w:p>
    <w:bookmarkStart w:id="30" w:name="page31"/>
    <w:bookmarkEnd w:id="30"/>
    <w:p>
      <w:pPr>
        <w:ind w:left="20" w:right="120"/>
        <w:spacing w:after="0" w:line="265" w:lineRule="auto"/>
        <w:rPr>
          <w:sz w:val="20"/>
          <w:szCs w:val="20"/>
          <w:color w:val="auto"/>
        </w:rPr>
      </w:pPr>
      <w:r>
        <w:rPr>
          <w:rFonts w:ascii="Times New Roman" w:cs="Times New Roman" w:eastAsia="Times New Roman" w:hAnsi="Times New Roman"/>
          <w:sz w:val="15"/>
          <w:szCs w:val="15"/>
          <w:color w:val="auto"/>
        </w:rPr>
        <w:t>At December 31, 2023, $5.8 million, or 13%,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10 to our consolidated financial statements in this Report.</w:t>
      </w:r>
    </w:p>
    <w:p>
      <w:pPr>
        <w:spacing w:after="0" w:line="151"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5"/>
          <w:szCs w:val="15"/>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53" w:lineRule="exact"/>
        <w:rPr>
          <w:sz w:val="20"/>
          <w:szCs w:val="20"/>
          <w:color w:val="auto"/>
        </w:rPr>
      </w:pPr>
    </w:p>
    <w:p>
      <w:pPr>
        <w:ind w:left="20" w:right="120"/>
        <w:spacing w:after="0" w:line="265" w:lineRule="auto"/>
        <w:rPr>
          <w:sz w:val="20"/>
          <w:szCs w:val="20"/>
          <w:color w:val="auto"/>
        </w:rPr>
      </w:pPr>
      <w:r>
        <w:rPr>
          <w:rFonts w:ascii="Times New Roman" w:cs="Times New Roman" w:eastAsia="Times New Roman" w:hAnsi="Times New Roman"/>
          <w:sz w:val="15"/>
          <w:szCs w:val="15"/>
          <w:color w:val="auto"/>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Note 10 to our consolidated financial statements in this Report.</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u w:val="single" w:color="auto"/>
          <w:color w:val="auto"/>
        </w:rPr>
        <w:t>Cash Flows</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Operating Activities. </w:t>
      </w:r>
      <w:r>
        <w:rPr>
          <w:rFonts w:ascii="Times New Roman" w:cs="Times New Roman" w:eastAsia="Times New Roman" w:hAnsi="Times New Roman"/>
          <w:sz w:val="15"/>
          <w:szCs w:val="15"/>
          <w:color w:val="auto"/>
        </w:rPr>
        <w:t>Net cash provided by operations for the year ended December 31, 2023 was $16.2 million. For the year ended December 31, 2023, we recorded net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earnings of $9.3 million. During this same period, we had non-cash charges of $4.7 million for depreciation and amortization (which included $1.6 million of amortization related to right-of-use (“ROU”) assets and $2.0 million for deferred compensation expense related to stock-based awards. We also recorded a $1.2 million deferred income tax benefit during 2023. Accounts receivable decreased $3.0 million, inventories decreased $2.0 million and accounts payable decreased $1.8 million during 2023, reflecting the slowing in the level of business activity in the fourth quarter of 2023 and a return to a more normalized supply chain where we were not needing to purchase inventory as far in advance as we had been at the end of 2022. Operating lease liabilities decreased $1.7 million during 2023, reflecting payments made under our various lease agreements. Other liabilities increased $1.3 million primarily reflecting an increase in the portion of our deferred revenue that we expect to convert to revenue more than twelve months from now, primarily related to sale of discontinued material/components purchased on behalf of customers.</w:t>
      </w:r>
    </w:p>
    <w:p>
      <w:pPr>
        <w:spacing w:after="0" w:line="154" w:lineRule="exact"/>
        <w:rPr>
          <w:sz w:val="20"/>
          <w:szCs w:val="20"/>
          <w:color w:val="auto"/>
        </w:rPr>
      </w:pPr>
    </w:p>
    <w:p>
      <w:pPr>
        <w:ind w:left="20" w:right="120"/>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Investing Activities. </w:t>
      </w:r>
      <w:r>
        <w:rPr>
          <w:rFonts w:ascii="Times New Roman" w:cs="Times New Roman" w:eastAsia="Times New Roman" w:hAnsi="Times New Roman"/>
          <w:sz w:val="15"/>
          <w:szCs w:val="15"/>
          <w:color w:val="auto"/>
        </w:rPr>
        <w:t>Net cash used in investing activities for year ended December 31, 2023 was $1.3 million, all of which represented purchases of property and equipment.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These purchases primarily represent leasehold improvements to our new facility for our Acculogic operation in Canada and test equipment for our Electronic Test segment. These purchases were funded using our working capital. We have no significant commitments for capital expenditures for 2024;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Credit Facility.</w:t>
      </w:r>
    </w:p>
    <w:p>
      <w:pPr>
        <w:spacing w:after="0" w:line="147" w:lineRule="exact"/>
        <w:rPr>
          <w:sz w:val="20"/>
          <w:szCs w:val="20"/>
          <w:color w:val="auto"/>
        </w:rPr>
      </w:pPr>
    </w:p>
    <w:p>
      <w:pPr>
        <w:ind w:left="20" w:right="180"/>
        <w:spacing w:after="0" w:line="262" w:lineRule="auto"/>
        <w:rPr>
          <w:sz w:val="20"/>
          <w:szCs w:val="20"/>
          <w:color w:val="auto"/>
        </w:rPr>
      </w:pPr>
      <w:r>
        <w:rPr>
          <w:rFonts w:ascii="Times New Roman" w:cs="Times New Roman" w:eastAsia="Times New Roman" w:hAnsi="Times New Roman"/>
          <w:sz w:val="15"/>
          <w:szCs w:val="15"/>
          <w:i w:val="1"/>
          <w:iCs w:val="1"/>
          <w:color w:val="auto"/>
        </w:rPr>
        <w:t>Financing Activities</w:t>
      </w:r>
      <w:r>
        <w:rPr>
          <w:rFonts w:ascii="Times New Roman" w:cs="Times New Roman" w:eastAsia="Times New Roman" w:hAnsi="Times New Roman"/>
          <w:sz w:val="15"/>
          <w:szCs w:val="15"/>
          <w:color w:val="auto"/>
        </w:rPr>
        <w:t>. Net cash provided by financing activities for the year ended December 31, 2023 was $15.6 million. During 2023, we had net proceeds of $19.2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the sale of 921,797 shares of our common stock, as previously discussed. During this same period, we also received $978,000 as a result of the exercise of options to purchase our stock by employees and $174,000 as a result of purchases of our stock that were made by our employees under the inTEST Corporation Employee Stock Purchase Plan. During 2023, we made principal payments on our Term Note totaling $4.1 million and acquired $687,000 of stock as a result of shares withheld by us from employees to satisfy tax liabilities incurred by them as a result of vesting of restricted stock awards. These shares are classified as treasury stock on our consolidated balance sheets.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New or Recently Adopted Accounting Standards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See Note 2 to the consolidated financial statements for information concerning the implementation and impact of new or recently adopted accounting standards.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Critical Accounting Estimates</w:t>
      </w:r>
    </w:p>
    <w:p>
      <w:pPr>
        <w:spacing w:after="0" w:line="197"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5"/>
          <w:szCs w:val="15"/>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5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51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i w:val="1"/>
          <w:iCs w:val="1"/>
          <w:u w:val="single" w:color="auto"/>
          <w:color w:val="auto"/>
        </w:rPr>
        <w:t>Inventory Valuation</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and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2023 and 2022, we recorded inventory obsolescence charges for excess and obsolete inventory of $544,000 and $771,000,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Goodwill, Intangible and Long-Lived Assets</w:t>
      </w:r>
    </w:p>
    <w:p>
      <w:pPr>
        <w:spacing w:after="0" w:line="1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We account for goodwill and intangible assets in accordance with Accounting Standards Codification ("ASC") Topic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3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December 31, 2023 and 2022, goodwill was $21.7 million and $21.6 million, respectively. We did not record any impairment charges related to our goodwill during 2023 or 2022.</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Our indefinite-lived intangible assets were trademarks and trade names carried at $8.4 million at each of December 31, 2023 and 2022, respectively. We did not record any impairment charges related to our indefinite-lived intangible assets during 2023 or 2022.</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2023 and 2022, finite-lived intangibles and long-lived assets were $16.4 million and $19.1 million, respectively. We did not record any impairment charges related to our long-lived assets during 2023 or 2022.</w:t>
      </w:r>
    </w:p>
    <w:p>
      <w:pPr>
        <w:spacing w:after="0" w:line="1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09" w:right="339"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Contingent Consideration Liabilities</w:t>
      </w:r>
    </w:p>
    <w:p>
      <w:pPr>
        <w:spacing w:after="0" w:line="197" w:lineRule="exact"/>
        <w:rPr>
          <w:sz w:val="20"/>
          <w:szCs w:val="20"/>
          <w:color w:val="auto"/>
        </w:rPr>
      </w:pPr>
    </w:p>
    <w:p>
      <w:pPr>
        <w:ind w:left="560" w:right="100"/>
        <w:spacing w:after="0" w:line="262" w:lineRule="auto"/>
        <w:rPr>
          <w:sz w:val="20"/>
          <w:szCs w:val="20"/>
          <w:color w:val="auto"/>
        </w:rPr>
      </w:pPr>
      <w:r>
        <w:rPr>
          <w:rFonts w:ascii="Times New Roman" w:cs="Times New Roman" w:eastAsia="Times New Roman" w:hAnsi="Times New Roman"/>
          <w:sz w:val="15"/>
          <w:szCs w:val="15"/>
          <w:color w:val="auto"/>
        </w:rPr>
        <w:t>The contingent consideration liabilities on our balance sheet are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54"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5"/>
          <w:szCs w:val="15"/>
          <w:color w:val="auto"/>
        </w:rPr>
        <w:t>Our contingent consideration liability is a result of our acquisition of Acculogic on December 21, 2021. The contingent consideration liability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There were no payments due to the seller for the years ended December 31, 2022 or 2023. The maximum payment over the five-year period is capped at CAD $5.0 million, which equates to approximately $3.8 million at December 31, 2023. The fair value of this Level 3 instrument involves assessing the total amount of revenue we expect from sales to EV or battery customers during the applicable time period as well as when we expect to receive payment for the related net invoices. At December 31, 2023 and 2022, the contingent consideration liability on our balance sheet was $1.1 million and $1.4 million, respectively. The current portion of this liability at December 31, 2023 and 2022 was $0 and $324,000, respectively, and was included in Other Current Liabilities.</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u w:val="single" w:color="auto"/>
          <w:color w:val="auto"/>
        </w:rPr>
        <w:t>Income Taxes</w:t>
      </w:r>
    </w:p>
    <w:p>
      <w:pPr>
        <w:spacing w:after="0" w:line="197" w:lineRule="exact"/>
        <w:rPr>
          <w:sz w:val="20"/>
          <w:szCs w:val="20"/>
          <w:color w:val="auto"/>
        </w:rPr>
      </w:pPr>
    </w:p>
    <w:p>
      <w:pPr>
        <w:ind w:left="560" w:right="320"/>
        <w:spacing w:after="0" w:line="262" w:lineRule="auto"/>
        <w:rPr>
          <w:sz w:val="20"/>
          <w:szCs w:val="20"/>
          <w:color w:val="auto"/>
        </w:rPr>
      </w:pPr>
      <w:r>
        <w:rPr>
          <w:rFonts w:ascii="Times New Roman" w:cs="Times New Roman" w:eastAsia="Times New Roman" w:hAnsi="Times New Roman"/>
          <w:sz w:val="15"/>
          <w:szCs w:val="15"/>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54" w:lineRule="exact"/>
        <w:rPr>
          <w:sz w:val="20"/>
          <w:szCs w:val="20"/>
          <w:color w:val="auto"/>
        </w:rPr>
      </w:pPr>
    </w:p>
    <w:p>
      <w:pPr>
        <w:ind w:left="560" w:right="100"/>
        <w:spacing w:after="0" w:line="259" w:lineRule="auto"/>
        <w:rPr>
          <w:sz w:val="20"/>
          <w:szCs w:val="20"/>
          <w:color w:val="auto"/>
        </w:rPr>
      </w:pPr>
      <w:r>
        <w:rPr>
          <w:rFonts w:ascii="Times New Roman" w:cs="Times New Roman" w:eastAsia="Times New Roman" w:hAnsi="Times New Roman"/>
          <w:sz w:val="15"/>
          <w:szCs w:val="15"/>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At December 31, 2023 and 2022 we had a net deferred tax asset of $1.4 million and $280,000, respectively. Our deferred tax valuation allowance at December 31, 2023 and 2022 was $245,000 and $227,000, respectively.</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u w:val="single" w:color="auto"/>
          <w:color w:val="auto"/>
        </w:rPr>
        <w:t>Off-Balance Sheet Arrangements</w:t>
      </w:r>
    </w:p>
    <w:p>
      <w:pPr>
        <w:spacing w:after="0" w:line="197" w:lineRule="exact"/>
        <w:rPr>
          <w:sz w:val="20"/>
          <w:szCs w:val="20"/>
          <w:color w:val="auto"/>
        </w:rPr>
      </w:pPr>
    </w:p>
    <w:p>
      <w:pPr>
        <w:ind w:left="620" w:right="140"/>
        <w:spacing w:after="0" w:line="288" w:lineRule="auto"/>
        <w:rPr>
          <w:sz w:val="20"/>
          <w:szCs w:val="20"/>
          <w:color w:val="auto"/>
        </w:rPr>
      </w:pPr>
      <w:r>
        <w:rPr>
          <w:rFonts w:ascii="Times New Roman" w:cs="Times New Roman" w:eastAsia="Times New Roman" w:hAnsi="Times New Roman"/>
          <w:sz w:val="15"/>
          <w:szCs w:val="15"/>
          <w:color w:val="auto"/>
        </w:rPr>
        <w:t>There were no off-balance sheet arrangements during the year ended December 31, 2023 that have or are reasonably likely to have, a material current or future effect on our financial condition, changes in financial condition, revenues or expenses, results of operations, liquidity, cash requirements or capital resources.</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This disclosure is not required for a smaller reporting company.</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FINANCIAL STATEMENTS AND SUPPLEMENTARY DATA</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Consolidated financial statements are set forth in this Report beginning at page F-1 and are incorporated by reference into this Item 8.</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CHANGES IN AND DISAGREEMENTS WITH ACCOUNTANTS ON ACCOUNTING AND FINANCIAL DISCLOSURE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None.</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u w:val="single" w:color="auto"/>
          <w:color w:val="auto"/>
        </w:rPr>
        <w:t>Evaluation of Disclosure Controls and Procedures</w:t>
      </w:r>
    </w:p>
    <w:p>
      <w:pPr>
        <w:spacing w:after="0" w:line="197"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5"/>
          <w:szCs w:val="15"/>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ind w:left="1" w:right="120"/>
        <w:spacing w:after="0" w:line="267" w:lineRule="auto"/>
        <w:rPr>
          <w:sz w:val="20"/>
          <w:szCs w:val="20"/>
          <w:color w:val="auto"/>
        </w:rPr>
      </w:pPr>
      <w:r>
        <w:rPr>
          <w:rFonts w:ascii="Times New Roman" w:cs="Times New Roman" w:eastAsia="Times New Roman" w:hAnsi="Times New Roman"/>
          <w:sz w:val="15"/>
          <w:szCs w:val="15"/>
          <w:b w:val="1"/>
          <w:bCs w:val="1"/>
          <w:color w:val="auto"/>
        </w:rPr>
        <w:t>CEO/CFO Conclusions about the Effectiveness of the Disclosure Controls and Procedures</w:t>
      </w:r>
      <w:r>
        <w:rPr>
          <w:rFonts w:ascii="Times New Roman" w:cs="Times New Roman" w:eastAsia="Times New Roman" w:hAnsi="Times New Roman"/>
          <w:sz w:val="15"/>
          <w:szCs w:val="15"/>
          <w:color w:val="auto"/>
        </w:rPr>
        <w:t>. As required by Rule 13a-15(b) of the Exchange Act, inTEST management,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not effective at the reasonable assurance level.</w:t>
      </w:r>
    </w:p>
    <w:p>
      <w:pPr>
        <w:spacing w:after="0" w:line="150" w:lineRule="exact"/>
        <w:rPr>
          <w:sz w:val="20"/>
          <w:szCs w:val="20"/>
          <w:color w:val="auto"/>
        </w:rPr>
      </w:pPr>
    </w:p>
    <w:p>
      <w:pPr>
        <w:ind w:left="1" w:right="40"/>
        <w:spacing w:after="0" w:line="265" w:lineRule="auto"/>
        <w:rPr>
          <w:sz w:val="20"/>
          <w:szCs w:val="20"/>
          <w:color w:val="auto"/>
        </w:rPr>
      </w:pPr>
      <w:r>
        <w:rPr>
          <w:rFonts w:ascii="Times New Roman" w:cs="Times New Roman" w:eastAsia="Times New Roman" w:hAnsi="Times New Roman"/>
          <w:sz w:val="15"/>
          <w:szCs w:val="15"/>
          <w:color w:val="auto"/>
        </w:rPr>
        <w:t>Our Chief Executive Officer and Chief Financial Officer concluded that our disclosure controls and procedures were not effective as of December 31, 2023 because of the material weakness in our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in a timely basis. The identified material weakness contributed to the restatements of our financial statements for the three and nine months ended September 30, 2023.</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Management has determined that the Company had the following material weakness in its internal control over financial reporting:</w:t>
      </w:r>
    </w:p>
    <w:p>
      <w:pPr>
        <w:spacing w:after="0" w:line="193" w:lineRule="exact"/>
        <w:rPr>
          <w:sz w:val="20"/>
          <w:szCs w:val="20"/>
          <w:color w:val="auto"/>
        </w:rPr>
      </w:pPr>
    </w:p>
    <w:p>
      <w:pPr>
        <w:ind w:left="541" w:right="80" w:hanging="267"/>
        <w:spacing w:after="0" w:line="271" w:lineRule="auto"/>
        <w:tabs>
          <w:tab w:leader="none" w:pos="54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did not appropriately design and implement controls over 1) the identification of and 2) the application of appropriate U.S. GAAP for transactions related to the procurement and sale of discontinued material/components purchased on behalf of customers where the associated materials/components were still physically located with us and the materials/components are expected to be applied to future product orders for these customers.</w:t>
      </w:r>
    </w:p>
    <w:p>
      <w:pPr>
        <w:spacing w:after="0" w:line="146"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5"/>
          <w:szCs w:val="15"/>
          <w:color w:val="auto"/>
        </w:rPr>
        <w:t>This material weakness contributed to material misstatements in our consolidated financial statements for the three and nine months ended September 30, 2023, which have been corrected and restated in our Amendment No. 1 to our Quarterly Report on Form 10-Q for the period ended September 30, 2023. Accordingly, management has concluded that this control deficiency constitutes a material weakness.</w:t>
      </w:r>
    </w:p>
    <w:p>
      <w:pPr>
        <w:spacing w:after="0" w:line="1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b w:val="1"/>
          <w:bCs w:val="1"/>
          <w:color w:val="auto"/>
        </w:rPr>
        <w:t>Remediation Efforts</w:t>
      </w:r>
    </w:p>
    <w:p>
      <w:pPr>
        <w:spacing w:after="0" w:line="197" w:lineRule="exact"/>
        <w:rPr>
          <w:sz w:val="20"/>
          <w:szCs w:val="20"/>
          <w:color w:val="auto"/>
        </w:rPr>
      </w:pPr>
    </w:p>
    <w:p>
      <w:pPr>
        <w:ind w:left="1" w:right="140"/>
        <w:spacing w:after="0" w:line="288" w:lineRule="auto"/>
        <w:rPr>
          <w:sz w:val="20"/>
          <w:szCs w:val="20"/>
          <w:color w:val="auto"/>
        </w:rPr>
      </w:pPr>
      <w:r>
        <w:rPr>
          <w:rFonts w:ascii="Times New Roman" w:cs="Times New Roman" w:eastAsia="Times New Roman" w:hAnsi="Times New Roman"/>
          <w:sz w:val="15"/>
          <w:szCs w:val="15"/>
          <w:color w:val="auto"/>
        </w:rPr>
        <w:t>Management is developing a remediation plan to address the material weakness discussed above. Remediation will not occur until the plan is implemented and there has been appropriate time for us to conclude through testing that the control operates effectively.</w:t>
      </w:r>
    </w:p>
    <w:p>
      <w:pPr>
        <w:spacing w:after="0" w:line="1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b w:val="1"/>
          <w:bCs w:val="1"/>
          <w:u w:val="single" w:color="auto"/>
          <w:color w:val="auto"/>
        </w:rPr>
        <w:t>Changes in Internal Control Over Financial Reporting</w:t>
      </w:r>
    </w:p>
    <w:p>
      <w:pPr>
        <w:spacing w:after="0" w:line="197" w:lineRule="exact"/>
        <w:rPr>
          <w:sz w:val="20"/>
          <w:szCs w:val="20"/>
          <w:color w:val="auto"/>
        </w:rPr>
      </w:pPr>
    </w:p>
    <w:p>
      <w:pPr>
        <w:ind w:left="1" w:right="40"/>
        <w:spacing w:after="0" w:line="265" w:lineRule="auto"/>
        <w:rPr>
          <w:sz w:val="20"/>
          <w:szCs w:val="20"/>
          <w:color w:val="auto"/>
        </w:rPr>
      </w:pPr>
      <w:r>
        <w:rPr>
          <w:rFonts w:ascii="Times New Roman" w:cs="Times New Roman" w:eastAsia="Times New Roman" w:hAnsi="Times New Roman"/>
          <w:sz w:val="15"/>
          <w:szCs w:val="15"/>
          <w:color w:val="auto"/>
        </w:rPr>
        <w:t>As described above, we are in the process of developing and implementing changes to our internal control over financial reporting to remediate the material weaknesses described herein. Other than these changes,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b w:val="1"/>
          <w:bCs w:val="1"/>
          <w:u w:val="single" w:color="auto"/>
          <w:color w:val="auto"/>
        </w:rPr>
        <w:t>Management's Report on Internal Control over Financial Reporting</w:t>
      </w:r>
    </w:p>
    <w:p>
      <w:pPr>
        <w:spacing w:after="0" w:line="197" w:lineRule="exact"/>
        <w:rPr>
          <w:sz w:val="20"/>
          <w:szCs w:val="20"/>
          <w:color w:val="auto"/>
        </w:rPr>
      </w:pPr>
    </w:p>
    <w:p>
      <w:pPr>
        <w:ind w:left="1" w:right="160"/>
        <w:spacing w:after="0" w:line="265"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51" w:lineRule="exact"/>
        <w:rPr>
          <w:sz w:val="20"/>
          <w:szCs w:val="20"/>
          <w:color w:val="auto"/>
        </w:rPr>
      </w:pPr>
    </w:p>
    <w:p>
      <w:pPr>
        <w:ind w:left="281" w:hanging="281"/>
        <w:spacing w:after="0"/>
        <w:tabs>
          <w:tab w:leader="none" w:pos="28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pertain to the maintenance of records that, in reasonable detail, accurately and fairly reflect the transactions and dispositions of our assets;</w:t>
      </w:r>
    </w:p>
    <w:p>
      <w:pPr>
        <w:spacing w:after="0" w:line="215" w:lineRule="exact"/>
        <w:rPr>
          <w:rFonts w:ascii="Times New Roman" w:cs="Times New Roman" w:eastAsia="Times New Roman" w:hAnsi="Times New Roman"/>
          <w:sz w:val="15"/>
          <w:szCs w:val="15"/>
          <w:color w:val="auto"/>
        </w:rPr>
      </w:pPr>
    </w:p>
    <w:p>
      <w:pPr>
        <w:ind w:left="281" w:right="240" w:hanging="281"/>
        <w:spacing w:after="0" w:line="288" w:lineRule="auto"/>
        <w:tabs>
          <w:tab w:leader="none" w:pos="28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33" w:lineRule="exact"/>
        <w:rPr>
          <w:rFonts w:ascii="Times New Roman" w:cs="Times New Roman" w:eastAsia="Times New Roman" w:hAnsi="Times New Roman"/>
          <w:sz w:val="15"/>
          <w:szCs w:val="15"/>
          <w:color w:val="auto"/>
        </w:rPr>
      </w:pPr>
    </w:p>
    <w:p>
      <w:pPr>
        <w:ind w:left="281" w:right="80" w:hanging="281"/>
        <w:spacing w:after="0" w:line="288" w:lineRule="auto"/>
        <w:tabs>
          <w:tab w:leader="none" w:pos="28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regarding prevention or timely detection of unauthorized acquisition, use, or disposition of our assets that could have a material effect on the financial statements.</w:t>
      </w:r>
    </w:p>
    <w:p>
      <w:pPr>
        <w:spacing w:after="0" w:line="134" w:lineRule="exact"/>
        <w:rPr>
          <w:sz w:val="20"/>
          <w:szCs w:val="20"/>
          <w:color w:val="auto"/>
        </w:rPr>
      </w:pPr>
    </w:p>
    <w:p>
      <w:pPr>
        <w:ind w:left="21" w:right="240"/>
        <w:spacing w:after="0" w:line="271" w:lineRule="auto"/>
        <w:rPr>
          <w:sz w:val="20"/>
          <w:szCs w:val="20"/>
          <w:color w:val="auto"/>
        </w:rPr>
      </w:pPr>
      <w:r>
        <w:rPr>
          <w:rFonts w:ascii="Times New Roman" w:cs="Times New Roman" w:eastAsia="Times New Roman" w:hAnsi="Times New Roman"/>
          <w:sz w:val="15"/>
          <w:szCs w:val="15"/>
          <w:color w:val="auto"/>
        </w:rPr>
        <w:t>Because of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jc w:val="both"/>
        <w:ind w:left="21" w:right="340"/>
        <w:spacing w:after="0" w:line="271" w:lineRule="auto"/>
        <w:rPr>
          <w:sz w:val="20"/>
          <w:szCs w:val="20"/>
          <w:color w:val="auto"/>
        </w:rPr>
      </w:pPr>
      <w:r>
        <w:rPr>
          <w:rFonts w:ascii="Times New Roman" w:cs="Times New Roman" w:eastAsia="Times New Roman" w:hAnsi="Times New Roman"/>
          <w:sz w:val="15"/>
          <w:szCs w:val="15"/>
          <w:color w:val="auto"/>
        </w:rPr>
        <w:t>Management assessed the effectiveness of our internal control over financial reporting at December 31, 2023. In making this assessment, management used the criteria set forth by the Committee of Sponsoring Organizations of the Treadway Commission (COSO) on Internal Control-Integrated 2013 Framework</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Based upon this assessment, management believes that, at December 31, 2023, our internal control over financial reporting is not effective at a reasonable assurance level.</w:t>
      </w:r>
    </w:p>
    <w:p>
      <w:pPr>
        <w:spacing w:after="0" w:line="146" w:lineRule="exact"/>
        <w:rPr>
          <w:sz w:val="20"/>
          <w:szCs w:val="20"/>
          <w:color w:val="auto"/>
        </w:rPr>
      </w:pPr>
    </w:p>
    <w:p>
      <w:pPr>
        <w:ind w:left="21" w:right="280"/>
        <w:spacing w:after="0" w:line="288" w:lineRule="auto"/>
        <w:rPr>
          <w:sz w:val="20"/>
          <w:szCs w:val="20"/>
          <w:color w:val="auto"/>
        </w:rPr>
      </w:pPr>
      <w:r>
        <w:rPr>
          <w:rFonts w:ascii="Times New Roman" w:cs="Times New Roman" w:eastAsia="Times New Roman" w:hAnsi="Times New Roman"/>
          <w:sz w:val="15"/>
          <w:szCs w:val="15"/>
          <w:color w:val="auto"/>
        </w:rPr>
        <w:t>The effectiveness of our internal control over financial reporting as of December 31, 2023 has been audited by RSM US LLP, our independent registered public accounting firm, as stated in their report included in this Report on page F-3.</w:t>
      </w:r>
    </w:p>
    <w:p>
      <w:pPr>
        <w:spacing w:after="0" w:line="13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73660</wp:posOffset>
            </wp:positionV>
            <wp:extent cx="715327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1"/>
          </w:cols>
          <w:pgMar w:left="859" w:top="509" w:right="319" w:bottom="1440" w:gutter="0" w:footer="0" w:header="0"/>
        </w:sectPr>
      </w:pPr>
    </w:p>
    <w:bookmarkStart w:id="34" w:name="page35"/>
    <w:bookmarkEnd w:id="34"/>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97" w:lineRule="exact"/>
        <w:rPr>
          <w:sz w:val="20"/>
          <w:szCs w:val="20"/>
          <w:color w:val="auto"/>
        </w:rPr>
      </w:pPr>
    </w:p>
    <w:p>
      <w:pPr>
        <w:ind w:left="560"/>
        <w:spacing w:after="0" w:line="264" w:lineRule="auto"/>
        <w:rPr>
          <w:sz w:val="20"/>
          <w:szCs w:val="20"/>
          <w:color w:val="auto"/>
        </w:rPr>
      </w:pPr>
      <w:r>
        <w:rPr>
          <w:rFonts w:ascii="Times New Roman" w:cs="Times New Roman" w:eastAsia="Times New Roman" w:hAnsi="Times New Roman"/>
          <w:sz w:val="15"/>
          <w:szCs w:val="15"/>
          <w:color w:val="auto"/>
        </w:rPr>
        <w:t>On December 8, 2023, Richard N. Grant, the Company’s Chief Executive Officer, entered into a prearranged stock trading plan (the “Grant 10b5-1 Plan”). The Grant 10b5-1 Plan was entered into during an open insider trading window, is designed to satisfy the affirmative defense of Rule 10b5-1(c), and terminates on December 31, 2026. The Grant 10b5-1 Plan provides for the sale from time to time upon a vesting event of a number of shares equal to 40% of the fair market value of the shares that vest upon such vesting event for the purpose of covering applicable taxes due at such vesting event. The plan also has a one-time sale of Common Stock with an aggregate value not to exceed $775,000.</w:t>
      </w:r>
    </w:p>
    <w:p>
      <w:pPr>
        <w:spacing w:after="0" w:line="200" w:lineRule="exact"/>
        <w:rPr>
          <w:sz w:val="20"/>
          <w:szCs w:val="20"/>
          <w:color w:val="auto"/>
        </w:rPr>
      </w:pPr>
    </w:p>
    <w:p>
      <w:pPr>
        <w:spacing w:after="0" w:line="3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9C.</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Not Applicable.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PART III</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pacing w:after="0" w:line="197" w:lineRule="exact"/>
        <w:rPr>
          <w:sz w:val="20"/>
          <w:szCs w:val="20"/>
          <w:color w:val="auto"/>
        </w:rPr>
      </w:pPr>
    </w:p>
    <w:p>
      <w:pPr>
        <w:ind w:left="560" w:right="240"/>
        <w:spacing w:after="0" w:line="288" w:lineRule="auto"/>
        <w:rPr>
          <w:sz w:val="20"/>
          <w:szCs w:val="20"/>
          <w:color w:val="auto"/>
        </w:rPr>
      </w:pPr>
      <w:r>
        <w:rPr>
          <w:rFonts w:ascii="Times New Roman" w:cs="Times New Roman" w:eastAsia="Times New Roman" w:hAnsi="Times New Roman"/>
          <w:sz w:val="15"/>
          <w:szCs w:val="15"/>
          <w:color w:val="auto"/>
        </w:rPr>
        <w:t>The information required by this Item 10 is incorporated by reference from our definitive proxy statement for our 2024 Annual Meeting of Stockholders to be filed with the SEC within 120 days after the end of the fiscal year covered by this Report.</w:t>
      </w:r>
    </w:p>
    <w:p>
      <w:pPr>
        <w:spacing w:after="0" w:line="1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color w:val="auto"/>
        </w:rPr>
        <w:t>Code of Ethics</w:t>
      </w:r>
    </w:p>
    <w:p>
      <w:pPr>
        <w:spacing w:after="0" w:line="197" w:lineRule="exact"/>
        <w:rPr>
          <w:sz w:val="20"/>
          <w:szCs w:val="20"/>
          <w:color w:val="auto"/>
        </w:rPr>
      </w:pPr>
    </w:p>
    <w:p>
      <w:pPr>
        <w:jc w:val="both"/>
        <w:ind w:left="560" w:right="20"/>
        <w:spacing w:after="0" w:line="271" w:lineRule="auto"/>
        <w:rPr>
          <w:sz w:val="20"/>
          <w:szCs w:val="20"/>
          <w:color w:val="auto"/>
        </w:rPr>
      </w:pPr>
      <w:r>
        <w:rPr>
          <w:rFonts w:ascii="Times New Roman" w:cs="Times New Roman" w:eastAsia="Times New Roman" w:hAnsi="Times New Roman"/>
          <w:sz w:val="15"/>
          <w:szCs w:val="15"/>
          <w:color w:val="auto"/>
        </w:rPr>
        <w:t>We have adopted a Code of Ethics (the “Code”)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1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197" w:lineRule="exact"/>
        <w:rPr>
          <w:sz w:val="20"/>
          <w:szCs w:val="20"/>
          <w:color w:val="auto"/>
        </w:rPr>
      </w:pPr>
    </w:p>
    <w:p>
      <w:pPr>
        <w:ind w:left="560" w:right="260"/>
        <w:spacing w:after="0" w:line="288" w:lineRule="auto"/>
        <w:rPr>
          <w:sz w:val="20"/>
          <w:szCs w:val="20"/>
          <w:color w:val="auto"/>
        </w:rPr>
      </w:pPr>
      <w:r>
        <w:rPr>
          <w:rFonts w:ascii="Times New Roman" w:cs="Times New Roman" w:eastAsia="Times New Roman" w:hAnsi="Times New Roman"/>
          <w:sz w:val="15"/>
          <w:szCs w:val="15"/>
          <w:color w:val="auto"/>
        </w:rPr>
        <w:t>The information required by this Item 11 is incorporated by reference from our definitive proxy statement for our 2024 Annual Meeting of Stockholders to be filed with the SEC within 120 days after the end of the fiscal year covered by this Report.</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SECURITY OWNERSHIP OF CERTAIN BENEFICIAL OWNERS AND MANAGEMENT AND RELATED STOCKHOLDER MATTERS</w:t>
      </w:r>
    </w:p>
    <w:p>
      <w:pPr>
        <w:spacing w:after="0" w:line="197" w:lineRule="exact"/>
        <w:rPr>
          <w:sz w:val="20"/>
          <w:szCs w:val="20"/>
          <w:color w:val="auto"/>
        </w:rPr>
      </w:pPr>
    </w:p>
    <w:p>
      <w:pPr>
        <w:ind w:left="560" w:right="60"/>
        <w:spacing w:after="0" w:line="288" w:lineRule="auto"/>
        <w:rPr>
          <w:sz w:val="20"/>
          <w:szCs w:val="20"/>
          <w:color w:val="auto"/>
        </w:rPr>
      </w:pPr>
      <w:r>
        <w:rPr>
          <w:rFonts w:ascii="Times New Roman" w:cs="Times New Roman" w:eastAsia="Times New Roman" w:hAnsi="Times New Roman"/>
          <w:sz w:val="15"/>
          <w:szCs w:val="15"/>
          <w:color w:val="auto"/>
        </w:rPr>
        <w:t>The information required by Item 201(d) of Regulation S-K is set forth below. The remainder of the information required by this Item 12 is incorporated by reference from our definitive proxy statement for our 2024 Annual Meeting of Stockholders to be filed with the SEC within 120 days after the end of the fiscal year covered by this Report.</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following table shows the number of securities that may be issued pursuant to our equity compensation plans (including individual compensation arrangements) at</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December 31, 2023:</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3340" w:type="dxa"/>
            <w:vAlign w:val="bottom"/>
            <w:gridSpan w:val="4"/>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6"/>
        </w:trPr>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securities</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securities to be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remaining</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issued upon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average exercise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available for</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exercise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price of</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future issuance</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under equity</w:t>
            </w:r>
          </w:p>
        </w:tc>
      </w:t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options, warrants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options, warrants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compensation</w:t>
            </w:r>
          </w:p>
        </w:tc>
      </w:tr>
      <w:tr>
        <w:trPr>
          <w:trHeight w:val="201"/>
        </w:trPr>
        <w:tc>
          <w:tcPr>
            <w:tcW w:w="37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1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and rights(1)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and rights</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plans(2)</w:t>
            </w:r>
          </w:p>
        </w:tc>
        <w:tc>
          <w:tcPr>
            <w:tcW w:w="100" w:type="dxa"/>
            <w:vAlign w:val="bottom"/>
          </w:tcPr>
          <w:p>
            <w:pPr>
              <w:spacing w:after="0"/>
              <w:rPr>
                <w:sz w:val="17"/>
                <w:szCs w:val="17"/>
                <w:color w:val="auto"/>
              </w:rPr>
            </w:pPr>
          </w:p>
        </w:tc>
      </w:tr>
      <w:tr>
        <w:trPr>
          <w:trHeight w:val="17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3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505,006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10.46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1,350,094</w:t>
            </w: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620" w:type="dxa"/>
            <w:vAlign w:val="bottom"/>
            <w:gridSpan w:val="2"/>
          </w:tcPr>
          <w:p>
            <w:pPr>
              <w:spacing w:after="0"/>
              <w:rPr>
                <w:sz w:val="15"/>
                <w:szCs w:val="15"/>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620" w:type="dxa"/>
            <w:vAlign w:val="bottom"/>
            <w:gridSpan w:val="2"/>
            <w:shd w:val="clear" w:color="auto" w:fill="CCEEFF"/>
          </w:tcPr>
          <w:p>
            <w:pPr>
              <w:spacing w:after="0"/>
              <w:rPr>
                <w:sz w:val="16"/>
                <w:szCs w:val="16"/>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505,006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10.46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1,350,094</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1080" w:hanging="541"/>
        <w:spacing w:after="0"/>
        <w:tabs>
          <w:tab w:leader="none" w:pos="10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that may be issued are shares of inTEST common stock, issuable upon exercise of outstanding stock options.</w:t>
      </w:r>
    </w:p>
    <w:p>
      <w:pPr>
        <w:spacing w:after="0" w:line="32" w:lineRule="exact"/>
        <w:rPr>
          <w:rFonts w:ascii="Times New Roman" w:cs="Times New Roman" w:eastAsia="Times New Roman" w:hAnsi="Times New Roman"/>
          <w:sz w:val="15"/>
          <w:szCs w:val="15"/>
          <w:color w:val="auto"/>
        </w:rPr>
      </w:pPr>
    </w:p>
    <w:p>
      <w:pPr>
        <w:ind w:left="1080" w:right="20" w:hanging="541"/>
        <w:spacing w:after="0" w:line="288" w:lineRule="auto"/>
        <w:tabs>
          <w:tab w:leader="none" w:pos="10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that remain available for future issuance include 1,143,026 that are issuable pursuant to the inTEST Corporation 2023 Stock Incentive Plan and 207,068 that are issuable pursuant to the inTEST Corporation Employee Stock Purchase Plan.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14" w:right="319" w:bottom="1440" w:gutter="0" w:footer="0" w:header="0"/>
        </w:sectPr>
      </w:pPr>
    </w:p>
    <w:bookmarkStart w:id="35" w:name="page36"/>
    <w:bookmarkEnd w:id="35"/>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197" w:lineRule="exact"/>
        <w:rPr>
          <w:sz w:val="20"/>
          <w:szCs w:val="20"/>
          <w:color w:val="auto"/>
        </w:rPr>
      </w:pPr>
    </w:p>
    <w:p>
      <w:pPr>
        <w:ind w:left="560" w:right="240"/>
        <w:spacing w:after="0" w:line="288" w:lineRule="auto"/>
        <w:rPr>
          <w:sz w:val="20"/>
          <w:szCs w:val="20"/>
          <w:color w:val="auto"/>
        </w:rPr>
      </w:pPr>
      <w:r>
        <w:rPr>
          <w:rFonts w:ascii="Times New Roman" w:cs="Times New Roman" w:eastAsia="Times New Roman" w:hAnsi="Times New Roman"/>
          <w:sz w:val="15"/>
          <w:szCs w:val="15"/>
          <w:color w:val="auto"/>
        </w:rPr>
        <w:t>The information required by this Item 13 is incorporated by reference from our definitive proxy statement for our 2024 Annual Meeting of Stockholders to be filed with the SEC within 120 days after the end of the fiscal year covered by this Report.</w:t>
      </w:r>
    </w:p>
    <w:p>
      <w:pPr>
        <w:spacing w:after="0" w:line="1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PRINCIPAL ACCOUNTING FEES AND SERVICES</w:t>
      </w:r>
    </w:p>
    <w:p>
      <w:pPr>
        <w:spacing w:after="0" w:line="197" w:lineRule="exact"/>
        <w:rPr>
          <w:sz w:val="20"/>
          <w:szCs w:val="20"/>
          <w:color w:val="auto"/>
        </w:rPr>
      </w:pPr>
    </w:p>
    <w:p>
      <w:pPr>
        <w:ind w:left="560" w:right="240"/>
        <w:spacing w:after="0" w:line="288" w:lineRule="auto"/>
        <w:rPr>
          <w:sz w:val="20"/>
          <w:szCs w:val="20"/>
          <w:color w:val="auto"/>
        </w:rPr>
      </w:pPr>
      <w:r>
        <w:rPr>
          <w:rFonts w:ascii="Times New Roman" w:cs="Times New Roman" w:eastAsia="Times New Roman" w:hAnsi="Times New Roman"/>
          <w:sz w:val="15"/>
          <w:szCs w:val="15"/>
          <w:color w:val="auto"/>
        </w:rPr>
        <w:t>The information required by this Item 14 is incorporated by reference from our definitive proxy statement for our 2024 Annual Meeting of Stockholders to be filed with the SEC within 120 days after the end of the fiscal year covered by this Report.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PART IV</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EXHIBITS, FINANCIAL STATEMENT SCHEDULES</w:t>
      </w:r>
    </w:p>
    <w:p>
      <w:pPr>
        <w:spacing w:after="0" w:line="19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5"/>
          <w:szCs w:val="15"/>
          <w:color w:val="auto"/>
        </w:rPr>
        <w:t>The documents filed as part of this Annual Report on Form 10-K are:</w:t>
      </w:r>
    </w:p>
    <w:p>
      <w:pPr>
        <w:spacing w:after="0" w:line="216" w:lineRule="exact"/>
        <w:rPr>
          <w:sz w:val="20"/>
          <w:szCs w:val="20"/>
          <w:color w:val="auto"/>
        </w:rPr>
      </w:pPr>
    </w:p>
    <w:p>
      <w:pPr>
        <w:ind w:left="940" w:right="180"/>
        <w:spacing w:after="0" w:line="264" w:lineRule="auto"/>
        <w:rPr>
          <w:sz w:val="20"/>
          <w:szCs w:val="20"/>
          <w:color w:val="auto"/>
        </w:rPr>
      </w:pPr>
      <w:r>
        <w:rPr>
          <w:rFonts w:ascii="Times New Roman" w:cs="Times New Roman" w:eastAsia="Times New Roman" w:hAnsi="Times New Roman"/>
          <w:sz w:val="15"/>
          <w:szCs w:val="15"/>
          <w:color w:val="auto"/>
        </w:rPr>
        <w:t>(i) Our consolidated financial statements and notes thereto as well as the applicable reports of our independent registered public accounting firm are included in Part II, Item 8 of this Annual Report on Form 10-K.</w:t>
      </w:r>
    </w:p>
    <w:p>
      <w:pPr>
        <w:spacing w:after="0" w:line="1" w:lineRule="exact"/>
        <w:rPr>
          <w:sz w:val="20"/>
          <w:szCs w:val="20"/>
          <w:color w:val="auto"/>
        </w:rPr>
      </w:pPr>
    </w:p>
    <w:p>
      <w:pPr>
        <w:ind w:left="940" w:right="440"/>
        <w:spacing w:after="0" w:line="254" w:lineRule="auto"/>
        <w:rPr>
          <w:sz w:val="20"/>
          <w:szCs w:val="20"/>
          <w:color w:val="auto"/>
        </w:rPr>
      </w:pPr>
      <w:r>
        <w:rPr>
          <w:rFonts w:ascii="Times New Roman" w:cs="Times New Roman" w:eastAsia="Times New Roman" w:hAnsi="Times New Roman"/>
          <w:sz w:val="15"/>
          <w:szCs w:val="15"/>
          <w:color w:val="auto"/>
        </w:rPr>
        <w:t>(ii) The following financial statement schedule should be read in conjunction with the consolidated financial statements set forth in Part II, Item 8 of this Annual Report on Form 10-K:</w:t>
      </w:r>
    </w:p>
    <w:p>
      <w:pPr>
        <w:ind w:left="1540"/>
        <w:spacing w:after="0"/>
        <w:rPr>
          <w:sz w:val="20"/>
          <w:szCs w:val="20"/>
          <w:color w:val="auto"/>
        </w:rPr>
      </w:pPr>
      <w:r>
        <w:rPr>
          <w:rFonts w:ascii="Times New Roman" w:cs="Times New Roman" w:eastAsia="Times New Roman" w:hAnsi="Times New Roman"/>
          <w:sz w:val="15"/>
          <w:szCs w:val="15"/>
          <w:color w:val="auto"/>
        </w:rPr>
        <w:t>Schedule II -- Valuation and Qualifying Accounts</w:t>
      </w:r>
    </w:p>
    <w:p>
      <w:pPr>
        <w:spacing w:after="0" w:line="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(iii)  The exhibits required by Item 601 of Regulation S-K are included under Item 15(b) of this Annual Report on Form 10-K.</w:t>
      </w:r>
    </w:p>
    <w:p>
      <w:pPr>
        <w:spacing w:after="0" w:line="17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(b)</w:t>
      </w:r>
      <w:r>
        <w:rPr>
          <w:sz w:val="20"/>
          <w:szCs w:val="20"/>
          <w:color w:val="auto"/>
        </w:rPr>
        <w:tab/>
      </w:r>
      <w:r>
        <w:rPr>
          <w:rFonts w:ascii="Times New Roman" w:cs="Times New Roman" w:eastAsia="Times New Roman" w:hAnsi="Times New Roman"/>
          <w:sz w:val="15"/>
          <w:szCs w:val="15"/>
          <w:color w:val="auto"/>
        </w:rPr>
        <w:t>Exhibits required by Item 601 of Regulation S-K: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1072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auto"/>
              </w:rPr>
              <w:t>A list of the Exhibits which are required by Item 601 of Regulation S-K and filed with this Report is set forth in the Index to Exhibits immediately preceding the signature</w:t>
            </w: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1072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auto"/>
              </w:rPr>
              <w:t>page, which Index to Exhibits is incorporated herein by reference.</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8"/>
              </w:rPr>
              <w:t>Item 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40" w:type="dxa"/>
            <w:vAlign w:val="bottom"/>
            <w:gridSpan w:val="14"/>
          </w:tcPr>
          <w:p>
            <w:pPr>
              <w:spacing w:after="0"/>
              <w:rPr>
                <w:sz w:val="20"/>
                <w:szCs w:val="20"/>
                <w:color w:val="auto"/>
              </w:rPr>
            </w:pPr>
            <w:r>
              <w:rPr>
                <w:rFonts w:ascii="Times New Roman" w:cs="Times New Roman" w:eastAsia="Times New Roman" w:hAnsi="Times New Roman"/>
                <w:sz w:val="15"/>
                <w:szCs w:val="15"/>
                <w:b w:val="1"/>
                <w:bCs w:val="1"/>
                <w:color w:val="auto"/>
              </w:rPr>
              <w:t>FORM 10-K SUMMARY</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072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auto"/>
              </w:rPr>
              <w:t>None.</w:t>
            </w:r>
          </w:p>
        </w:tc>
        <w:tc>
          <w:tcPr>
            <w:tcW w:w="0" w:type="dxa"/>
            <w:vAlign w:val="bottom"/>
          </w:tcPr>
          <w:p>
            <w:pPr>
              <w:spacing w:after="0"/>
              <w:rPr>
                <w:sz w:val="1"/>
                <w:szCs w:val="1"/>
                <w:color w:val="auto"/>
              </w:rPr>
            </w:pPr>
          </w:p>
        </w:tc>
      </w:tr>
      <w:tr>
        <w:trPr>
          <w:trHeight w:val="513"/>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120" w:type="dxa"/>
            <w:vAlign w:val="bottom"/>
            <w:gridSpan w:val="10"/>
          </w:tcPr>
          <w:p>
            <w:pPr>
              <w:ind w:left="1020"/>
              <w:spacing w:after="0"/>
              <w:rPr>
                <w:sz w:val="20"/>
                <w:szCs w:val="20"/>
                <w:color w:val="auto"/>
              </w:rPr>
            </w:pPr>
            <w:r>
              <w:rPr>
                <w:rFonts w:ascii="Times New Roman" w:cs="Times New Roman" w:eastAsia="Times New Roman" w:hAnsi="Times New Roman"/>
                <w:sz w:val="15"/>
                <w:szCs w:val="15"/>
                <w:b w:val="1"/>
                <w:bCs w:val="1"/>
                <w:color w:val="auto"/>
              </w:rPr>
              <w:t>Index to Exhibits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w w:val="97"/>
              </w:rPr>
              <w:t>Number</w:t>
            </w:r>
          </w:p>
        </w:tc>
        <w:tc>
          <w:tcPr>
            <w:tcW w:w="140" w:type="dxa"/>
            <w:vAlign w:val="bottom"/>
          </w:tcPr>
          <w:p>
            <w:pPr>
              <w:spacing w:after="0"/>
              <w:rPr>
                <w:sz w:val="14"/>
                <w:szCs w:val="14"/>
                <w:color w:val="auto"/>
              </w:rPr>
            </w:pPr>
          </w:p>
        </w:tc>
        <w:tc>
          <w:tcPr>
            <w:tcW w:w="1440" w:type="dxa"/>
            <w:vAlign w:val="bottom"/>
            <w:tcBorders>
              <w:bottom w:val="single" w:sz="8" w:color="auto"/>
            </w:tcBorders>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Description of Exhibit</w:t>
            </w:r>
          </w:p>
        </w:tc>
        <w:tc>
          <w:tcPr>
            <w:tcW w:w="91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0000EE"/>
            </w:tcBorders>
            <w:gridSpan w:val="3"/>
          </w:tcPr>
          <w:p>
            <w:pPr>
              <w:spacing w:after="0" w:line="163" w:lineRule="exact"/>
              <w:rPr>
                <w:rFonts w:ascii="Times New Roman" w:cs="Times New Roman" w:eastAsia="Times New Roman" w:hAnsi="Times New Roman"/>
                <w:sz w:val="15"/>
                <w:szCs w:val="15"/>
                <w:color w:val="0000EE"/>
                <w:w w:val="98"/>
              </w:rPr>
            </w:pPr>
            <w:hyperlink r:id="rId41">
              <w:r>
                <w:rPr>
                  <w:rFonts w:ascii="Times New Roman" w:cs="Times New Roman" w:eastAsia="Times New Roman" w:hAnsi="Times New Roman"/>
                  <w:sz w:val="15"/>
                  <w:szCs w:val="15"/>
                  <w:color w:val="0000EE"/>
                  <w:w w:val="98"/>
                </w:rPr>
                <w:t>Certificate of Incorporation. (2)</w:t>
              </w:r>
            </w:hyperlink>
          </w:p>
        </w:tc>
        <w:tc>
          <w:tcPr>
            <w:tcW w:w="85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3.2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40" w:type="dxa"/>
            <w:vAlign w:val="bottom"/>
            <w:gridSpan w:val="14"/>
          </w:tcPr>
          <w:p>
            <w:pPr>
              <w:spacing w:after="0" w:line="163" w:lineRule="exact"/>
              <w:rPr>
                <w:rFonts w:ascii="Times New Roman" w:cs="Times New Roman" w:eastAsia="Times New Roman" w:hAnsi="Times New Roman"/>
                <w:sz w:val="15"/>
                <w:szCs w:val="15"/>
                <w:color w:val="0000EE"/>
              </w:rPr>
            </w:pPr>
            <w:hyperlink r:id="rId42">
              <w:r>
                <w:rPr>
                  <w:rFonts w:ascii="Times New Roman" w:cs="Times New Roman" w:eastAsia="Times New Roman" w:hAnsi="Times New Roman"/>
                  <w:sz w:val="15"/>
                  <w:szCs w:val="15"/>
                  <w:color w:val="0000EE"/>
                </w:rPr>
                <w:t>Bylaws as amended and restated on April 23, 2018. (3)</w:t>
              </w:r>
            </w:hyperlink>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4.1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2"/>
          </w:tcPr>
          <w:p>
            <w:pPr>
              <w:spacing w:after="0" w:line="163" w:lineRule="exact"/>
              <w:rPr>
                <w:rFonts w:ascii="Times New Roman" w:cs="Times New Roman" w:eastAsia="Times New Roman" w:hAnsi="Times New Roman"/>
                <w:sz w:val="15"/>
                <w:szCs w:val="15"/>
                <w:color w:val="0000EE"/>
                <w:w w:val="98"/>
              </w:rPr>
            </w:pPr>
            <w:hyperlink r:id="rId43">
              <w:r>
                <w:rPr>
                  <w:rFonts w:ascii="Times New Roman" w:cs="Times New Roman" w:eastAsia="Times New Roman" w:hAnsi="Times New Roman"/>
                  <w:sz w:val="15"/>
                  <w:szCs w:val="15"/>
                  <w:color w:val="0000EE"/>
                  <w:w w:val="98"/>
                </w:rPr>
                <w:t>Description of Securities. (2)</w:t>
              </w:r>
            </w:hyperlink>
          </w:p>
        </w:tc>
        <w:tc>
          <w:tcPr>
            <w:tcW w:w="1580" w:type="dxa"/>
            <w:vAlign w:val="bottom"/>
            <w:tcBorders>
              <w:top w:val="single" w:sz="8" w:color="0000EE"/>
            </w:tcBorders>
            <w:gridSpan w:val="2"/>
          </w:tcPr>
          <w:p>
            <w:pPr>
              <w:spacing w:after="0"/>
              <w:rPr>
                <w:sz w:val="14"/>
                <w:szCs w:val="14"/>
                <w:color w:val="auto"/>
              </w:rPr>
            </w:pPr>
          </w:p>
        </w:tc>
        <w:tc>
          <w:tcPr>
            <w:tcW w:w="71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tcBorders>
              <w:bottom w:val="single" w:sz="8" w:color="0000EE"/>
            </w:tcBorders>
            <w:gridSpan w:val="7"/>
          </w:tcPr>
          <w:p>
            <w:pPr>
              <w:spacing w:after="0" w:line="163" w:lineRule="exact"/>
              <w:rPr>
                <w:rFonts w:ascii="Times New Roman" w:cs="Times New Roman" w:eastAsia="Times New Roman" w:hAnsi="Times New Roman"/>
                <w:sz w:val="15"/>
                <w:szCs w:val="15"/>
                <w:color w:val="0000EE"/>
              </w:rPr>
            </w:pPr>
            <w:hyperlink r:id="rId44">
              <w:r>
                <w:rPr>
                  <w:rFonts w:ascii="Times New Roman" w:cs="Times New Roman" w:eastAsia="Times New Roman" w:hAnsi="Times New Roman"/>
                  <w:sz w:val="15"/>
                  <w:szCs w:val="15"/>
                  <w:color w:val="0000EE"/>
                </w:rPr>
                <w:t>Lease Agreement between Exeter 804 East Gate, LLC and the Company dated May 10, 2010. (4)</w:t>
              </w:r>
            </w:hyperlink>
          </w:p>
        </w:tc>
        <w:tc>
          <w:tcPr>
            <w:tcW w:w="45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bottom w:val="single" w:sz="8" w:color="0000EE"/>
            </w:tcBorders>
            <w:gridSpan w:val="10"/>
          </w:tcPr>
          <w:p>
            <w:pPr>
              <w:spacing w:after="0" w:line="163" w:lineRule="exact"/>
              <w:rPr>
                <w:rFonts w:ascii="Times New Roman" w:cs="Times New Roman" w:eastAsia="Times New Roman" w:hAnsi="Times New Roman"/>
                <w:sz w:val="15"/>
                <w:szCs w:val="15"/>
                <w:color w:val="0000EE"/>
              </w:rPr>
            </w:pPr>
            <w:hyperlink r:id="rId45">
              <w:r>
                <w:rPr>
                  <w:rFonts w:ascii="Times New Roman" w:cs="Times New Roman" w:eastAsia="Times New Roman" w:hAnsi="Times New Roman"/>
                  <w:sz w:val="15"/>
                  <w:szCs w:val="15"/>
                  <w:color w:val="0000EE"/>
                </w:rPr>
                <w:t>First Amendment to Lease Agreement, dated September 22, 2020, by and between inTEST Corporation and Exeter 804 East Gate 2018, LLC. (5)</w:t>
              </w:r>
            </w:hyperlink>
          </w:p>
        </w:tc>
        <w:tc>
          <w:tcPr>
            <w:tcW w:w="16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0" w:type="dxa"/>
            <w:vAlign w:val="bottom"/>
            <w:tcBorders>
              <w:bottom w:val="single" w:sz="8" w:color="0000EE"/>
            </w:tcBorders>
            <w:gridSpan w:val="9"/>
          </w:tcPr>
          <w:p>
            <w:pPr>
              <w:spacing w:after="0" w:line="163" w:lineRule="exact"/>
              <w:rPr>
                <w:rFonts w:ascii="Times New Roman" w:cs="Times New Roman" w:eastAsia="Times New Roman" w:hAnsi="Times New Roman"/>
                <w:sz w:val="15"/>
                <w:szCs w:val="15"/>
                <w:color w:val="0000EE"/>
              </w:rPr>
            </w:pPr>
            <w:hyperlink r:id="rId46">
              <w:r>
                <w:rPr>
                  <w:rFonts w:ascii="Times New Roman" w:cs="Times New Roman" w:eastAsia="Times New Roman" w:hAnsi="Times New Roman"/>
                  <w:sz w:val="15"/>
                  <w:szCs w:val="15"/>
                  <w:color w:val="0000EE"/>
                </w:rPr>
                <w:t>Second Amendment to Lease Agreement, dated April 7, 2021, by and between inTEST Corporation and Exeter 804 East Gate 2018, LLC. (6)</w:t>
              </w:r>
            </w:hyperlink>
          </w:p>
        </w:tc>
        <w:tc>
          <w:tcPr>
            <w:tcW w:w="18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40" w:type="dxa"/>
            <w:vAlign w:val="bottom"/>
            <w:gridSpan w:val="14"/>
          </w:tcPr>
          <w:p>
            <w:pPr>
              <w:spacing w:after="0" w:line="163" w:lineRule="exact"/>
              <w:rPr>
                <w:rFonts w:ascii="Times New Roman" w:cs="Times New Roman" w:eastAsia="Times New Roman" w:hAnsi="Times New Roman"/>
                <w:sz w:val="15"/>
                <w:szCs w:val="15"/>
                <w:color w:val="0000EE"/>
              </w:rPr>
            </w:pPr>
            <w:hyperlink r:id="rId47">
              <w:r>
                <w:rPr>
                  <w:rFonts w:ascii="Times New Roman" w:cs="Times New Roman" w:eastAsia="Times New Roman" w:hAnsi="Times New Roman"/>
                  <w:sz w:val="15"/>
                  <w:szCs w:val="15"/>
                  <w:color w:val="0000EE"/>
                </w:rPr>
                <w:t>Lease Agreement between AMB-SGP Seattle/Boston, LLC and Temptronic Corporation (a subsidiary of the Company), dated October 25, 2010. (7)</w:t>
              </w:r>
            </w:hyperlink>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0" w:type="dxa"/>
            <w:vAlign w:val="bottom"/>
            <w:tcBorders>
              <w:top w:val="single" w:sz="8" w:color="0000EE"/>
            </w:tcBorders>
            <w:gridSpan w:val="11"/>
          </w:tcPr>
          <w:p>
            <w:pPr>
              <w:spacing w:after="0" w:line="163" w:lineRule="exact"/>
              <w:rPr>
                <w:rFonts w:ascii="Times New Roman" w:cs="Times New Roman" w:eastAsia="Times New Roman" w:hAnsi="Times New Roman"/>
                <w:sz w:val="15"/>
                <w:szCs w:val="15"/>
                <w:color w:val="0000EE"/>
              </w:rPr>
            </w:pPr>
            <w:hyperlink r:id="rId48">
              <w:r>
                <w:rPr>
                  <w:rFonts w:ascii="Times New Roman" w:cs="Times New Roman" w:eastAsia="Times New Roman" w:hAnsi="Times New Roman"/>
                  <w:sz w:val="15"/>
                  <w:szCs w:val="15"/>
                  <w:color w:val="0000EE"/>
                </w:rPr>
                <w:t>Second Amendment to Lease between James Campbell Company, LLC and Temptronic Corporation dated April 8, 2019. (8)</w:t>
              </w:r>
            </w:hyperlink>
          </w:p>
        </w:tc>
        <w:tc>
          <w:tcPr>
            <w:tcW w:w="14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560" w:type="dxa"/>
            <w:vAlign w:val="bottom"/>
            <w:gridSpan w:val="8"/>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40" w:type="dxa"/>
            <w:vAlign w:val="bottom"/>
            <w:gridSpan w:val="14"/>
          </w:tcPr>
          <w:p>
            <w:pPr>
              <w:spacing w:after="0" w:line="163" w:lineRule="exact"/>
              <w:rPr>
                <w:rFonts w:ascii="Times New Roman" w:cs="Times New Roman" w:eastAsia="Times New Roman" w:hAnsi="Times New Roman"/>
                <w:sz w:val="15"/>
                <w:szCs w:val="15"/>
                <w:color w:val="0000EE"/>
              </w:rPr>
            </w:pPr>
            <w:hyperlink r:id="rId49">
              <w:r>
                <w:rPr>
                  <w:rFonts w:ascii="Times New Roman" w:cs="Times New Roman" w:eastAsia="Times New Roman" w:hAnsi="Times New Roman"/>
                  <w:sz w:val="15"/>
                  <w:szCs w:val="15"/>
                  <w:color w:val="0000EE"/>
                </w:rPr>
                <w:t>Lease Agreement between Columbia California Warm Springs Industrial, LLC and inTEST Silicon Valley Corporation dated January 9, 2012. (9)</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40" w:type="dxa"/>
            <w:vAlign w:val="bottom"/>
            <w:gridSpan w:val="10"/>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40" w:type="dxa"/>
            <w:vAlign w:val="bottom"/>
            <w:gridSpan w:val="14"/>
          </w:tcPr>
          <w:p>
            <w:pPr>
              <w:spacing w:after="0" w:line="163" w:lineRule="exact"/>
              <w:rPr>
                <w:rFonts w:ascii="Times New Roman" w:cs="Times New Roman" w:eastAsia="Times New Roman" w:hAnsi="Times New Roman"/>
                <w:sz w:val="15"/>
                <w:szCs w:val="15"/>
                <w:color w:val="0000EE"/>
              </w:rPr>
            </w:pPr>
            <w:hyperlink r:id="rId50">
              <w:r>
                <w:rPr>
                  <w:rFonts w:ascii="Times New Roman" w:cs="Times New Roman" w:eastAsia="Times New Roman" w:hAnsi="Times New Roman"/>
                  <w:sz w:val="15"/>
                  <w:szCs w:val="15"/>
                  <w:color w:val="0000EE"/>
                </w:rPr>
                <w:t>First Amendment to Lease Agreement between Columbia California Warm Springs Industrial, LLC and inTEST Silicon Valley Corporation dated November 18, 2016. (10)</w:t>
              </w:r>
            </w:hyperlink>
          </w:p>
        </w:tc>
        <w:tc>
          <w:tcPr>
            <w:tcW w:w="0" w:type="dxa"/>
            <w:vAlign w:val="bottom"/>
          </w:tcPr>
          <w:p>
            <w:pPr>
              <w:spacing w:after="0"/>
              <w:rPr>
                <w:sz w:val="1"/>
                <w:szCs w:val="1"/>
                <w:color w:val="auto"/>
              </w:rPr>
            </w:pP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20" w:type="dxa"/>
            <w:vAlign w:val="bottom"/>
            <w:tcBorders>
              <w:top w:val="single" w:sz="8" w:color="0000EE"/>
            </w:tcBorders>
            <w:gridSpan w:val="13"/>
          </w:tcPr>
          <w:p>
            <w:pPr>
              <w:spacing w:after="0" w:line="163" w:lineRule="exact"/>
              <w:rPr>
                <w:rFonts w:ascii="Times New Roman" w:cs="Times New Roman" w:eastAsia="Times New Roman" w:hAnsi="Times New Roman"/>
                <w:sz w:val="15"/>
                <w:szCs w:val="15"/>
                <w:color w:val="0000EE"/>
              </w:rPr>
            </w:pPr>
            <w:hyperlink r:id="rId51">
              <w:r>
                <w:rPr>
                  <w:rFonts w:ascii="Times New Roman" w:cs="Times New Roman" w:eastAsia="Times New Roman" w:hAnsi="Times New Roman"/>
                  <w:sz w:val="15"/>
                  <w:szCs w:val="15"/>
                  <w:color w:val="0000EE"/>
                </w:rPr>
                <w:t>Second Amendment to Standard Lease Agreement, dated January 23, 2020, by and between inTEST Silicon Valley Corporation and Fremont Business Center, LLC. (11)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5460" w:type="dxa"/>
            <w:vAlign w:val="bottom"/>
            <w:tcBorders>
              <w:top w:val="single" w:sz="8" w:color="0000EE"/>
            </w:tcBorders>
            <w:gridSpan w:val="6"/>
          </w:tcPr>
          <w:p>
            <w:pPr>
              <w:jc w:val="right"/>
              <w:ind w:right="580"/>
              <w:spacing w:after="0"/>
              <w:rPr>
                <w:sz w:val="20"/>
                <w:szCs w:val="20"/>
                <w:color w:val="auto"/>
              </w:rPr>
            </w:pPr>
            <w:r>
              <w:rPr>
                <w:rFonts w:ascii="Times New Roman" w:cs="Times New Roman" w:eastAsia="Times New Roman" w:hAnsi="Times New Roman"/>
                <w:sz w:val="15"/>
                <w:szCs w:val="15"/>
                <w:color w:val="auto"/>
              </w:rPr>
              <w:t>35</w:t>
            </w:r>
          </w:p>
        </w:tc>
        <w:tc>
          <w:tcPr>
            <w:tcW w:w="44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9" w:right="319" w:bottom="1440" w:gutter="0" w:footer="0" w:header="0"/>
        </w:sectPr>
      </w:pPr>
    </w:p>
    <w:bookmarkStart w:id="36" w:name="page37"/>
    <w:bookmarkEnd w:id="36"/>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8240" w:type="dxa"/>
            <w:vAlign w:val="bottom"/>
            <w:tcBorders>
              <w:bottom w:val="single" w:sz="8" w:color="0000EE"/>
            </w:tcBorders>
            <w:gridSpan w:val="27"/>
          </w:tcPr>
          <w:p>
            <w:pPr>
              <w:spacing w:after="0"/>
              <w:rPr>
                <w:rFonts w:ascii="Times New Roman" w:cs="Times New Roman" w:eastAsia="Times New Roman" w:hAnsi="Times New Roman"/>
                <w:sz w:val="15"/>
                <w:szCs w:val="15"/>
                <w:color w:val="0000EE"/>
              </w:rPr>
            </w:pPr>
            <w:hyperlink r:id="rId52">
              <w:r>
                <w:rPr>
                  <w:rFonts w:ascii="Times New Roman" w:cs="Times New Roman" w:eastAsia="Times New Roman" w:hAnsi="Times New Roman"/>
                  <w:sz w:val="15"/>
                  <w:szCs w:val="15"/>
                  <w:color w:val="0000EE"/>
                </w:rPr>
                <w:t>Guaranty Agreements between Columbia California Warm Springs Industrial, LLC and inTEST Corporation dated January 9, 2012. (9)</w:t>
              </w:r>
            </w:hyperlink>
          </w:p>
        </w:tc>
        <w:tc>
          <w:tcPr>
            <w:tcW w:w="2180" w:type="dxa"/>
            <w:vAlign w:val="bottom"/>
            <w:gridSpan w:val="8"/>
          </w:tcPr>
          <w:p>
            <w:pPr>
              <w:spacing w:after="0"/>
              <w:rPr>
                <w:sz w:val="15"/>
                <w:szCs w:val="15"/>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10.10</w:t>
            </w:r>
          </w:p>
        </w:tc>
        <w:tc>
          <w:tcPr>
            <w:tcW w:w="7100" w:type="dxa"/>
            <w:vAlign w:val="bottom"/>
            <w:tcBorders>
              <w:bottom w:val="single" w:sz="8" w:color="0000EE"/>
            </w:tcBorders>
            <w:gridSpan w:val="21"/>
          </w:tcPr>
          <w:p>
            <w:pPr>
              <w:spacing w:after="0" w:line="163" w:lineRule="exact"/>
              <w:rPr>
                <w:rFonts w:ascii="Times New Roman" w:cs="Times New Roman" w:eastAsia="Times New Roman" w:hAnsi="Times New Roman"/>
                <w:sz w:val="15"/>
                <w:szCs w:val="15"/>
                <w:color w:val="0000EE"/>
              </w:rPr>
            </w:pPr>
            <w:hyperlink r:id="rId53">
              <w:r>
                <w:rPr>
                  <w:rFonts w:ascii="Times New Roman" w:cs="Times New Roman" w:eastAsia="Times New Roman" w:hAnsi="Times New Roman"/>
                  <w:sz w:val="15"/>
                  <w:szCs w:val="15"/>
                  <w:color w:val="0000EE"/>
                </w:rPr>
                <w:t>Lease Agreement between Maguire Family Properties, Inc. and Ambrell Corporation dated December 19, 2017. (12)</w:t>
              </w:r>
            </w:hyperlink>
          </w:p>
        </w:tc>
        <w:tc>
          <w:tcPr>
            <w:tcW w:w="3320" w:type="dxa"/>
            <w:vAlign w:val="bottom"/>
            <w:gridSpan w:val="14"/>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10.11</w:t>
            </w:r>
          </w:p>
        </w:tc>
        <w:tc>
          <w:tcPr>
            <w:tcW w:w="7160" w:type="dxa"/>
            <w:vAlign w:val="bottom"/>
            <w:tcBorders>
              <w:bottom w:val="single" w:sz="8" w:color="0000EE"/>
            </w:tcBorders>
            <w:gridSpan w:val="22"/>
          </w:tcPr>
          <w:p>
            <w:pPr>
              <w:spacing w:after="0" w:line="163" w:lineRule="exact"/>
              <w:rPr>
                <w:rFonts w:ascii="Times New Roman" w:cs="Times New Roman" w:eastAsia="Times New Roman" w:hAnsi="Times New Roman"/>
                <w:sz w:val="15"/>
                <w:szCs w:val="15"/>
                <w:color w:val="0000EE"/>
              </w:rPr>
            </w:pPr>
            <w:hyperlink r:id="rId54">
              <w:r>
                <w:rPr>
                  <w:rFonts w:ascii="Times New Roman" w:cs="Times New Roman" w:eastAsia="Times New Roman" w:hAnsi="Times New Roman"/>
                  <w:sz w:val="15"/>
                  <w:szCs w:val="15"/>
                  <w:color w:val="0000EE"/>
                </w:rPr>
                <w:t>Guaranty of Lease between Maguire Family Properties, Inc. and Ambrell Corporation dated December 19, 2017. (12)</w:t>
              </w:r>
            </w:hyperlink>
          </w:p>
        </w:tc>
        <w:tc>
          <w:tcPr>
            <w:tcW w:w="3260" w:type="dxa"/>
            <w:vAlign w:val="bottom"/>
            <w:gridSpan w:val="13"/>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10.12</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55">
              <w:r>
                <w:rPr>
                  <w:rFonts w:ascii="Times New Roman" w:cs="Times New Roman" w:eastAsia="Times New Roman" w:hAnsi="Times New Roman"/>
                  <w:sz w:val="15"/>
                  <w:szCs w:val="15"/>
                  <w:color w:val="0000EE"/>
                </w:rPr>
                <w:t>Lease Agreement between Apple Creek Properties Limited and Acculogic Inc. dated November 30, 2022. (22)</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10.13</w:t>
            </w:r>
          </w:p>
        </w:tc>
        <w:tc>
          <w:tcPr>
            <w:tcW w:w="10140" w:type="dxa"/>
            <w:vAlign w:val="bottom"/>
            <w:tcBorders>
              <w:bottom w:val="single" w:sz="8" w:color="0000EE"/>
            </w:tcBorders>
            <w:gridSpan w:val="32"/>
          </w:tcPr>
          <w:p>
            <w:pPr>
              <w:spacing w:after="0" w:line="163" w:lineRule="exact"/>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Amended and Restated Loan and Security Agreement dated October 15, 2021, among inTEST Corporation, Ambrell Corporation, inTEST Silicon Valley Corporation,</w:t>
              </w:r>
            </w:hyperlink>
          </w:p>
        </w:tc>
        <w:tc>
          <w:tcPr>
            <w:tcW w:w="280" w:type="dxa"/>
            <w:vAlign w:val="bottom"/>
            <w:gridSpan w:val="3"/>
          </w:tcPr>
          <w:p>
            <w:pPr>
              <w:spacing w:after="0"/>
              <w:rPr>
                <w:sz w:val="14"/>
                <w:szCs w:val="14"/>
                <w:color w:val="auto"/>
              </w:rPr>
            </w:pPr>
          </w:p>
        </w:tc>
      </w:tr>
      <w:tr>
        <w:trPr>
          <w:trHeight w:val="163"/>
        </w:trPr>
        <w:tc>
          <w:tcPr>
            <w:tcW w:w="800" w:type="dxa"/>
            <w:vAlign w:val="bottom"/>
          </w:tcPr>
          <w:p>
            <w:pPr>
              <w:spacing w:after="0"/>
              <w:rPr>
                <w:sz w:val="14"/>
                <w:szCs w:val="14"/>
                <w:color w:val="auto"/>
              </w:rPr>
            </w:pP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inTEST EMS, LLC, Temptronic Corporation and M&amp;T Bank. (23)</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10.14</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color w:val="0000EE"/>
                </w:rPr>
                <w:t>Joinder and Second Amendment to Amended and Restated Loan and Security Agreement, dated December 30, 2021, among inTEST Corporation, Ambrell Corporation,</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800" w:type="dxa"/>
            <w:vAlign w:val="bottom"/>
          </w:tcPr>
          <w:p>
            <w:pPr>
              <w:spacing w:after="0"/>
              <w:rPr>
                <w:sz w:val="14"/>
                <w:szCs w:val="14"/>
                <w:color w:val="auto"/>
              </w:rPr>
            </w:pPr>
          </w:p>
        </w:tc>
        <w:tc>
          <w:tcPr>
            <w:tcW w:w="10280" w:type="dxa"/>
            <w:vAlign w:val="bottom"/>
            <w:tcBorders>
              <w:bottom w:val="single" w:sz="8" w:color="0000EE"/>
            </w:tcBorders>
            <w:gridSpan w:val="34"/>
          </w:tcPr>
          <w:p>
            <w:pPr>
              <w:spacing w:after="0" w:line="163" w:lineRule="exact"/>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color w:val="0000EE"/>
                </w:rPr>
                <w:t>inTEST Silicon Valley Corporation, inTEST EMS, LLC, Temptronic Corporation, Videology Imaging Corporation, Acculogic Ltd., Acculogic Inc. and M&amp;T Bank. (13)</w:t>
              </w:r>
            </w:hyperlink>
          </w:p>
        </w:tc>
        <w:tc>
          <w:tcPr>
            <w:tcW w:w="140" w:type="dxa"/>
            <w:vAlign w:val="bottom"/>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10.15</w:t>
            </w:r>
          </w:p>
        </w:tc>
        <w:tc>
          <w:tcPr>
            <w:tcW w:w="10420" w:type="dxa"/>
            <w:vAlign w:val="bottom"/>
            <w:tcBorders>
              <w:bottom w:val="single" w:sz="8" w:color="0000EE"/>
            </w:tcBorders>
            <w:gridSpan w:val="35"/>
          </w:tcPr>
          <w:p>
            <w:pPr>
              <w:spacing w:after="0" w:line="163" w:lineRule="exact"/>
              <w:rPr>
                <w:rFonts w:ascii="Times New Roman" w:cs="Times New Roman" w:eastAsia="Times New Roman" w:hAnsi="Times New Roman"/>
                <w:sz w:val="15"/>
                <w:szCs w:val="15"/>
                <w:color w:val="0000EE"/>
              </w:rPr>
            </w:pPr>
            <w:hyperlink r:id="rId58">
              <w:r>
                <w:rPr>
                  <w:rFonts w:ascii="Times New Roman" w:cs="Times New Roman" w:eastAsia="Times New Roman" w:hAnsi="Times New Roman"/>
                  <w:sz w:val="15"/>
                  <w:szCs w:val="15"/>
                  <w:color w:val="0000EE"/>
                </w:rPr>
                <w:t>Third Amendment to Amended and Restated Loan and Security Agreement, dated September 20, 2022, among inTEST Corporation, Ambrell Corporation, inTEST Silicon</w:t>
              </w:r>
            </w:hyperlink>
          </w:p>
        </w:tc>
      </w:tr>
      <w:tr>
        <w:trPr>
          <w:trHeight w:val="163"/>
        </w:trPr>
        <w:tc>
          <w:tcPr>
            <w:tcW w:w="800" w:type="dxa"/>
            <w:vAlign w:val="bottom"/>
          </w:tcPr>
          <w:p>
            <w:pPr>
              <w:spacing w:after="0"/>
              <w:rPr>
                <w:sz w:val="14"/>
                <w:szCs w:val="14"/>
                <w:color w:val="auto"/>
              </w:rPr>
            </w:pPr>
          </w:p>
        </w:tc>
        <w:tc>
          <w:tcPr>
            <w:tcW w:w="9300" w:type="dxa"/>
            <w:vAlign w:val="bottom"/>
            <w:tcBorders>
              <w:bottom w:val="single" w:sz="8" w:color="0000EE"/>
            </w:tcBorders>
            <w:gridSpan w:val="28"/>
          </w:tcPr>
          <w:p>
            <w:pPr>
              <w:spacing w:after="0" w:line="163" w:lineRule="exact"/>
              <w:rPr>
                <w:rFonts w:ascii="Times New Roman" w:cs="Times New Roman" w:eastAsia="Times New Roman" w:hAnsi="Times New Roman"/>
                <w:sz w:val="15"/>
                <w:szCs w:val="15"/>
                <w:color w:val="0000EE"/>
              </w:rPr>
            </w:pPr>
            <w:hyperlink r:id="rId58">
              <w:r>
                <w:rPr>
                  <w:rFonts w:ascii="Times New Roman" w:cs="Times New Roman" w:eastAsia="Times New Roman" w:hAnsi="Times New Roman"/>
                  <w:sz w:val="15"/>
                  <w:szCs w:val="15"/>
                  <w:color w:val="0000EE"/>
                </w:rPr>
                <w:t>Valley Corporation, inTEST EMS, LLC, Temptronic Corporation, Videology Imaging Corporation, Acculogic Ltd., Acculogic Inc. and M&amp;T Bank. (24)</w:t>
              </w:r>
            </w:hyperlink>
          </w:p>
        </w:tc>
        <w:tc>
          <w:tcPr>
            <w:tcW w:w="1120" w:type="dxa"/>
            <w:vAlign w:val="bottom"/>
            <w:gridSpan w:val="7"/>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10.16</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59">
              <w:r>
                <w:rPr>
                  <w:rFonts w:ascii="Times New Roman" w:cs="Times New Roman" w:eastAsia="Times New Roman" w:hAnsi="Times New Roman"/>
                  <w:sz w:val="15"/>
                  <w:szCs w:val="15"/>
                  <w:color w:val="0000EE"/>
                </w:rPr>
                <w:t>Amended and Restated Delayed Draw Term Note 1, dated October 28, 2021. (1)</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10.17</w:t>
            </w:r>
          </w:p>
        </w:tc>
        <w:tc>
          <w:tcPr>
            <w:tcW w:w="5700" w:type="dxa"/>
            <w:vAlign w:val="bottom"/>
            <w:tcBorders>
              <w:bottom w:val="single" w:sz="8" w:color="0000EE"/>
            </w:tcBorders>
            <w:gridSpan w:val="15"/>
          </w:tcPr>
          <w:p>
            <w:pPr>
              <w:spacing w:after="0" w:line="163" w:lineRule="exact"/>
              <w:rPr>
                <w:rFonts w:ascii="Times New Roman" w:cs="Times New Roman" w:eastAsia="Times New Roman" w:hAnsi="Times New Roman"/>
                <w:sz w:val="15"/>
                <w:szCs w:val="15"/>
                <w:color w:val="0000EE"/>
              </w:rPr>
            </w:pPr>
            <w:hyperlink r:id="rId60">
              <w:r>
                <w:rPr>
                  <w:rFonts w:ascii="Times New Roman" w:cs="Times New Roman" w:eastAsia="Times New Roman" w:hAnsi="Times New Roman"/>
                  <w:sz w:val="15"/>
                  <w:szCs w:val="15"/>
                  <w:color w:val="0000EE"/>
                </w:rPr>
                <w:t>Second Amended and Restated Delayed Draw Term Note 1A, dated December 30, 2021. (13)</w:t>
              </w:r>
            </w:hyperlink>
          </w:p>
        </w:tc>
        <w:tc>
          <w:tcPr>
            <w:tcW w:w="4720" w:type="dxa"/>
            <w:vAlign w:val="bottom"/>
            <w:gridSpan w:val="20"/>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10.18</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61">
              <w:r>
                <w:rPr>
                  <w:rFonts w:ascii="Times New Roman" w:cs="Times New Roman" w:eastAsia="Times New Roman" w:hAnsi="Times New Roman"/>
                  <w:sz w:val="15"/>
                  <w:szCs w:val="15"/>
                  <w:color w:val="0000EE"/>
                </w:rPr>
                <w:t>Third Amended and Restated Delayed Draw Term Note 1A, dated September 30, 2022. (24)</w:t>
              </w:r>
            </w:hyperlink>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10.19</w:t>
            </w:r>
          </w:p>
        </w:tc>
        <w:tc>
          <w:tcPr>
            <w:tcW w:w="5600" w:type="dxa"/>
            <w:vAlign w:val="bottom"/>
            <w:tcBorders>
              <w:top w:val="single" w:sz="8" w:color="0000EE"/>
            </w:tcBorders>
            <w:gridSpan w:val="14"/>
          </w:tcPr>
          <w:p>
            <w:pPr>
              <w:spacing w:after="0" w:line="163" w:lineRule="exact"/>
              <w:rPr>
                <w:rFonts w:ascii="Times New Roman" w:cs="Times New Roman" w:eastAsia="Times New Roman" w:hAnsi="Times New Roman"/>
                <w:sz w:val="15"/>
                <w:szCs w:val="15"/>
                <w:color w:val="0000EE"/>
              </w:rPr>
            </w:pPr>
            <w:hyperlink r:id="rId62">
              <w:r>
                <w:rPr>
                  <w:rFonts w:ascii="Times New Roman" w:cs="Times New Roman" w:eastAsia="Times New Roman" w:hAnsi="Times New Roman"/>
                  <w:sz w:val="15"/>
                  <w:szCs w:val="15"/>
                  <w:color w:val="0000EE"/>
                </w:rPr>
                <w:t>Delayed Draw Term Note 1B, dated December 30, 2021. (13)</w:t>
              </w:r>
            </w:hyperlink>
          </w:p>
        </w:tc>
        <w:tc>
          <w:tcPr>
            <w:tcW w:w="4820" w:type="dxa"/>
            <w:vAlign w:val="bottom"/>
            <w:gridSpan w:val="21"/>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10.20</w:t>
            </w:r>
          </w:p>
        </w:tc>
        <w:tc>
          <w:tcPr>
            <w:tcW w:w="7980" w:type="dxa"/>
            <w:vAlign w:val="bottom"/>
            <w:tcBorders>
              <w:bottom w:val="single" w:sz="8" w:color="0000EE"/>
            </w:tcBorders>
            <w:gridSpan w:val="26"/>
          </w:tcPr>
          <w:p>
            <w:pPr>
              <w:spacing w:after="0" w:line="163" w:lineRule="exact"/>
              <w:rPr>
                <w:rFonts w:ascii="Times New Roman" w:cs="Times New Roman" w:eastAsia="Times New Roman" w:hAnsi="Times New Roman"/>
                <w:sz w:val="15"/>
                <w:szCs w:val="15"/>
                <w:color w:val="0000EE"/>
              </w:rPr>
            </w:pPr>
            <w:hyperlink r:id="rId63">
              <w:r>
                <w:rPr>
                  <w:rFonts w:ascii="Times New Roman" w:cs="Times New Roman" w:eastAsia="Times New Roman" w:hAnsi="Times New Roman"/>
                  <w:sz w:val="15"/>
                  <w:szCs w:val="15"/>
                  <w:color w:val="0000EE"/>
                </w:rPr>
                <w:t>Guarantee and Indemnity Agreement, dated December 30, 2021, among inTEST Corporation, Acculogic Inc. and M&amp;T Bank. (13)</w:t>
              </w:r>
            </w:hyperlink>
          </w:p>
        </w:tc>
        <w:tc>
          <w:tcPr>
            <w:tcW w:w="2440" w:type="dxa"/>
            <w:vAlign w:val="bottom"/>
            <w:gridSpan w:val="9"/>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10.21</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64">
              <w:r>
                <w:rPr>
                  <w:rFonts w:ascii="Times New Roman" w:cs="Times New Roman" w:eastAsia="Times New Roman" w:hAnsi="Times New Roman"/>
                  <w:sz w:val="15"/>
                  <w:szCs w:val="15"/>
                  <w:color w:val="0000EE"/>
                </w:rPr>
                <w:t>Pledge Agreement, dated December 30, 2021, between inTEST Corporation and M&amp;T Bank. (13)</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10.22</w:t>
            </w:r>
          </w:p>
        </w:tc>
        <w:tc>
          <w:tcPr>
            <w:tcW w:w="7460" w:type="dxa"/>
            <w:vAlign w:val="bottom"/>
            <w:tcBorders>
              <w:bottom w:val="single" w:sz="8" w:color="0000EE"/>
            </w:tcBorders>
            <w:gridSpan w:val="24"/>
          </w:tcPr>
          <w:p>
            <w:pPr>
              <w:spacing w:after="0" w:line="163" w:lineRule="exact"/>
              <w:rPr>
                <w:rFonts w:ascii="Times New Roman" w:cs="Times New Roman" w:eastAsia="Times New Roman" w:hAnsi="Times New Roman"/>
                <w:sz w:val="15"/>
                <w:szCs w:val="15"/>
                <w:color w:val="0000EE"/>
              </w:rPr>
            </w:pPr>
            <w:hyperlink r:id="rId65">
              <w:r>
                <w:rPr>
                  <w:rFonts w:ascii="Times New Roman" w:cs="Times New Roman" w:eastAsia="Times New Roman" w:hAnsi="Times New Roman"/>
                  <w:sz w:val="15"/>
                  <w:szCs w:val="15"/>
                  <w:color w:val="0000EE"/>
                </w:rPr>
                <w:t>General Security Agreement, dated December 30, 2021, among inTEST Corporation, Acculogic Inc. and M&amp;T Bank. (13)</w:t>
              </w:r>
            </w:hyperlink>
          </w:p>
        </w:tc>
        <w:tc>
          <w:tcPr>
            <w:tcW w:w="2960" w:type="dxa"/>
            <w:vAlign w:val="bottom"/>
            <w:gridSpan w:val="11"/>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10.23</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66">
              <w:r>
                <w:rPr>
                  <w:rFonts w:ascii="Times New Roman" w:cs="Times New Roman" w:eastAsia="Times New Roman" w:hAnsi="Times New Roman"/>
                  <w:sz w:val="15"/>
                  <w:szCs w:val="15"/>
                  <w:color w:val="0000EE"/>
                </w:rPr>
                <w:t>Second Amended and Restated Patents, Trademarks, Copyrights and Licenses Security Agreement, dated December 30, 2021, among inTEST Corporation, Ambrell</w:t>
              </w:r>
            </w:hyperlink>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63"/>
        </w:trPr>
        <w:tc>
          <w:tcPr>
            <w:tcW w:w="800" w:type="dxa"/>
            <w:vAlign w:val="bottom"/>
          </w:tcPr>
          <w:p>
            <w:pPr>
              <w:spacing w:after="0"/>
              <w:rPr>
                <w:sz w:val="14"/>
                <w:szCs w:val="14"/>
                <w:color w:val="auto"/>
              </w:rPr>
            </w:pPr>
          </w:p>
        </w:tc>
        <w:tc>
          <w:tcPr>
            <w:tcW w:w="10120" w:type="dxa"/>
            <w:vAlign w:val="bottom"/>
            <w:tcBorders>
              <w:bottom w:val="single" w:sz="8" w:color="0000EE"/>
            </w:tcBorders>
            <w:gridSpan w:val="31"/>
          </w:tcPr>
          <w:p>
            <w:pPr>
              <w:spacing w:after="0" w:line="163" w:lineRule="exact"/>
              <w:rPr>
                <w:rFonts w:ascii="Times New Roman" w:cs="Times New Roman" w:eastAsia="Times New Roman" w:hAnsi="Times New Roman"/>
                <w:sz w:val="15"/>
                <w:szCs w:val="15"/>
                <w:color w:val="0000EE"/>
              </w:rPr>
            </w:pPr>
            <w:hyperlink r:id="rId66">
              <w:r>
                <w:rPr>
                  <w:rFonts w:ascii="Times New Roman" w:cs="Times New Roman" w:eastAsia="Times New Roman" w:hAnsi="Times New Roman"/>
                  <w:sz w:val="15"/>
                  <w:szCs w:val="15"/>
                  <w:color w:val="0000EE"/>
                </w:rPr>
                <w:t>Corporation, inTEST Silicon Valley Corporation, inTEST EMS, LLC, Temptronic Corporation, Videology Imaging Corporation, Acculogic Ltd. and M&amp;T Bank. (13)</w:t>
              </w:r>
            </w:hyperlink>
          </w:p>
        </w:tc>
        <w:tc>
          <w:tcPr>
            <w:tcW w:w="300" w:type="dxa"/>
            <w:vAlign w:val="bottom"/>
            <w:gridSpan w:val="4"/>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10.24</w:t>
            </w:r>
          </w:p>
        </w:tc>
        <w:tc>
          <w:tcPr>
            <w:tcW w:w="10020" w:type="dxa"/>
            <w:vAlign w:val="bottom"/>
            <w:tcBorders>
              <w:bottom w:val="single" w:sz="8" w:color="0000EE"/>
            </w:tcBorders>
            <w:gridSpan w:val="30"/>
          </w:tcPr>
          <w:p>
            <w:pPr>
              <w:spacing w:after="0" w:line="163"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Second Amended and Restated Surety Agreement, dated December 30, 2021, among Ambrell Corporation, inTEST Silicon Valley Corporation, inTEST EMS, LLC,</w:t>
              </w:r>
            </w:hyperlink>
          </w:p>
        </w:tc>
        <w:tc>
          <w:tcPr>
            <w:tcW w:w="400" w:type="dxa"/>
            <w:vAlign w:val="bottom"/>
            <w:gridSpan w:val="5"/>
          </w:tcPr>
          <w:p>
            <w:pPr>
              <w:spacing w:after="0"/>
              <w:rPr>
                <w:sz w:val="14"/>
                <w:szCs w:val="14"/>
                <w:color w:val="auto"/>
              </w:rPr>
            </w:pPr>
          </w:p>
        </w:tc>
      </w:tr>
      <w:tr>
        <w:trPr>
          <w:trHeight w:val="163"/>
        </w:trPr>
        <w:tc>
          <w:tcPr>
            <w:tcW w:w="800" w:type="dxa"/>
            <w:vAlign w:val="bottom"/>
          </w:tcPr>
          <w:p>
            <w:pPr>
              <w:spacing w:after="0"/>
              <w:rPr>
                <w:sz w:val="14"/>
                <w:szCs w:val="14"/>
                <w:color w:val="auto"/>
              </w:rPr>
            </w:pP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Temptronic Corporation, Videology Imaging Corporation, Acculogic Ltd. and M&amp;T Bank. (13)</w:t>
              </w:r>
            </w:hyperlink>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10.25</w:t>
            </w:r>
          </w:p>
        </w:tc>
        <w:tc>
          <w:tcPr>
            <w:tcW w:w="4660" w:type="dxa"/>
            <w:vAlign w:val="bottom"/>
            <w:tcBorders>
              <w:top w:val="single" w:sz="8" w:color="0000EE"/>
              <w:bottom w:val="single" w:sz="8" w:color="0000EE"/>
            </w:tcBorders>
            <w:gridSpan w:val="11"/>
          </w:tcPr>
          <w:p>
            <w:pPr>
              <w:spacing w:after="0" w:line="163" w:lineRule="exact"/>
              <w:rPr>
                <w:rFonts w:ascii="Times New Roman" w:cs="Times New Roman" w:eastAsia="Times New Roman" w:hAnsi="Times New Roman"/>
                <w:sz w:val="15"/>
                <w:szCs w:val="15"/>
                <w:color w:val="0000EE"/>
              </w:rPr>
            </w:pPr>
            <w:hyperlink r:id="rId68">
              <w:r>
                <w:rPr>
                  <w:rFonts w:ascii="Times New Roman" w:cs="Times New Roman" w:eastAsia="Times New Roman" w:hAnsi="Times New Roman"/>
                  <w:sz w:val="15"/>
                  <w:szCs w:val="15"/>
                  <w:color w:val="0000EE"/>
                </w:rPr>
                <w:t>Second Amended and Restated Revolver Note, dated October 15, 2021. (14)</w:t>
              </w:r>
            </w:hyperlink>
          </w:p>
        </w:tc>
        <w:tc>
          <w:tcPr>
            <w:tcW w:w="1140" w:type="dxa"/>
            <w:vAlign w:val="bottom"/>
            <w:tcBorders>
              <w:top w:val="single" w:sz="8" w:color="0000EE"/>
            </w:tcBorders>
            <w:gridSpan w:val="6"/>
          </w:tcPr>
          <w:p>
            <w:pPr>
              <w:spacing w:after="0"/>
              <w:rPr>
                <w:sz w:val="14"/>
                <w:szCs w:val="14"/>
                <w:color w:val="auto"/>
              </w:rPr>
            </w:pPr>
          </w:p>
        </w:tc>
        <w:tc>
          <w:tcPr>
            <w:tcW w:w="4620" w:type="dxa"/>
            <w:vAlign w:val="bottom"/>
            <w:gridSpan w:val="18"/>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10.26</w:t>
            </w:r>
          </w:p>
        </w:tc>
        <w:tc>
          <w:tcPr>
            <w:tcW w:w="2680" w:type="dxa"/>
            <w:vAlign w:val="bottom"/>
            <w:tcBorders>
              <w:bottom w:val="single" w:sz="8" w:color="0000EE"/>
            </w:tcBorders>
            <w:gridSpan w:val="2"/>
          </w:tcPr>
          <w:p>
            <w:pPr>
              <w:spacing w:after="0" w:line="163" w:lineRule="exact"/>
              <w:rPr>
                <w:rFonts w:ascii="Times New Roman" w:cs="Times New Roman" w:eastAsia="Times New Roman" w:hAnsi="Times New Roman"/>
                <w:sz w:val="15"/>
                <w:szCs w:val="15"/>
                <w:color w:val="0000EE"/>
              </w:rPr>
            </w:pPr>
            <w:hyperlink r:id="rId69">
              <w:r>
                <w:rPr>
                  <w:rFonts w:ascii="Times New Roman" w:cs="Times New Roman" w:eastAsia="Times New Roman" w:hAnsi="Times New Roman"/>
                  <w:sz w:val="15"/>
                  <w:szCs w:val="15"/>
                  <w:color w:val="0000EE"/>
                </w:rPr>
                <w:t>Form of Indemnification Agreement (15)(*)</w:t>
              </w:r>
            </w:hyperlink>
          </w:p>
        </w:tc>
        <w:tc>
          <w:tcPr>
            <w:tcW w:w="7740" w:type="dxa"/>
            <w:vAlign w:val="bottom"/>
            <w:gridSpan w:val="33"/>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10.27</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70">
              <w:r>
                <w:rPr>
                  <w:rFonts w:ascii="Times New Roman" w:cs="Times New Roman" w:eastAsia="Times New Roman" w:hAnsi="Times New Roman"/>
                  <w:sz w:val="15"/>
                  <w:szCs w:val="15"/>
                  <w:color w:val="0000EE"/>
                </w:rPr>
                <w:t>inTEST Corporation Fourth Amended and Restated 2014 Stock Plan (18)(*)</w:t>
              </w:r>
            </w:hyperlink>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10.28</w:t>
            </w:r>
          </w:p>
        </w:tc>
        <w:tc>
          <w:tcPr>
            <w:tcW w:w="4640" w:type="dxa"/>
            <w:vAlign w:val="bottom"/>
            <w:tcBorders>
              <w:top w:val="single" w:sz="8" w:color="0000EE"/>
            </w:tcBorders>
            <w:gridSpan w:val="10"/>
          </w:tcPr>
          <w:p>
            <w:pPr>
              <w:spacing w:after="0" w:line="163" w:lineRule="exact"/>
              <w:rPr>
                <w:rFonts w:ascii="Times New Roman" w:cs="Times New Roman" w:eastAsia="Times New Roman" w:hAnsi="Times New Roman"/>
                <w:sz w:val="15"/>
                <w:szCs w:val="15"/>
                <w:color w:val="0000EE"/>
              </w:rPr>
            </w:pPr>
            <w:hyperlink r:id="rId71">
              <w:r>
                <w:rPr>
                  <w:rFonts w:ascii="Times New Roman" w:cs="Times New Roman" w:eastAsia="Times New Roman" w:hAnsi="Times New Roman"/>
                  <w:sz w:val="15"/>
                  <w:szCs w:val="15"/>
                  <w:color w:val="0000EE"/>
                </w:rPr>
                <w:t>inTEST Corporation Employee Stock Purchase Plan. (17)(*)</w:t>
              </w:r>
            </w:hyperlink>
          </w:p>
        </w:tc>
        <w:tc>
          <w:tcPr>
            <w:tcW w:w="5780" w:type="dxa"/>
            <w:vAlign w:val="bottom"/>
            <w:gridSpan w:val="25"/>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10.29</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72">
              <w:r>
                <w:rPr>
                  <w:rFonts w:ascii="Times New Roman" w:cs="Times New Roman" w:eastAsia="Times New Roman" w:hAnsi="Times New Roman"/>
                  <w:sz w:val="15"/>
                  <w:szCs w:val="15"/>
                  <w:color w:val="0000EE"/>
                </w:rPr>
                <w:t>Letter Agreement between the Company and Richard N. Grant, Jr. dated July 24, 2020 (19)(*)</w:t>
              </w:r>
            </w:hyperlink>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10.30</w:t>
            </w:r>
          </w:p>
        </w:tc>
        <w:tc>
          <w:tcPr>
            <w:tcW w:w="5480" w:type="dxa"/>
            <w:vAlign w:val="bottom"/>
            <w:tcBorders>
              <w:top w:val="single" w:sz="8" w:color="0000EE"/>
              <w:bottom w:val="single" w:sz="8" w:color="0000EE"/>
            </w:tcBorders>
            <w:gridSpan w:val="13"/>
          </w:tcPr>
          <w:p>
            <w:pPr>
              <w:spacing w:after="0" w:line="163" w:lineRule="exact"/>
              <w:rPr>
                <w:rFonts w:ascii="Times New Roman" w:cs="Times New Roman" w:eastAsia="Times New Roman" w:hAnsi="Times New Roman"/>
                <w:sz w:val="15"/>
                <w:szCs w:val="15"/>
                <w:color w:val="0000EE"/>
              </w:rPr>
            </w:pPr>
            <w:hyperlink r:id="rId73">
              <w:r>
                <w:rPr>
                  <w:rFonts w:ascii="Times New Roman" w:cs="Times New Roman" w:eastAsia="Times New Roman" w:hAnsi="Times New Roman"/>
                  <w:sz w:val="15"/>
                  <w:szCs w:val="15"/>
                  <w:color w:val="0000EE"/>
                </w:rPr>
                <w:t>Letter Agreement between the Company and Duncan Gilmour dated June 10, 2021(20)(*)</w:t>
              </w:r>
            </w:hyperlink>
          </w:p>
        </w:tc>
        <w:tc>
          <w:tcPr>
            <w:tcW w:w="240" w:type="dxa"/>
            <w:vAlign w:val="bottom"/>
            <w:tcBorders>
              <w:top w:val="single" w:sz="8" w:color="0000EE"/>
            </w:tcBorders>
            <w:gridSpan w:val="3"/>
          </w:tcPr>
          <w:p>
            <w:pPr>
              <w:spacing w:after="0"/>
              <w:rPr>
                <w:sz w:val="14"/>
                <w:szCs w:val="14"/>
                <w:color w:val="auto"/>
              </w:rPr>
            </w:pPr>
          </w:p>
        </w:tc>
        <w:tc>
          <w:tcPr>
            <w:tcW w:w="4700" w:type="dxa"/>
            <w:vAlign w:val="bottom"/>
            <w:gridSpan w:val="19"/>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10.31</w:t>
            </w:r>
          </w:p>
        </w:tc>
        <w:tc>
          <w:tcPr>
            <w:tcW w:w="6720" w:type="dxa"/>
            <w:vAlign w:val="bottom"/>
            <w:tcBorders>
              <w:bottom w:val="single" w:sz="8" w:color="0000EE"/>
            </w:tcBorders>
            <w:gridSpan w:val="20"/>
          </w:tcPr>
          <w:p>
            <w:pPr>
              <w:spacing w:after="0" w:line="163" w:lineRule="exact"/>
              <w:rPr>
                <w:rFonts w:ascii="Times New Roman" w:cs="Times New Roman" w:eastAsia="Times New Roman" w:hAnsi="Times New Roman"/>
                <w:sz w:val="15"/>
                <w:szCs w:val="15"/>
                <w:color w:val="0000EE"/>
              </w:rPr>
            </w:pPr>
            <w:hyperlink r:id="rId74">
              <w:r>
                <w:rPr>
                  <w:rFonts w:ascii="Times New Roman" w:cs="Times New Roman" w:eastAsia="Times New Roman" w:hAnsi="Times New Roman"/>
                  <w:sz w:val="15"/>
                  <w:szCs w:val="15"/>
                  <w:color w:val="0000EE"/>
                </w:rPr>
                <w:t>Change of Control Agreement dated August 11, 2020 between the Company and Richard N. Grant, Jr. (16)(*)</w:t>
              </w:r>
            </w:hyperlink>
          </w:p>
        </w:tc>
        <w:tc>
          <w:tcPr>
            <w:tcW w:w="3700" w:type="dxa"/>
            <w:vAlign w:val="bottom"/>
            <w:gridSpan w:val="15"/>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10.32</w:t>
            </w:r>
          </w:p>
        </w:tc>
        <w:tc>
          <w:tcPr>
            <w:tcW w:w="6320" w:type="dxa"/>
            <w:vAlign w:val="bottom"/>
            <w:tcBorders>
              <w:bottom w:val="single" w:sz="8" w:color="0000EE"/>
            </w:tcBorders>
            <w:gridSpan w:val="19"/>
          </w:tcPr>
          <w:p>
            <w:pPr>
              <w:spacing w:after="0" w:line="163" w:lineRule="exact"/>
              <w:rPr>
                <w:rFonts w:ascii="Times New Roman" w:cs="Times New Roman" w:eastAsia="Times New Roman" w:hAnsi="Times New Roman"/>
                <w:sz w:val="15"/>
                <w:szCs w:val="15"/>
                <w:color w:val="0000EE"/>
              </w:rPr>
            </w:pPr>
            <w:hyperlink r:id="rId75">
              <w:r>
                <w:rPr>
                  <w:rFonts w:ascii="Times New Roman" w:cs="Times New Roman" w:eastAsia="Times New Roman" w:hAnsi="Times New Roman"/>
                  <w:sz w:val="15"/>
                  <w:szCs w:val="15"/>
                  <w:color w:val="0000EE"/>
                </w:rPr>
                <w:t>Change of Control Agreement dated June 10, 2021 between the Company and Duncan Gilmour. (25)(*)</w:t>
              </w:r>
            </w:hyperlink>
          </w:p>
        </w:tc>
        <w:tc>
          <w:tcPr>
            <w:tcW w:w="4100" w:type="dxa"/>
            <w:vAlign w:val="bottom"/>
            <w:gridSpan w:val="16"/>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10.33</w:t>
            </w:r>
          </w:p>
        </w:tc>
        <w:tc>
          <w:tcPr>
            <w:tcW w:w="10420" w:type="dxa"/>
            <w:vAlign w:val="bottom"/>
            <w:gridSpan w:val="35"/>
          </w:tcPr>
          <w:p>
            <w:pPr>
              <w:spacing w:after="0" w:line="163" w:lineRule="exact"/>
              <w:rPr>
                <w:sz w:val="20"/>
                <w:szCs w:val="20"/>
                <w:color w:val="auto"/>
              </w:rPr>
            </w:pPr>
            <w:r>
              <w:rPr>
                <w:rFonts w:ascii="Times New Roman" w:cs="Times New Roman" w:eastAsia="Times New Roman" w:hAnsi="Times New Roman"/>
                <w:sz w:val="15"/>
                <w:szCs w:val="15"/>
                <w:color w:val="0000EE"/>
              </w:rPr>
              <w:t>Form of Officer Compensation Plan. (*)(+)</w:t>
            </w:r>
          </w:p>
        </w:tc>
      </w:tr>
      <w:tr>
        <w:trPr>
          <w:trHeight w:val="20"/>
        </w:trPr>
        <w:tc>
          <w:tcPr>
            <w:tcW w:w="8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10.34</w:t>
            </w:r>
          </w:p>
        </w:tc>
        <w:tc>
          <w:tcPr>
            <w:tcW w:w="4120" w:type="dxa"/>
            <w:vAlign w:val="bottom"/>
            <w:tcBorders>
              <w:bottom w:val="single" w:sz="8" w:color="0000EE"/>
            </w:tcBorders>
            <w:gridSpan w:val="9"/>
          </w:tcPr>
          <w:p>
            <w:pPr>
              <w:spacing w:after="0" w:line="163" w:lineRule="exact"/>
              <w:rPr>
                <w:rFonts w:ascii="Times New Roman" w:cs="Times New Roman" w:eastAsia="Times New Roman" w:hAnsi="Times New Roman"/>
                <w:sz w:val="15"/>
                <w:szCs w:val="15"/>
                <w:color w:val="0000EE"/>
              </w:rPr>
            </w:pPr>
            <w:hyperlink r:id="rId76">
              <w:r>
                <w:rPr>
                  <w:rFonts w:ascii="Times New Roman" w:cs="Times New Roman" w:eastAsia="Times New Roman" w:hAnsi="Times New Roman"/>
                  <w:sz w:val="15"/>
                  <w:szCs w:val="15"/>
                  <w:color w:val="0000EE"/>
                </w:rPr>
                <w:t>Form of Restricted Stock Award Agreement for Employees. (16)(*)</w:t>
              </w:r>
            </w:hyperlink>
          </w:p>
        </w:tc>
        <w:tc>
          <w:tcPr>
            <w:tcW w:w="6300" w:type="dxa"/>
            <w:vAlign w:val="bottom"/>
            <w:gridSpan w:val="26"/>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10.35</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77">
              <w:r>
                <w:rPr>
                  <w:rFonts w:ascii="Times New Roman" w:cs="Times New Roman" w:eastAsia="Times New Roman" w:hAnsi="Times New Roman"/>
                  <w:sz w:val="15"/>
                  <w:szCs w:val="15"/>
                  <w:color w:val="0000EE"/>
                </w:rPr>
                <w:t>Form of Restricted Stock Award Agreement for Directors. (16)(*)</w:t>
              </w:r>
            </w:hyperlink>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10.36</w:t>
            </w:r>
          </w:p>
        </w:tc>
        <w:tc>
          <w:tcPr>
            <w:tcW w:w="3480" w:type="dxa"/>
            <w:vAlign w:val="bottom"/>
            <w:tcBorders>
              <w:top w:val="single" w:sz="8" w:color="0000EE"/>
              <w:bottom w:val="single" w:sz="8" w:color="0000EE"/>
            </w:tcBorders>
            <w:gridSpan w:val="6"/>
          </w:tcPr>
          <w:p>
            <w:pPr>
              <w:spacing w:after="0" w:line="163" w:lineRule="exact"/>
              <w:rPr>
                <w:rFonts w:ascii="Times New Roman" w:cs="Times New Roman" w:eastAsia="Times New Roman" w:hAnsi="Times New Roman"/>
                <w:sz w:val="15"/>
                <w:szCs w:val="15"/>
                <w:color w:val="0000EE"/>
              </w:rPr>
            </w:pPr>
            <w:hyperlink r:id="rId78">
              <w:r>
                <w:rPr>
                  <w:rFonts w:ascii="Times New Roman" w:cs="Times New Roman" w:eastAsia="Times New Roman" w:hAnsi="Times New Roman"/>
                  <w:sz w:val="15"/>
                  <w:szCs w:val="15"/>
                  <w:color w:val="0000EE"/>
                </w:rPr>
                <w:t>Form of Non-Qualified Stock Option Agreement. (21)(*)</w:t>
              </w:r>
            </w:hyperlink>
          </w:p>
        </w:tc>
        <w:tc>
          <w:tcPr>
            <w:tcW w:w="580" w:type="dxa"/>
            <w:vAlign w:val="bottom"/>
            <w:tcBorders>
              <w:top w:val="single" w:sz="8" w:color="0000EE"/>
            </w:tcBorders>
            <w:gridSpan w:val="2"/>
          </w:tcPr>
          <w:p>
            <w:pPr>
              <w:spacing w:after="0"/>
              <w:rPr>
                <w:sz w:val="14"/>
                <w:szCs w:val="14"/>
                <w:color w:val="auto"/>
              </w:rPr>
            </w:pPr>
          </w:p>
        </w:tc>
        <w:tc>
          <w:tcPr>
            <w:tcW w:w="6360" w:type="dxa"/>
            <w:vAlign w:val="bottom"/>
            <w:gridSpan w:val="27"/>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10.37</w:t>
            </w:r>
          </w:p>
        </w:tc>
        <w:tc>
          <w:tcPr>
            <w:tcW w:w="3160" w:type="dxa"/>
            <w:vAlign w:val="bottom"/>
            <w:tcBorders>
              <w:bottom w:val="single" w:sz="8" w:color="0000EE"/>
            </w:tcBorders>
            <w:gridSpan w:val="4"/>
          </w:tcPr>
          <w:p>
            <w:pPr>
              <w:spacing w:after="0" w:line="163" w:lineRule="exact"/>
              <w:rPr>
                <w:rFonts w:ascii="Times New Roman" w:cs="Times New Roman" w:eastAsia="Times New Roman" w:hAnsi="Times New Roman"/>
                <w:sz w:val="15"/>
                <w:szCs w:val="15"/>
                <w:color w:val="0000EE"/>
              </w:rPr>
            </w:pPr>
            <w:hyperlink r:id="rId79">
              <w:r>
                <w:rPr>
                  <w:rFonts w:ascii="Times New Roman" w:cs="Times New Roman" w:eastAsia="Times New Roman" w:hAnsi="Times New Roman"/>
                  <w:sz w:val="15"/>
                  <w:szCs w:val="15"/>
                  <w:color w:val="0000EE"/>
                </w:rPr>
                <w:t>Form of Incentive Stock Option Agreement. (21)(*)</w:t>
              </w:r>
            </w:hyperlink>
          </w:p>
        </w:tc>
        <w:tc>
          <w:tcPr>
            <w:tcW w:w="7260" w:type="dxa"/>
            <w:vAlign w:val="bottom"/>
            <w:gridSpan w:val="31"/>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10.38</w:t>
            </w:r>
          </w:p>
        </w:tc>
        <w:tc>
          <w:tcPr>
            <w:tcW w:w="2800" w:type="dxa"/>
            <w:vAlign w:val="bottom"/>
            <w:tcBorders>
              <w:bottom w:val="single" w:sz="8" w:color="0000EE"/>
            </w:tcBorders>
            <w:gridSpan w:val="3"/>
          </w:tcPr>
          <w:p>
            <w:pPr>
              <w:spacing w:after="0" w:line="163" w:lineRule="exact"/>
              <w:rPr>
                <w:sz w:val="20"/>
                <w:szCs w:val="20"/>
                <w:color w:val="auto"/>
              </w:rPr>
            </w:pPr>
            <w:r>
              <w:rPr>
                <w:rFonts w:ascii="Times New Roman" w:cs="Times New Roman" w:eastAsia="Times New Roman" w:hAnsi="Times New Roman"/>
                <w:sz w:val="15"/>
                <w:szCs w:val="15"/>
                <w:color w:val="0000EE"/>
              </w:rPr>
              <w:t>Compensatory Arrangements of Directors. (*)</w:t>
            </w:r>
          </w:p>
        </w:tc>
        <w:tc>
          <w:tcPr>
            <w:tcW w:w="7620" w:type="dxa"/>
            <w:vAlign w:val="bottom"/>
            <w:gridSpan w:val="32"/>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10.39</w:t>
            </w:r>
          </w:p>
        </w:tc>
        <w:tc>
          <w:tcPr>
            <w:tcW w:w="10420" w:type="dxa"/>
            <w:vAlign w:val="bottom"/>
            <w:gridSpan w:val="35"/>
          </w:tcPr>
          <w:p>
            <w:pPr>
              <w:spacing w:after="0" w:line="163" w:lineRule="exact"/>
              <w:rPr>
                <w:rFonts w:ascii="Times New Roman" w:cs="Times New Roman" w:eastAsia="Times New Roman" w:hAnsi="Times New Roman"/>
                <w:sz w:val="15"/>
                <w:szCs w:val="15"/>
                <w:color w:val="0000EE"/>
              </w:rPr>
            </w:pPr>
            <w:hyperlink r:id="rId80">
              <w:r>
                <w:rPr>
                  <w:rFonts w:ascii="Times New Roman" w:cs="Times New Roman" w:eastAsia="Times New Roman" w:hAnsi="Times New Roman"/>
                  <w:sz w:val="15"/>
                  <w:szCs w:val="15"/>
                  <w:color w:val="0000EE"/>
                </w:rPr>
                <w:t>inTEST Corporation 2023 Stock Incentive Plan. (26)(*)</w:t>
              </w:r>
            </w:hyperlink>
          </w:p>
        </w:tc>
      </w:tr>
      <w:tr>
        <w:trPr>
          <w:trHeight w:val="20"/>
        </w:trPr>
        <w:tc>
          <w:tcPr>
            <w:tcW w:w="800" w:type="dxa"/>
            <w:vAlign w:val="bottom"/>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3920" w:type="dxa"/>
            <w:vAlign w:val="bottom"/>
            <w:gridSpan w:val="1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10.40</w:t>
            </w:r>
          </w:p>
        </w:tc>
        <w:tc>
          <w:tcPr>
            <w:tcW w:w="7300" w:type="dxa"/>
            <w:vAlign w:val="bottom"/>
            <w:tcBorders>
              <w:bottom w:val="single" w:sz="8" w:color="0000EE"/>
            </w:tcBorders>
            <w:gridSpan w:val="23"/>
          </w:tcPr>
          <w:p>
            <w:pPr>
              <w:spacing w:after="0" w:line="163" w:lineRule="exact"/>
              <w:rPr>
                <w:rFonts w:ascii="Times New Roman" w:cs="Times New Roman" w:eastAsia="Times New Roman" w:hAnsi="Times New Roman"/>
                <w:sz w:val="15"/>
                <w:szCs w:val="15"/>
                <w:color w:val="0000EE"/>
              </w:rPr>
            </w:pPr>
            <w:hyperlink r:id="rId81">
              <w:r>
                <w:rPr>
                  <w:rFonts w:ascii="Times New Roman" w:cs="Times New Roman" w:eastAsia="Times New Roman" w:hAnsi="Times New Roman"/>
                  <w:sz w:val="15"/>
                  <w:szCs w:val="15"/>
                  <w:color w:val="0000EE"/>
                </w:rPr>
                <w:t>Sales Agreement dated May 11, 2023, by and between inTEST Corporation and Lake Street Capital Markets, LLC. (27)</w:t>
              </w:r>
            </w:hyperlink>
          </w:p>
        </w:tc>
        <w:tc>
          <w:tcPr>
            <w:tcW w:w="3120" w:type="dxa"/>
            <w:vAlign w:val="bottom"/>
            <w:gridSpan w:val="12"/>
          </w:tcPr>
          <w:p>
            <w:pPr>
              <w:spacing w:after="0"/>
              <w:rPr>
                <w:sz w:val="14"/>
                <w:szCs w:val="14"/>
                <w:color w:val="auto"/>
              </w:rPr>
            </w:pPr>
          </w:p>
        </w:tc>
      </w:tr>
      <w:tr>
        <w:trPr>
          <w:trHeight w:val="163"/>
        </w:trPr>
        <w:tc>
          <w:tcPr>
            <w:tcW w:w="8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10.41</w:t>
            </w:r>
          </w:p>
        </w:tc>
        <w:tc>
          <w:tcPr>
            <w:tcW w:w="7500" w:type="dxa"/>
            <w:vAlign w:val="bottom"/>
            <w:tcBorders>
              <w:bottom w:val="single" w:sz="8" w:color="0000EE"/>
            </w:tcBorders>
            <w:gridSpan w:val="25"/>
          </w:tcPr>
          <w:p>
            <w:pPr>
              <w:spacing w:after="0" w:line="163" w:lineRule="exact"/>
              <w:rPr>
                <w:rFonts w:ascii="Times New Roman" w:cs="Times New Roman" w:eastAsia="Times New Roman" w:hAnsi="Times New Roman"/>
                <w:sz w:val="15"/>
                <w:szCs w:val="15"/>
                <w:color w:val="0000EE"/>
              </w:rPr>
            </w:pPr>
            <w:hyperlink r:id="rId82">
              <w:r>
                <w:rPr>
                  <w:rFonts w:ascii="Times New Roman" w:cs="Times New Roman" w:eastAsia="Times New Roman" w:hAnsi="Times New Roman"/>
                  <w:sz w:val="15"/>
                  <w:szCs w:val="15"/>
                  <w:color w:val="0000EE"/>
                </w:rPr>
                <w:t>Lease Agreement, dated December 4, 2023, between inTEST SE ASIA SDN BHD and PERFECT PRESS SDN BHD. (28)</w:t>
              </w:r>
            </w:hyperlink>
          </w:p>
        </w:tc>
        <w:tc>
          <w:tcPr>
            <w:tcW w:w="2920" w:type="dxa"/>
            <w:vAlign w:val="bottom"/>
            <w:gridSpan w:val="10"/>
          </w:tcPr>
          <w:p>
            <w:pPr>
              <w:spacing w:after="0"/>
              <w:rPr>
                <w:sz w:val="14"/>
                <w:szCs w:val="14"/>
                <w:color w:val="auto"/>
              </w:rPr>
            </w:pPr>
          </w:p>
        </w:tc>
      </w:tr>
    </w:tbl>
    <w:p>
      <w:pPr>
        <w:spacing w:after="0" w:line="8" w:lineRule="exact"/>
        <w:rPr>
          <w:sz w:val="20"/>
          <w:szCs w:val="20"/>
          <w:color w:val="auto"/>
        </w:rPr>
      </w:pPr>
    </w:p>
    <w:p>
      <w:pPr>
        <w:ind w:left="809" w:hanging="809"/>
        <w:spacing w:after="0"/>
        <w:tabs>
          <w:tab w:leader="none" w:pos="80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Subsidiaries of the Company.</w:t>
      </w:r>
    </w:p>
    <w:p>
      <w:pPr>
        <w:spacing w:after="0" w:line="25" w:lineRule="exact"/>
        <w:rPr>
          <w:sz w:val="20"/>
          <w:szCs w:val="20"/>
          <w:color w:val="auto"/>
        </w:rPr>
      </w:pPr>
    </w:p>
    <w:p>
      <w:pPr>
        <w:ind w:left="809" w:hanging="809"/>
        <w:spacing w:after="0"/>
        <w:tabs>
          <w:tab w:leader="none" w:pos="809"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Consent of RSM US LLP.</w:t>
      </w:r>
    </w:p>
    <w:tbl>
      <w:tblPr>
        <w:tblLayout w:type="fixed"/>
        <w:tblInd w:w="9" w:type="dxa"/>
        <w:tblCellMar>
          <w:top w:w="0" w:type="dxa"/>
          <w:left w:w="0" w:type="dxa"/>
          <w:bottom w:w="0" w:type="dxa"/>
          <w:right w:w="0" w:type="dxa"/>
        </w:tblCellMar>
      </w:tblPr>
      <w:tr>
        <w:trPr>
          <w:trHeight w:val="158"/>
        </w:trPr>
        <w:tc>
          <w:tcPr>
            <w:tcW w:w="800" w:type="dxa"/>
            <w:vAlign w:val="bottom"/>
          </w:tcPr>
          <w:p>
            <w:pPr>
              <w:jc w:val="right"/>
              <w:ind w:right="464"/>
              <w:spacing w:after="0" w:line="159" w:lineRule="exact"/>
              <w:rPr>
                <w:sz w:val="20"/>
                <w:szCs w:val="20"/>
                <w:color w:val="auto"/>
              </w:rPr>
            </w:pPr>
            <w:r>
              <w:rPr>
                <w:rFonts w:ascii="Times New Roman" w:cs="Times New Roman" w:eastAsia="Times New Roman" w:hAnsi="Times New Roman"/>
                <w:sz w:val="15"/>
                <w:szCs w:val="15"/>
                <w:color w:val="auto"/>
                <w:w w:val="91"/>
              </w:rPr>
              <w:t>31.1</w:t>
            </w:r>
          </w:p>
        </w:tc>
        <w:tc>
          <w:tcPr>
            <w:tcW w:w="4140" w:type="dxa"/>
            <w:vAlign w:val="bottom"/>
            <w:tcBorders>
              <w:bottom w:val="single" w:sz="8" w:color="0000EE"/>
            </w:tcBorders>
            <w:gridSpan w:val="2"/>
          </w:tcPr>
          <w:p>
            <w:pPr>
              <w:spacing w:after="0" w:line="159" w:lineRule="exact"/>
              <w:rPr>
                <w:sz w:val="20"/>
                <w:szCs w:val="20"/>
                <w:color w:val="auto"/>
              </w:rPr>
            </w:pPr>
            <w:r>
              <w:rPr>
                <w:rFonts w:ascii="Times New Roman" w:cs="Times New Roman" w:eastAsia="Times New Roman" w:hAnsi="Times New Roman"/>
                <w:sz w:val="15"/>
                <w:szCs w:val="15"/>
                <w:color w:val="0000EE"/>
              </w:rPr>
              <w:t>Certification of Chief Executive Officer pursuant to Rule 13a-14(a).</w:t>
            </w:r>
          </w:p>
        </w:tc>
        <w:tc>
          <w:tcPr>
            <w:tcW w:w="1960" w:type="dxa"/>
            <w:vAlign w:val="bottom"/>
            <w:gridSpan w:val="2"/>
          </w:tcPr>
          <w:p>
            <w:pPr>
              <w:spacing w:after="0"/>
              <w:rPr>
                <w:sz w:val="13"/>
                <w:szCs w:val="13"/>
                <w:color w:val="auto"/>
              </w:rPr>
            </w:pPr>
          </w:p>
        </w:tc>
      </w:tr>
      <w:tr>
        <w:trPr>
          <w:trHeight w:val="163"/>
        </w:trPr>
        <w:tc>
          <w:tcPr>
            <w:tcW w:w="800" w:type="dxa"/>
            <w:vAlign w:val="bottom"/>
          </w:tcPr>
          <w:p>
            <w:pPr>
              <w:jc w:val="right"/>
              <w:ind w:right="464"/>
              <w:spacing w:after="0" w:line="163" w:lineRule="exact"/>
              <w:rPr>
                <w:sz w:val="20"/>
                <w:szCs w:val="20"/>
                <w:color w:val="auto"/>
              </w:rPr>
            </w:pPr>
            <w:r>
              <w:rPr>
                <w:rFonts w:ascii="Times New Roman" w:cs="Times New Roman" w:eastAsia="Times New Roman" w:hAnsi="Times New Roman"/>
                <w:sz w:val="15"/>
                <w:szCs w:val="15"/>
                <w:color w:val="auto"/>
                <w:w w:val="91"/>
              </w:rPr>
              <w:t>31.2</w:t>
            </w:r>
          </w:p>
        </w:tc>
        <w:tc>
          <w:tcPr>
            <w:tcW w:w="6100" w:type="dxa"/>
            <w:vAlign w:val="bottom"/>
            <w:gridSpan w:val="4"/>
          </w:tcPr>
          <w:p>
            <w:pPr>
              <w:spacing w:after="0" w:line="163"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 13a-14(a).</w:t>
            </w:r>
          </w:p>
        </w:tc>
      </w:tr>
      <w:tr>
        <w:trPr>
          <w:trHeight w:val="20"/>
        </w:trPr>
        <w:tc>
          <w:tcPr>
            <w:tcW w:w="80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800" w:type="dxa"/>
            <w:vAlign w:val="bottom"/>
          </w:tcPr>
          <w:p>
            <w:pPr>
              <w:jc w:val="right"/>
              <w:ind w:right="464"/>
              <w:spacing w:after="0" w:line="163" w:lineRule="exact"/>
              <w:rPr>
                <w:sz w:val="20"/>
                <w:szCs w:val="20"/>
                <w:color w:val="auto"/>
              </w:rPr>
            </w:pPr>
            <w:r>
              <w:rPr>
                <w:rFonts w:ascii="Times New Roman" w:cs="Times New Roman" w:eastAsia="Times New Roman" w:hAnsi="Times New Roman"/>
                <w:sz w:val="15"/>
                <w:szCs w:val="15"/>
                <w:color w:val="auto"/>
                <w:w w:val="91"/>
              </w:rPr>
              <w:t>32.1</w:t>
            </w:r>
          </w:p>
        </w:tc>
        <w:tc>
          <w:tcPr>
            <w:tcW w:w="6100" w:type="dxa"/>
            <w:vAlign w:val="bottom"/>
            <w:tcBorders>
              <w:bottom w:val="single" w:sz="8" w:color="0000EE"/>
            </w:tcBorders>
            <w:gridSpan w:val="4"/>
          </w:tcPr>
          <w:p>
            <w:pPr>
              <w:spacing w:after="0" w:line="163" w:lineRule="exact"/>
              <w:rPr>
                <w:sz w:val="20"/>
                <w:szCs w:val="20"/>
                <w:color w:val="auto"/>
              </w:rPr>
            </w:pPr>
            <w:r>
              <w:rPr>
                <w:rFonts w:ascii="Times New Roman" w:cs="Times New Roman" w:eastAsia="Times New Roman" w:hAnsi="Times New Roman"/>
                <w:sz w:val="15"/>
                <w:szCs w:val="15"/>
                <w:color w:val="0000EE"/>
              </w:rPr>
              <w:t>Certification of Chief Executive Officer pursuant to Section 906 of the Sarbanes-Oxley Act of 2002.</w:t>
            </w:r>
          </w:p>
        </w:tc>
      </w:tr>
      <w:tr>
        <w:trPr>
          <w:trHeight w:val="163"/>
        </w:trPr>
        <w:tc>
          <w:tcPr>
            <w:tcW w:w="800" w:type="dxa"/>
            <w:vAlign w:val="bottom"/>
          </w:tcPr>
          <w:p>
            <w:pPr>
              <w:jc w:val="right"/>
              <w:ind w:right="464"/>
              <w:spacing w:after="0" w:line="163" w:lineRule="exact"/>
              <w:rPr>
                <w:sz w:val="20"/>
                <w:szCs w:val="20"/>
                <w:color w:val="auto"/>
              </w:rPr>
            </w:pPr>
            <w:r>
              <w:rPr>
                <w:rFonts w:ascii="Times New Roman" w:cs="Times New Roman" w:eastAsia="Times New Roman" w:hAnsi="Times New Roman"/>
                <w:sz w:val="15"/>
                <w:szCs w:val="15"/>
                <w:color w:val="auto"/>
                <w:w w:val="91"/>
              </w:rPr>
              <w:t>32.2</w:t>
            </w:r>
          </w:p>
        </w:tc>
        <w:tc>
          <w:tcPr>
            <w:tcW w:w="6060" w:type="dxa"/>
            <w:vAlign w:val="bottom"/>
            <w:tcBorders>
              <w:bottom w:val="single" w:sz="8" w:color="0000EE"/>
            </w:tcBorders>
            <w:gridSpan w:val="3"/>
          </w:tcPr>
          <w:p>
            <w:pPr>
              <w:spacing w:after="0" w:line="163" w:lineRule="exact"/>
              <w:rPr>
                <w:sz w:val="20"/>
                <w:szCs w:val="20"/>
                <w:color w:val="auto"/>
              </w:rPr>
            </w:pPr>
            <w:r>
              <w:rPr>
                <w:rFonts w:ascii="Times New Roman" w:cs="Times New Roman" w:eastAsia="Times New Roman" w:hAnsi="Times New Roman"/>
                <w:sz w:val="15"/>
                <w:szCs w:val="15"/>
                <w:color w:val="0000EE"/>
              </w:rPr>
              <w:t>Certification of Chief Financial Officer pursuant to Section 906 of the Sarbanes-Oxley Act of 2002.</w:t>
            </w:r>
          </w:p>
        </w:tc>
        <w:tc>
          <w:tcPr>
            <w:tcW w:w="40" w:type="dxa"/>
            <w:vAlign w:val="bottom"/>
          </w:tcPr>
          <w:p>
            <w:pPr>
              <w:spacing w:after="0"/>
              <w:rPr>
                <w:sz w:val="14"/>
                <w:szCs w:val="14"/>
                <w:color w:val="auto"/>
              </w:rPr>
            </w:pPr>
          </w:p>
        </w:tc>
      </w:tr>
    </w:tbl>
    <w:p>
      <w:pPr>
        <w:spacing w:after="0" w:line="8" w:lineRule="exact"/>
        <w:rPr>
          <w:sz w:val="20"/>
          <w:szCs w:val="20"/>
          <w:color w:val="auto"/>
        </w:rPr>
      </w:pPr>
    </w:p>
    <w:p>
      <w:pPr>
        <w:ind w:left="809" w:hanging="809"/>
        <w:spacing w:after="0"/>
        <w:tabs>
          <w:tab w:leader="none" w:pos="80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Policy Relating to Recovery of Erroneously Awarded Compensation.(*)</w:t>
      </w:r>
    </w:p>
    <w:p>
      <w:pPr>
        <w:spacing w:after="0" w:line="20"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Instance Document</w:t>
            </w: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198"/>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bl>
    <w:p>
      <w:pPr>
        <w:ind w:left="809" w:right="160" w:hanging="809"/>
        <w:spacing w:after="0" w:line="268" w:lineRule="auto"/>
        <w:tabs>
          <w:tab w:leader="none" w:pos="80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(the cover page interactive data file does not appear in Exhibit 104 because its Inline XBRL tags are embedded within the Inline XBRL document).</w:t>
      </w:r>
    </w:p>
    <w:p>
      <w:pPr>
        <w:spacing w:after="0" w:line="14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9"/>
          </w:cols>
          <w:pgMar w:left="311" w:top="503" w:right="359" w:bottom="1440" w:gutter="0" w:footer="0" w:header="0"/>
        </w:sectPr>
      </w:pPr>
    </w:p>
    <w:bookmarkStart w:id="37" w:name="page38"/>
    <w:bookmarkEnd w:id="37"/>
    <w:p>
      <w:pPr>
        <w:ind w:left="449" w:right="480" w:hanging="449"/>
        <w:spacing w:after="0" w:line="26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October 28, 2021, File No. 001-36117, filed November 2, 2021, and incorporated herein by reference.</w:t>
      </w:r>
    </w:p>
    <w:p>
      <w:pPr>
        <w:ind w:left="449"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Form 10-K for the year ended December 31, 2019, File No. 001-36117, filed March 23, 2020, and incorporated herein by reference.</w:t>
      </w:r>
    </w:p>
    <w:p>
      <w:pPr>
        <w:ind w:left="449" w:right="8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April 23, 2018, File No. 001-36117, filed April 25, 2018,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May 10, 2010, File No. 000-22529, filed May 13, 2010, and incorporated herein by reference.</w:t>
      </w:r>
    </w:p>
    <w:p>
      <w:pPr>
        <w:ind w:left="449" w:right="2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September 22, 2020, File No. 001-36117, filed September 24, 2020,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April 7, 2021, File No. 001-36117, filed April 13, 2021, and incorporated herein by reference.</w:t>
      </w:r>
    </w:p>
    <w:p>
      <w:pPr>
        <w:ind w:left="449" w:right="5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October 27, 2010, File No. 000-22529, filed October 29, 2010,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April 8, 2019, File No. 001-36117, filed April 12, 2019, and incorporated herein by reference.</w:t>
      </w:r>
    </w:p>
    <w:p>
      <w:pPr>
        <w:ind w:left="449" w:right="8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Form 10-Q Amendment No. 1 for the quarter ended March 31, 2012, File No. 000-22529, filed May 15, 2012, and incorporated herein by reference.</w:t>
      </w:r>
    </w:p>
    <w:p>
      <w:pPr>
        <w:ind w:left="449" w:right="2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November 18, 2016, File No. 001-36117, filed November 22, 2016, and incorporated herein by reference.</w:t>
      </w:r>
    </w:p>
    <w:p>
      <w:pPr>
        <w:ind w:left="449" w:right="58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January 23, 2020, File No. 001-36117, filed January 28, 2020, and incorporated herein by reference.</w:t>
      </w:r>
    </w:p>
    <w:p>
      <w:pPr>
        <w:ind w:left="449" w:right="28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December 19, 2017, File No. 001-36117, filed December 22, 2017, and incorporated herein by reference.</w:t>
      </w:r>
    </w:p>
    <w:p>
      <w:pPr>
        <w:ind w:left="449" w:right="52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December 30, 2021, File No. 001-36117, filed January 6, 2022, and incorporated herein by reference.</w:t>
      </w:r>
    </w:p>
    <w:p>
      <w:pPr>
        <w:ind w:left="449" w:right="5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October 15, 2021, File No. 001-36117, filed October 20, 2021,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June 24, 2020, File No. 001-36117, filed June 29, 2020, and incorporated herein by reference.</w:t>
      </w:r>
    </w:p>
    <w:p>
      <w:pPr>
        <w:ind w:left="449" w:right="3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Form 10-Q for the quarter ended September 30, 2020, File No. 001-36117, filed November 12, 2020, and incorporated herein by reference.</w:t>
      </w:r>
    </w:p>
    <w:p>
      <w:pPr>
        <w:ind w:left="449" w:right="1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Form 10-Q for the quarter ended June 30, 2021, File No. 001-36117, filed August 12, 2021,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June 22, 2022, File No. 001-36117, filed June 27, 2022, and incorporated herein by reference.</w:t>
      </w:r>
    </w:p>
    <w:p>
      <w:pPr>
        <w:ind w:left="449" w:right="7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August 6, 2020, File No. 001-36117, filed August 11, 2020, and incorporated herein by reference.</w:t>
      </w:r>
    </w:p>
    <w:p>
      <w:pPr>
        <w:ind w:left="449" w:right="1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June 10, 2021, File No. 001-36117, filed June 14, 2021, and incorporated herein by reference.</w:t>
      </w:r>
    </w:p>
    <w:p>
      <w:pPr>
        <w:ind w:left="449" w:right="7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March 10, 2021, File No. 001-36117, filed March 16, 2021, and incorporated herein by reference.</w:t>
      </w:r>
    </w:p>
    <w:p>
      <w:pPr>
        <w:ind w:left="449" w:right="3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November 30, 2022, File No. 001-36117, filed December 6, 2022, and incorporated herein by reference.</w:t>
      </w:r>
    </w:p>
    <w:p>
      <w:pPr>
        <w:ind w:left="449" w:right="56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October 15, 2021, File No. 001-36117, filed October 20, 2021, and incorporated herein by reference.</w:t>
      </w:r>
    </w:p>
    <w:p>
      <w:pPr>
        <w:ind w:left="449" w:right="24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September 20, 2022, File No. 001-36117, filed September 26, 2022, and incorporated herein by reference</w:t>
      </w:r>
    </w:p>
    <w:p>
      <w:pPr>
        <w:ind w:left="449" w:right="32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Annual Report on Form 10-K for the year ended December 31, 2021, File No. 001-36117, filed March 23, 2022, and incorporated herein by reference.</w:t>
      </w:r>
    </w:p>
    <w:p>
      <w:pPr>
        <w:ind w:left="449" w:hanging="449"/>
        <w:spacing w:after="0"/>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appendix to the Company’s Proxy Statement filed April 27, 2023, and incorporated herein by reference.</w:t>
      </w:r>
    </w:p>
    <w:p>
      <w:pPr>
        <w:spacing w:after="0" w:line="10" w:lineRule="exact"/>
        <w:rPr>
          <w:rFonts w:ascii="Times New Roman" w:cs="Times New Roman" w:eastAsia="Times New Roman" w:hAnsi="Times New Roman"/>
          <w:sz w:val="15"/>
          <w:szCs w:val="15"/>
          <w:color w:val="auto"/>
        </w:rPr>
      </w:pPr>
    </w:p>
    <w:p>
      <w:pPr>
        <w:ind w:left="449" w:right="180" w:hanging="449"/>
        <w:spacing w:after="0" w:line="254"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May 11, 2023, File No. 001-36117, filed May 11, 2023, and incorporated herein by reference.</w:t>
      </w:r>
    </w:p>
    <w:p>
      <w:pPr>
        <w:ind w:left="449" w:right="440" w:hanging="449"/>
        <w:spacing w:after="0" w:line="268" w:lineRule="auto"/>
        <w:tabs>
          <w:tab w:leader="none" w:pos="4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by the Company as an exhibit to the Company’s Current Report on Form 8-K dated December 6, 2023, File No. 001-36117, filed December 6, 2023, and incorporated herein by reference.</w:t>
      </w:r>
    </w:p>
    <w:p>
      <w:pPr>
        <w:spacing w:after="0" w:line="148" w:lineRule="exact"/>
        <w:rPr>
          <w:sz w:val="20"/>
          <w:szCs w:val="20"/>
          <w:color w:val="auto"/>
        </w:rPr>
      </w:pPr>
    </w:p>
    <w:p>
      <w:pPr>
        <w:ind w:left="449" w:hanging="449"/>
        <w:spacing w:after="0"/>
        <w:tabs>
          <w:tab w:leader="none" w:pos="44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 management contract or compensatory plan, contract or arrangement in which directors or executive officers participate.</w:t>
      </w:r>
    </w:p>
    <w:p>
      <w:pPr>
        <w:spacing w:after="0" w:line="25" w:lineRule="exact"/>
        <w:rPr>
          <w:sz w:val="20"/>
          <w:szCs w:val="20"/>
          <w:color w:val="auto"/>
        </w:rPr>
      </w:pPr>
    </w:p>
    <w:p>
      <w:pPr>
        <w:ind w:left="449" w:right="340" w:hanging="449"/>
        <w:spacing w:after="0" w:line="268" w:lineRule="auto"/>
        <w:tabs>
          <w:tab w:leader="none" w:pos="44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filing omits exhibits and schedules pursuant to Item 601(a)(5) of Regulation S-K, which the registrant agrees to furnish supplementary to the Securities and Exchange Commission upon request.</w:t>
      </w:r>
    </w:p>
    <w:p>
      <w:pPr>
        <w:spacing w:after="0" w:line="14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9"/>
          </w:cols>
          <w:pgMar w:left="311" w:top="513" w:right="379" w:bottom="1440" w:gutter="0" w:footer="0" w:header="0"/>
        </w:sectPr>
      </w:pPr>
    </w:p>
    <w:bookmarkStart w:id="38" w:name="page39"/>
    <w:bookmarkEnd w:id="38"/>
    <w:p>
      <w:pPr>
        <w:jc w:val="center"/>
        <w:ind w:right="-199"/>
        <w:spacing w:after="0"/>
        <w:rPr>
          <w:sz w:val="20"/>
          <w:szCs w:val="20"/>
          <w:color w:val="auto"/>
        </w:rPr>
      </w:pPr>
      <w:r>
        <w:rPr>
          <w:rFonts w:ascii="Times New Roman" w:cs="Times New Roman" w:eastAsia="Times New Roman" w:hAnsi="Times New Roman"/>
          <w:sz w:val="15"/>
          <w:szCs w:val="15"/>
          <w:b w:val="1"/>
          <w:bCs w:val="1"/>
          <w:u w:val="single" w:color="auto"/>
          <w:color w:val="auto"/>
        </w:rPr>
        <w:t>Signatures</w:t>
      </w:r>
    </w:p>
    <w:p>
      <w:pPr>
        <w:spacing w:after="0" w:line="197" w:lineRule="exact"/>
        <w:rPr>
          <w:sz w:val="20"/>
          <w:szCs w:val="20"/>
          <w:color w:val="auto"/>
        </w:rPr>
      </w:pPr>
    </w:p>
    <w:p>
      <w:pPr>
        <w:ind w:left="340" w:right="800"/>
        <w:spacing w:after="0" w:line="288"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inTEST Corporation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By:  /s/ Richard N. Grant, Jr.</w:t>
            </w:r>
          </w:p>
        </w:tc>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w w:val="98"/>
              </w:rPr>
              <w:t>March 27, 2024</w:t>
            </w:r>
          </w:p>
        </w:tc>
      </w:tr>
      <w:tr>
        <w:trPr>
          <w:trHeight w:val="182"/>
        </w:trPr>
        <w:tc>
          <w:tcPr>
            <w:tcW w:w="340" w:type="dxa"/>
            <w:vAlign w:val="bottom"/>
          </w:tcPr>
          <w:p>
            <w:pPr>
              <w:spacing w:after="0"/>
              <w:rPr>
                <w:sz w:val="15"/>
                <w:szCs w:val="15"/>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Richard N. Grant, Jr.</w:t>
            </w:r>
          </w:p>
        </w:tc>
        <w:tc>
          <w:tcPr>
            <w:tcW w:w="4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98"/>
        </w:trPr>
        <w:tc>
          <w:tcPr>
            <w:tcW w:w="3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960" w:type="dxa"/>
            <w:vAlign w:val="bottom"/>
          </w:tcPr>
          <w:p>
            <w:pPr>
              <w:spacing w:after="0"/>
              <w:rPr>
                <w:sz w:val="17"/>
                <w:szCs w:val="17"/>
                <w:color w:val="auto"/>
              </w:rPr>
            </w:pPr>
          </w:p>
        </w:tc>
      </w:tr>
    </w:tbl>
    <w:p>
      <w:pPr>
        <w:spacing w:after="0" w:line="350" w:lineRule="exact"/>
        <w:rPr>
          <w:sz w:val="20"/>
          <w:szCs w:val="20"/>
          <w:color w:val="auto"/>
        </w:rPr>
      </w:pPr>
    </w:p>
    <w:p>
      <w:pPr>
        <w:ind w:left="340" w:right="120"/>
        <w:spacing w:after="0" w:line="288" w:lineRule="auto"/>
        <w:rPr>
          <w:sz w:val="20"/>
          <w:szCs w:val="20"/>
          <w:color w:val="auto"/>
        </w:rPr>
      </w:pPr>
      <w:r>
        <w:rPr>
          <w:rFonts w:ascii="Times New Roman" w:cs="Times New Roman" w:eastAsia="Times New Roman" w:hAnsi="Times New Roman"/>
          <w:sz w:val="15"/>
          <w:szCs w:val="15"/>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 Richard N. Grant, Jr.</w:t>
            </w:r>
          </w:p>
        </w:tc>
        <w:tc>
          <w:tcPr>
            <w:tcW w:w="13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27, 2024</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82"/>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Richard N. Grant, Jr., President,</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3"/>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98"/>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96"/>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 Duncan Gilmour.</w:t>
            </w:r>
          </w:p>
        </w:tc>
        <w:tc>
          <w:tcPr>
            <w:tcW w:w="13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27, 2024</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82"/>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Duncan Gilmour, Chief Financial Officer, Treasurer</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3"/>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and Secretary</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98"/>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96"/>
        </w:trPr>
        <w:tc>
          <w:tcPr>
            <w:tcW w:w="1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/s/ Joseph W. Dews IV</w:t>
            </w:r>
          </w:p>
        </w:tc>
        <w:tc>
          <w:tcPr>
            <w:tcW w:w="3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March 27, 2024</w:t>
            </w:r>
          </w:p>
        </w:tc>
        <w:tc>
          <w:tcPr>
            <w:tcW w:w="4320" w:type="dxa"/>
            <w:vAlign w:val="bottom"/>
          </w:tcPr>
          <w:p>
            <w:pPr>
              <w:spacing w:after="0"/>
              <w:rPr>
                <w:sz w:val="24"/>
                <w:szCs w:val="24"/>
                <w:color w:val="auto"/>
              </w:rPr>
            </w:pPr>
          </w:p>
        </w:tc>
      </w:tr>
      <w:tr>
        <w:trPr>
          <w:trHeight w:val="197"/>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Joseph W. Dews IV, Chairman</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96"/>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 Steven J. Abrams</w:t>
            </w:r>
          </w:p>
        </w:tc>
        <w:tc>
          <w:tcPr>
            <w:tcW w:w="13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27, 2024</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7"/>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Steven J. Abrams, Esq., Director</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96"/>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 Jeffrey A. Beck</w:t>
            </w:r>
          </w:p>
        </w:tc>
        <w:tc>
          <w:tcPr>
            <w:tcW w:w="13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27, 2024</w:t>
            </w: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7"/>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Jeffrey A. Beck, Director</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96"/>
        </w:trPr>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color w:val="auto"/>
              </w:rPr>
              <w:t>/s/ Gerald J. Maginnis</w:t>
            </w:r>
          </w:p>
        </w:tc>
        <w:tc>
          <w:tcPr>
            <w:tcW w:w="32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March 27, 2024</w:t>
            </w:r>
          </w:p>
        </w:tc>
        <w:tc>
          <w:tcPr>
            <w:tcW w:w="4320" w:type="dxa"/>
            <w:vAlign w:val="bottom"/>
          </w:tcPr>
          <w:p>
            <w:pPr>
              <w:spacing w:after="0"/>
              <w:rPr>
                <w:sz w:val="24"/>
                <w:szCs w:val="24"/>
                <w:color w:val="auto"/>
              </w:rPr>
            </w:pPr>
          </w:p>
        </w:tc>
      </w:tr>
      <w:tr>
        <w:trPr>
          <w:trHeight w:val="197"/>
        </w:trPr>
        <w:tc>
          <w:tcPr>
            <w:tcW w:w="46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Gerald J. Maginnis, Director</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36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38</w:t>
            </w: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94"/>
        </w:trPr>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09" w:right="319" w:bottom="1440" w:gutter="0" w:footer="0" w:header="0"/>
        </w:sectPr>
      </w:pPr>
    </w:p>
    <w:bookmarkStart w:id="39" w:name="page40"/>
    <w:bookmarkEnd w:id="39"/>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1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 AND</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FINANCIAL STATEMENT SCHEDULE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80" w:type="dxa"/>
            <w:vAlign w:val="bottom"/>
          </w:tcPr>
          <w:p>
            <w:pPr>
              <w:spacing w:after="0"/>
              <w:rPr>
                <w:sz w:val="17"/>
                <w:szCs w:val="17"/>
                <w:color w:val="auto"/>
              </w:rPr>
            </w:pPr>
          </w:p>
        </w:tc>
        <w:tc>
          <w:tcPr>
            <w:tcW w:w="2380" w:type="dxa"/>
            <w:vAlign w:val="bottom"/>
          </w:tcPr>
          <w:p>
            <w:pPr>
              <w:ind w:left="190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2"/>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REPORTS OF INDEPENDENT REGISTERED PUBLIC ACCOUNTING FIRM (RSM US LLP PCAOB No. 49)</w:t>
            </w:r>
          </w:p>
        </w:tc>
        <w:tc>
          <w:tcPr>
            <w:tcW w:w="23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F - 1</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 FINANCIAL STATEMENTS</w:t>
            </w:r>
          </w:p>
        </w:tc>
        <w:tc>
          <w:tcPr>
            <w:tcW w:w="2380" w:type="dxa"/>
            <w:vAlign w:val="bottom"/>
            <w:shd w:val="clear" w:color="auto" w:fill="CCEEFF"/>
          </w:tcPr>
          <w:p>
            <w:pPr>
              <w:spacing w:after="0"/>
              <w:rPr>
                <w:sz w:val="15"/>
                <w:szCs w:val="15"/>
                <w:color w:val="auto"/>
              </w:rPr>
            </w:pP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 Balance Sheets as of December 31, 2023 and 2022</w:t>
            </w:r>
          </w:p>
        </w:tc>
        <w:tc>
          <w:tcPr>
            <w:tcW w:w="23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F - 4</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 Statements of Operations for the years ended December 31, 2023 and 2022</w:t>
            </w:r>
          </w:p>
        </w:tc>
        <w:tc>
          <w:tcPr>
            <w:tcW w:w="23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F – 5</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 Statements of Comprehensive Earnings for the years ended December 31, 2023 and 2022</w:t>
            </w:r>
          </w:p>
        </w:tc>
        <w:tc>
          <w:tcPr>
            <w:tcW w:w="23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F – 6</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 Statements of Stockholders' Equity for the years ended December 31, 2023 and 2022</w:t>
            </w:r>
          </w:p>
        </w:tc>
        <w:tc>
          <w:tcPr>
            <w:tcW w:w="23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F - 7</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Consolidated Statements of Cash Flows for the years ended December 31, 2023 and 2022</w:t>
            </w:r>
          </w:p>
        </w:tc>
        <w:tc>
          <w:tcPr>
            <w:tcW w:w="23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F - 8</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23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F - 9</w:t>
            </w: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STATEMENT SCHEDULE</w:t>
            </w:r>
          </w:p>
        </w:tc>
        <w:tc>
          <w:tcPr>
            <w:tcW w:w="2380" w:type="dxa"/>
            <w:vAlign w:val="bottom"/>
            <w:shd w:val="clear" w:color="auto" w:fill="CCEEFF"/>
          </w:tcPr>
          <w:p>
            <w:pPr>
              <w:spacing w:after="0"/>
              <w:rPr>
                <w:sz w:val="15"/>
                <w:szCs w:val="15"/>
                <w:color w:val="auto"/>
              </w:rPr>
            </w:pPr>
          </w:p>
        </w:tc>
      </w:tr>
      <w:tr>
        <w:trPr>
          <w:trHeight w:val="183"/>
        </w:trPr>
        <w:tc>
          <w:tcPr>
            <w:tcW w:w="88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Schedule II - Valuation and Qualifying Accounts</w:t>
            </w:r>
          </w:p>
        </w:tc>
        <w:tc>
          <w:tcPr>
            <w:tcW w:w="23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5"/>
                <w:szCs w:val="15"/>
                <w:color w:val="auto"/>
              </w:rPr>
              <w:t>F -31</w:t>
            </w:r>
          </w:p>
        </w:tc>
      </w:tr>
      <w:tr>
        <w:trPr>
          <w:trHeight w:val="366"/>
        </w:trPr>
        <w:tc>
          <w:tcPr>
            <w:tcW w:w="8880" w:type="dxa"/>
            <w:vAlign w:val="bottom"/>
          </w:tcPr>
          <w:p>
            <w:pPr>
              <w:ind w:left="5540"/>
              <w:spacing w:after="0"/>
              <w:rPr>
                <w:sz w:val="20"/>
                <w:szCs w:val="20"/>
                <w:color w:val="auto"/>
              </w:rPr>
            </w:pPr>
            <w:r>
              <w:rPr>
                <w:rFonts w:ascii="Times New Roman" w:cs="Times New Roman" w:eastAsia="Times New Roman" w:hAnsi="Times New Roman"/>
                <w:sz w:val="15"/>
                <w:szCs w:val="15"/>
                <w:color w:val="auto"/>
              </w:rPr>
              <w:t>39</w:t>
            </w:r>
          </w:p>
        </w:tc>
        <w:tc>
          <w:tcPr>
            <w:tcW w:w="2380" w:type="dxa"/>
            <w:vAlign w:val="bottom"/>
          </w:tcPr>
          <w:p>
            <w:pPr>
              <w:spacing w:after="0"/>
              <w:rPr>
                <w:sz w:val="24"/>
                <w:szCs w:val="24"/>
                <w:color w:val="auto"/>
              </w:rPr>
            </w:pPr>
          </w:p>
        </w:tc>
      </w:tr>
      <w:tr>
        <w:trPr>
          <w:trHeight w:val="94"/>
        </w:trPr>
        <w:tc>
          <w:tcPr>
            <w:tcW w:w="88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714" w:right="3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inTEST Corporation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inTEST Corporation and its subsidiaries (the Company) as of December 31, 2023 and 2022, the related consolidated statements of operations, comprehensive earnings, stockholders' equity and cash flows for each of the two years in the period ended December 31, 2023, and the related notes to the consolidated financial statements and schedule (collectively,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5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Integrated Framework</w:t>
      </w:r>
      <w:r>
        <w:rPr>
          <w:rFonts w:ascii="Times New Roman" w:cs="Times New Roman" w:eastAsia="Times New Roman" w:hAnsi="Times New Roman"/>
          <w:sz w:val="15"/>
          <w:szCs w:val="15"/>
          <w:color w:val="auto"/>
        </w:rPr>
        <w:t xml:space="preserve"> issued by the Committee of Sponsoring Organizations of the Treadway Commission in 2013. Our report dated March 27, 2024 expressed an opinion that the Company had not maintained effective internal control over financial reporting as of December 31, 2023, based on criteria established in Internal Control — Integrated Framework issued by the Committee of Sponsoring Organizations of the Treadway Commission in 2013.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of Goodwill</w:t>
      </w:r>
    </w:p>
    <w:p>
      <w:pPr>
        <w:spacing w:after="0" w:line="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5"/>
          <w:szCs w:val="15"/>
          <w:color w:val="auto"/>
        </w:rPr>
        <w:t>As disclosed in Notes 2 and 4 to the Company’s consolidated financial statements, during 2023 the Company had three operating segments which are also its reporting units – Electronic Test, Environmental Technologies, and Process Technologies. As of December 31, 2023, the Company’s goodwill balance of approximately $21.7 million was allocated across the three reporting units as follows: $3.4 million to Electronic Test, $1.8 million to Environmental Technologies and $16.5 million to Process Technologies. The Company performed an annual goodwill impairment test as of October 1, 2023 using a quantitative evaluation for each of its reporting units. The Company determines the fair value of its reporting units using the income approach, based on a discounted cash flow valuation model. To test for goodwill impairment, the Company compares the fair value of each reporting unit to its carrying value.</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5"/>
          <w:szCs w:val="15"/>
          <w:color w:val="auto"/>
        </w:rPr>
        <w:t>Given the significant estimates and assumptions management makes to determine the fair value of the reporting units, we identified management’s assumptions related to revenue growth rates, expense growth rates, control premiums and discount rates utilized in the valuation of the reporting units quantitatively tested for goodwill impairment as a critical audit matter. Auditing the reasonableness of management’s estimates and assumptions required a high degree of auditor judgment and an increased extent of effort, including the need to involve our fair value specialists.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41" w:name="page42"/>
    <w:bookmarkEnd w:id="41"/>
    <w:p>
      <w:pPr>
        <w:ind w:left="9"/>
        <w:spacing w:after="0"/>
        <w:rPr>
          <w:sz w:val="20"/>
          <w:szCs w:val="20"/>
          <w:color w:val="auto"/>
        </w:rPr>
      </w:pPr>
      <w:r>
        <w:rPr>
          <w:rFonts w:ascii="Times New Roman" w:cs="Times New Roman" w:eastAsia="Times New Roman" w:hAnsi="Times New Roman"/>
          <w:sz w:val="15"/>
          <w:szCs w:val="15"/>
          <w:color w:val="auto"/>
        </w:rPr>
        <w:t>Our audit procedures related to the assessment of the valuation of goodwill included, among other procedures, the following:</w:t>
      </w:r>
    </w:p>
    <w:p>
      <w:pPr>
        <w:spacing w:after="0" w:line="193" w:lineRule="exact"/>
        <w:rPr>
          <w:sz w:val="20"/>
          <w:szCs w:val="20"/>
          <w:color w:val="auto"/>
        </w:rPr>
      </w:pPr>
    </w:p>
    <w:p>
      <w:pPr>
        <w:ind w:left="269" w:hanging="269"/>
        <w:spacing w:after="0"/>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obtained an understanding of management’s process for developing the fair value estimate.</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completeness, accuracy, and relevance of certain underlying data used in the discounted cash flow model.</w:t>
      </w:r>
    </w:p>
    <w:p>
      <w:pPr>
        <w:spacing w:after="0" w:line="192" w:lineRule="exact"/>
        <w:rPr>
          <w:rFonts w:ascii="Times New Roman" w:cs="Times New Roman" w:eastAsia="Times New Roman" w:hAnsi="Times New Roman"/>
          <w:sz w:val="15"/>
          <w:szCs w:val="15"/>
          <w:color w:val="auto"/>
        </w:rPr>
      </w:pPr>
    </w:p>
    <w:p>
      <w:pPr>
        <w:ind w:left="269" w:right="580" w:hanging="269"/>
        <w:spacing w:after="0" w:line="288" w:lineRule="auto"/>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compared and assessed the historical accuracy of management’s estimates, including forecasted revenue streams and margins, to identify, understand, and evaluate the reasonableness of the forecasts as compared to the Company’s historical results.</w:t>
      </w:r>
    </w:p>
    <w:p>
      <w:pPr>
        <w:spacing w:after="0" w:line="133" w:lineRule="exact"/>
        <w:rPr>
          <w:rFonts w:ascii="Times New Roman" w:cs="Times New Roman" w:eastAsia="Times New Roman" w:hAnsi="Times New Roman"/>
          <w:sz w:val="15"/>
          <w:szCs w:val="15"/>
          <w:color w:val="auto"/>
        </w:rPr>
      </w:pPr>
    </w:p>
    <w:p>
      <w:pPr>
        <w:ind w:left="269" w:right="160" w:hanging="269"/>
        <w:spacing w:after="0" w:line="288" w:lineRule="auto"/>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reasonableness of management’s forecasts of revenue and margins by comparing the forecasts to (1) the historical results, (2) external market and industry data and (3) internal communications to management and the Board of Directors.</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assistance of our valuation specialists, we evaluated the reasonableness of management’s valuation methodology and significant assumptions by:</w:t>
      </w:r>
    </w:p>
    <w:p>
      <w:pPr>
        <w:spacing w:after="0" w:line="193" w:lineRule="exact"/>
        <w:rPr>
          <w:sz w:val="20"/>
          <w:szCs w:val="20"/>
          <w:color w:val="auto"/>
        </w:rPr>
      </w:pPr>
    </w:p>
    <w:p>
      <w:pPr>
        <w:ind w:left="1089" w:hanging="267"/>
        <w:spacing w:after="0" w:line="288" w:lineRule="auto"/>
        <w:tabs>
          <w:tab w:leader="none" w:pos="108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reasonableness of the discount rate by comparing the underlying source information to publicly available market data and verifying the accuracy of the calculations.</w:t>
      </w:r>
    </w:p>
    <w:p>
      <w:pPr>
        <w:spacing w:after="0" w:line="133" w:lineRule="exact"/>
        <w:rPr>
          <w:rFonts w:ascii="Times New Roman" w:cs="Times New Roman" w:eastAsia="Times New Roman" w:hAnsi="Times New Roman"/>
          <w:sz w:val="15"/>
          <w:szCs w:val="15"/>
          <w:color w:val="auto"/>
        </w:rPr>
      </w:pPr>
    </w:p>
    <w:p>
      <w:pPr>
        <w:ind w:left="1089" w:hanging="267"/>
        <w:spacing w:after="0"/>
        <w:tabs>
          <w:tab w:leader="none" w:pos="108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control premiums utilized within the reconciliation to the Company’s market capitalization.</w:t>
      </w:r>
    </w:p>
    <w:p>
      <w:pPr>
        <w:spacing w:after="0" w:line="215" w:lineRule="exact"/>
        <w:rPr>
          <w:rFonts w:ascii="Times New Roman" w:cs="Times New Roman" w:eastAsia="Times New Roman" w:hAnsi="Times New Roman"/>
          <w:sz w:val="15"/>
          <w:szCs w:val="15"/>
          <w:color w:val="auto"/>
        </w:rPr>
      </w:pPr>
    </w:p>
    <w:p>
      <w:pPr>
        <w:ind w:left="1089" w:hanging="267"/>
        <w:spacing w:after="0"/>
        <w:tabs>
          <w:tab w:leader="none" w:pos="108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appropriateness of the valuation methods used by management and testing their mathematical accuracy.</w:t>
      </w:r>
    </w:p>
    <w:p>
      <w:pPr>
        <w:spacing w:after="0" w:line="3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/s/ RSM US LLP</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We have served as the Company's auditor since 2008.</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Blue Bell, Pennsylvania</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March 27, 2024</w:t>
      </w:r>
    </w:p>
    <w:p>
      <w:pPr>
        <w:spacing w:after="0" w:line="17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9"/>
          </w:cols>
          <w:pgMar w:left="311" w:top="878" w:right="37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 the Stockholders and the Board of Directors of inTEST Corporation</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Opinion on the Internal Control Over Financial Reporting</w:t>
      </w:r>
    </w:p>
    <w:p>
      <w:pPr>
        <w:spacing w:after="0" w:line="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5"/>
          <w:szCs w:val="15"/>
          <w:color w:val="auto"/>
        </w:rPr>
        <w:t xml:space="preserve">We have audited inTEST Corporation's (the Company)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Integrated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Framework </w:t>
      </w:r>
      <w:r>
        <w:rPr>
          <w:rFonts w:ascii="Times New Roman" w:cs="Times New Roman" w:eastAsia="Times New Roman" w:hAnsi="Times New Roman"/>
          <w:sz w:val="15"/>
          <w:szCs w:val="15"/>
          <w:color w:val="auto"/>
        </w:rPr>
        <w:t>issued by the Committee of Sponsoring Organizations of the Treadway Commission in 2013 . In our opinion, because of the effect of the material weakness described below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Integrated Framework</w:t>
      </w:r>
      <w:r>
        <w:rPr>
          <w:rFonts w:ascii="Times New Roman" w:cs="Times New Roman" w:eastAsia="Times New Roman" w:hAnsi="Times New Roman"/>
          <w:sz w:val="15"/>
          <w:szCs w:val="15"/>
          <w:color w:val="auto"/>
        </w:rPr>
        <w:t xml:space="preserve"> issued by the Committee of Sponsoring Organizations of the Treadway Commission in 2013.</w:t>
      </w:r>
    </w:p>
    <w:p>
      <w:pPr>
        <w:spacing w:after="0" w:line="156" w:lineRule="exact"/>
        <w:rPr>
          <w:sz w:val="20"/>
          <w:szCs w:val="20"/>
          <w:color w:val="auto"/>
        </w:rPr>
      </w:pPr>
    </w:p>
    <w:p>
      <w:pPr>
        <w:jc w:val="both"/>
        <w:ind w:left="20" w:right="80"/>
        <w:spacing w:after="0" w:line="271" w:lineRule="auto"/>
        <w:rPr>
          <w:sz w:val="20"/>
          <w:szCs w:val="20"/>
          <w:color w:val="auto"/>
        </w:rPr>
      </w:pPr>
      <w:r>
        <w:rPr>
          <w:rFonts w:ascii="Times New Roman" w:cs="Times New Roman" w:eastAsia="Times New Roman" w:hAnsi="Times New Roman"/>
          <w:sz w:val="15"/>
          <w:szCs w:val="15"/>
          <w:color w:val="auto"/>
        </w:rPr>
        <w:t>We have also audited, in accordance with the standards of the Public Company Accounting Oversight Board (United States) (PCAOB), the consolidated balance sheets of the Company as of December 31, 2023 and 2022, and the related consolidated statements of operations, comprehensive earnings, stockholders’ equity and cash flows for each of the two years in the period ended December 31, 2023 of the Company and our report dated March 27, 2024 expressed an unqualified opinion.</w:t>
      </w:r>
    </w:p>
    <w:p>
      <w:pPr>
        <w:spacing w:after="0" w:line="14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appropriately design and implement controls over 1) the identification of and 2) the application of appropriate U.S. GAAP for transactions related to the procurement and sale of discontinued material/components purchased on behalf of customers where the associated materials/components were still physically located with the Company and the materials/components are expected to be applied to future product orders for these customers. This material weakness was considered in determining the nature, timing and extent of audit tests applied in our audit of the 2023 financial statements, and this report does not affect our report dated March 27, 2024 on those financial statements.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9"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6" w:lineRule="exact"/>
        <w:rPr>
          <w:sz w:val="20"/>
          <w:szCs w:val="20"/>
          <w:color w:val="auto"/>
        </w:rPr>
      </w:pPr>
    </w:p>
    <w:p>
      <w:pPr>
        <w:ind w:left="20" w:right="20"/>
        <w:spacing w:after="0" w:line="265"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2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ind w:left="20" w:right="160"/>
        <w:spacing w:after="0" w:line="288"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RSM US LLP</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Blue Bell, Pennsylvania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March 27, 2024</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327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43" w:name="page44"/>
    <w:bookmarkEnd w:id="43"/>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80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45,260</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13,434</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Restricted cash</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1,142</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Trade accounts receivable, net of allowance for credit losses of $474 and $496, respectively</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21,215</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22,565</w:t>
            </w:r>
          </w:p>
        </w:tc>
      </w:tr>
      <w:tr>
        <w:trPr>
          <w:trHeight w:val="183"/>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current assets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60,051</w:t>
            </w: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9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Machinery and equipment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6,625</w:t>
            </w:r>
          </w:p>
        </w:tc>
      </w:tr>
      <w:tr>
        <w:trPr>
          <w:trHeight w:val="183"/>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Leasehold improvements</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Gross property and equipment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9,867</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(7,529)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(6,735)</w:t>
            </w:r>
          </w:p>
        </w:tc>
      </w:tr>
      <w:tr>
        <w:trPr>
          <w:trHeight w:val="174"/>
        </w:trPr>
        <w:tc>
          <w:tcPr>
            <w:tcW w:w="800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Net property and equipment</w:t>
            </w:r>
          </w:p>
        </w:tc>
        <w:tc>
          <w:tcPr>
            <w:tcW w:w="9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3,190</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3,132</w:t>
            </w:r>
          </w:p>
        </w:tc>
        <w:tc>
          <w:tcPr>
            <w:tcW w:w="100" w:type="dxa"/>
            <w:vAlign w:val="bottom"/>
            <w:tcBorders>
              <w:top w:val="single" w:sz="8" w:color="CCEEFF"/>
            </w:tcBorders>
          </w:tcPr>
          <w:p>
            <w:pPr>
              <w:spacing w:after="0"/>
              <w:rPr>
                <w:sz w:val="15"/>
                <w:szCs w:val="15"/>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 net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5,770</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21,605</w:t>
            </w: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18,559</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280</w:t>
            </w: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certificates of deposit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00" w:type="dxa"/>
            <w:vAlign w:val="bottom"/>
          </w:tcPr>
          <w:p>
            <w:pPr>
              <w:spacing w:after="0"/>
              <w:rPr>
                <w:sz w:val="15"/>
                <w:szCs w:val="15"/>
                <w:color w:val="auto"/>
              </w:rPr>
            </w:pPr>
          </w:p>
        </w:tc>
      </w:tr>
      <w:tr>
        <w:trPr>
          <w:trHeight w:val="21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134,829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110,066</w:t>
            </w:r>
          </w:p>
        </w:tc>
      </w:tr>
      <w:tr>
        <w:trPr>
          <w:trHeight w:val="157"/>
        </w:trPr>
        <w:tc>
          <w:tcPr>
            <w:tcW w:w="80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portion of Term Note</w:t>
            </w: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4,100</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1,645</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7,394</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wages and benefits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3,907</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professional fees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884</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deposits and deferred revenue</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4,498</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sales commission</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1,468</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Domestic and foreign income taxes payable</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1,409</w:t>
            </w:r>
          </w:p>
        </w:tc>
      </w:tr>
      <w:tr>
        <w:trPr>
          <w:trHeight w:val="183"/>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26,869</w:t>
            </w:r>
          </w:p>
        </w:tc>
        <w:tc>
          <w:tcPr>
            <w:tcW w:w="100" w:type="dxa"/>
            <w:vAlign w:val="bottom"/>
          </w:tcPr>
          <w:p>
            <w:pPr>
              <w:spacing w:after="0"/>
              <w:rPr>
                <w:sz w:val="15"/>
                <w:szCs w:val="15"/>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4,705</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Term Note, net of current portion</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12,042</w:t>
            </w: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Contingent consideration</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1,039</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45,110</w:t>
            </w:r>
          </w:p>
        </w:tc>
      </w:tr>
      <w:tr>
        <w:trPr>
          <w:trHeight w:val="174"/>
        </w:trPr>
        <w:tc>
          <w:tcPr>
            <w:tcW w:w="800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12)</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Preferred stock, $0.01 par value; 5,000,000 shares authorized; no shares issued or outstanding</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$0.01 par value; 20,000,000 shares authorized; 12,241,925 and 11,063,271 shares issued, respectively</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111</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31,987</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32,854</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earnings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218</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Treasury stock, at cost; 75,758 and 34,308 shares, respectively</w:t>
            </w:r>
          </w:p>
        </w:tc>
        <w:tc>
          <w:tcPr>
            <w:tcW w:w="9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(214)</w:t>
            </w:r>
          </w:p>
        </w:tc>
      </w:tr>
      <w:tr>
        <w:trPr>
          <w:trHeight w:val="174"/>
        </w:trPr>
        <w:tc>
          <w:tcPr>
            <w:tcW w:w="8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96,281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64,956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134,829</w:t>
            </w:r>
          </w:p>
        </w:tc>
        <w:tc>
          <w:tcPr>
            <w:tcW w:w="140" w:type="dxa"/>
            <w:vAlign w:val="bottom"/>
          </w:tcPr>
          <w:p>
            <w:pPr>
              <w:spacing w:after="0"/>
              <w:rPr>
                <w:sz w:val="15"/>
                <w:szCs w:val="15"/>
                <w:color w:val="auto"/>
              </w:rPr>
            </w:pP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110,066</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14" w:right="319" w:bottom="1440" w:gutter="0" w:footer="0" w:header="0"/>
        </w:sectPr>
      </w:pPr>
    </w:p>
    <w:bookmarkStart w:id="44" w:name="page45"/>
    <w:bookmarkEnd w:id="44"/>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8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r>
      <w:tr>
        <w:trPr>
          <w:trHeight w:val="174"/>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123,302</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116,828</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66,324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63,388</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56,978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53,440</w:t>
            </w:r>
          </w:p>
        </w:tc>
      </w:tr>
      <w:tr>
        <w:trPr>
          <w:trHeight w:val="174"/>
        </w:trPr>
        <w:tc>
          <w:tcPr>
            <w:tcW w:w="80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Selling expense</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17,605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15,903</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Engineering and product development expense</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7,618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7,529</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21,316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19,287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46,539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42,719</w:t>
            </w:r>
          </w:p>
        </w:tc>
      </w:tr>
      <w:tr>
        <w:trPr>
          <w:trHeight w:val="174"/>
        </w:trPr>
        <w:tc>
          <w:tcPr>
            <w:tcW w:w="80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10,439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10,721</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(635)</w:t>
            </w: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1,288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w:t>
            </w:r>
          </w:p>
        </w:tc>
      </w:tr>
      <w:tr>
        <w:trPr>
          <w:trHeight w:val="174"/>
        </w:trPr>
        <w:tc>
          <w:tcPr>
            <w:tcW w:w="80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before income tax expense</w:t>
            </w: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11,048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10,145</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1,706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1,684</w:t>
            </w:r>
          </w:p>
        </w:tc>
      </w:tr>
      <w:tr>
        <w:trPr>
          <w:trHeight w:val="174"/>
        </w:trPr>
        <w:tc>
          <w:tcPr>
            <w:tcW w:w="800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9,342</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8,461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Earnings per common share – basic</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0.82</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0.79</w:t>
            </w:r>
          </w:p>
        </w:tc>
      </w:tr>
      <w:tr>
        <w:trPr>
          <w:trHeight w:val="183"/>
        </w:trPr>
        <w:tc>
          <w:tcPr>
            <w:tcW w:w="8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3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11,461,399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10,673,017</w:t>
            </w:r>
          </w:p>
        </w:tc>
      </w:tr>
      <w:tr>
        <w:trPr>
          <w:trHeight w:val="183"/>
        </w:trPr>
        <w:tc>
          <w:tcPr>
            <w:tcW w:w="8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Earnings per common share – diluted</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0.79</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0.78</w:t>
            </w:r>
          </w:p>
        </w:tc>
      </w:tr>
      <w:tr>
        <w:trPr>
          <w:trHeight w:val="183"/>
        </w:trPr>
        <w:tc>
          <w:tcPr>
            <w:tcW w:w="8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and common share equivalents outstanding – diluted</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11,779,912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10,862,538</w:t>
            </w:r>
          </w:p>
        </w:tc>
      </w:tr>
      <w:tr>
        <w:trPr>
          <w:trHeight w:val="351"/>
        </w:trPr>
        <w:tc>
          <w:tcPr>
            <w:tcW w:w="8000" w:type="dxa"/>
            <w:vAlign w:val="bottom"/>
          </w:tcPr>
          <w:p>
            <w:pPr>
              <w:ind w:left="3800"/>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8000" w:type="dxa"/>
            <w:vAlign w:val="bottom"/>
          </w:tcPr>
          <w:p>
            <w:pPr>
              <w:ind w:left="5520"/>
              <w:spacing w:after="0"/>
              <w:rPr>
                <w:sz w:val="20"/>
                <w:szCs w:val="20"/>
                <w:color w:val="auto"/>
              </w:rPr>
            </w:pPr>
            <w:r>
              <w:rPr>
                <w:rFonts w:ascii="Times New Roman" w:cs="Times New Roman" w:eastAsia="Times New Roman" w:hAnsi="Times New Roman"/>
                <w:sz w:val="15"/>
                <w:szCs w:val="15"/>
                <w:color w:val="auto"/>
              </w:rPr>
              <w:t>F-5</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8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714" w:right="319" w:bottom="1440" w:gutter="0" w:footer="0" w:header="0"/>
        </w:sectPr>
      </w:pPr>
    </w:p>
    <w:bookmarkStart w:id="45" w:name="page46"/>
    <w:bookmarkEnd w:id="45"/>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EARNINGS</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(In thousands)</w:t>
      </w:r>
    </w:p>
    <w:p>
      <w:pPr>
        <w:spacing w:after="0" w:line="174"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5"/>
          <w:szCs w:val="15"/>
          <w:b w:val="1"/>
          <w:bCs w:val="1"/>
          <w:color w:val="auto"/>
        </w:rPr>
        <w:t>Years Ended</w:t>
      </w:r>
    </w:p>
    <w:p>
      <w:pPr>
        <w:spacing w:after="0" w:line="2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6350</wp:posOffset>
            </wp:positionV>
            <wp:extent cx="200787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jc w:val="both"/>
        <w:ind w:left="8580"/>
        <w:spacing w:after="0"/>
        <w:tabs>
          <w:tab w:leader="none" w:pos="10260" w:val="left"/>
        </w:tabs>
        <w:rPr>
          <w:sz w:val="20"/>
          <w:szCs w:val="20"/>
          <w:color w:val="auto"/>
        </w:rPr>
      </w:pPr>
      <w:r>
        <w:rPr>
          <w:rFonts w:ascii="Times New Roman" w:cs="Times New Roman" w:eastAsia="Times New Roman" w:hAnsi="Times New Roman"/>
          <w:sz w:val="15"/>
          <w:szCs w:val="15"/>
          <w:b w:val="1"/>
          <w:bCs w:val="1"/>
          <w:color w:val="auto"/>
        </w:rPr>
        <w:t>2023</w:t>
      </w:r>
      <w:r>
        <w:rPr>
          <w:sz w:val="20"/>
          <w:szCs w:val="20"/>
          <w:color w:val="auto"/>
        </w:rPr>
        <w:tab/>
      </w:r>
      <w:r>
        <w:rPr>
          <w:rFonts w:ascii="Times New Roman" w:cs="Times New Roman" w:eastAsia="Times New Roman" w:hAnsi="Times New Roman"/>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13335</wp:posOffset>
            </wp:positionV>
            <wp:extent cx="200787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ectPr>
          <w:pgSz w:w="11900" w:h="16838" w:orient="portrait"/>
          <w:cols w:equalWidth="0" w:num="1">
            <w:col w:w="11200"/>
          </w:cols>
          <w:pgMar w:left="320" w:top="714" w:right="379" w:bottom="144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earnings</w:t>
      </w:r>
    </w:p>
    <w:p>
      <w:pPr>
        <w:spacing w:after="0" w:line="193"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5"/>
          <w:szCs w:val="15"/>
          <w:color w:val="auto"/>
        </w:rPr>
        <w:t>Unrealized gain (loss) on interest rate swap agreement Foreign currency translation adjustments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Comprehensive earnings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4180" w:type="dxa"/>
        <w:tblCellMar>
          <w:top w:w="0" w:type="dxa"/>
          <w:left w:w="0" w:type="dxa"/>
          <w:bottom w:w="0" w:type="dxa"/>
          <w:right w:w="0" w:type="dxa"/>
        </w:tblCellMar>
      </w:tblPr>
      <w:tr>
        <w:trPr>
          <w:trHeight w:val="198"/>
        </w:trPr>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9,342</w:t>
            </w:r>
          </w:p>
        </w:tc>
        <w:tc>
          <w:tcPr>
            <w:tcW w:w="140" w:type="dxa"/>
            <w:vAlign w:val="bottom"/>
          </w:tcPr>
          <w:p>
            <w:pPr>
              <w:spacing w:after="0"/>
              <w:rPr>
                <w:sz w:val="17"/>
                <w:szCs w:val="17"/>
                <w:color w:val="auto"/>
              </w:rPr>
            </w:pPr>
          </w:p>
        </w:tc>
        <w:tc>
          <w:tcPr>
            <w:tcW w:w="7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8,461</w:t>
            </w:r>
          </w:p>
        </w:tc>
      </w:tr>
      <w:tr>
        <w:trPr>
          <w:trHeight w:val="350"/>
        </w:trPr>
        <w:tc>
          <w:tcPr>
            <w:tcW w:w="6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549</w:t>
            </w:r>
          </w:p>
        </w:tc>
      </w:tr>
      <w:tr>
        <w:trPr>
          <w:trHeight w:val="197"/>
        </w:trPr>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(925)</w:t>
            </w:r>
          </w:p>
        </w:tc>
      </w:tr>
      <w:tr>
        <w:trPr>
          <w:trHeight w:val="20"/>
        </w:trPr>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9,538</w:t>
            </w:r>
          </w:p>
        </w:tc>
        <w:tc>
          <w:tcPr>
            <w:tcW w:w="140" w:type="dxa"/>
            <w:vAlign w:val="bottom"/>
          </w:tcPr>
          <w:p>
            <w:pPr>
              <w:spacing w:after="0"/>
              <w:rPr>
                <w:sz w:val="24"/>
                <w:szCs w:val="24"/>
                <w:color w:val="auto"/>
              </w:rPr>
            </w:pPr>
          </w:p>
        </w:tc>
        <w:tc>
          <w:tcPr>
            <w:tcW w:w="7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8,085</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-723900</wp:posOffset>
            </wp:positionV>
            <wp:extent cx="7153275" cy="116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-492125</wp:posOffset>
            </wp:positionV>
            <wp:extent cx="7153275" cy="116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-252730</wp:posOffset>
            </wp:positionV>
            <wp:extent cx="7153275" cy="116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53275" cy="11620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1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73660</wp:posOffset>
            </wp:positionV>
            <wp:extent cx="71532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2">
            <w:col w:w="3300" w:space="520"/>
            <w:col w:w="7380"/>
          </w:cols>
          <w:pgMar w:left="320" w:top="714" w:right="379" w:bottom="1440" w:gutter="0" w:footer="0" w:header="0"/>
          <w:type w:val="continuous"/>
        </w:sectPr>
      </w:pPr>
    </w:p>
    <w:bookmarkStart w:id="46" w:name="page47"/>
    <w:bookmarkEnd w:id="46"/>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EQUITY</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(In thousands, except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22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2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1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January 1, 2022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10,910,460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29,931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24,393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54,823</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8,461</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8,461</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Amortization of deferred compensation related to</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1,787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1,787</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Issuance of unvested shares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123,533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Forfeiture of unvested shares of restricted stock</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(5,944)</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under Employee Stock Purchase Plan</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27,162</w:t>
            </w: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233</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Shares surrendered to satisfy tax liability at vesting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stock-based awards</w:t>
            </w: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Balance, December 31, 2022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11,063,271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31,987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32,854</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218</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64,956</w:t>
            </w:r>
          </w:p>
        </w:tc>
        <w:tc>
          <w:tcPr>
            <w:tcW w:w="0" w:type="dxa"/>
            <w:vAlign w:val="bottom"/>
          </w:tcPr>
          <w:p>
            <w:pPr>
              <w:spacing w:after="0"/>
              <w:rPr>
                <w:sz w:val="1"/>
                <w:szCs w:val="1"/>
                <w:color w:val="auto"/>
              </w:rPr>
            </w:pPr>
          </w:p>
        </w:tc>
      </w:tr>
      <w:tr>
        <w:trPr>
          <w:trHeight w:val="174"/>
        </w:trPr>
        <w:tc>
          <w:tcPr>
            <w:tcW w:w="35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9,342</w:t>
            </w: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9,342</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earnings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Amortization of deferred compensation related to</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stock-based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2,047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2,047</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unvested shares of restricted stock</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97,461</w:t>
            </w: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Issuance of additional shares of restricted sock related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to performance-based awards which vested in the</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period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40,557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Forfeiture of unvested shares of restricted stock</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(17,491)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124,550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977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978</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under Employee Stock 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Shares surrendered to satisfy tax liability at vesting of</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stock-based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(687)</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issued pursuant to At-the-Market Offering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921,797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19,235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19,244</w:t>
            </w:r>
          </w:p>
        </w:tc>
        <w:tc>
          <w:tcPr>
            <w:tcW w:w="0" w:type="dxa"/>
            <w:vAlign w:val="bottom"/>
          </w:tcPr>
          <w:p>
            <w:pPr>
              <w:spacing w:after="0"/>
              <w:rPr>
                <w:sz w:val="1"/>
                <w:szCs w:val="1"/>
                <w:color w:val="auto"/>
              </w:rPr>
            </w:pPr>
          </w:p>
        </w:tc>
      </w:tr>
      <w:tr>
        <w:trPr>
          <w:trHeight w:val="174"/>
        </w:trPr>
        <w:tc>
          <w:tcPr>
            <w:tcW w:w="35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12,241,925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54,450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42,196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(901)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96,281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00" w:type="dxa"/>
            <w:vAlign w:val="bottom"/>
          </w:tcPr>
          <w:p>
            <w:pPr>
              <w:spacing w:after="0"/>
              <w:rPr>
                <w:sz w:val="24"/>
                <w:szCs w:val="24"/>
                <w:color w:val="auto"/>
              </w:rPr>
            </w:pPr>
          </w:p>
        </w:tc>
        <w:tc>
          <w:tcPr>
            <w:tcW w:w="4460" w:type="dxa"/>
            <w:vAlign w:val="bottom"/>
            <w:gridSpan w:val="11"/>
          </w:tcPr>
          <w:p>
            <w:pPr>
              <w:ind w:left="320"/>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F-7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5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14" w:right="319" w:bottom="1440" w:gutter="0" w:footer="0" w:header="0"/>
        </w:sectPr>
      </w:pPr>
    </w:p>
    <w:bookmarkStart w:id="47" w:name="page48"/>
    <w:bookmarkEnd w:id="47"/>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80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8000" w:type="dxa"/>
            <w:vAlign w:val="bottom"/>
          </w:tcPr>
          <w:p>
            <w:pPr>
              <w:spacing w:after="0"/>
              <w:rPr>
                <w:sz w:val="15"/>
                <w:szCs w:val="15"/>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earnings</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9,342</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8,461</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earnings to net cash provided by (used in) operating activities: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4,734</w:t>
            </w:r>
          </w:p>
        </w:tc>
      </w:tr>
      <w:tr>
        <w:trPr>
          <w:trHeight w:val="183"/>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771</w:t>
            </w:r>
          </w:p>
        </w:tc>
      </w:tr>
      <w:tr>
        <w:trPr>
          <w:trHeight w:val="183"/>
        </w:trPr>
        <w:tc>
          <w:tcPr>
            <w:tcW w:w="8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109</w:t>
            </w:r>
          </w:p>
        </w:tc>
      </w:tr>
      <w:tr>
        <w:trPr>
          <w:trHeight w:val="183"/>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Amortization of deferred compensation related to stock-based awards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2,047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1,787</w:t>
            </w:r>
          </w:p>
        </w:tc>
      </w:tr>
      <w:tr>
        <w:trPr>
          <w:trHeight w:val="183"/>
        </w:trPr>
        <w:tc>
          <w:tcPr>
            <w:tcW w:w="8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Discount on shares sold under Employee Stock Purchase Plan</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Proceeds from sale of demonstration equipment, net of gain</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68</w:t>
            </w:r>
          </w:p>
        </w:tc>
      </w:tr>
      <w:tr>
        <w:trPr>
          <w:trHeight w:val="183"/>
        </w:trPr>
        <w:tc>
          <w:tcPr>
            <w:tcW w:w="8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Loss on disposal of property and equipment</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Deferred income tax benefit</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(1,157)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(1,659)</w:t>
            </w:r>
          </w:p>
        </w:tc>
      </w:tr>
      <w:tr>
        <w:trPr>
          <w:trHeight w:val="183"/>
        </w:trPr>
        <w:tc>
          <w:tcPr>
            <w:tcW w:w="80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Adjustment to contingent consideration liability</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Trade accounts receivable</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2,991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(4,886)</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Inventories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(10,631)</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(535)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(243)</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Other assets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(686)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(1,363)</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Accounts payable</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2,875</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Accrued wages and benefits</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(118)</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Accrued professional fees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(157)</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Customer deposits and deferred revenue</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(759)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(1,464)</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Accrued sales commission</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621</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Domestic and foreign income taxes payable</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(371)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(573)</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184</w:t>
            </w:r>
          </w:p>
        </w:tc>
      </w:tr>
      <w:tr>
        <w:trPr>
          <w:trHeight w:val="183"/>
        </w:trPr>
        <w:tc>
          <w:tcPr>
            <w:tcW w:w="8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Other liabilities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16,203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(1,389)</w:t>
            </w:r>
          </w:p>
        </w:tc>
      </w:tr>
      <w:tr>
        <w:trPr>
          <w:trHeight w:val="174"/>
        </w:trPr>
        <w:tc>
          <w:tcPr>
            <w:tcW w:w="80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 of contingent consideration related to Z-Sciences acquisition</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(179)</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Refund of final working capital adjustment related to Acculogic</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371</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(1,291)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(1,365)</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Purchase of short term investments</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(3,494)</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of short term investments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3,494</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(1,291)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(1,173)</w:t>
            </w:r>
          </w:p>
        </w:tc>
      </w:tr>
      <w:tr>
        <w:trPr>
          <w:trHeight w:val="174"/>
        </w:trPr>
        <w:tc>
          <w:tcPr>
            <w:tcW w:w="80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proceeds from public offering of common stock</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19,244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Repayments of Term Note</w:t>
            </w:r>
          </w:p>
        </w:tc>
        <w:tc>
          <w:tcPr>
            <w:tcW w:w="9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(4,100)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(3,958)</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stock options exercised</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shares sold under Employee Stock Purchase Plan</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197</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Settlement of employee tax liabilities in connection with treasury stock transaction</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15,609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(3,733)</w:t>
            </w:r>
          </w:p>
        </w:tc>
      </w:tr>
      <w:tr>
        <w:trPr>
          <w:trHeight w:val="174"/>
        </w:trPr>
        <w:tc>
          <w:tcPr>
            <w:tcW w:w="80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Effects of exchange rates on cash</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(324)</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all activities</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30,684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(6,619)</w:t>
            </w:r>
          </w:p>
        </w:tc>
      </w:tr>
      <w:tr>
        <w:trPr>
          <w:trHeight w:val="183"/>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14,576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21,195</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9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45,260</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14,576</w:t>
            </w:r>
          </w:p>
        </w:tc>
      </w:tr>
      <w:tr>
        <w:trPr>
          <w:trHeight w:val="157"/>
        </w:trPr>
        <w:tc>
          <w:tcPr>
            <w:tcW w:w="8000" w:type="dxa"/>
            <w:vAlign w:val="bottom"/>
            <w:tcBorders>
              <w:top w:val="single" w:sz="8" w:color="CCEEFF"/>
            </w:tcBorders>
          </w:tcPr>
          <w:p>
            <w:pPr>
              <w:spacing w:after="0" w:line="157" w:lineRule="exact"/>
              <w:rPr>
                <w:sz w:val="20"/>
                <w:szCs w:val="20"/>
                <w:color w:val="auto"/>
              </w:rPr>
            </w:pPr>
            <w:r>
              <w:rPr>
                <w:rFonts w:ascii="Times New Roman" w:cs="Times New Roman" w:eastAsia="Times New Roman" w:hAnsi="Times New Roman"/>
                <w:sz w:val="15"/>
                <w:szCs w:val="15"/>
                <w:color w:val="auto"/>
              </w:rPr>
              <w:t>Cash payments for:</w:t>
            </w:r>
          </w:p>
        </w:tc>
        <w:tc>
          <w:tcPr>
            <w:tcW w:w="9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Domestic and foreign income taxes</w:t>
            </w:r>
          </w:p>
        </w:tc>
        <w:tc>
          <w:tcPr>
            <w:tcW w:w="9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3,240</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3,924</w:t>
            </w:r>
          </w:p>
        </w:tc>
      </w:t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DISCLOSURE OF NON-CASH INVESTING AND FINANCING ACTIVITIES: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Issuance of unvested shares of restricted stock</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1,601</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1,138</w:t>
            </w:r>
          </w:p>
        </w:tc>
      </w:tr>
      <w:tr>
        <w:trPr>
          <w:trHeight w:val="183"/>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Forfeiture of unvested shares of restricted stock</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(54)</w:t>
            </w:r>
          </w:p>
        </w:tc>
      </w:tr>
    </w:tbl>
    <w:p>
      <w:pPr>
        <w:spacing w:after="0" w:line="1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14" w:right="319" w:bottom="1440" w:gutter="0" w:footer="0" w:header="0"/>
        </w:sectPr>
      </w:pPr>
    </w:p>
    <w:bookmarkStart w:id="48" w:name="page49"/>
    <w:bookmarkEnd w:id="48"/>
    <w:p>
      <w:pPr>
        <w:jc w:val="center"/>
        <w:ind w:right="-308"/>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308"/>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0" w:lineRule="exact"/>
        <w:rPr>
          <w:sz w:val="20"/>
          <w:szCs w:val="20"/>
          <w:color w:val="auto"/>
        </w:rPr>
      </w:pPr>
    </w:p>
    <w:p>
      <w:pPr>
        <w:jc w:val="center"/>
        <w:ind w:right="-308"/>
        <w:spacing w:after="0"/>
        <w:rPr>
          <w:sz w:val="20"/>
          <w:szCs w:val="20"/>
          <w:color w:val="auto"/>
        </w:rPr>
      </w:pPr>
      <w:r>
        <w:rPr>
          <w:rFonts w:ascii="Times New Roman" w:cs="Times New Roman" w:eastAsia="Times New Roman" w:hAnsi="Times New Roman"/>
          <w:sz w:val="15"/>
          <w:szCs w:val="15"/>
          <w:color w:val="auto"/>
        </w:rPr>
        <w:t>(In thousands, except share and per share data)</w:t>
      </w:r>
    </w:p>
    <w:p>
      <w:pPr>
        <w:spacing w:after="0" w:line="200" w:lineRule="exact"/>
        <w:rPr>
          <w:sz w:val="20"/>
          <w:szCs w:val="20"/>
          <w:color w:val="auto"/>
        </w:rPr>
      </w:pPr>
    </w:p>
    <w:p>
      <w:pPr>
        <w:spacing w:after="0" w:line="362" w:lineRule="exact"/>
        <w:rPr>
          <w:sz w:val="20"/>
          <w:szCs w:val="20"/>
          <w:color w:val="auto"/>
        </w:rPr>
      </w:pPr>
    </w:p>
    <w:p>
      <w:pPr>
        <w:ind w:left="549" w:hanging="549"/>
        <w:spacing w:after="0"/>
        <w:tabs>
          <w:tab w:leader="none" w:pos="549" w:val="left"/>
        </w:tabs>
        <w:numPr>
          <w:ilvl w:val="0"/>
          <w:numId w:val="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OPERATIONS</w:t>
      </w:r>
    </w:p>
    <w:p>
      <w:pPr>
        <w:spacing w:after="0" w:line="196" w:lineRule="exact"/>
        <w:rPr>
          <w:rFonts w:ascii="Times New Roman" w:cs="Times New Roman" w:eastAsia="Times New Roman" w:hAnsi="Times New Roman"/>
          <w:sz w:val="15"/>
          <w:szCs w:val="15"/>
          <w:b w:val="1"/>
          <w:bCs w:val="1"/>
          <w:color w:val="auto"/>
        </w:rPr>
      </w:pPr>
    </w:p>
    <w:p>
      <w:pPr>
        <w:jc w:val="both"/>
        <w:ind w:left="569" w:right="48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spacing w:after="0" w:line="146" w:lineRule="exact"/>
        <w:rPr>
          <w:rFonts w:ascii="Times New Roman" w:cs="Times New Roman" w:eastAsia="Times New Roman" w:hAnsi="Times New Roman"/>
          <w:sz w:val="15"/>
          <w:szCs w:val="15"/>
          <w:b w:val="1"/>
          <w:bCs w:val="1"/>
          <w:color w:val="auto"/>
        </w:rPr>
      </w:pPr>
    </w:p>
    <w:p>
      <w:pPr>
        <w:ind w:left="569" w:right="2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46" w:lineRule="exact"/>
        <w:rPr>
          <w:rFonts w:ascii="Times New Roman" w:cs="Times New Roman" w:eastAsia="Times New Roman" w:hAnsi="Times New Roman"/>
          <w:sz w:val="15"/>
          <w:szCs w:val="15"/>
          <w:b w:val="1"/>
          <w:bCs w:val="1"/>
          <w:color w:val="auto"/>
        </w:rPr>
      </w:pPr>
    </w:p>
    <w:p>
      <w:pPr>
        <w:ind w:left="569" w:right="2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announced in December 2023 that we have signed a lease on a 25,000 square foot facility in Penang, Malaysia which will support applications engineering, product development and localized manufacturing for nearly all inTEST brands. Operations are expected to begin at this location at some point in 2024. In connection with this operation, we established inTEST SE Asia Sdn Bhd (“inTEST SE Asia”), a private limited company incorporated in Malaysia which is a wholly-owned subsidiary of inTEST Corporation.</w:t>
      </w:r>
    </w:p>
    <w:p>
      <w:pPr>
        <w:spacing w:after="0" w:line="151" w:lineRule="exact"/>
        <w:rPr>
          <w:rFonts w:ascii="Times New Roman" w:cs="Times New Roman" w:eastAsia="Times New Roman" w:hAnsi="Times New Roman"/>
          <w:sz w:val="15"/>
          <w:szCs w:val="15"/>
          <w:b w:val="1"/>
          <w:bCs w:val="1"/>
          <w:color w:val="auto"/>
        </w:rPr>
      </w:pPr>
    </w:p>
    <w:p>
      <w:pPr>
        <w:ind w:left="569"/>
        <w:spacing w:after="0" w:line="26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336" w:lineRule="exact"/>
        <w:rPr>
          <w:rFonts w:ascii="Times New Roman" w:cs="Times New Roman" w:eastAsia="Times New Roman" w:hAnsi="Times New Roman"/>
          <w:sz w:val="15"/>
          <w:szCs w:val="15"/>
          <w:b w:val="1"/>
          <w:bCs w:val="1"/>
          <w:color w:val="auto"/>
        </w:rPr>
      </w:pPr>
    </w:p>
    <w:p>
      <w:pPr>
        <w:ind w:left="569" w:right="16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52" w:lineRule="exact"/>
        <w:rPr>
          <w:rFonts w:ascii="Times New Roman" w:cs="Times New Roman" w:eastAsia="Times New Roman" w:hAnsi="Times New Roman"/>
          <w:sz w:val="15"/>
          <w:szCs w:val="15"/>
          <w:b w:val="1"/>
          <w:bCs w:val="1"/>
          <w:color w:val="auto"/>
        </w:rPr>
      </w:pPr>
    </w:p>
    <w:p>
      <w:pPr>
        <w:ind w:left="569" w:right="80"/>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Inc. and its affiliates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54" w:lineRule="exact"/>
        <w:rPr>
          <w:rFonts w:ascii="Times New Roman" w:cs="Times New Roman" w:eastAsia="Times New Roman" w:hAnsi="Times New Roman"/>
          <w:sz w:val="15"/>
          <w:szCs w:val="15"/>
          <w:b w:val="1"/>
          <w:bCs w:val="1"/>
          <w:color w:val="auto"/>
        </w:rPr>
      </w:pPr>
    </w:p>
    <w:p>
      <w:pPr>
        <w:ind w:left="569" w:right="60"/>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54"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5"/>
          <w:szCs w:val="15"/>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9"/>
          </w:cols>
          <w:pgMar w:left="311" w:top="509" w:right="399" w:bottom="1440" w:gutter="0" w:footer="0" w:header="0"/>
        </w:sectPr>
      </w:pPr>
    </w:p>
    <w:bookmarkStart w:id="49" w:name="page50"/>
    <w:bookmarkEnd w:id="49"/>
    <w:p>
      <w:pPr>
        <w:ind w:left="569"/>
        <w:spacing w:after="0" w:line="271" w:lineRule="auto"/>
        <w:rPr>
          <w:sz w:val="20"/>
          <w:szCs w:val="20"/>
          <w:color w:val="auto"/>
        </w:rPr>
      </w:pPr>
      <w:r>
        <w:rPr>
          <w:rFonts w:ascii="Times New Roman" w:cs="Times New Roman" w:eastAsia="Times New Roman" w:hAnsi="Times New Roman"/>
          <w:sz w:val="15"/>
          <w:szCs w:val="15"/>
          <w:color w:val="auto"/>
        </w:rPr>
        <w:t>On May 11, 2023, we entered into an At-the-Market Issuance Sales Agreement (the "Sales Agreement") pursuant to which we issued and sold 921,797 shares of our common stock having an aggregate offering price of $20,000 between May 11, 2023 and May 31, 2023. We received net proceeds from the sale of these shares of $19,244 after payment of commissions of 3.0% of the gross proceeds and other fees related to the sale of these shares.</w:t>
      </w:r>
    </w:p>
    <w:p>
      <w:pPr>
        <w:spacing w:after="0" w:line="348" w:lineRule="exact"/>
        <w:rPr>
          <w:sz w:val="20"/>
          <w:szCs w:val="20"/>
          <w:color w:val="auto"/>
        </w:rPr>
      </w:pPr>
    </w:p>
    <w:p>
      <w:pPr>
        <w:ind w:left="569" w:right="6740" w:hanging="569"/>
        <w:spacing w:after="0" w:line="510" w:lineRule="auto"/>
        <w:tabs>
          <w:tab w:leader="none" w:pos="553" w:val="left"/>
        </w:tabs>
        <w:numPr>
          <w:ilvl w:val="0"/>
          <w:numId w:val="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SUMMARY OF SIGNIFICANT ACCOUNTING POLICIES </w:t>
      </w:r>
      <w:r>
        <w:rPr>
          <w:rFonts w:ascii="Times New Roman" w:cs="Times New Roman" w:eastAsia="Times New Roman" w:hAnsi="Times New Roman"/>
          <w:sz w:val="15"/>
          <w:szCs w:val="15"/>
          <w:b w:val="1"/>
          <w:bCs w:val="1"/>
          <w:i w:val="1"/>
          <w:iCs w:val="1"/>
          <w:u w:val="single" w:color="auto"/>
          <w:color w:val="auto"/>
        </w:rPr>
        <w:t>Basis of Presentation and Use of Estimates</w:t>
      </w:r>
    </w:p>
    <w:p>
      <w:pPr>
        <w:spacing w:after="0" w:line="1" w:lineRule="exact"/>
        <w:rPr>
          <w:rFonts w:ascii="Times New Roman" w:cs="Times New Roman" w:eastAsia="Times New Roman" w:hAnsi="Times New Roman"/>
          <w:sz w:val="15"/>
          <w:szCs w:val="15"/>
          <w:b w:val="1"/>
          <w:bCs w:val="1"/>
          <w:color w:val="auto"/>
        </w:rPr>
      </w:pPr>
    </w:p>
    <w:p>
      <w:pPr>
        <w:ind w:left="569" w:right="6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48"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Reclassifications</w:t>
      </w:r>
    </w:p>
    <w:p>
      <w:pPr>
        <w:spacing w:after="0" w:line="196"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Certain prior year amounts have been reclassified to be comparable with the current year's presentation.</w:t>
      </w:r>
    </w:p>
    <w:p>
      <w:pPr>
        <w:spacing w:after="0" w:line="188"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Subsequent Events</w:t>
      </w:r>
    </w:p>
    <w:p>
      <w:pPr>
        <w:spacing w:after="0" w:line="196" w:lineRule="exact"/>
        <w:rPr>
          <w:rFonts w:ascii="Times New Roman" w:cs="Times New Roman" w:eastAsia="Times New Roman" w:hAnsi="Times New Roman"/>
          <w:sz w:val="15"/>
          <w:szCs w:val="15"/>
          <w:b w:val="1"/>
          <w:bCs w:val="1"/>
          <w:color w:val="auto"/>
        </w:rPr>
      </w:pPr>
    </w:p>
    <w:p>
      <w:pPr>
        <w:ind w:left="549" w:right="480"/>
        <w:spacing w:after="0" w:line="28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have made an assessment of our operations and determined that there were no material subsequent events requiring adjustment to, or disclosure in, our consolidated financial statements for the year ended December 31, 2023 other than those described in Note 19.</w:t>
      </w:r>
    </w:p>
    <w:p>
      <w:pPr>
        <w:spacing w:after="0" w:line="129"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Business Combinations</w:t>
      </w:r>
    </w:p>
    <w:p>
      <w:pPr>
        <w:spacing w:after="0" w:line="196" w:lineRule="exact"/>
        <w:rPr>
          <w:rFonts w:ascii="Times New Roman" w:cs="Times New Roman" w:eastAsia="Times New Roman" w:hAnsi="Times New Roman"/>
          <w:sz w:val="15"/>
          <w:szCs w:val="15"/>
          <w:b w:val="1"/>
          <w:bCs w:val="1"/>
          <w:color w:val="auto"/>
        </w:rPr>
      </w:pPr>
    </w:p>
    <w:p>
      <w:pPr>
        <w:ind w:left="569" w:right="100"/>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50"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Restructuring and Other Charges</w:t>
      </w:r>
    </w:p>
    <w:p>
      <w:pPr>
        <w:spacing w:after="0" w:line="196" w:lineRule="exact"/>
        <w:rPr>
          <w:rFonts w:ascii="Times New Roman" w:cs="Times New Roman" w:eastAsia="Times New Roman" w:hAnsi="Times New Roman"/>
          <w:sz w:val="15"/>
          <w:szCs w:val="15"/>
          <w:b w:val="1"/>
          <w:bCs w:val="1"/>
          <w:color w:val="auto"/>
        </w:rPr>
      </w:pPr>
    </w:p>
    <w:p>
      <w:pPr>
        <w:ind w:left="569" w:right="20"/>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53" w:lineRule="exact"/>
        <w:rPr>
          <w:rFonts w:ascii="Times New Roman" w:cs="Times New Roman" w:eastAsia="Times New Roman" w:hAnsi="Times New Roman"/>
          <w:sz w:val="15"/>
          <w:szCs w:val="15"/>
          <w:b w:val="1"/>
          <w:bCs w:val="1"/>
          <w:color w:val="auto"/>
        </w:rPr>
      </w:pPr>
    </w:p>
    <w:p>
      <w:pPr>
        <w:ind w:left="5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Cash, Cash Equivalents and Restricted Cash</w:t>
      </w:r>
    </w:p>
    <w:p>
      <w:pPr>
        <w:spacing w:after="0" w:line="196" w:lineRule="exact"/>
        <w:rPr>
          <w:rFonts w:ascii="Times New Roman" w:cs="Times New Roman" w:eastAsia="Times New Roman" w:hAnsi="Times New Roman"/>
          <w:sz w:val="15"/>
          <w:szCs w:val="15"/>
          <w:b w:val="1"/>
          <w:bCs w:val="1"/>
          <w:color w:val="auto"/>
        </w:rPr>
      </w:pPr>
    </w:p>
    <w:p>
      <w:pPr>
        <w:ind w:left="569"/>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9"/>
          </w:cols>
          <w:pgMar w:left="311" w:top="536" w:right="339" w:bottom="1440" w:gutter="0" w:footer="0" w:header="0"/>
        </w:sectPr>
      </w:pPr>
    </w:p>
    <w:bookmarkStart w:id="50" w:name="page51"/>
    <w:bookmarkEnd w:id="50"/>
    <w:p>
      <w:pPr>
        <w:ind w:left="20" w:right="40"/>
        <w:spacing w:after="0" w:line="265" w:lineRule="auto"/>
        <w:rPr>
          <w:sz w:val="20"/>
          <w:szCs w:val="20"/>
          <w:color w:val="auto"/>
        </w:rPr>
      </w:pPr>
      <w:r>
        <w:rPr>
          <w:rFonts w:ascii="Times New Roman" w:cs="Times New Roman" w:eastAsia="Times New Roman" w:hAnsi="Times New Roman"/>
          <w:sz w:val="15"/>
          <w:szCs w:val="15"/>
          <w:color w:val="auto"/>
        </w:rPr>
        <w:t>Restricted cash at December 31, 2022 represented amounts deposited at our bank in the Netherlands to support a bank guarantee which one of the customers of our induction heating products required as a condition of paying a deposit on a large order they placed with us in 2022. The amount of the deposit, and, accordingly, the guarantee, was EUR 1,160. At December 31, 2022 this amount was $1,142. The related order was Euro denominated. The amount of the deposit and related guarantee declined as shipments were made against the order. At December 31, 2023, this deposit had been fully utilized and the bank guarantee had therefore lapsed.</w:t>
      </w:r>
    </w:p>
    <w:p>
      <w:pPr>
        <w:spacing w:after="0" w:line="151" w:lineRule="exact"/>
        <w:rPr>
          <w:sz w:val="20"/>
          <w:szCs w:val="20"/>
          <w:color w:val="auto"/>
        </w:rPr>
      </w:pPr>
    </w:p>
    <w:p>
      <w:pPr>
        <w:ind w:left="20" w:right="140"/>
        <w:spacing w:after="0" w:line="288" w:lineRule="auto"/>
        <w:rPr>
          <w:sz w:val="20"/>
          <w:szCs w:val="20"/>
          <w:color w:val="auto"/>
        </w:rPr>
      </w:pPr>
      <w:r>
        <w:rPr>
          <w:rFonts w:ascii="Times New Roman" w:cs="Times New Roman" w:eastAsia="Times New Roman" w:hAnsi="Times New Roman"/>
          <w:sz w:val="15"/>
          <w:szCs w:val="15"/>
          <w:color w:val="auto"/>
        </w:rPr>
        <w:t>The following table provides a reconciliation of cash, cash equivalents, and restricted cash reported within the consolidated balance sheets and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260" w:type="dxa"/>
            <w:vAlign w:val="bottom"/>
            <w:gridSpan w:val="2"/>
            <w:shd w:val="clear" w:color="auto" w:fill="CCEEFF"/>
          </w:tcPr>
          <w:p>
            <w:pPr>
              <w:jc w:val="right"/>
              <w:ind w:right="8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45,260</w:t>
            </w: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13,434</w:t>
            </w:r>
          </w:p>
        </w:tc>
        <w:tc>
          <w:tcPr>
            <w:tcW w:w="0" w:type="dxa"/>
            <w:vAlign w:val="bottom"/>
          </w:tcPr>
          <w:p>
            <w:pPr>
              <w:spacing w:after="0"/>
              <w:rPr>
                <w:sz w:val="1"/>
                <w:szCs w:val="1"/>
                <w:color w:val="auto"/>
              </w:rPr>
            </w:pPr>
          </w:p>
        </w:tc>
      </w:t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1,142</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4260" w:type="dxa"/>
            <w:vAlign w:val="bottom"/>
            <w:gridSpan w:val="2"/>
          </w:tcPr>
          <w:p>
            <w:pPr>
              <w:jc w:val="right"/>
              <w:ind w:right="8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45,260</w:t>
            </w: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Trade Accounts Receivable and Allowance for Doubtful Accounts</w:t>
            </w:r>
          </w:p>
        </w:tc>
        <w:tc>
          <w:tcPr>
            <w:tcW w:w="3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3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5"/>
          <w:szCs w:val="15"/>
          <w:color w:val="auto"/>
        </w:rPr>
        <w:t>Trade accounts receivable are recorded at the invoiced amount and do not bear interest. We grant credit to customers and generally require no collateral. To minimize our risk, we perform ongoing credit evaluations of our customers' financial condition. As discussed below under “Effect of Recently Adopted Amendments to Authoritative Accounting Guidance”, effective January 1, 2023, we follow the guidance in ASC Topic 326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spacing w:after="0" w:line="158" w:lineRule="exact"/>
        <w:rPr>
          <w:sz w:val="20"/>
          <w:szCs w:val="20"/>
          <w:color w:val="auto"/>
        </w:rPr>
      </w:pPr>
    </w:p>
    <w:p>
      <w:pPr>
        <w:ind w:left="20" w:right="120"/>
        <w:spacing w:after="0" w:line="288" w:lineRule="auto"/>
        <w:rPr>
          <w:sz w:val="20"/>
          <w:szCs w:val="20"/>
          <w:color w:val="auto"/>
        </w:rPr>
      </w:pPr>
      <w:r>
        <w:rPr>
          <w:rFonts w:ascii="Times New Roman" w:cs="Times New Roman" w:eastAsia="Times New Roman" w:hAnsi="Times New Roman"/>
          <w:sz w:val="15"/>
          <w:szCs w:val="15"/>
          <w:color w:val="auto"/>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pacing w:after="0" w:line="134"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5"/>
          <w:szCs w:val="15"/>
          <w:color w:val="auto"/>
        </w:rPr>
        <w:t>For the year ended December 31, 2023, there were no significant changes in the amount of the allowance for credit losses. Bad debt recoveries totaled $198 and $470 for the years ended December 31, 2023 and 2022, respectively. These amounts had all been fully written off in a prior period or pre-acquisition, in the case of recently acquired businesses, and were no longer in our accounts receivable balance. Bad debt expense to reserve for items currently in our accounts receivable balance which we do not expect to collect totaled $286 for the year ended December 31, 2022. There was no similar bad debt expense for the year ended December 31, 2023. Cash flows from accounts receivable are recorded in operating cash flows.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Fair Value of Financial Instruments</w:t>
      </w:r>
    </w:p>
    <w:p>
      <w:pPr>
        <w:spacing w:after="0" w:line="197"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5"/>
          <w:szCs w:val="15"/>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credit facility and our interest rate swap are discussed further below and in Note 10. Our liabilities for contingent consideration are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3 for further disclosures related to the fair value of our liabilities for contingent consideration.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Goodwill, Intangible and Long-Lived Assets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We have three reportable segments which are also our reporting units: Electronic Test, Environmental Technologies and Process Technologies.</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36" w:right="339" w:bottom="1440" w:gutter="0" w:footer="0" w:header="0"/>
        </w:sectPr>
      </w:pPr>
    </w:p>
    <w:bookmarkStart w:id="51" w:name="page52"/>
    <w:bookmarkEnd w:id="51"/>
    <w:p>
      <w:pPr>
        <w:ind w:right="20"/>
        <w:spacing w:after="0" w:line="258" w:lineRule="auto"/>
        <w:rPr>
          <w:sz w:val="20"/>
          <w:szCs w:val="20"/>
          <w:color w:val="auto"/>
        </w:rPr>
      </w:pPr>
      <w:r>
        <w:rPr>
          <w:rFonts w:ascii="Times New Roman" w:cs="Times New Roman" w:eastAsia="Times New Roman" w:hAnsi="Times New Roman"/>
          <w:sz w:val="15"/>
          <w:szCs w:val="15"/>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5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5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Revenue Recognition</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5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36"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5"/>
          <w:szCs w:val="15"/>
          <w:i w:val="1"/>
          <w:iCs w:val="1"/>
          <w:color w:val="auto"/>
        </w:rPr>
        <w:t>Nature of Products and Services</w:t>
      </w:r>
    </w:p>
    <w:p>
      <w:pPr>
        <w:spacing w:after="0" w:line="197" w:lineRule="exact"/>
        <w:rPr>
          <w:sz w:val="20"/>
          <w:szCs w:val="20"/>
          <w:color w:val="auto"/>
        </w:rPr>
      </w:pPr>
    </w:p>
    <w:p>
      <w:pPr>
        <w:ind w:left="20" w:right="40"/>
        <w:spacing w:after="0" w:line="259" w:lineRule="auto"/>
        <w:rPr>
          <w:sz w:val="20"/>
          <w:szCs w:val="20"/>
          <w:color w:val="auto"/>
        </w:rPr>
      </w:pPr>
      <w:r>
        <w:rPr>
          <w:rFonts w:ascii="Times New Roman" w:cs="Times New Roman" w:eastAsia="Times New Roman" w:hAnsi="Times New Roman"/>
          <w:sz w:val="15"/>
          <w:szCs w:val="15"/>
          <w:color w:val="auto"/>
        </w:rPr>
        <w:t>We are a global supplier of innovative test and process technology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also sell many of our products to various other markets including the automotive, defense/aerospace, industrial, life sciences and security markets. We provide post-warranty service and support for the equipment we sell.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lease certain of our equipment under short-term leasing agreements with original lease terms of six months or less. Our lease agreements do not contain purchase options.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Occasionally we procure and sell materials/components on behalf of and to our customers.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Types of Contracts with Customers</w:t>
      </w:r>
    </w:p>
    <w:p>
      <w:pPr>
        <w:spacing w:after="0" w:line="197"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5"/>
          <w:szCs w:val="15"/>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Contract Balances</w:t>
      </w:r>
    </w:p>
    <w:p>
      <w:pPr>
        <w:spacing w:after="0" w:line="1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spacing w:after="0" w:line="340" w:lineRule="exact"/>
        <w:rPr>
          <w:sz w:val="20"/>
          <w:szCs w:val="20"/>
          <w:color w:val="auto"/>
        </w:rPr>
      </w:pPr>
    </w:p>
    <w:p>
      <w:pPr>
        <w:ind w:left="20" w:right="100"/>
        <w:spacing w:after="0" w:line="271" w:lineRule="auto"/>
        <w:rPr>
          <w:sz w:val="20"/>
          <w:szCs w:val="20"/>
          <w:color w:val="auto"/>
        </w:rPr>
      </w:pPr>
      <w:r>
        <w:rPr>
          <w:rFonts w:ascii="Times New Roman" w:cs="Times New Roman" w:eastAsia="Times New Roman" w:hAnsi="Times New Roman"/>
          <w:sz w:val="15"/>
          <w:szCs w:val="15"/>
          <w:color w:val="auto"/>
        </w:rPr>
        <w:t>As discussed above, we follow the guidance in ASC Topic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Costs to Obtain a Contract with a Customer</w:t>
      </w:r>
    </w:p>
    <w:p>
      <w:pPr>
        <w:spacing w:after="0" w:line="197" w:lineRule="exact"/>
        <w:rPr>
          <w:sz w:val="20"/>
          <w:szCs w:val="20"/>
          <w:color w:val="auto"/>
        </w:rPr>
      </w:pPr>
    </w:p>
    <w:p>
      <w:pPr>
        <w:ind w:left="20" w:right="40"/>
        <w:spacing w:after="0" w:line="262" w:lineRule="auto"/>
        <w:rPr>
          <w:sz w:val="20"/>
          <w:szCs w:val="20"/>
          <w:color w:val="auto"/>
        </w:rPr>
      </w:pPr>
      <w:r>
        <w:rPr>
          <w:rFonts w:ascii="Times New Roman" w:cs="Times New Roman" w:eastAsia="Times New Roman" w:hAnsi="Times New Roman"/>
          <w:sz w:val="15"/>
          <w:szCs w:val="15"/>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Product Warranties</w:t>
      </w:r>
    </w:p>
    <w:p>
      <w:pPr>
        <w:spacing w:after="0" w:line="197"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5"/>
          <w:szCs w:val="15"/>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See Notes 5 and 17 for further information about our revenue from contracts with customers.</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3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Inventories</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Inventories are valued at cost on a first-in, first-out basis, not in excess of net realizable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$544 and $771 for the years ended December 31, 2023 and 2022,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Property and Equipment</w:t>
      </w:r>
    </w:p>
    <w:p>
      <w:pPr>
        <w:spacing w:after="0" w:line="1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Machinery and equipment are stated at cost, except for machinery and equipment acquired in a business combination, which are stated at fair value at the time of acquisition. As previously discussed above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$1,021 and $809 for the years ended December 31, 2023 and 2022,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Leases</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51"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5"/>
          <w:szCs w:val="15"/>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3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5"/>
          <w:szCs w:val="15"/>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 8 for further disclosures regarding our leases.</w:t>
      </w:r>
    </w:p>
    <w:p>
      <w:pPr>
        <w:spacing w:after="0" w:line="19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3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Interest Rate Swap Agreement</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We are exposed to interest rate risk on our floating-rate debt. We have entered into an interest rate swap agreement to effectively convert our floating-rate debt to a fixed-rate basis for a portion of our floating rate debt, as discussed further in Notes 3 and 10.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Contingent Liability for Repayment of State and Local Grant Funds Received</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December 31, 2023, $193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sheets and totaled $246 at December 31, 2023. At December 31, 2023, we were in compliance with the employment targets as specified in the grant agreement with the city of Rochester.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Stock-Based Compensation</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Engineering and Product Development</w:t>
      </w:r>
    </w:p>
    <w:p>
      <w:pPr>
        <w:spacing w:after="0" w:line="19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5"/>
          <w:szCs w:val="15"/>
          <w:color w:val="auto"/>
        </w:rPr>
        <w:t>Engineering and product development costs, which consist primarily of the salary and related benefits costs of our technical staff, as well as the cost of materials used in product development, are expensed as incurred.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Foreign Currency</w:t>
      </w:r>
    </w:p>
    <w:p>
      <w:pPr>
        <w:spacing w:after="0" w:line="19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 ended December 31, 2023, net foreign currency transaction gains were $9. For the year ended December 31, 2022, net foreign currency transaction losses were $109.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Income Taxes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 See Note 11 for additional information regarding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Net Earnings Per Common Share</w:t>
      </w:r>
    </w:p>
    <w:p>
      <w:pPr>
        <w:spacing w:after="0" w:line="19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80"/>
          </w:cols>
          <w:pgMar w:left="880" w:top="532" w:right="339" w:bottom="1440" w:gutter="0" w:footer="0" w:header="0"/>
        </w:sectPr>
      </w:pPr>
    </w:p>
    <w:bookmarkStart w:id="55" w:name="page56"/>
    <w:bookmarkEnd w:id="55"/>
    <w:p>
      <w:pPr>
        <w:ind w:left="569" w:right="20"/>
        <w:spacing w:after="0" w:line="271" w:lineRule="auto"/>
        <w:rPr>
          <w:sz w:val="20"/>
          <w:szCs w:val="20"/>
          <w:color w:val="auto"/>
        </w:rPr>
      </w:pPr>
      <w:r>
        <w:rPr>
          <w:rFonts w:ascii="Times New Roman" w:cs="Times New Roman" w:eastAsia="Times New Roman" w:hAnsi="Times New Roman"/>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42" w:lineRule="exact"/>
        <w:rPr>
          <w:sz w:val="20"/>
          <w:szCs w:val="20"/>
          <w:color w:val="auto"/>
        </w:rPr>
      </w:pPr>
    </w:p>
    <w:tbl>
      <w:tblPr>
        <w:tblLayout w:type="fixed"/>
        <w:tblInd w:w="549" w:type="dxa"/>
        <w:tblCellMar>
          <w:top w:w="0" w:type="dxa"/>
          <w:left w:w="0" w:type="dxa"/>
          <w:bottom w:w="0" w:type="dxa"/>
          <w:right w:w="0" w:type="dxa"/>
        </w:tblCellMar>
      </w:tblPr>
      <w:tr>
        <w:trPr>
          <w:trHeight w:val="183"/>
        </w:trPr>
        <w:tc>
          <w:tcPr>
            <w:tcW w:w="7400" w:type="dxa"/>
            <w:vAlign w:val="bottom"/>
          </w:tcPr>
          <w:p>
            <w:pPr>
              <w:spacing w:after="0"/>
              <w:rPr>
                <w:sz w:val="15"/>
                <w:szCs w:val="15"/>
                <w:color w:val="auto"/>
              </w:rPr>
            </w:pPr>
          </w:p>
        </w:tc>
        <w:tc>
          <w:tcPr>
            <w:tcW w:w="2160" w:type="dxa"/>
            <w:vAlign w:val="bottom"/>
            <w:gridSpan w:val="3"/>
          </w:tcPr>
          <w:p>
            <w:pPr>
              <w:jc w:val="center"/>
              <w:ind w:left="944"/>
              <w:spacing w:after="0"/>
              <w:rPr>
                <w:sz w:val="20"/>
                <w:szCs w:val="20"/>
                <w:color w:val="auto"/>
              </w:rPr>
            </w:pPr>
            <w:r>
              <w:rPr>
                <w:rFonts w:ascii="Times New Roman" w:cs="Times New Roman" w:eastAsia="Times New Roman" w:hAnsi="Times New Roman"/>
                <w:sz w:val="15"/>
                <w:szCs w:val="15"/>
                <w:b w:val="1"/>
                <w:bCs w:val="1"/>
                <w:color w:val="auto"/>
                <w:w w:val="98"/>
              </w:rPr>
              <w:t>Years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740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9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7400" w:type="dxa"/>
            <w:vAlign w:val="bottom"/>
          </w:tcPr>
          <w:p>
            <w:pPr>
              <w:spacing w:after="0"/>
              <w:rPr>
                <w:sz w:val="15"/>
                <w:szCs w:val="15"/>
                <w:color w:val="auto"/>
              </w:rPr>
            </w:pPr>
          </w:p>
        </w:tc>
        <w:tc>
          <w:tcPr>
            <w:tcW w:w="15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r>
      <w:tr>
        <w:trPr>
          <w:trHeight w:val="174"/>
        </w:trPr>
        <w:tc>
          <w:tcPr>
            <w:tcW w:w="7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outstanding–basic</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11,461,399</w:t>
            </w:r>
          </w:p>
        </w:tc>
        <w:tc>
          <w:tcPr>
            <w:tcW w:w="4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10,673,017</w:t>
            </w:r>
          </w:p>
        </w:tc>
      </w:tr>
      <w:tr>
        <w:trPr>
          <w:trHeight w:val="183"/>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Potentially dilutive securities: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Unvested shares of restricted stock and employee stock options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318,513</w:t>
            </w:r>
          </w:p>
        </w:tc>
        <w:tc>
          <w:tcPr>
            <w:tcW w:w="4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189,521</w:t>
            </w:r>
          </w:p>
        </w:tc>
      </w:tr>
      <w:tr>
        <w:trPr>
          <w:trHeight w:val="20"/>
        </w:trPr>
        <w:tc>
          <w:tcPr>
            <w:tcW w:w="74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4"/>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and common share equivalents outstanding–diluted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11,779,912</w:t>
            </w:r>
          </w:p>
        </w:tc>
        <w:tc>
          <w:tcPr>
            <w:tcW w:w="4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10,862,538</w:t>
            </w:r>
          </w:p>
        </w:tc>
      </w:tr>
      <w:tr>
        <w:trPr>
          <w:trHeight w:val="20"/>
        </w:trPr>
        <w:tc>
          <w:tcPr>
            <w:tcW w:w="74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74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Average number of potentially dilutive securities excluded from calculation</w:t>
            </w:r>
          </w:p>
        </w:tc>
        <w:tc>
          <w:tcPr>
            <w:tcW w:w="1700" w:type="dxa"/>
            <w:vAlign w:val="bottom"/>
            <w:gridSpan w:val="2"/>
            <w:shd w:val="clear" w:color="auto" w:fill="CCEEFF"/>
          </w:tcPr>
          <w:p>
            <w:pPr>
              <w:jc w:val="right"/>
              <w:ind w:right="200"/>
              <w:spacing w:after="0" w:line="157" w:lineRule="exact"/>
              <w:rPr>
                <w:sz w:val="20"/>
                <w:szCs w:val="20"/>
                <w:color w:val="auto"/>
              </w:rPr>
            </w:pPr>
            <w:r>
              <w:rPr>
                <w:rFonts w:ascii="Times New Roman" w:cs="Times New Roman" w:eastAsia="Times New Roman" w:hAnsi="Times New Roman"/>
                <w:sz w:val="15"/>
                <w:szCs w:val="15"/>
                <w:color w:val="auto"/>
              </w:rPr>
              <w:t>140,079</w:t>
            </w:r>
          </w:p>
        </w:tc>
        <w:tc>
          <w:tcPr>
            <w:tcW w:w="4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Times New Roman" w:cs="Times New Roman" w:eastAsia="Times New Roman" w:hAnsi="Times New Roman"/>
                <w:sz w:val="15"/>
                <w:szCs w:val="15"/>
                <w:color w:val="auto"/>
              </w:rPr>
              <w:t>478,024</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Effect of Recently Adopted Amendments to Authoritative Accounting Guidance</w:t>
      </w:r>
    </w:p>
    <w:p>
      <w:pPr>
        <w:spacing w:after="0" w:line="197" w:lineRule="exact"/>
        <w:rPr>
          <w:sz w:val="20"/>
          <w:szCs w:val="20"/>
          <w:color w:val="auto"/>
        </w:rPr>
      </w:pPr>
    </w:p>
    <w:p>
      <w:pPr>
        <w:ind w:left="569"/>
        <w:spacing w:after="0" w:line="259" w:lineRule="auto"/>
        <w:rPr>
          <w:sz w:val="20"/>
          <w:szCs w:val="20"/>
          <w:color w:val="auto"/>
        </w:rPr>
      </w:pPr>
      <w:r>
        <w:rPr>
          <w:rFonts w:ascii="Times New Roman" w:cs="Times New Roman" w:eastAsia="Times New Roman" w:hAnsi="Times New Roman"/>
          <w:sz w:val="15"/>
          <w:szCs w:val="15"/>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were effective for us for reporting periods beginning after December 15, 2022. The amendments replaced the incurred loss impairment methodology under previous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adopted the amendments when they became effective for us on January 1, 2023. The adoption of these amendments did not have any impact on our consolidated financial statements.</w:t>
      </w:r>
    </w:p>
    <w:p>
      <w:pPr>
        <w:spacing w:after="0" w:line="15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Effect of Recently Issued Amendments to Authoritative Accounting Guidance</w:t>
      </w:r>
    </w:p>
    <w:p>
      <w:pPr>
        <w:spacing w:after="0" w:line="197" w:lineRule="exact"/>
        <w:rPr>
          <w:sz w:val="20"/>
          <w:szCs w:val="20"/>
          <w:color w:val="auto"/>
        </w:rPr>
      </w:pPr>
    </w:p>
    <w:p>
      <w:pPr>
        <w:ind w:left="569" w:right="40"/>
        <w:spacing w:after="0" w:line="265" w:lineRule="auto"/>
        <w:rPr>
          <w:sz w:val="20"/>
          <w:szCs w:val="20"/>
          <w:color w:val="auto"/>
        </w:rPr>
      </w:pPr>
      <w:r>
        <w:rPr>
          <w:rFonts w:ascii="Times New Roman" w:cs="Times New Roman" w:eastAsia="Times New Roman" w:hAnsi="Times New Roman"/>
          <w:sz w:val="15"/>
          <w:szCs w:val="15"/>
          <w:color w:val="auto"/>
        </w:rPr>
        <w:t>In November 2023, the FASB issued amendments to the guidance for disclosures about reportable segments which require disclosures of significant expenses by segment and interim disclosure of items that were previously required on an annual basis. The amendments are to be applied on a retrospective basis and are effective for fiscal years beginning after December 15, 2023 and interim periods within fiscal years beginning after December 15, 2024. We are evaluating the impact of the amendments on disclosures in our consolidated financial statements.</w:t>
      </w:r>
    </w:p>
    <w:p>
      <w:pPr>
        <w:spacing w:after="0" w:line="151" w:lineRule="exact"/>
        <w:rPr>
          <w:sz w:val="20"/>
          <w:szCs w:val="20"/>
          <w:color w:val="auto"/>
        </w:rPr>
      </w:pPr>
    </w:p>
    <w:p>
      <w:pPr>
        <w:ind w:left="569"/>
        <w:spacing w:after="0" w:line="259" w:lineRule="auto"/>
        <w:rPr>
          <w:sz w:val="20"/>
          <w:szCs w:val="20"/>
          <w:color w:val="auto"/>
        </w:rPr>
      </w:pPr>
      <w:r>
        <w:rPr>
          <w:rFonts w:ascii="Times New Roman" w:cs="Times New Roman" w:eastAsia="Times New Roman" w:hAnsi="Times New Roman"/>
          <w:sz w:val="15"/>
          <w:szCs w:val="15"/>
          <w:color w:val="auto"/>
        </w:rPr>
        <w:t>In December 2023, the FASB issued amendments to the guidance for disclosures about income tax which provide for additional disclosures primarily related to the income tax rate reconciliations and income taxes paid.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are evaluating the impact of the amendments on disclosures in our consolidated financial statements.</w:t>
      </w:r>
    </w:p>
    <w:p>
      <w:pPr>
        <w:spacing w:after="0" w:line="359" w:lineRule="exact"/>
        <w:rPr>
          <w:sz w:val="20"/>
          <w:szCs w:val="20"/>
          <w:color w:val="auto"/>
        </w:rPr>
      </w:pPr>
    </w:p>
    <w:p>
      <w:pPr>
        <w:ind w:left="549" w:hanging="549"/>
        <w:spacing w:after="0"/>
        <w:tabs>
          <w:tab w:leader="none" w:pos="549" w:val="left"/>
        </w:tabs>
        <w:numPr>
          <w:ilvl w:val="0"/>
          <w:numId w:val="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MEASUREMENTS</w:t>
      </w:r>
    </w:p>
    <w:p>
      <w:pPr>
        <w:spacing w:after="0" w:line="196" w:lineRule="exact"/>
        <w:rPr>
          <w:rFonts w:ascii="Times New Roman" w:cs="Times New Roman" w:eastAsia="Times New Roman" w:hAnsi="Times New Roman"/>
          <w:sz w:val="15"/>
          <w:szCs w:val="15"/>
          <w:b w:val="1"/>
          <w:bCs w:val="1"/>
          <w:color w:val="auto"/>
        </w:rPr>
      </w:pPr>
    </w:p>
    <w:p>
      <w:pPr>
        <w:ind w:left="569" w:right="10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51" w:lineRule="exact"/>
        <w:rPr>
          <w:rFonts w:ascii="Times New Roman" w:cs="Times New Roman" w:eastAsia="Times New Roman" w:hAnsi="Times New Roman"/>
          <w:sz w:val="15"/>
          <w:szCs w:val="15"/>
          <w:b w:val="1"/>
          <w:bCs w:val="1"/>
          <w:color w:val="auto"/>
        </w:rPr>
      </w:pPr>
    </w:p>
    <w:p>
      <w:pPr>
        <w:jc w:val="both"/>
        <w:ind w:left="569" w:right="32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46"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Level 1 Valuations based on unadjusted quoted prices in active markets for identical assets or liabilities that we have the ability to access.</w:t>
      </w:r>
    </w:p>
    <w:p>
      <w:pPr>
        <w:spacing w:after="0" w:line="19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536" w:right="319" w:bottom="1440" w:gutter="0" w:footer="0" w:header="0"/>
        </w:sectPr>
      </w:pPr>
    </w:p>
    <w:bookmarkStart w:id="56" w:name="page57"/>
    <w:bookmarkEnd w:id="56"/>
    <w:p>
      <w:pPr>
        <w:ind w:left="569" w:right="340"/>
        <w:spacing w:after="0" w:line="288" w:lineRule="auto"/>
        <w:rPr>
          <w:sz w:val="20"/>
          <w:szCs w:val="20"/>
          <w:color w:val="auto"/>
        </w:rPr>
      </w:pPr>
      <w:r>
        <w:rPr>
          <w:rFonts w:ascii="Times New Roman" w:cs="Times New Roman" w:eastAsia="Times New Roman" w:hAnsi="Times New Roman"/>
          <w:sz w:val="15"/>
          <w:szCs w:val="15"/>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3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Level 3 Valuations based on inputs that are unobservable and significant to the overall fair value measurement.</w:t>
      </w:r>
    </w:p>
    <w:p>
      <w:pPr>
        <w:spacing w:after="0" w:line="193" w:lineRule="exact"/>
        <w:rPr>
          <w:sz w:val="20"/>
          <w:szCs w:val="20"/>
          <w:color w:val="auto"/>
        </w:rPr>
      </w:pPr>
    </w:p>
    <w:p>
      <w:pPr>
        <w:ind w:left="569" w:right="160"/>
        <w:spacing w:after="0" w:line="271" w:lineRule="auto"/>
        <w:rPr>
          <w:sz w:val="20"/>
          <w:szCs w:val="20"/>
          <w:color w:val="auto"/>
        </w:rPr>
      </w:pPr>
      <w:r>
        <w:rPr>
          <w:rFonts w:ascii="Times New Roman" w:cs="Times New Roman" w:eastAsia="Times New Roman" w:hAnsi="Times New Roman"/>
          <w:sz w:val="15"/>
          <w:szCs w:val="15"/>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42"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Recurring Fair Value Measurements</w:t>
      </w:r>
    </w:p>
    <w:p>
      <w:pPr>
        <w:spacing w:after="0" w:line="197" w:lineRule="exact"/>
        <w:rPr>
          <w:sz w:val="20"/>
          <w:szCs w:val="20"/>
          <w:color w:val="auto"/>
        </w:rPr>
      </w:pPr>
    </w:p>
    <w:p>
      <w:pPr>
        <w:ind w:left="569" w:right="20"/>
        <w:spacing w:after="0" w:line="258" w:lineRule="auto"/>
        <w:rPr>
          <w:sz w:val="20"/>
          <w:szCs w:val="20"/>
          <w:color w:val="auto"/>
        </w:rPr>
      </w:pPr>
      <w:r>
        <w:rPr>
          <w:rFonts w:ascii="Times New Roman" w:cs="Times New Roman" w:eastAsia="Times New Roman" w:hAnsi="Times New Roman"/>
          <w:sz w:val="15"/>
          <w:szCs w:val="15"/>
          <w:color w:val="auto"/>
        </w:rPr>
        <w:t>The interest rate swap agreement we entered into in connection with our Term Note, as discussed further in Notes 2 and 10, is measured at fair value on a recurring basis using Level 2 inputs. The contingent consideration liability on our balance sheets is measured at fair value on a recurring basis using Level 3 inputs. Our contingent consideration liability is a result of our acquisition of Acculogic on December 21, 2021, and represents the estimated fair value of the additional cash consideration payable that is contingent upon sales to Electric Vehicle (“EV”) or battery customers. Our acquisition of Acculogic and this liability are both discussed further in Note 3 to our consolidated financial statements in our Annual Report on Form 10-K for the year ended December 31, 2022 (the “2022 Form 10-K”) filed on March 22, 2023 with the Securities and Exchange Commission. As of December 31, 2023, this liability was classified as long-term. As of December 31, 2022, $324 of this liability was classified as current and was included in Other Current Liabilities on our balance sheet. During the year ended December 31, 2023, the total amount of this liability was adjusted down by $294 as a result of a reduction in our forecast for sales to EV and battery customers in the five-year period following the acquisition. The decrease in the amount of the liability during 2023 was included in General and Administrative Expenses on our statement of operations.</w:t>
      </w:r>
    </w:p>
    <w:p>
      <w:pPr>
        <w:spacing w:after="0" w:line="157"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The following fair value hierarchy table presents information about assets and (liabilities) measured at fair value on a recurring basis:</w:t>
      </w:r>
    </w:p>
    <w:p>
      <w:pPr>
        <w:spacing w:after="0" w:line="189" w:lineRule="exact"/>
        <w:rPr>
          <w:sz w:val="20"/>
          <w:szCs w:val="20"/>
          <w:color w:val="auto"/>
        </w:rPr>
      </w:pPr>
    </w:p>
    <w:tbl>
      <w:tblPr>
        <w:tblLayout w:type="fixed"/>
        <w:tblInd w:w="549" w:type="dxa"/>
        <w:tblCellMar>
          <w:top w:w="0" w:type="dxa"/>
          <w:left w:w="0" w:type="dxa"/>
          <w:bottom w:w="0" w:type="dxa"/>
          <w:right w:w="0" w:type="dxa"/>
        </w:tblCellMar>
      </w:tblPr>
      <w:tr>
        <w:trPr>
          <w:trHeight w:val="201"/>
        </w:trPr>
        <w:tc>
          <w:tcPr>
            <w:tcW w:w="4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Amounts at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Measurement Using</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100" w:type="dxa"/>
            <w:vAlign w:val="bottom"/>
          </w:tcPr>
          <w:p>
            <w:pPr>
              <w:spacing w:after="0"/>
              <w:rPr>
                <w:sz w:val="15"/>
                <w:szCs w:val="15"/>
                <w:color w:val="auto"/>
              </w:rPr>
            </w:pPr>
          </w:p>
        </w:tc>
      </w:tr>
      <w:tr>
        <w:trPr>
          <w:trHeight w:val="17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Contingent consideration liability – Acculogic</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(1,093)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(1,093)</w:t>
            </w:r>
          </w:p>
        </w:tc>
      </w:tr>
      <w:tr>
        <w:trPr>
          <w:trHeight w:val="18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swap</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285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285</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64" w:lineRule="exact"/>
        <w:rPr>
          <w:sz w:val="20"/>
          <w:szCs w:val="20"/>
          <w:color w:val="auto"/>
        </w:rPr>
      </w:pPr>
    </w:p>
    <w:tbl>
      <w:tblPr>
        <w:tblLayout w:type="fixed"/>
        <w:tblInd w:w="549" w:type="dxa"/>
        <w:tblCellMar>
          <w:top w:w="0" w:type="dxa"/>
          <w:left w:w="0" w:type="dxa"/>
          <w:bottom w:w="0" w:type="dxa"/>
          <w:right w:w="0" w:type="dxa"/>
        </w:tblCellMar>
      </w:tblPr>
      <w:tr>
        <w:trPr>
          <w:trHeight w:val="201"/>
        </w:trPr>
        <w:tc>
          <w:tcPr>
            <w:tcW w:w="4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Amounts at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Measurement Using</w:t>
            </w: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At December 31, 2022</w:t>
            </w:r>
          </w:p>
        </w:tc>
        <w:tc>
          <w:tcPr>
            <w:tcW w:w="3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Contingent consideration liability – Acculogic</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(1,363)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(1,363)</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swap</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528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528</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r>
      <w:tr>
        <w:trPr>
          <w:trHeight w:val="366"/>
        </w:trPr>
        <w:tc>
          <w:tcPr>
            <w:tcW w:w="942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auto"/>
              </w:rPr>
              <w:t>Changes in the fair value of our Level 3 contingent consideration liabilities for the years ended December 31, 2023 and 2022 were as follows: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January 1, 2022</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1,109</w:t>
            </w:r>
          </w:p>
        </w:tc>
        <w:tc>
          <w:tcPr>
            <w:tcW w:w="80" w:type="dxa"/>
            <w:vAlign w:val="bottom"/>
            <w:shd w:val="clear" w:color="auto" w:fill="CCEEFF"/>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Payout of contingent consideration related to the acquisition of Z-Sciences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(179)</w:t>
            </w:r>
          </w:p>
        </w:tc>
      </w:tr>
      <w:tr>
        <w:trPr>
          <w:trHeight w:val="183"/>
        </w:trPr>
        <w:tc>
          <w:tcPr>
            <w:tcW w:w="6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 to contingent consideration liability in connection with the acquisition of Acculogic</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(67)</w:t>
            </w:r>
          </w:p>
        </w:tc>
      </w:tr>
      <w:tr>
        <w:trPr>
          <w:trHeight w:val="17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2022</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5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Adjustment to contingent consideration liability in connection with the acquisition of Acculogic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(294)</w:t>
            </w:r>
          </w:p>
        </w:tc>
      </w:tr>
      <w:tr>
        <w:trPr>
          <w:trHeight w:val="18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4"/>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Balance - December 31, 2023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1,093</w:t>
            </w:r>
          </w:p>
        </w:tc>
        <w:tc>
          <w:tcPr>
            <w:tcW w:w="80" w:type="dxa"/>
            <w:vAlign w:val="bottom"/>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9" w:lineRule="exact"/>
        <w:rPr>
          <w:sz w:val="20"/>
          <w:szCs w:val="20"/>
          <w:color w:val="auto"/>
        </w:rPr>
      </w:pPr>
    </w:p>
    <w:p>
      <w:pPr>
        <w:ind w:left="549" w:hanging="549"/>
        <w:spacing w:after="0"/>
        <w:tabs>
          <w:tab w:leader="none" w:pos="549"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GOODWILL AND INTANGIBLE ASSETS</w:t>
      </w:r>
    </w:p>
    <w:p>
      <w:pPr>
        <w:spacing w:after="0" w:line="197" w:lineRule="exact"/>
        <w:rPr>
          <w:sz w:val="20"/>
          <w:szCs w:val="20"/>
          <w:color w:val="auto"/>
        </w:rPr>
      </w:pPr>
    </w:p>
    <w:p>
      <w:pPr>
        <w:ind w:left="569" w:right="140"/>
        <w:spacing w:after="0" w:line="288" w:lineRule="auto"/>
        <w:rPr>
          <w:sz w:val="20"/>
          <w:szCs w:val="20"/>
          <w:color w:val="auto"/>
        </w:rPr>
      </w:pPr>
      <w:r>
        <w:rPr>
          <w:rFonts w:ascii="Times New Roman" w:cs="Times New Roman" w:eastAsia="Times New Roman" w:hAnsi="Times New Roman"/>
          <w:sz w:val="15"/>
          <w:szCs w:val="15"/>
          <w:color w:val="auto"/>
        </w:rPr>
        <w:t>We have three operating segments which are also our reporting units: Electronic Test, Environmental Technologies and Process Technologies. Goodwill and intangible assets on our balance sheets are the result of our acquisitions.</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9"/>
          </w:cols>
          <w:pgMar w:left="311" w:top="536" w:right="339" w:bottom="1440" w:gutter="0" w:footer="0" w:header="0"/>
        </w:sectPr>
      </w:pPr>
    </w:p>
    <w:bookmarkStart w:id="57" w:name="page58"/>
    <w:bookmarkEnd w:id="57"/>
    <w:tbl>
      <w:tblPr>
        <w:tblLayout w:type="fixed"/>
        <w:tblInd w:w="5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Changes in the amount of the carrying value of goodwill for the years ended December 31, 2023 and 2022 are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January 1, 2022</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21,448</w:t>
            </w:r>
          </w:p>
        </w:tc>
        <w:tc>
          <w:tcPr>
            <w:tcW w:w="0" w:type="dxa"/>
            <w:vAlign w:val="bottom"/>
          </w:tcPr>
          <w:p>
            <w:pPr>
              <w:spacing w:after="0"/>
              <w:rPr>
                <w:sz w:val="1"/>
                <w:szCs w:val="1"/>
                <w:color w:val="auto"/>
              </w:rPr>
            </w:pPr>
          </w:p>
        </w:tc>
      </w:tr>
      <w:tr>
        <w:trPr>
          <w:trHeight w:val="168"/>
        </w:trPr>
        <w:tc>
          <w:tcPr>
            <w:tcW w:w="9100" w:type="dxa"/>
            <w:vAlign w:val="bottom"/>
            <w:gridSpan w:val="6"/>
          </w:tcPr>
          <w:p>
            <w:pPr>
              <w:spacing w:after="0" w:line="168" w:lineRule="exact"/>
              <w:rPr>
                <w:sz w:val="20"/>
                <w:szCs w:val="20"/>
                <w:color w:val="auto"/>
              </w:rPr>
            </w:pPr>
            <w:r>
              <w:rPr>
                <w:rFonts w:ascii="Times New Roman" w:cs="Times New Roman" w:eastAsia="Times New Roman" w:hAnsi="Times New Roman"/>
                <w:sz w:val="15"/>
                <w:szCs w:val="15"/>
                <w:color w:val="auto"/>
              </w:rPr>
              <w:t>Adjustments to preliminary amounts recorded in the fourth quarter of 2021 (see Note 3 to the consolidated financial statements in our 2022 Form</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10-K)</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451</w:t>
            </w:r>
          </w:p>
        </w:tc>
        <w:tc>
          <w:tcPr>
            <w:tcW w:w="0" w:type="dxa"/>
            <w:vAlign w:val="bottom"/>
          </w:tcPr>
          <w:p>
            <w:pPr>
              <w:spacing w:after="0"/>
              <w:rPr>
                <w:sz w:val="1"/>
                <w:szCs w:val="1"/>
                <w:color w:val="auto"/>
              </w:rPr>
            </w:pPr>
          </w:p>
        </w:tc>
      </w:tr>
      <w:tr>
        <w:trPr>
          <w:trHeight w:val="183"/>
        </w:trPr>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174"/>
        </w:trPr>
        <w:tc>
          <w:tcPr>
            <w:tcW w:w="74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Balance - December 31, 2022</w:t>
            </w:r>
          </w:p>
        </w:tc>
        <w:tc>
          <w:tcPr>
            <w:tcW w:w="34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21,605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Balance - December 31, 2023</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Goodwill was comprised of the following at December 31, 2023 and 2022:</w:t>
            </w: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73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Electronic Test</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3,369</w:t>
            </w:r>
          </w:p>
        </w:tc>
        <w:tc>
          <w:tcPr>
            <w:tcW w:w="0" w:type="dxa"/>
            <w:vAlign w:val="bottom"/>
          </w:tcPr>
          <w:p>
            <w:pPr>
              <w:spacing w:after="0"/>
              <w:rPr>
                <w:sz w:val="1"/>
                <w:szCs w:val="1"/>
                <w:color w:val="auto"/>
              </w:rPr>
            </w:pPr>
          </w:p>
        </w:tc>
      </w:tr>
      <w:tr>
        <w:trPr>
          <w:trHeight w:val="183"/>
        </w:trPr>
        <w:tc>
          <w:tcPr>
            <w:tcW w:w="74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Environmental Technologies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1,817</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Process Technologies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16,475</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Goodwill</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21,728</w:t>
            </w:r>
          </w:p>
        </w:tc>
        <w:tc>
          <w:tcPr>
            <w:tcW w:w="200" w:type="dxa"/>
            <w:vAlign w:val="bottom"/>
          </w:tcPr>
          <w:p>
            <w:pPr>
              <w:spacing w:after="0"/>
              <w:rPr>
                <w:sz w:val="15"/>
                <w:szCs w:val="15"/>
                <w:color w:val="auto"/>
              </w:rPr>
            </w:pP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Intangible Assets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Changes in the amount of the carrying value of indefinite-lived intangible assets for the year ended December 31, 2023 and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January 1, 2022</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9100" w:type="dxa"/>
            <w:vAlign w:val="bottom"/>
            <w:gridSpan w:val="8"/>
          </w:tcPr>
          <w:p>
            <w:pPr>
              <w:spacing w:after="0" w:line="168" w:lineRule="exact"/>
              <w:rPr>
                <w:sz w:val="20"/>
                <w:szCs w:val="20"/>
                <w:color w:val="auto"/>
              </w:rPr>
            </w:pPr>
            <w:r>
              <w:rPr>
                <w:rFonts w:ascii="Times New Roman" w:cs="Times New Roman" w:eastAsia="Times New Roman" w:hAnsi="Times New Roman"/>
                <w:sz w:val="15"/>
                <w:szCs w:val="15"/>
                <w:color w:val="auto"/>
              </w:rPr>
              <w:t>Adjustments to preliminary amounts recorded in the fourth quarter of 2021 (see Note 3 to the consolidated financial statements in our 2022 Form</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10-K)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Balance - December 31, 2022</w:t>
            </w:r>
          </w:p>
        </w:tc>
        <w:tc>
          <w:tcPr>
            <w:tcW w:w="16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8,369</w:t>
            </w:r>
          </w:p>
        </w:tc>
        <w:tc>
          <w:tcPr>
            <w:tcW w:w="1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16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Balance - December 31, 2023</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100" w:type="dxa"/>
            <w:vAlign w:val="bottom"/>
            <w:gridSpan w:val="8"/>
            <w:vMerge w:val="restart"/>
          </w:tcPr>
          <w:p>
            <w:pPr>
              <w:ind w:left="20"/>
              <w:spacing w:after="0"/>
              <w:rPr>
                <w:sz w:val="20"/>
                <w:szCs w:val="20"/>
                <w:color w:val="auto"/>
              </w:rPr>
            </w:pPr>
            <w:r>
              <w:rPr>
                <w:rFonts w:ascii="Times New Roman" w:cs="Times New Roman" w:eastAsia="Times New Roman" w:hAnsi="Times New Roman"/>
                <w:sz w:val="15"/>
                <w:szCs w:val="15"/>
                <w:color w:val="auto"/>
              </w:rPr>
              <w:t>Changes in the amount of the carrying value of finite-lived intangible assets for the years ended December 31, 2023 and 2022 are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40" w:type="dxa"/>
            <w:vAlign w:val="bottom"/>
          </w:tcPr>
          <w:p>
            <w:pPr>
              <w:spacing w:after="0"/>
              <w:rPr>
                <w:sz w:val="24"/>
                <w:szCs w:val="24"/>
                <w:color w:val="auto"/>
              </w:rPr>
            </w:pPr>
          </w:p>
        </w:tc>
        <w:tc>
          <w:tcPr>
            <w:tcW w:w="9100" w:type="dxa"/>
            <w:vAlign w:val="bottom"/>
            <w:gridSpan w:val="8"/>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January 1, 2022</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9100" w:type="dxa"/>
            <w:vAlign w:val="bottom"/>
            <w:gridSpan w:val="8"/>
          </w:tcPr>
          <w:p>
            <w:pPr>
              <w:spacing w:after="0" w:line="168" w:lineRule="exact"/>
              <w:rPr>
                <w:sz w:val="20"/>
                <w:szCs w:val="20"/>
                <w:color w:val="auto"/>
              </w:rPr>
            </w:pPr>
            <w:r>
              <w:rPr>
                <w:rFonts w:ascii="Times New Roman" w:cs="Times New Roman" w:eastAsia="Times New Roman" w:hAnsi="Times New Roman"/>
                <w:sz w:val="15"/>
                <w:szCs w:val="15"/>
                <w:color w:val="auto"/>
              </w:rPr>
              <w:t>Adjustments to preliminary amounts recorded in the fourth quarter of 2021 (see Note 3 to the consolidated financial statements in our 2022 Form</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10-K)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Amortization</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2022</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Impact of foreign currency translation adjustments</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Balance - December 31, 2023</w:t>
            </w:r>
          </w:p>
        </w:tc>
        <w:tc>
          <w:tcPr>
            <w:tcW w:w="16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8,198</w:t>
            </w:r>
          </w:p>
        </w:tc>
        <w:tc>
          <w:tcPr>
            <w:tcW w:w="1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The following tables provide further detail about our intangible assets at December 31, 2023 and 2022:</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40" w:type="dxa"/>
            <w:vAlign w:val="bottom"/>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jc w:val="center"/>
              <w:ind w:left="344"/>
              <w:spacing w:after="0" w:line="156" w:lineRule="exact"/>
              <w:rPr>
                <w:sz w:val="20"/>
                <w:szCs w:val="20"/>
                <w:color w:val="auto"/>
              </w:rPr>
            </w:pPr>
            <w:r>
              <w:rPr>
                <w:rFonts w:ascii="Times New Roman" w:cs="Times New Roman" w:eastAsia="Times New Roman" w:hAnsi="Times New Roman"/>
                <w:sz w:val="15"/>
                <w:szCs w:val="15"/>
                <w:b w:val="1"/>
                <w:bCs w:val="1"/>
                <w:color w:val="auto"/>
              </w:rPr>
              <w:t>Gross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84"/>
              <w:spacing w:after="0" w:line="156"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16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2760" w:type="dxa"/>
            <w:vAlign w:val="bottom"/>
            <w:gridSpan w:val="2"/>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16,407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9,687</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Technology</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1,417</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Patents</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590</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590</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Backlog</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499</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Software</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270</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 name</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Total finite-lived intangible assets</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20,801</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12,603</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Trademarks</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intangible assets</w:t>
            </w: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12,603</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540" w:type="dxa"/>
            <w:vAlign w:val="bottom"/>
          </w:tcPr>
          <w:p>
            <w:pPr>
              <w:spacing w:after="0"/>
              <w:rPr>
                <w:sz w:val="24"/>
                <w:szCs w:val="24"/>
                <w:color w:val="auto"/>
              </w:rPr>
            </w:pPr>
          </w:p>
        </w:tc>
        <w:tc>
          <w:tcPr>
            <w:tcW w:w="40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ind w:left="920"/>
              <w:spacing w:after="0"/>
              <w:rPr>
                <w:sz w:val="20"/>
                <w:szCs w:val="20"/>
                <w:color w:val="auto"/>
              </w:rPr>
            </w:pPr>
            <w:r>
              <w:rPr>
                <w:rFonts w:ascii="Times New Roman" w:cs="Times New Roman" w:eastAsia="Times New Roman" w:hAnsi="Times New Roman"/>
                <w:sz w:val="15"/>
                <w:szCs w:val="15"/>
                <w:color w:val="auto"/>
              </w:rPr>
              <w:t>F- 18</w:t>
            </w: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26" w:right="31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3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80" w:type="dxa"/>
            <w:vAlign w:val="bottom"/>
          </w:tcPr>
          <w:p>
            <w:pPr>
              <w:jc w:val="center"/>
              <w:ind w:left="344"/>
              <w:spacing w:after="0" w:line="156" w:lineRule="exact"/>
              <w:rPr>
                <w:sz w:val="20"/>
                <w:szCs w:val="20"/>
                <w:color w:val="auto"/>
              </w:rPr>
            </w:pPr>
            <w:r>
              <w:rPr>
                <w:rFonts w:ascii="Times New Roman" w:cs="Times New Roman" w:eastAsia="Times New Roman" w:hAnsi="Times New Roman"/>
                <w:sz w:val="15"/>
                <w:szCs w:val="15"/>
                <w:b w:val="1"/>
                <w:bCs w:val="1"/>
                <w:color w:val="auto"/>
              </w:rPr>
              <w:t>Gross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84"/>
              <w:spacing w:after="0" w:line="156"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100" w:type="dxa"/>
            <w:vAlign w:val="bottom"/>
          </w:tcPr>
          <w:p>
            <w:pPr>
              <w:spacing w:after="0"/>
              <w:rPr>
                <w:sz w:val="13"/>
                <w:szCs w:val="13"/>
                <w:color w:val="auto"/>
              </w:rPr>
            </w:pPr>
          </w:p>
        </w:tc>
      </w:tr>
      <w:tr>
        <w:trPr>
          <w:trHeight w:val="183"/>
        </w:trPr>
        <w:tc>
          <w:tcPr>
            <w:tcW w:w="3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80" w:type="dxa"/>
            <w:vAlign w:val="bottom"/>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Carrying</w:t>
            </w:r>
          </w:p>
        </w:tc>
      </w:tr>
      <w:tr>
        <w:trPr>
          <w:trHeight w:val="201"/>
        </w:trPr>
        <w:tc>
          <w:tcPr>
            <w:tcW w:w="3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180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2880" w:type="dxa"/>
            <w:vAlign w:val="bottom"/>
            <w:gridSpan w:val="2"/>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16,313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7,990</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8,323</w:t>
            </w:r>
          </w:p>
        </w:tc>
      </w:tr>
      <w:tr>
        <w:trPr>
          <w:trHeight w:val="18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Technology</w:t>
            </w:r>
          </w:p>
        </w:tc>
        <w:tc>
          <w:tcPr>
            <w:tcW w:w="1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988</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1,867</w:t>
            </w:r>
          </w:p>
        </w:tc>
      </w:tr>
      <w:tr>
        <w:trPr>
          <w:trHeight w:val="183"/>
        </w:trPr>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Patents</w:t>
            </w: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590</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590</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Backlog</w:t>
            </w:r>
          </w:p>
        </w:tc>
        <w:tc>
          <w:tcPr>
            <w:tcW w:w="1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492</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Software</w:t>
            </w: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270</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 name</w:t>
            </w:r>
          </w:p>
        </w:tc>
        <w:tc>
          <w:tcPr>
            <w:tcW w:w="1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4"/>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Total finite-lived intangible assets</w:t>
            </w: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20,660</w:t>
            </w: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10,470</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10,190</w:t>
            </w:r>
          </w:p>
        </w:tc>
      </w:tr>
      <w:tr>
        <w:trPr>
          <w:trHeight w:val="18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1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Trademarks</w:t>
            </w:r>
          </w:p>
        </w:tc>
        <w:tc>
          <w:tcPr>
            <w:tcW w:w="1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8,369</w:t>
            </w:r>
          </w:p>
        </w:tc>
      </w:tr>
      <w:tr>
        <w:trPr>
          <w:trHeight w:val="20"/>
        </w:trPr>
        <w:tc>
          <w:tcPr>
            <w:tcW w:w="3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intangible assets</w:t>
            </w:r>
          </w:p>
        </w:tc>
        <w:tc>
          <w:tcPr>
            <w:tcW w:w="18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10,470</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18,559</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20" w:right="360"/>
        <w:spacing w:after="0" w:line="271" w:lineRule="auto"/>
        <w:rPr>
          <w:sz w:val="20"/>
          <w:szCs w:val="20"/>
          <w:color w:val="auto"/>
        </w:rPr>
      </w:pPr>
      <w:r>
        <w:rPr>
          <w:rFonts w:ascii="Times New Roman" w:cs="Times New Roman" w:eastAsia="Times New Roman" w:hAnsi="Times New Roman"/>
          <w:sz w:val="15"/>
          <w:szCs w:val="15"/>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600" w:type="dxa"/>
            <w:vAlign w:val="bottom"/>
            <w:gridSpan w:val="2"/>
          </w:tcPr>
          <w:p>
            <w:pPr>
              <w:jc w:val="right"/>
              <w:ind w:right="1204"/>
              <w:spacing w:after="0"/>
              <w:rPr>
                <w:sz w:val="20"/>
                <w:szCs w:val="20"/>
                <w:color w:val="auto"/>
              </w:rPr>
            </w:pPr>
            <w:r>
              <w:rPr>
                <w:rFonts w:ascii="Times New Roman" w:cs="Times New Roman" w:eastAsia="Times New Roman" w:hAnsi="Times New Roman"/>
                <w:sz w:val="15"/>
                <w:szCs w:val="15"/>
                <w:color w:val="auto"/>
              </w:rPr>
              <w:t>The following table sets forth the estimated annual amortization expense for each of the next five years:</w:t>
            </w: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340" w:type="dxa"/>
            <w:vAlign w:val="bottom"/>
            <w:shd w:val="clear" w:color="auto" w:fill="CCEEFF"/>
          </w:tcPr>
          <w:p>
            <w:pPr>
              <w:jc w:val="right"/>
              <w:ind w:right="6964"/>
              <w:spacing w:after="0"/>
              <w:rPr>
                <w:sz w:val="20"/>
                <w:szCs w:val="20"/>
                <w:color w:val="auto"/>
              </w:rPr>
            </w:pPr>
            <w:r>
              <w:rPr>
                <w:rFonts w:ascii="Times New Roman" w:cs="Times New Roman" w:eastAsia="Times New Roman" w:hAnsi="Times New Roman"/>
                <w:sz w:val="15"/>
                <w:szCs w:val="15"/>
                <w:color w:val="auto"/>
                <w:w w:val="93"/>
              </w:rPr>
              <w:t>2024</w:t>
            </w:r>
          </w:p>
        </w:tc>
        <w:tc>
          <w:tcPr>
            <w:tcW w:w="18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1,973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40" w:type="dxa"/>
            <w:vAlign w:val="bottom"/>
          </w:tcPr>
          <w:p>
            <w:pPr>
              <w:jc w:val="right"/>
              <w:ind w:right="6964"/>
              <w:spacing w:after="0"/>
              <w:rPr>
                <w:sz w:val="20"/>
                <w:szCs w:val="20"/>
                <w:color w:val="auto"/>
              </w:rPr>
            </w:pPr>
            <w:r>
              <w:rPr>
                <w:rFonts w:ascii="Times New Roman" w:cs="Times New Roman" w:eastAsia="Times New Roman" w:hAnsi="Times New Roman"/>
                <w:sz w:val="15"/>
                <w:szCs w:val="15"/>
                <w:color w:val="auto"/>
                <w:w w:val="93"/>
              </w:rPr>
              <w:t>2025</w:t>
            </w:r>
          </w:p>
        </w:tc>
        <w:tc>
          <w:tcPr>
            <w:tcW w:w="186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1,774</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40" w:type="dxa"/>
            <w:vAlign w:val="bottom"/>
            <w:shd w:val="clear" w:color="auto" w:fill="CCEEFF"/>
          </w:tcPr>
          <w:p>
            <w:pPr>
              <w:jc w:val="right"/>
              <w:ind w:right="6964"/>
              <w:spacing w:after="0"/>
              <w:rPr>
                <w:sz w:val="20"/>
                <w:szCs w:val="20"/>
                <w:color w:val="auto"/>
              </w:rPr>
            </w:pPr>
            <w:r>
              <w:rPr>
                <w:rFonts w:ascii="Times New Roman" w:cs="Times New Roman" w:eastAsia="Times New Roman" w:hAnsi="Times New Roman"/>
                <w:sz w:val="15"/>
                <w:szCs w:val="15"/>
                <w:color w:val="auto"/>
                <w:w w:val="93"/>
              </w:rPr>
              <w:t>2026</w:t>
            </w:r>
          </w:p>
        </w:tc>
        <w:tc>
          <w:tcPr>
            <w:tcW w:w="18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40" w:type="dxa"/>
            <w:vAlign w:val="bottom"/>
          </w:tcPr>
          <w:p>
            <w:pPr>
              <w:jc w:val="right"/>
              <w:ind w:right="6964"/>
              <w:spacing w:after="0"/>
              <w:rPr>
                <w:sz w:val="20"/>
                <w:szCs w:val="20"/>
                <w:color w:val="auto"/>
              </w:rPr>
            </w:pPr>
            <w:r>
              <w:rPr>
                <w:rFonts w:ascii="Times New Roman" w:cs="Times New Roman" w:eastAsia="Times New Roman" w:hAnsi="Times New Roman"/>
                <w:sz w:val="15"/>
                <w:szCs w:val="15"/>
                <w:color w:val="auto"/>
                <w:w w:val="93"/>
              </w:rPr>
              <w:t>2027</w:t>
            </w:r>
          </w:p>
        </w:tc>
        <w:tc>
          <w:tcPr>
            <w:tcW w:w="186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667</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40" w:type="dxa"/>
            <w:vAlign w:val="bottom"/>
            <w:shd w:val="clear" w:color="auto" w:fill="CCEEFF"/>
          </w:tcPr>
          <w:p>
            <w:pPr>
              <w:jc w:val="right"/>
              <w:ind w:right="6964"/>
              <w:spacing w:after="0"/>
              <w:rPr>
                <w:sz w:val="20"/>
                <w:szCs w:val="20"/>
                <w:color w:val="auto"/>
              </w:rPr>
            </w:pPr>
            <w:r>
              <w:rPr>
                <w:rFonts w:ascii="Times New Roman" w:cs="Times New Roman" w:eastAsia="Times New Roman" w:hAnsi="Times New Roman"/>
                <w:sz w:val="15"/>
                <w:szCs w:val="15"/>
                <w:color w:val="auto"/>
                <w:w w:val="93"/>
              </w:rPr>
              <w:t>2028</w:t>
            </w:r>
          </w:p>
        </w:tc>
        <w:tc>
          <w:tcPr>
            <w:tcW w:w="18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534</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Impairment of Goodwill and Indefinite Life Intangible Assets</w:t>
      </w:r>
    </w:p>
    <w:p>
      <w:pPr>
        <w:spacing w:after="0" w:line="197"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5"/>
          <w:szCs w:val="15"/>
          <w:color w:val="auto"/>
        </w:rPr>
        <w:t>During October 2023 and 2022, we assessed our goodwill and indefinite life intangible asset for impairment in accordance with the requirements of ASC Topic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2023 for the discounted cash flows ranged between 14.5% and 16.0% depending on the reporting unit. The discount rate used in 2022 for the discounted cash flows ranged between 16.5% and 18.0% depending on the reporting unit. The selection of the rates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57" w:lineRule="exact"/>
        <w:rPr>
          <w:sz w:val="20"/>
          <w:szCs w:val="20"/>
          <w:color w:val="auto"/>
        </w:rPr>
      </w:pPr>
    </w:p>
    <w:p>
      <w:pPr>
        <w:ind w:left="20" w:right="80"/>
        <w:spacing w:after="0" w:line="288" w:lineRule="auto"/>
        <w:rPr>
          <w:sz w:val="20"/>
          <w:szCs w:val="20"/>
          <w:color w:val="auto"/>
        </w:rPr>
      </w:pPr>
      <w:r>
        <w:rPr>
          <w:rFonts w:ascii="Times New Roman" w:cs="Times New Roman" w:eastAsia="Times New Roman" w:hAnsi="Times New Roman"/>
          <w:sz w:val="15"/>
          <w:szCs w:val="15"/>
          <w:color w:val="auto"/>
        </w:rPr>
        <w:t>During the goodwill impairment assessment in both 2023 and 2022, we compared the fair value of our reporting units with their carrying values. This assessment indicated no impairment existed as the fair value of the reporting units exceeded their carrying values in both 2023 and 2022.</w:t>
      </w:r>
    </w:p>
    <w:p>
      <w:pPr>
        <w:spacing w:after="0" w:line="134" w:lineRule="exact"/>
        <w:rPr>
          <w:sz w:val="20"/>
          <w:szCs w:val="20"/>
          <w:color w:val="auto"/>
        </w:rPr>
      </w:pPr>
    </w:p>
    <w:p>
      <w:pPr>
        <w:ind w:left="20" w:right="120"/>
        <w:spacing w:after="0" w:line="288" w:lineRule="auto"/>
        <w:rPr>
          <w:sz w:val="20"/>
          <w:szCs w:val="20"/>
          <w:color w:val="auto"/>
        </w:rPr>
      </w:pPr>
      <w:r>
        <w:rPr>
          <w:rFonts w:ascii="Times New Roman" w:cs="Times New Roman" w:eastAsia="Times New Roman" w:hAnsi="Times New Roman"/>
          <w:sz w:val="15"/>
          <w:szCs w:val="15"/>
          <w:color w:val="auto"/>
        </w:rPr>
        <w:t>During the indefinite life intangible asset impairment assessment in both 2023 and 2022, we compared the fair value of our indefinite life intangible assets with their carrying values. This assessment indicated no impairment existed as the fair value of the indefinite life intangible assets exceeded their carrying values in both 2023 and 2022.</w:t>
      </w:r>
    </w:p>
    <w:p>
      <w:pPr>
        <w:spacing w:after="0" w:line="1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715327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532" w:right="339" w:bottom="1440" w:gutter="0" w:footer="0" w:header="0"/>
        </w:sectPr>
      </w:pPr>
    </w:p>
    <w:bookmarkStart w:id="59" w:name="page60"/>
    <w:bookmarkEnd w:id="59"/>
    <w:p>
      <w:pPr>
        <w:ind w:left="569"/>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Impairment of Long-Lived Assets and Finite-lived Intangible Assets</w:t>
      </w:r>
    </w:p>
    <w:p>
      <w:pPr>
        <w:spacing w:after="0" w:line="197" w:lineRule="exact"/>
        <w:rPr>
          <w:sz w:val="20"/>
          <w:szCs w:val="20"/>
          <w:color w:val="auto"/>
        </w:rPr>
      </w:pPr>
    </w:p>
    <w:p>
      <w:pPr>
        <w:ind w:left="569" w:right="300"/>
        <w:spacing w:after="0" w:line="288" w:lineRule="auto"/>
        <w:rPr>
          <w:sz w:val="20"/>
          <w:szCs w:val="20"/>
          <w:color w:val="auto"/>
        </w:rPr>
      </w:pPr>
      <w:r>
        <w:rPr>
          <w:rFonts w:ascii="Times New Roman" w:cs="Times New Roman" w:eastAsia="Times New Roman" w:hAnsi="Times New Roman"/>
          <w:sz w:val="15"/>
          <w:szCs w:val="15"/>
          <w:color w:val="auto"/>
        </w:rPr>
        <w:t>During 2023 and 2022, we did not review any of our long-lived assets for impairment as there were no events or changes in business circumstances that would indicate an impairment might exist.</w:t>
      </w:r>
    </w:p>
    <w:p>
      <w:pPr>
        <w:spacing w:after="0" w:line="335" w:lineRule="exact"/>
        <w:rPr>
          <w:sz w:val="20"/>
          <w:szCs w:val="20"/>
          <w:color w:val="auto"/>
        </w:rPr>
      </w:pPr>
    </w:p>
    <w:p>
      <w:pPr>
        <w:ind w:left="549" w:hanging="549"/>
        <w:spacing w:after="0"/>
        <w:tabs>
          <w:tab w:leader="none" w:pos="549"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FROM CONTRACTS WITH CUSTOMERS</w:t>
      </w:r>
    </w:p>
    <w:p>
      <w:pPr>
        <w:spacing w:after="0" w:line="196" w:lineRule="exact"/>
        <w:rPr>
          <w:rFonts w:ascii="Times New Roman" w:cs="Times New Roman" w:eastAsia="Times New Roman" w:hAnsi="Times New Roman"/>
          <w:sz w:val="15"/>
          <w:szCs w:val="15"/>
          <w:b w:val="1"/>
          <w:bCs w:val="1"/>
          <w:color w:val="auto"/>
        </w:rPr>
      </w:pPr>
    </w:p>
    <w:p>
      <w:pPr>
        <w:ind w:left="569"/>
        <w:spacing w:after="0" w:line="28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tables provide additional information about our revenue from contracts with customers, including revenue by customer and product type and revenue by market. See also Note 17 for information about revenue by operating segment and geographic region.</w:t>
      </w:r>
    </w:p>
    <w:p>
      <w:pPr>
        <w:spacing w:after="0" w:line="130" w:lineRule="exact"/>
        <w:rPr>
          <w:sz w:val="20"/>
          <w:szCs w:val="20"/>
          <w:color w:val="auto"/>
        </w:rPr>
      </w:pPr>
    </w:p>
    <w:tbl>
      <w:tblPr>
        <w:tblLayout w:type="fixed"/>
        <w:tblInd w:w="829"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9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by customer type: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End user</w:t>
            </w: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85,397</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84,468</w:t>
            </w:r>
          </w:p>
        </w:tc>
      </w:tr>
      <w:tr>
        <w:trPr>
          <w:trHeight w:val="18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OEM/Integrator/Distributor</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37,905</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32,360</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4"/>
        </w:trPr>
        <w:tc>
          <w:tcPr>
            <w:tcW w:w="6980" w:type="dxa"/>
            <w:vAlign w:val="bottom"/>
          </w:tcPr>
          <w:p>
            <w:pPr>
              <w:spacing w:after="0"/>
              <w:rPr>
                <w:sz w:val="15"/>
                <w:szCs w:val="15"/>
                <w:color w:val="auto"/>
              </w:rPr>
            </w:pP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123,302</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116,828</w:t>
            </w:r>
          </w:p>
        </w:tc>
      </w:tr>
      <w:tr>
        <w:trPr>
          <w:trHeight w:val="20"/>
        </w:trPr>
        <w:tc>
          <w:tcPr>
            <w:tcW w:w="6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6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i w:val="1"/>
                <w:iCs w:val="1"/>
                <w:color w:val="auto"/>
              </w:rPr>
              <w:t>Revenue by product type: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Thermal test</w:t>
            </w: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21,344</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22,246</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Thermal process</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44,914</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38,574</w:t>
            </w: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Semiconductor test</w:t>
            </w:r>
          </w:p>
        </w:tc>
        <w:tc>
          <w:tcPr>
            <w:tcW w:w="9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30,235</w:t>
            </w: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28,529</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Video imaging</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9,086</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9,499</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Flying probe and in-circuit testers</w:t>
            </w:r>
          </w:p>
        </w:tc>
        <w:tc>
          <w:tcPr>
            <w:tcW w:w="9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6,981</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7,414</w:t>
            </w:r>
          </w:p>
        </w:tc>
        <w:tc>
          <w:tcPr>
            <w:tcW w:w="80" w:type="dxa"/>
            <w:vAlign w:val="bottom"/>
          </w:tcPr>
          <w:p>
            <w:pPr>
              <w:spacing w:after="0"/>
              <w:rPr>
                <w:sz w:val="15"/>
                <w:szCs w:val="15"/>
                <w:color w:val="auto"/>
              </w:rPr>
            </w:pPr>
          </w:p>
        </w:tc>
      </w:tr>
      <w:tr>
        <w:trPr>
          <w:trHeight w:val="18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Service/other</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10,742</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10,566</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4"/>
        </w:trPr>
        <w:tc>
          <w:tcPr>
            <w:tcW w:w="6980" w:type="dxa"/>
            <w:vAlign w:val="bottom"/>
          </w:tcPr>
          <w:p>
            <w:pPr>
              <w:spacing w:after="0"/>
              <w:rPr>
                <w:sz w:val="15"/>
                <w:szCs w:val="15"/>
                <w:color w:val="auto"/>
              </w:rPr>
            </w:pP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123,302</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116,828</w:t>
            </w:r>
          </w:p>
        </w:tc>
      </w:tr>
      <w:tr>
        <w:trPr>
          <w:trHeight w:val="20"/>
        </w:trPr>
        <w:tc>
          <w:tcPr>
            <w:tcW w:w="6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6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i w:val="1"/>
                <w:iCs w:val="1"/>
                <w:color w:val="auto"/>
              </w:rPr>
              <w:t>Revenue by market:</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Semi</w:t>
            </w: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65,735</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68,422</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Industrial</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14,310</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10,038</w:t>
            </w: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Automotive (including Electric Vehicles)</w:t>
            </w:r>
          </w:p>
        </w:tc>
        <w:tc>
          <w:tcPr>
            <w:tcW w:w="9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9,895</w:t>
            </w: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10,776</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Life Sciences</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4,856</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4,589</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Defense/aerospace</w:t>
            </w:r>
          </w:p>
        </w:tc>
        <w:tc>
          <w:tcPr>
            <w:tcW w:w="9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12,537</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7,006</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Security</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3,688</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12,281</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12,756</w:t>
            </w:r>
          </w:p>
        </w:tc>
        <w:tc>
          <w:tcPr>
            <w:tcW w:w="80" w:type="dxa"/>
            <w:vAlign w:val="bottom"/>
          </w:tcPr>
          <w:p>
            <w:pPr>
              <w:spacing w:after="0"/>
              <w:rPr>
                <w:sz w:val="15"/>
                <w:szCs w:val="15"/>
                <w:color w:val="auto"/>
              </w:rPr>
            </w:pPr>
          </w:p>
        </w:tc>
      </w:tr>
      <w:tr>
        <w:trPr>
          <w:trHeight w:val="214"/>
        </w:trPr>
        <w:tc>
          <w:tcPr>
            <w:tcW w:w="69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123,302</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116,828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369" w:lineRule="exact"/>
        <w:rPr>
          <w:sz w:val="20"/>
          <w:szCs w:val="20"/>
          <w:color w:val="auto"/>
        </w:rPr>
      </w:pPr>
    </w:p>
    <w:p>
      <w:pPr>
        <w:ind w:left="549" w:hanging="549"/>
        <w:spacing w:after="0"/>
        <w:tabs>
          <w:tab w:leader="none" w:pos="549"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MAJOR CUSTOMERS</w:t>
      </w:r>
    </w:p>
    <w:p>
      <w:pPr>
        <w:spacing w:after="0" w:line="196" w:lineRule="exact"/>
        <w:rPr>
          <w:rFonts w:ascii="Times New Roman" w:cs="Times New Roman" w:eastAsia="Times New Roman" w:hAnsi="Times New Roman"/>
          <w:sz w:val="15"/>
          <w:szCs w:val="15"/>
          <w:b w:val="1"/>
          <w:bCs w:val="1"/>
          <w:color w:val="auto"/>
        </w:rPr>
      </w:pPr>
    </w:p>
    <w:p>
      <w:pPr>
        <w:ind w:left="569"/>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year ended December 31, 2023, one customer accounted for 13% of our consolidated revenue. This revenue was primarily generated by our Electronic Test segment. During the year ended December 31, 2023, no other customer accounted for 10% or more of our consolidated revenue. During the year ended December 31, 2022, no customer accounted for 10% or more of our consolidated revenue.</w:t>
      </w:r>
    </w:p>
    <w:p>
      <w:pPr>
        <w:sectPr>
          <w:pgSz w:w="11900" w:h="16838" w:orient="portrait"/>
          <w:cols w:equalWidth="0" w:num="1">
            <w:col w:w="11229"/>
          </w:cols>
          <w:pgMar w:left="311" w:top="532" w:right="359" w:bottom="1440" w:gutter="0" w:footer="0" w:header="0"/>
        </w:sectPr>
      </w:pPr>
    </w:p>
    <w:p>
      <w:pPr>
        <w:spacing w:after="0" w:line="348" w:lineRule="exact"/>
        <w:rPr>
          <w:sz w:val="20"/>
          <w:szCs w:val="20"/>
          <w:color w:val="auto"/>
        </w:rPr>
      </w:pPr>
    </w:p>
    <w:p>
      <w:pPr>
        <w:ind w:left="549" w:hanging="549"/>
        <w:spacing w:after="0"/>
        <w:tabs>
          <w:tab w:leader="none" w:pos="549" w:val="left"/>
        </w:tabs>
        <w:numPr>
          <w:ilvl w:val="0"/>
          <w:numId w:val="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INVENTORIES</w:t>
      </w:r>
    </w:p>
    <w:p>
      <w:pPr>
        <w:spacing w:after="0" w:line="196"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Inventories held at December 31 were comprised of the following:</w:t>
      </w:r>
    </w:p>
    <w:p>
      <w:pPr>
        <w:spacing w:after="0" w:line="387" w:lineRule="exact"/>
        <w:rPr>
          <w:sz w:val="20"/>
          <w:szCs w:val="20"/>
          <w:color w:val="auto"/>
        </w:rPr>
      </w:pPr>
    </w:p>
    <w:p>
      <w:pPr>
        <w:ind w:left="829"/>
        <w:spacing w:after="0"/>
        <w:rPr>
          <w:sz w:val="20"/>
          <w:szCs w:val="20"/>
          <w:color w:val="auto"/>
        </w:rPr>
      </w:pPr>
      <w:r>
        <w:rPr>
          <w:rFonts w:ascii="Times New Roman" w:cs="Times New Roman" w:eastAsia="Times New Roman" w:hAnsi="Times New Roman"/>
          <w:sz w:val="15"/>
          <w:szCs w:val="15"/>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-99695</wp:posOffset>
            </wp:positionV>
            <wp:extent cx="6435725" cy="116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6435725" cy="116205"/>
                    </a:xfrm>
                    <a:prstGeom prst="rect">
                      <a:avLst/>
                    </a:prstGeom>
                    <a:noFill/>
                  </pic:spPr>
                </pic:pic>
              </a:graphicData>
            </a:graphic>
          </wp:anchor>
        </w:drawing>
      </w:r>
    </w:p>
    <w:p>
      <w:pPr>
        <w:spacing w:after="0" w:line="5" w:lineRule="exact"/>
        <w:rPr>
          <w:sz w:val="20"/>
          <w:szCs w:val="20"/>
          <w:color w:val="auto"/>
        </w:rPr>
      </w:pPr>
    </w:p>
    <w:p>
      <w:pPr>
        <w:ind w:left="829"/>
        <w:spacing w:after="0"/>
        <w:rPr>
          <w:sz w:val="20"/>
          <w:szCs w:val="20"/>
          <w:color w:val="auto"/>
        </w:rPr>
      </w:pPr>
      <w:r>
        <w:rPr>
          <w:rFonts w:ascii="Times New Roman" w:cs="Times New Roman" w:eastAsia="Times New Roman" w:hAnsi="Times New Roman"/>
          <w:sz w:val="15"/>
          <w:szCs w:val="15"/>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6435725" cy="116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6435725" cy="116205"/>
                    </a:xfrm>
                    <a:prstGeom prst="rect">
                      <a:avLst/>
                    </a:prstGeom>
                    <a:noFill/>
                  </pic:spPr>
                </pic:pic>
              </a:graphicData>
            </a:graphic>
          </wp:anchor>
        </w:drawing>
      </w:r>
    </w:p>
    <w:p>
      <w:pPr>
        <w:ind w:left="829"/>
        <w:spacing w:after="0"/>
        <w:rPr>
          <w:sz w:val="20"/>
          <w:szCs w:val="20"/>
          <w:color w:val="auto"/>
        </w:rPr>
      </w:pPr>
      <w:r>
        <w:rPr>
          <w:rFonts w:ascii="Times New Roman" w:cs="Times New Roman" w:eastAsia="Times New Roman" w:hAnsi="Times New Roman"/>
          <w:sz w:val="15"/>
          <w:szCs w:val="15"/>
          <w:color w:val="auto"/>
        </w:rPr>
        <w:t>Inventory consigned to others</w:t>
      </w:r>
    </w:p>
    <w:p>
      <w:pPr>
        <w:spacing w:after="0" w:line="10" w:lineRule="exact"/>
        <w:rPr>
          <w:sz w:val="20"/>
          <w:szCs w:val="20"/>
          <w:color w:val="auto"/>
        </w:rPr>
      </w:pPr>
    </w:p>
    <w:p>
      <w:pPr>
        <w:ind w:left="829"/>
        <w:spacing w:after="0"/>
        <w:rPr>
          <w:sz w:val="20"/>
          <w:szCs w:val="20"/>
          <w:color w:val="auto"/>
        </w:rPr>
      </w:pPr>
      <w:r>
        <w:rPr>
          <w:rFonts w:ascii="Times New Roman" w:cs="Times New Roman" w:eastAsia="Times New Roman" w:hAnsi="Times New Roman"/>
          <w:sz w:val="15"/>
          <w:szCs w:val="15"/>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13335</wp:posOffset>
            </wp:positionV>
            <wp:extent cx="6435725"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6435725" cy="137795"/>
                    </a:xfrm>
                    <a:prstGeom prst="rect">
                      <a:avLst/>
                    </a:prstGeom>
                    <a:noFill/>
                  </pic:spPr>
                </pic:pic>
              </a:graphicData>
            </a:graphic>
          </wp:anchor>
        </w:drawing>
      </w:r>
    </w:p>
    <w:p>
      <w:pPr>
        <w:spacing w:after="0" w:line="21" w:lineRule="exact"/>
        <w:rPr>
          <w:sz w:val="20"/>
          <w:szCs w:val="20"/>
          <w:color w:val="auto"/>
        </w:rPr>
      </w:pPr>
    </w:p>
    <w:p>
      <w:pPr>
        <w:ind w:left="829"/>
        <w:spacing w:after="0"/>
        <w:rPr>
          <w:sz w:val="20"/>
          <w:szCs w:val="20"/>
          <w:color w:val="auto"/>
        </w:rPr>
      </w:pPr>
      <w:r>
        <w:rPr>
          <w:rFonts w:ascii="Times New Roman" w:cs="Times New Roman" w:eastAsia="Times New Roman" w:hAnsi="Times New Roman"/>
          <w:sz w:val="15"/>
          <w:szCs w:val="15"/>
          <w:color w:val="auto"/>
        </w:rPr>
        <w:t>Total inventories</w:t>
      </w:r>
    </w:p>
    <w:p>
      <w:pPr>
        <w:spacing w:after="0" w:line="193"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5"/>
          <w:szCs w:val="15"/>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7"/>
                <w:szCs w:val="17"/>
                <w:color w:val="auto"/>
              </w:rPr>
            </w:pPr>
          </w:p>
        </w:tc>
      </w:tr>
      <w:tr>
        <w:trPr>
          <w:trHeight w:val="159"/>
        </w:trPr>
        <w:tc>
          <w:tcPr>
            <w:tcW w:w="320" w:type="dxa"/>
            <w:vAlign w:val="bottom"/>
          </w:tcPr>
          <w:p>
            <w:pPr>
              <w:jc w:val="right"/>
              <w:ind w:right="164"/>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15,948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ind w:right="164"/>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16,888</w:t>
            </w:r>
          </w:p>
        </w:tc>
        <w:tc>
          <w:tcPr>
            <w:tcW w:w="20" w:type="dxa"/>
            <w:vAlign w:val="bottom"/>
          </w:tcPr>
          <w:p>
            <w:pPr>
              <w:spacing w:after="0"/>
              <w:rPr>
                <w:sz w:val="13"/>
                <w:szCs w:val="13"/>
                <w:color w:val="auto"/>
              </w:rPr>
            </w:pPr>
          </w:p>
        </w:tc>
      </w:tr>
      <w:tr>
        <w:trPr>
          <w:trHeight w:val="183"/>
        </w:trPr>
        <w:tc>
          <w:tcPr>
            <w:tcW w:w="3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1,563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2,432</w:t>
            </w:r>
          </w:p>
        </w:tc>
        <w:tc>
          <w:tcPr>
            <w:tcW w:w="2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Pr>
          <w:p>
            <w:pPr>
              <w:spacing w:after="0"/>
              <w:rPr>
                <w:sz w:val="15"/>
                <w:szCs w:val="15"/>
                <w:color w:val="auto"/>
              </w:rPr>
            </w:pPr>
          </w:p>
        </w:tc>
      </w:tr>
      <w:tr>
        <w:trPr>
          <w:trHeight w:val="197"/>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2,480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3,186</w:t>
            </w:r>
          </w:p>
        </w:tc>
        <w:tc>
          <w:tcPr>
            <w:tcW w:w="20" w:type="dxa"/>
            <w:vAlign w:val="bottom"/>
          </w:tcPr>
          <w:p>
            <w:pPr>
              <w:spacing w:after="0"/>
              <w:rPr>
                <w:sz w:val="17"/>
                <w:szCs w:val="17"/>
                <w:color w:val="auto"/>
              </w:rPr>
            </w:pPr>
          </w:p>
        </w:tc>
      </w:tr>
      <w:tr>
        <w:trPr>
          <w:trHeight w:val="174"/>
        </w:trPr>
        <w:tc>
          <w:tcPr>
            <w:tcW w:w="3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20,089</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22,565</w:t>
            </w:r>
          </w:p>
        </w:tc>
        <w:tc>
          <w:tcPr>
            <w:tcW w:w="20" w:type="dxa"/>
            <w:vAlign w:val="bottom"/>
          </w:tcPr>
          <w:p>
            <w:pPr>
              <w:spacing w:after="0"/>
              <w:rPr>
                <w:sz w:val="15"/>
                <w:szCs w:val="15"/>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089" w:space="720"/>
            <w:col w:w="3420"/>
          </w:cols>
          <w:pgMar w:left="311" w:top="532" w:right="359" w:bottom="1440" w:gutter="0" w:footer="0" w:header="0"/>
          <w:type w:val="continuous"/>
        </w:sectPr>
      </w:pPr>
    </w:p>
    <w:bookmarkStart w:id="60" w:name="page61"/>
    <w:bookmarkEnd w:id="60"/>
    <w:p>
      <w:pPr>
        <w:ind w:left="549" w:hanging="549"/>
        <w:spacing w:after="0"/>
        <w:tabs>
          <w:tab w:leader="none" w:pos="549" w:val="left"/>
        </w:tabs>
        <w:numPr>
          <w:ilvl w:val="0"/>
          <w:numId w:val="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196" w:lineRule="exact"/>
        <w:rPr>
          <w:rFonts w:ascii="Times New Roman" w:cs="Times New Roman" w:eastAsia="Times New Roman" w:hAnsi="Times New Roman"/>
          <w:sz w:val="15"/>
          <w:szCs w:val="15"/>
          <w:b w:val="1"/>
          <w:bCs w:val="1"/>
          <w:color w:val="auto"/>
        </w:rPr>
      </w:pPr>
    </w:p>
    <w:p>
      <w:pPr>
        <w:ind w:left="569"/>
        <w:spacing w:after="0" w:line="26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years ended December 31,</w:t>
      </w: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2023 and 2022, respectively, were as follows:</w:t>
      </w:r>
    </w:p>
    <w:p>
      <w:pPr>
        <w:spacing w:after="0" w:line="174" w:lineRule="exact"/>
        <w:rPr>
          <w:sz w:val="20"/>
          <w:szCs w:val="20"/>
          <w:color w:val="auto"/>
        </w:rPr>
      </w:pPr>
    </w:p>
    <w:tbl>
      <w:tblPr>
        <w:tblLayout w:type="fixed"/>
        <w:tblInd w:w="569" w:type="dxa"/>
        <w:tblCellMar>
          <w:top w:w="0" w:type="dxa"/>
          <w:left w:w="0" w:type="dxa"/>
          <w:bottom w:w="0" w:type="dxa"/>
          <w:right w:w="0" w:type="dxa"/>
        </w:tblCellMar>
      </w:tblPr>
      <w:tr>
        <w:trPr>
          <w:trHeight w:val="201"/>
        </w:trPr>
        <w:tc>
          <w:tcPr>
            <w:tcW w:w="2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52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98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1,590</w:t>
            </w:r>
          </w:p>
        </w:tc>
        <w:tc>
          <w:tcPr>
            <w:tcW w:w="98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980" w:type="dxa"/>
            <w:vAlign w:val="bottom"/>
            <w:gridSpan w:val="2"/>
          </w:tcPr>
          <w:p>
            <w:pPr>
              <w:jc w:val="right"/>
              <w:ind w:right="7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is additional information about our leases at December 31, 2023:</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Range of remaining lease terms (in years)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0.3   to</w:t>
            </w:r>
          </w:p>
        </w:tc>
        <w:tc>
          <w:tcPr>
            <w:tcW w:w="54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 (in years)</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Maturities of lease liabilities at December 31, 2023 were as follows: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761</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361</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lease payments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(525)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0" w:type="dxa"/>
            <w:vAlign w:val="bottom"/>
          </w:tcPr>
          <w:p>
            <w:pPr>
              <w:spacing w:after="0"/>
              <w:rPr>
                <w:sz w:val="16"/>
                <w:szCs w:val="16"/>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Cash Flow Information</w:t>
      </w:r>
    </w:p>
    <w:p>
      <w:pPr>
        <w:spacing w:after="0" w:line="197"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Total amortization of ROU assets for the years ended December 31, 2023 and 2022 was $1,567 and $1,241, respectively.</w:t>
      </w:r>
    </w:p>
    <w:p>
      <w:pPr>
        <w:spacing w:after="0" w:line="189"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i w:val="1"/>
          <w:iCs w:val="1"/>
          <w:color w:val="auto"/>
        </w:rPr>
        <w:t>Lease Modifications and Additions</w:t>
      </w:r>
    </w:p>
    <w:p>
      <w:pPr>
        <w:spacing w:after="0" w:line="29"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Supplemental cash flow information related to leases for the years ended December 31, 2023 and 2022 was as follows:</w:t>
      </w:r>
    </w:p>
    <w:p>
      <w:pPr>
        <w:spacing w:after="0" w:line="17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p>
      <w:pPr>
        <w:spacing w:after="0" w:line="197"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15"/>
          <w:szCs w:val="15"/>
          <w:color w:val="auto"/>
        </w:rPr>
        <w:t>Non-cash increases in operating lease liabilities and ROU assets as a result of acquisitions and the execution of new leases:</w:t>
      </w:r>
    </w:p>
    <w:p>
      <w:pPr>
        <w:spacing w:after="0" w:line="189" w:lineRule="exact"/>
        <w:rPr>
          <w:sz w:val="20"/>
          <w:szCs w:val="20"/>
          <w:color w:val="auto"/>
        </w:rPr>
      </w:pPr>
    </w:p>
    <w:tbl>
      <w:tblPr>
        <w:tblLayout w:type="fixed"/>
        <w:tblInd w:w="829"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Lease</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ROU Assets</w:t>
            </w: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 to facility leases – Environmental Technologies</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 to automobile leases – Process Technologies</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 to automobile leases – Process Technologies</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 to facility leases – inTEST SE Asia</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455</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455</w:t>
            </w: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Extension of facility lease – Process Technologies</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136</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136</w:t>
            </w:r>
          </w:p>
        </w:tc>
      </w:tr>
    </w:tbl>
    <w:p>
      <w:pPr>
        <w:spacing w:after="0" w:line="168" w:lineRule="exact"/>
        <w:rPr>
          <w:sz w:val="20"/>
          <w:szCs w:val="20"/>
          <w:color w:val="auto"/>
        </w:rPr>
      </w:pPr>
    </w:p>
    <w:p>
      <w:pPr>
        <w:ind w:left="569"/>
        <w:spacing w:after="0" w:line="265" w:lineRule="auto"/>
        <w:rPr>
          <w:sz w:val="20"/>
          <w:szCs w:val="20"/>
          <w:color w:val="auto"/>
        </w:rPr>
      </w:pPr>
      <w:r>
        <w:rPr>
          <w:rFonts w:ascii="Times New Roman" w:cs="Times New Roman" w:eastAsia="Times New Roman" w:hAnsi="Times New Roman"/>
          <w:sz w:val="15"/>
          <w:szCs w:val="15"/>
          <w:color w:val="auto"/>
        </w:rPr>
        <w:t>During the three months ended March 31, 2023, 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a 36-month lease for a car for one of the employees of our Process Technologies segment who is based in Europe. At the effective date of this lease, we recorded a non-cash increase in our ROU assets and operating lease liabilities of approximately $30.</w:t>
      </w:r>
    </w:p>
    <w:p>
      <w:pPr>
        <w:spacing w:after="0" w:line="151"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During three months ended June 30, 2023, we entered into a 48-month lease for a car for one of the employees of our Process Technologies segment who is based in Europe.</w:t>
      </w:r>
    </w:p>
    <w:p>
      <w:pPr>
        <w:spacing w:after="0" w:line="25"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At the effective date of this lease, we recorded a non-cash increase in our ROU assets and operating lease liabilities totaling approximately $41.</w:t>
      </w:r>
    </w:p>
    <w:p>
      <w:pPr>
        <w:spacing w:after="0" w:line="178"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15"/>
          <w:szCs w:val="15"/>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69"/>
          </w:cols>
          <w:pgMar w:left="311" w:top="737" w:right="419" w:bottom="1440" w:gutter="0" w:footer="0" w:header="0"/>
        </w:sectPr>
      </w:pPr>
    </w:p>
    <w:bookmarkStart w:id="61" w:name="page62"/>
    <w:bookmarkEnd w:id="61"/>
    <w:p>
      <w:pPr>
        <w:ind w:left="569" w:right="60"/>
        <w:spacing w:after="0" w:line="265" w:lineRule="auto"/>
        <w:rPr>
          <w:sz w:val="20"/>
          <w:szCs w:val="20"/>
          <w:color w:val="auto"/>
        </w:rPr>
      </w:pPr>
      <w:r>
        <w:rPr>
          <w:rFonts w:ascii="Times New Roman" w:cs="Times New Roman" w:eastAsia="Times New Roman" w:hAnsi="Times New Roman"/>
          <w:sz w:val="15"/>
          <w:szCs w:val="15"/>
          <w:color w:val="auto"/>
        </w:rPr>
        <w:t>During the three months ended December 31, 2023, we entered into a 36-month lease for a facility for our inTEST SE Asia operation which we expect will begin operations at some point in 2024, as discussed further in Note 1. At the effective date of this lease, we recorded a non-cash increase in our ROU assets and operating lease liabilities of approximately $455. During this same period, we entered also extended the lease for our Process Technologies operations in the Netherlands for an additional 36 months. At the effective date of this modification, we recorded non-cash increases in our ROU assets and operating lease liabilities totaling approximately $136.</w:t>
      </w:r>
    </w:p>
    <w:p>
      <w:pPr>
        <w:spacing w:after="0" w:line="147"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b w:val="1"/>
          <w:bCs w:val="1"/>
          <w:color w:val="auto"/>
        </w:rPr>
        <w:t>Year ended December 31, 2022</w:t>
      </w:r>
    </w:p>
    <w:p>
      <w:pPr>
        <w:spacing w:after="0" w:line="197"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15"/>
          <w:szCs w:val="15"/>
          <w:color w:val="auto"/>
        </w:rPr>
        <w:t>Non-cash increases in operating lease liabilities and ROU assets as a result of acquisitions and the execution of new leases:</w:t>
      </w:r>
    </w:p>
    <w:p>
      <w:pPr>
        <w:spacing w:after="0" w:line="189" w:lineRule="exact"/>
        <w:rPr>
          <w:sz w:val="20"/>
          <w:szCs w:val="20"/>
          <w:color w:val="auto"/>
        </w:rPr>
      </w:pPr>
    </w:p>
    <w:tbl>
      <w:tblPr>
        <w:tblLayout w:type="fixed"/>
        <w:tblInd w:w="829"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Lease</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ROU Assets</w:t>
            </w: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Extension of facility lease – Singapore</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 to automobile leases – Videology</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 to facility leases – Acculogic</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942</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942</w:t>
            </w: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Addition to facility leases – Acculogic</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127</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127</w:t>
            </w:r>
          </w:p>
        </w:tc>
      </w:tr>
    </w:tbl>
    <w:p>
      <w:pPr>
        <w:spacing w:after="0" w:line="153" w:lineRule="exact"/>
        <w:rPr>
          <w:sz w:val="20"/>
          <w:szCs w:val="20"/>
          <w:color w:val="auto"/>
        </w:rPr>
      </w:pPr>
    </w:p>
    <w:p>
      <w:pPr>
        <w:ind w:left="569" w:right="260"/>
        <w:spacing w:after="0" w:line="271" w:lineRule="auto"/>
        <w:rPr>
          <w:sz w:val="20"/>
          <w:szCs w:val="20"/>
          <w:color w:val="auto"/>
        </w:rPr>
      </w:pPr>
      <w:r>
        <w:rPr>
          <w:rFonts w:ascii="Times New Roman" w:cs="Times New Roman" w:eastAsia="Times New Roman" w:hAnsi="Times New Roman"/>
          <w:sz w:val="15"/>
          <w:szCs w:val="15"/>
          <w:color w:val="auto"/>
        </w:rPr>
        <w:t>During three months ended March 31, 2022, we executed an amendment to the lease for our facility in Singapore which extended the term for a period of 24 months commencing on April 1, 2022 and expiring on March 31, 2024. At the effective date of this modification, we recorded a non-cash increase in our ROU assets and operating lease liabilities of approximately $51.</w:t>
      </w:r>
    </w:p>
    <w:p>
      <w:pPr>
        <w:spacing w:after="0" w:line="146" w:lineRule="exact"/>
        <w:rPr>
          <w:sz w:val="20"/>
          <w:szCs w:val="20"/>
          <w:color w:val="auto"/>
        </w:rPr>
      </w:pPr>
    </w:p>
    <w:p>
      <w:pPr>
        <w:ind w:left="569" w:right="40"/>
        <w:spacing w:after="0" w:line="288" w:lineRule="auto"/>
        <w:rPr>
          <w:sz w:val="20"/>
          <w:szCs w:val="20"/>
          <w:color w:val="auto"/>
        </w:rPr>
      </w:pPr>
      <w:r>
        <w:rPr>
          <w:rFonts w:ascii="Times New Roman" w:cs="Times New Roman" w:eastAsia="Times New Roman" w:hAnsi="Times New Roman"/>
          <w:sz w:val="15"/>
          <w:szCs w:val="15"/>
          <w:color w:val="auto"/>
        </w:rPr>
        <w:t>During the three months ended September 30, 2022, we executed a 48-month lease for an automobile for our Videology operation in Europe. At the effective date of this lease, we recorded a non-cash increase in our ROU assets and operating lease liabilities of approximately $42.</w:t>
      </w:r>
    </w:p>
    <w:p>
      <w:pPr>
        <w:spacing w:after="0" w:line="134" w:lineRule="exact"/>
        <w:rPr>
          <w:sz w:val="20"/>
          <w:szCs w:val="20"/>
          <w:color w:val="auto"/>
        </w:rPr>
      </w:pPr>
    </w:p>
    <w:p>
      <w:pPr>
        <w:jc w:val="both"/>
        <w:ind w:left="569" w:right="260"/>
        <w:spacing w:after="0" w:line="271" w:lineRule="auto"/>
        <w:rPr>
          <w:sz w:val="20"/>
          <w:szCs w:val="20"/>
          <w:color w:val="auto"/>
        </w:rPr>
      </w:pPr>
      <w:r>
        <w:rPr>
          <w:rFonts w:ascii="Times New Roman" w:cs="Times New Roman" w:eastAsia="Times New Roman" w:hAnsi="Times New Roman"/>
          <w:sz w:val="15"/>
          <w:szCs w:val="15"/>
          <w:color w:val="auto"/>
        </w:rPr>
        <w:t>During the three months ended December 31, 2022, we executed a 62-month lease for a new facility for our Acculogic operation in Canada and a 37-month lease for a new facility for our Acculogic operation in California. At the effective dates of these leases, we recorded non-cash increases in our ROU assets and operating lease liabilities of approximately $942 and $127, respectively.</w:t>
      </w:r>
    </w:p>
    <w:p>
      <w:pPr>
        <w:spacing w:after="0" w:line="348" w:lineRule="exact"/>
        <w:rPr>
          <w:sz w:val="20"/>
          <w:szCs w:val="20"/>
          <w:color w:val="auto"/>
        </w:rPr>
      </w:pPr>
    </w:p>
    <w:p>
      <w:pPr>
        <w:ind w:left="549" w:hanging="549"/>
        <w:spacing w:after="0"/>
        <w:tabs>
          <w:tab w:leader="none" w:pos="549" w:val="left"/>
        </w:tabs>
        <w:numPr>
          <w:ilvl w:val="0"/>
          <w:numId w:val="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CURRENT LIABILITIES</w:t>
      </w:r>
    </w:p>
    <w:p>
      <w:pPr>
        <w:spacing w:after="0" w:line="196"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Other current liabilities at December 31 were comprised of the following:</w:t>
      </w:r>
    </w:p>
    <w:p>
      <w:pPr>
        <w:spacing w:after="0" w:line="189" w:lineRule="exact"/>
        <w:rPr>
          <w:sz w:val="20"/>
          <w:szCs w:val="20"/>
          <w:color w:val="auto"/>
        </w:rPr>
      </w:pPr>
    </w:p>
    <w:tbl>
      <w:tblPr>
        <w:tblLayout w:type="fixed"/>
        <w:tblInd w:w="829" w:type="dxa"/>
        <w:tblCellMar>
          <w:top w:w="0" w:type="dxa"/>
          <w:left w:w="0" w:type="dxa"/>
          <w:bottom w:w="0" w:type="dxa"/>
          <w:right w:w="0" w:type="dxa"/>
        </w:tblCellMar>
      </w:tblPr>
      <w:tr>
        <w:trPr>
          <w:trHeight w:val="201"/>
        </w:trPr>
        <w:tc>
          <w:tcPr>
            <w:tcW w:w="6980" w:type="dxa"/>
            <w:vAlign w:val="bottom"/>
          </w:tcPr>
          <w:p>
            <w:pPr>
              <w:spacing w:after="0"/>
              <w:rPr>
                <w:sz w:val="17"/>
                <w:szCs w:val="17"/>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7"/>
                <w:szCs w:val="17"/>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warranty</w:t>
            </w:r>
          </w:p>
        </w:tc>
        <w:tc>
          <w:tcPr>
            <w:tcW w:w="98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648</w:t>
            </w: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673</w:t>
            </w: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Accrued taxes</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deferred grant proceeds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contingent consideration</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324</w:t>
            </w: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tcPr>
          <w:p>
            <w:pPr>
              <w:spacing w:after="0"/>
              <w:rPr>
                <w:sz w:val="15"/>
                <w:szCs w:val="15"/>
                <w:color w:val="auto"/>
              </w:rPr>
            </w:pPr>
          </w:p>
        </w:tc>
      </w:tr>
      <w:tr>
        <w:trPr>
          <w:trHeight w:val="21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current liabilities</w:t>
            </w: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369" w:lineRule="exact"/>
        <w:rPr>
          <w:sz w:val="20"/>
          <w:szCs w:val="20"/>
          <w:color w:val="auto"/>
        </w:rPr>
      </w:pPr>
    </w:p>
    <w:p>
      <w:pPr>
        <w:ind w:left="549" w:hanging="549"/>
        <w:spacing w:after="0"/>
        <w:tabs>
          <w:tab w:leader="none" w:pos="549"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DEBT</w:t>
      </w:r>
    </w:p>
    <w:p>
      <w:pPr>
        <w:spacing w:after="0" w:line="192" w:lineRule="exact"/>
        <w:rPr>
          <w:rFonts w:ascii="Times New Roman" w:cs="Times New Roman" w:eastAsia="Times New Roman" w:hAnsi="Times New Roman"/>
          <w:sz w:val="15"/>
          <w:szCs w:val="15"/>
          <w:b w:val="1"/>
          <w:bCs w:val="1"/>
          <w:color w:val="auto"/>
        </w:rPr>
      </w:pPr>
    </w:p>
    <w:p>
      <w:pPr>
        <w:ind w:left="56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Letters of Credit</w:t>
      </w:r>
    </w:p>
    <w:p>
      <w:pPr>
        <w:spacing w:after="0" w:line="196" w:lineRule="exact"/>
        <w:rPr>
          <w:rFonts w:ascii="Times New Roman" w:cs="Times New Roman" w:eastAsia="Times New Roman" w:hAnsi="Times New Roman"/>
          <w:sz w:val="15"/>
          <w:szCs w:val="15"/>
          <w:b w:val="1"/>
          <w:bCs w:val="1"/>
          <w:color w:val="auto"/>
        </w:rPr>
      </w:pPr>
    </w:p>
    <w:p>
      <w:pPr>
        <w:ind w:left="569" w:right="28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 Our outstanding letters of credit at December 31, 2023 and December 31, 2022 consisted of the following:</w:t>
      </w:r>
    </w:p>
    <w:p>
      <w:pPr>
        <w:spacing w:after="0" w:line="147"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6"/>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Letters of Credit</w:t>
            </w:r>
          </w:p>
        </w:tc>
        <w:tc>
          <w:tcPr>
            <w:tcW w:w="320" w:type="dxa"/>
            <w:vAlign w:val="bottom"/>
          </w:tcPr>
          <w:p>
            <w:pPr>
              <w:spacing w:after="0"/>
              <w:rPr>
                <w:sz w:val="15"/>
                <w:szCs w:val="15"/>
                <w:color w:val="auto"/>
              </w:rPr>
            </w:pPr>
          </w:p>
        </w:tc>
      </w:tr>
      <w:tr>
        <w:trPr>
          <w:trHeight w:val="201"/>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L/C</w:t>
            </w: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Lease</w:t>
            </w:r>
          </w:p>
        </w:tc>
        <w:tc>
          <w:tcPr>
            <w:tcW w:w="2300" w:type="dxa"/>
            <w:vAlign w:val="bottom"/>
            <w:gridSpan w:val="6"/>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Amount Outstanding</w:t>
            </w:r>
          </w:p>
        </w:tc>
        <w:tc>
          <w:tcPr>
            <w:tcW w:w="320" w:type="dxa"/>
            <w:vAlign w:val="bottom"/>
          </w:tcPr>
          <w:p>
            <w:pPr>
              <w:spacing w:after="0"/>
              <w:rPr>
                <w:sz w:val="17"/>
                <w:szCs w:val="17"/>
                <w:color w:val="auto"/>
              </w:rPr>
            </w:pPr>
          </w:p>
        </w:tc>
      </w:tr>
      <w:tr>
        <w:trPr>
          <w:trHeight w:val="155"/>
        </w:trPr>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4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Original L/C</w:t>
            </w:r>
          </w:p>
        </w:tc>
        <w:tc>
          <w:tcPr>
            <w:tcW w:w="15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15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Dec. 31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Dec. 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8"/>
        </w:trPr>
        <w:tc>
          <w:tcPr>
            <w:tcW w:w="8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Facility</w:t>
            </w: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Issue Date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Mt. Laurel, NJ</w:t>
            </w:r>
          </w:p>
        </w:tc>
        <w:tc>
          <w:tcPr>
            <w:tcW w:w="1540" w:type="dxa"/>
            <w:vAlign w:val="bottom"/>
            <w:gridSpan w:val="2"/>
            <w:shd w:val="clear" w:color="auto" w:fill="CCEEFF"/>
          </w:tcPr>
          <w:p>
            <w:pPr>
              <w:jc w:val="right"/>
              <w:ind w:right="120"/>
              <w:spacing w:after="0" w:line="157" w:lineRule="exact"/>
              <w:rPr>
                <w:sz w:val="20"/>
                <w:szCs w:val="20"/>
                <w:color w:val="auto"/>
              </w:rPr>
            </w:pPr>
            <w:r>
              <w:rPr>
                <w:rFonts w:ascii="Times New Roman" w:cs="Times New Roman" w:eastAsia="Times New Roman" w:hAnsi="Times New Roman"/>
                <w:sz w:val="15"/>
                <w:szCs w:val="15"/>
                <w:color w:val="auto"/>
              </w:rPr>
              <w:t>3/29/2010</w:t>
            </w:r>
          </w:p>
        </w:tc>
        <w:tc>
          <w:tcPr>
            <w:tcW w:w="1520" w:type="dxa"/>
            <w:vAlign w:val="bottom"/>
            <w:gridSpan w:val="2"/>
            <w:shd w:val="clear" w:color="auto" w:fill="CCEEFF"/>
          </w:tcPr>
          <w:p>
            <w:pPr>
              <w:jc w:val="right"/>
              <w:ind w:right="100"/>
              <w:spacing w:after="0" w:line="157" w:lineRule="exact"/>
              <w:rPr>
                <w:sz w:val="20"/>
                <w:szCs w:val="20"/>
                <w:color w:val="auto"/>
              </w:rPr>
            </w:pPr>
            <w:r>
              <w:rPr>
                <w:rFonts w:ascii="Times New Roman" w:cs="Times New Roman" w:eastAsia="Times New Roman" w:hAnsi="Times New Roman"/>
                <w:sz w:val="15"/>
                <w:szCs w:val="15"/>
                <w:color w:val="auto"/>
              </w:rPr>
              <w:t>4/30/2024</w:t>
            </w:r>
          </w:p>
        </w:tc>
        <w:tc>
          <w:tcPr>
            <w:tcW w:w="1720" w:type="dxa"/>
            <w:vAlign w:val="bottom"/>
            <w:gridSpan w:val="3"/>
            <w:shd w:val="clear" w:color="auto" w:fill="CCEEFF"/>
          </w:tcPr>
          <w:p>
            <w:pPr>
              <w:jc w:val="right"/>
              <w:ind w:right="120"/>
              <w:spacing w:after="0" w:line="157" w:lineRule="exact"/>
              <w:rPr>
                <w:sz w:val="20"/>
                <w:szCs w:val="20"/>
                <w:color w:val="auto"/>
              </w:rPr>
            </w:pPr>
            <w:r>
              <w:rPr>
                <w:rFonts w:ascii="Times New Roman" w:cs="Times New Roman" w:eastAsia="Times New Roman" w:hAnsi="Times New Roman"/>
                <w:sz w:val="15"/>
                <w:szCs w:val="15"/>
                <w:color w:val="auto"/>
              </w:rPr>
              <w:t>4/30/2031  $</w:t>
            </w:r>
          </w:p>
        </w:tc>
        <w:tc>
          <w:tcPr>
            <w:tcW w:w="9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line="157"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r>
      <w:tr>
        <w:trPr>
          <w:trHeight w:val="183"/>
        </w:trPr>
        <w:tc>
          <w:tcPr>
            <w:tcW w:w="8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Mansfield, MA</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10/27/2010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12/31/2024</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12/31/2024</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4"/>
        </w:trPr>
        <w:tc>
          <w:tcPr>
            <w:tcW w:w="8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w:t>
            </w:r>
          </w:p>
        </w:tc>
        <w:tc>
          <w:tcPr>
            <w:tcW w:w="320" w:type="dxa"/>
            <w:vAlign w:val="bottom"/>
          </w:tcPr>
          <w:p>
            <w:pPr>
              <w:spacing w:after="0"/>
              <w:rPr>
                <w:sz w:val="18"/>
                <w:szCs w:val="18"/>
                <w:color w:val="auto"/>
              </w:rPr>
            </w:pPr>
          </w:p>
        </w:tc>
      </w:tr>
      <w:tr>
        <w:trPr>
          <w:trHeight w:val="340"/>
        </w:trPr>
        <w:tc>
          <w:tcPr>
            <w:tcW w:w="820" w:type="dxa"/>
            <w:vAlign w:val="bottom"/>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5"/>
                <w:szCs w:val="15"/>
                <w:color w:val="auto"/>
              </w:rPr>
              <w:t>F- 22</w:t>
            </w:r>
          </w:p>
        </w:tc>
        <w:tc>
          <w:tcPr>
            <w:tcW w:w="1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r>
      <w:tr>
        <w:trPr>
          <w:trHeight w:val="94"/>
        </w:trPr>
        <w:tc>
          <w:tcPr>
            <w:tcW w:w="8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bl>
    <w:p>
      <w:pPr>
        <w:sectPr>
          <w:pgSz w:w="11900" w:h="16838" w:orient="portrait"/>
          <w:cols w:equalWidth="0" w:num="1">
            <w:col w:w="11269"/>
          </w:cols>
          <w:pgMar w:left="311" w:top="536" w:right="319"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Credit Facility</w:t>
      </w:r>
    </w:p>
    <w:p>
      <w:pPr>
        <w:spacing w:after="0" w:line="197" w:lineRule="exact"/>
        <w:rPr>
          <w:sz w:val="20"/>
          <w:szCs w:val="20"/>
          <w:color w:val="auto"/>
        </w:rPr>
      </w:pPr>
    </w:p>
    <w:p>
      <w:pPr>
        <w:ind w:left="620" w:right="20"/>
        <w:spacing w:after="0" w:line="271" w:lineRule="auto"/>
        <w:rPr>
          <w:sz w:val="20"/>
          <w:szCs w:val="20"/>
          <w:color w:val="auto"/>
        </w:rPr>
      </w:pPr>
      <w:r>
        <w:rPr>
          <w:rFonts w:ascii="Times New Roman" w:cs="Times New Roman" w:eastAsia="Times New Roman" w:hAnsi="Times New Roman"/>
          <w:sz w:val="15"/>
          <w:szCs w:val="15"/>
          <w:color w:val="auto"/>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w:t>
      </w:r>
    </w:p>
    <w:p>
      <w:pPr>
        <w:spacing w:after="0" w:line="146" w:lineRule="exact"/>
        <w:rPr>
          <w:sz w:val="20"/>
          <w:szCs w:val="20"/>
          <w:color w:val="auto"/>
        </w:rPr>
      </w:pPr>
    </w:p>
    <w:p>
      <w:pPr>
        <w:ind w:left="620" w:right="160"/>
        <w:spacing w:after="0" w:line="271" w:lineRule="auto"/>
        <w:rPr>
          <w:sz w:val="20"/>
          <w:szCs w:val="20"/>
          <w:color w:val="auto"/>
        </w:rPr>
      </w:pPr>
      <w:r>
        <w:rPr>
          <w:rFonts w:ascii="Times New Roman" w:cs="Times New Roman" w:eastAsia="Times New Roman" w:hAnsi="Times New Roman"/>
          <w:sz w:val="15"/>
          <w:szCs w:val="15"/>
          <w:color w:val="auto"/>
        </w:rPr>
        <w:t>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spacing w:after="0" w:line="146" w:lineRule="exact"/>
        <w:rPr>
          <w:sz w:val="20"/>
          <w:szCs w:val="20"/>
          <w:color w:val="auto"/>
        </w:rPr>
      </w:pPr>
    </w:p>
    <w:p>
      <w:pPr>
        <w:ind w:left="620" w:right="220"/>
        <w:spacing w:after="0" w:line="261" w:lineRule="auto"/>
        <w:rPr>
          <w:sz w:val="20"/>
          <w:szCs w:val="20"/>
          <w:color w:val="auto"/>
        </w:rPr>
      </w:pPr>
      <w:r>
        <w:rPr>
          <w:rFonts w:ascii="Times New Roman" w:cs="Times New Roman" w:eastAsia="Times New Roman" w:hAnsi="Times New Roman"/>
          <w:sz w:val="15"/>
          <w:szCs w:val="15"/>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Under the Amended Loan Agreement, the maximum loan amount that we may borrow under the Term Note increased from $25,000 to $50,500, which raises the available funding at December 31, 2023 to $30,000. Under the Amended Loan Agreement, the maturity date of the Term Note and Revolving Facility were also extended to September 19, 2027 (the “Contract Period”). At December 31, 2023, we had not borrowed any amounts under the $10,000 Revolving Facility. Our borrowings under the Term Note are discussed below and occurred prior to entering into the Amended Loan Agreement.</w:t>
      </w:r>
    </w:p>
    <w:p>
      <w:pPr>
        <w:spacing w:after="0" w:line="153"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5"/>
          <w:szCs w:val="15"/>
          <w:color w:val="auto"/>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53"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5"/>
          <w:szCs w:val="15"/>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that are owned as of the Closing Date or acquired thereafter. At December 31, 2023, we were in compliance with all of the covenants included in the Credit Facility including the debt covenants of the Amended Loan Agreement.</w:t>
      </w:r>
    </w:p>
    <w:p>
      <w:pPr>
        <w:spacing w:after="0" w:line="158"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On October 28, 2021, we drew $12,000 under the Term Note to finance the acquisition of Videology as discussed in Note 12 to our consolidated financial statements in our 2022 Form 10-K.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51" w:lineRule="exact"/>
        <w:rPr>
          <w:sz w:val="20"/>
          <w:szCs w:val="20"/>
          <w:color w:val="auto"/>
        </w:rPr>
      </w:pPr>
    </w:p>
    <w:p>
      <w:pPr>
        <w:ind w:left="620" w:right="60"/>
        <w:spacing w:after="0" w:line="271" w:lineRule="auto"/>
        <w:rPr>
          <w:sz w:val="20"/>
          <w:szCs w:val="20"/>
          <w:color w:val="auto"/>
        </w:rPr>
      </w:pPr>
      <w:r>
        <w:rPr>
          <w:rFonts w:ascii="Times New Roman" w:cs="Times New Roman" w:eastAsia="Times New Roman" w:hAnsi="Times New Roman"/>
          <w:sz w:val="15"/>
          <w:szCs w:val="15"/>
          <w:color w:val="auto"/>
        </w:rPr>
        <w:t>On December 29, 2021, we drew $8,500 under the Term Note to finance the acquisition of Acculogic as discussed in Note 12 to our consolidated financial statements in our 2022 Form 10-K. We did not enter into an interest rate swap agreement with M&amp;T related to this draw. The annual interest rate we expect to pay for this draw under the Term Note is variable. At December 31, 2023, it was approximately 7.4% based on current leverage. Effective March 1, 2024, this rate was unchanged.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17"/>
                <w:szCs w:val="17"/>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 following table sets forth the remaining maturities of long-term debt:</w:t>
            </w:r>
          </w:p>
        </w:tc>
        <w:tc>
          <w:tcPr>
            <w:tcW w:w="4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498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4,100</w:t>
            </w:r>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4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4,100</w:t>
            </w:r>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44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980" w:type="dxa"/>
            <w:vAlign w:val="bottom"/>
            <w:gridSpan w:val="2"/>
          </w:tcPr>
          <w:p>
            <w:pPr>
              <w:jc w:val="right"/>
              <w:ind w:right="4364"/>
              <w:spacing w:after="0"/>
              <w:rPr>
                <w:sz w:val="20"/>
                <w:szCs w:val="20"/>
                <w:color w:val="auto"/>
              </w:rPr>
            </w:pPr>
            <w:r>
              <w:rPr>
                <w:rFonts w:ascii="Times New Roman" w:cs="Times New Roman" w:eastAsia="Times New Roman" w:hAnsi="Times New Roman"/>
                <w:sz w:val="15"/>
                <w:szCs w:val="15"/>
                <w:color w:val="auto"/>
              </w:rPr>
              <w:t>F- 23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2" w:right="319" w:bottom="1440" w:gutter="0" w:footer="0" w:header="0"/>
        </w:sectPr>
      </w:pPr>
    </w:p>
    <w:bookmarkStart w:id="63" w:name="page64"/>
    <w:bookmarkEnd w:id="63"/>
    <w:p>
      <w:pPr>
        <w:ind w:left="549" w:hanging="549"/>
        <w:spacing w:after="0"/>
        <w:tabs>
          <w:tab w:leader="none" w:pos="549"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96" w:lineRule="exact"/>
        <w:rPr>
          <w:rFonts w:ascii="Times New Roman" w:cs="Times New Roman" w:eastAsia="Times New Roman" w:hAnsi="Times New Roman"/>
          <w:sz w:val="15"/>
          <w:szCs w:val="15"/>
          <w:b w:val="1"/>
          <w:bCs w:val="1"/>
          <w:color w:val="auto"/>
        </w:rPr>
      </w:pPr>
    </w:p>
    <w:p>
      <w:pPr>
        <w:ind w:left="569" w:right="4000"/>
        <w:spacing w:after="0" w:line="50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are subject to Federal and certain state income taxes. In addition, we are taxed in certain foreign countries. Earnings before income taxes was as follows:</w:t>
      </w:r>
    </w:p>
    <w:p>
      <w:pPr>
        <w:spacing w:after="0" w:line="1" w:lineRule="exact"/>
        <w:rPr>
          <w:sz w:val="20"/>
          <w:szCs w:val="20"/>
          <w:color w:val="auto"/>
        </w:rPr>
      </w:pPr>
    </w:p>
    <w:tbl>
      <w:tblPr>
        <w:tblLayout w:type="fixed"/>
        <w:tblInd w:w="569" w:type="dxa"/>
        <w:tblCellMar>
          <w:top w:w="0" w:type="dxa"/>
          <w:left w:w="0" w:type="dxa"/>
          <w:bottom w:w="0" w:type="dxa"/>
          <w:right w:w="0" w:type="dxa"/>
        </w:tblCellMar>
      </w:tblPr>
      <w:tr>
        <w:trPr>
          <w:trHeight w:val="183"/>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2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Domestic</w:t>
            </w: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9,600</w:t>
            </w: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9,575</w:t>
            </w:r>
          </w:p>
        </w:tc>
        <w:tc>
          <w:tcPr>
            <w:tcW w:w="80" w:type="dxa"/>
            <w:vAlign w:val="bottom"/>
            <w:shd w:val="clear" w:color="auto" w:fill="CCEEFF"/>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1,448</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Pr>
          <w:p>
            <w:pPr>
              <w:spacing w:after="0"/>
              <w:rPr>
                <w:sz w:val="15"/>
                <w:szCs w:val="15"/>
                <w:color w:val="auto"/>
              </w:rPr>
            </w:pPr>
          </w:p>
        </w:tc>
      </w:tr>
      <w:tr>
        <w:trPr>
          <w:trHeight w:val="214"/>
        </w:trPr>
        <w:tc>
          <w:tcPr>
            <w:tcW w:w="26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340"/>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 was as follows: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6"/>
        </w:trPr>
        <w:tc>
          <w:tcPr>
            <w:tcW w:w="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Years Ended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1"/>
        </w:trPr>
        <w:tc>
          <w:tcPr>
            <w:tcW w:w="2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260" w:type="dxa"/>
            <w:vAlign w:val="bottom"/>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Domestic – Federal</w:t>
            </w: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2,139</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2,892</w:t>
            </w: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Domestic – state</w:t>
            </w: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202</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263</w:t>
            </w:r>
          </w:p>
        </w:tc>
      </w:tr>
      <w:tr>
        <w:trPr>
          <w:trHeight w:val="183"/>
        </w:trPr>
        <w:tc>
          <w:tcPr>
            <w:tcW w:w="26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80" w:type="dxa"/>
            <w:vAlign w:val="bottom"/>
          </w:tcPr>
          <w:p>
            <w:pPr>
              <w:spacing w:after="0"/>
              <w:rPr>
                <w:sz w:val="15"/>
                <w:szCs w:val="15"/>
                <w:color w:val="auto"/>
              </w:rPr>
            </w:pPr>
          </w:p>
        </w:tc>
      </w:tr>
      <w:tr>
        <w:trPr>
          <w:trHeight w:val="174"/>
        </w:trPr>
        <w:tc>
          <w:tcPr>
            <w:tcW w:w="26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2,863</w:t>
            </w: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3,422</w:t>
            </w:r>
          </w:p>
        </w:tc>
        <w:tc>
          <w:tcPr>
            <w:tcW w:w="80" w:type="dxa"/>
            <w:vAlign w:val="bottom"/>
            <w:shd w:val="clear" w:color="auto" w:fill="CCEEFF"/>
          </w:tcPr>
          <w:p>
            <w:pPr>
              <w:spacing w:after="0"/>
              <w:rPr>
                <w:sz w:val="15"/>
                <w:szCs w:val="15"/>
                <w:color w:val="auto"/>
              </w:rPr>
            </w:pPr>
          </w:p>
        </w:tc>
      </w:tr>
      <w:tr>
        <w:trPr>
          <w:trHeight w:val="174"/>
        </w:trPr>
        <w:tc>
          <w:tcPr>
            <w:tcW w:w="260" w:type="dxa"/>
            <w:vAlign w:val="bottom"/>
          </w:tcPr>
          <w:p>
            <w:pPr>
              <w:spacing w:after="0"/>
              <w:rPr>
                <w:sz w:val="15"/>
                <w:szCs w:val="15"/>
                <w:color w:val="auto"/>
              </w:rPr>
            </w:pPr>
          </w:p>
        </w:tc>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Deferred</w:t>
            </w: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Domestic – Federal</w:t>
            </w: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(1,052)</w:t>
            </w: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(1,344)</w:t>
            </w:r>
          </w:p>
        </w:tc>
      </w:tr>
      <w:tr>
        <w:trPr>
          <w:trHeight w:val="183"/>
        </w:trPr>
        <w:tc>
          <w:tcPr>
            <w:tcW w:w="26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Domestic – state</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(190)</w:t>
            </w:r>
          </w:p>
        </w:tc>
      </w:tr>
      <w:tr>
        <w:trPr>
          <w:trHeight w:val="183"/>
        </w:trPr>
        <w:tc>
          <w:tcPr>
            <w:tcW w:w="260" w:type="dxa"/>
            <w:vAlign w:val="bottom"/>
          </w:tcPr>
          <w:p>
            <w:pPr>
              <w:spacing w:after="0"/>
              <w:rPr>
                <w:sz w:val="15"/>
                <w:szCs w:val="15"/>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w:t>
            </w: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(136)</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(204)</w:t>
            </w:r>
          </w:p>
        </w:tc>
      </w:tr>
      <w:tr>
        <w:trPr>
          <w:trHeight w:val="20"/>
        </w:trPr>
        <w:tc>
          <w:tcPr>
            <w:tcW w:w="260" w:type="dxa"/>
            <w:vAlign w:val="bottom"/>
          </w:tcPr>
          <w:p>
            <w:pPr>
              <w:spacing w:after="0" w:line="20" w:lineRule="exact"/>
              <w:rPr>
                <w:sz w:val="1"/>
                <w:szCs w:val="1"/>
                <w:color w:val="auto"/>
              </w:rPr>
            </w:pPr>
          </w:p>
        </w:tc>
        <w:tc>
          <w:tcPr>
            <w:tcW w:w="69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4"/>
        </w:trPr>
        <w:tc>
          <w:tcPr>
            <w:tcW w:w="260" w:type="dxa"/>
            <w:vAlign w:val="bottom"/>
          </w:tcPr>
          <w:p>
            <w:pPr>
              <w:spacing w:after="0"/>
              <w:rPr>
                <w:sz w:val="15"/>
                <w:szCs w:val="15"/>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(1,157)</w:t>
            </w: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(1,738)</w:t>
            </w:r>
          </w:p>
        </w:tc>
      </w:tr>
      <w:tr>
        <w:trPr>
          <w:trHeight w:val="214"/>
        </w:trPr>
        <w:tc>
          <w:tcPr>
            <w:tcW w:w="26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68" w:lineRule="exact"/>
        <w:rPr>
          <w:sz w:val="20"/>
          <w:szCs w:val="20"/>
          <w:color w:val="auto"/>
        </w:rPr>
      </w:pPr>
    </w:p>
    <w:p>
      <w:pPr>
        <w:jc w:val="both"/>
        <w:ind w:left="569" w:right="120"/>
        <w:spacing w:after="0" w:line="271" w:lineRule="auto"/>
        <w:rPr>
          <w:sz w:val="20"/>
          <w:szCs w:val="20"/>
          <w:color w:val="auto"/>
        </w:rPr>
      </w:pPr>
      <w:r>
        <w:rPr>
          <w:rFonts w:ascii="Times New Roman" w:cs="Times New Roman" w:eastAsia="Times New Roman" w:hAnsi="Times New Roman"/>
          <w:sz w:val="15"/>
          <w:szCs w:val="15"/>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at December 31, 2023 and 2022:</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8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4"/>
        </w:trPr>
        <w:tc>
          <w:tcPr>
            <w:tcW w:w="8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Capitalized research and development costs</w:t>
            </w:r>
          </w:p>
        </w:tc>
        <w:tc>
          <w:tcPr>
            <w:tcW w:w="3940" w:type="dxa"/>
            <w:vAlign w:val="bottom"/>
            <w:gridSpan w:val="2"/>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2,320</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859</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vacation pay and stock-based compensation</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433</w:t>
            </w: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465</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395</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602</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Intangible assets</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369</w:t>
            </w: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140</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operating loss (state and foreign)</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245</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285</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 costs</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warranty</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credit carryforwards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9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4,797</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4,109</w:t>
            </w:r>
          </w:p>
        </w:tc>
        <w:tc>
          <w:tcPr>
            <w:tcW w:w="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(245)</w:t>
            </w: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(227)</w:t>
            </w:r>
          </w:p>
        </w:tc>
        <w:tc>
          <w:tcPr>
            <w:tcW w:w="320" w:type="dxa"/>
            <w:vAlign w:val="bottom"/>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9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4,552</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assets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(1,949)</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(2,101)</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Right-of-use assets</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(762)</w:t>
            </w: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(996)</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of property and equipment</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(404)</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(385)</w:t>
            </w:r>
          </w:p>
        </w:tc>
        <w:tc>
          <w:tcPr>
            <w:tcW w:w="3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(120)</w:t>
            </w:r>
          </w:p>
        </w:tc>
        <w:tc>
          <w:tcPr>
            <w:tcW w:w="3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4"/>
        </w:trPr>
        <w:tc>
          <w:tcPr>
            <w:tcW w:w="8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(3,115)</w:t>
            </w: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(3,602)</w:t>
            </w:r>
          </w:p>
        </w:tc>
        <w:tc>
          <w:tcPr>
            <w:tcW w:w="320" w:type="dxa"/>
            <w:vAlign w:val="bottom"/>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2980" w:type="dxa"/>
            <w:vAlign w:val="bottom"/>
            <w:tcBorders>
              <w:top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1,437</w:t>
            </w: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tcBorders>
              <w:top w:val="single" w:sz="8" w:color="CCEEFF"/>
            </w:tcBorders>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0"/>
        </w:trPr>
        <w:tc>
          <w:tcPr>
            <w:tcW w:w="8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940" w:type="dxa"/>
            <w:vAlign w:val="bottom"/>
            <w:gridSpan w:val="2"/>
          </w:tcPr>
          <w:p>
            <w:pPr>
              <w:jc w:val="right"/>
              <w:ind w:right="2904"/>
              <w:spacing w:after="0"/>
              <w:rPr>
                <w:sz w:val="20"/>
                <w:szCs w:val="20"/>
                <w:color w:val="auto"/>
              </w:rPr>
            </w:pPr>
            <w:r>
              <w:rPr>
                <w:rFonts w:ascii="Times New Roman" w:cs="Times New Roman" w:eastAsia="Times New Roman" w:hAnsi="Times New Roman"/>
                <w:sz w:val="15"/>
                <w:szCs w:val="15"/>
                <w:color w:val="auto"/>
              </w:rPr>
              <w:t>F- 24</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94"/>
        </w:trPr>
        <w:tc>
          <w:tcPr>
            <w:tcW w:w="82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bl>
    <w:p>
      <w:pPr>
        <w:sectPr>
          <w:pgSz w:w="11900" w:h="16838" w:orient="portrait"/>
          <w:cols w:equalWidth="0" w:num="1">
            <w:col w:w="11269"/>
          </w:cols>
          <w:pgMar w:left="311" w:top="737" w:right="319" w:bottom="1440" w:gutter="0" w:footer="0" w:header="0"/>
        </w:sectPr>
      </w:pPr>
    </w:p>
    <w:bookmarkStart w:id="64" w:name="page65"/>
    <w:bookmarkEnd w:id="64"/>
    <w:p>
      <w:pPr>
        <w:ind w:left="569"/>
        <w:spacing w:after="0" w:line="262" w:lineRule="auto"/>
        <w:rPr>
          <w:sz w:val="20"/>
          <w:szCs w:val="20"/>
          <w:color w:val="auto"/>
        </w:rPr>
      </w:pPr>
      <w:r>
        <w:rPr>
          <w:rFonts w:ascii="Times New Roman" w:cs="Times New Roman" w:eastAsia="Times New Roman" w:hAnsi="Times New Roman"/>
          <w:sz w:val="15"/>
          <w:szCs w:val="15"/>
          <w:color w:val="auto"/>
        </w:rPr>
        <w:t>The net change in the valuation allowance for the years ended December 31, 2023 and 2022 was an increase of $18 and $163,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2040.</w:t>
      </w:r>
    </w:p>
    <w:p>
      <w:pPr>
        <w:spacing w:after="0" w:line="15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An analysis of the effective tax rate for the years ended December 31, 2023 and 2022 and a reconciliation from the expected statutory rate of 21% is as follows:</w:t>
      </w:r>
    </w:p>
    <w:p>
      <w:pPr>
        <w:spacing w:after="0" w:line="189" w:lineRule="exact"/>
        <w:rPr>
          <w:sz w:val="20"/>
          <w:szCs w:val="20"/>
          <w:color w:val="auto"/>
        </w:rPr>
      </w:pPr>
    </w:p>
    <w:tbl>
      <w:tblPr>
        <w:tblLayout w:type="fixed"/>
        <w:tblInd w:w="829"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980" w:type="dxa"/>
            <w:vAlign w:val="bottom"/>
          </w:tcPr>
          <w:p>
            <w:pPr>
              <w:spacing w:after="0"/>
              <w:rPr>
                <w:sz w:val="15"/>
                <w:szCs w:val="15"/>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income tax expense at U.S. statutory rate</w:t>
            </w:r>
          </w:p>
        </w:tc>
        <w:tc>
          <w:tcPr>
            <w:tcW w:w="98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2,320</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tax from:</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 from foreign subsidiaries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127</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NOL carryforwards utilized</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(80)</w:t>
            </w: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compensation</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(329)</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Global intangible low taxed income</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Nondeductible expenses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year tax credits (foreign and research)</w:t>
            </w: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(367)</w:t>
            </w: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(465)</w:t>
            </w: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Domestic tax benefit, net of Federal benefit</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(167)</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valuation allowance</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163</w:t>
            </w: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income tax rate differences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147</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Section 250 foreign derived intangible income deduction</w:t>
            </w: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(272)</w:t>
            </w: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(563)</w:t>
            </w: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w:t>
            </w:r>
          </w:p>
        </w:tc>
      </w:tr>
      <w:tr>
        <w:trPr>
          <w:trHeight w:val="174"/>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1,684</w:t>
            </w:r>
          </w:p>
        </w:tc>
        <w:tc>
          <w:tcPr>
            <w:tcW w:w="80" w:type="dxa"/>
            <w:vAlign w:val="bottom"/>
            <w:tcBorders>
              <w:top w:val="single" w:sz="8" w:color="CCEEFF"/>
            </w:tcBorders>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569" w:right="60"/>
        <w:spacing w:after="0" w:line="262" w:lineRule="auto"/>
        <w:rPr>
          <w:sz w:val="20"/>
          <w:szCs w:val="20"/>
          <w:color w:val="auto"/>
        </w:rPr>
      </w:pPr>
      <w:r>
        <w:rPr>
          <w:rFonts w:ascii="Times New Roman" w:cs="Times New Roman" w:eastAsia="Times New Roman" w:hAnsi="Times New Roman"/>
          <w:sz w:val="15"/>
          <w:szCs w:val="15"/>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At December 31, 2023 and 2022, we did not have an accrual for uncertain tax positions.</w:t>
      </w:r>
    </w:p>
    <w:p>
      <w:pPr>
        <w:spacing w:after="0" w:line="154" w:lineRule="exact"/>
        <w:rPr>
          <w:sz w:val="20"/>
          <w:szCs w:val="20"/>
          <w:color w:val="auto"/>
        </w:rPr>
      </w:pPr>
    </w:p>
    <w:p>
      <w:pPr>
        <w:ind w:left="569" w:right="340"/>
        <w:spacing w:after="0" w:line="288" w:lineRule="auto"/>
        <w:rPr>
          <w:sz w:val="20"/>
          <w:szCs w:val="20"/>
          <w:color w:val="auto"/>
        </w:rPr>
      </w:pPr>
      <w:r>
        <w:rPr>
          <w:rFonts w:ascii="Times New Roman" w:cs="Times New Roman" w:eastAsia="Times New Roman" w:hAnsi="Times New Roman"/>
          <w:sz w:val="15"/>
          <w:szCs w:val="15"/>
          <w:color w:val="auto"/>
        </w:rPr>
        <w:t>We file U.S. income tax returns and multiple state and foreign income tax returns. With few exceptions, the U.S. and state income tax returns filed for the tax years ended December 31, 2020 and thereafter are subject to examination by the relevant taxing authorities.</w:t>
      </w:r>
    </w:p>
    <w:p>
      <w:pPr>
        <w:spacing w:after="0" w:line="335" w:lineRule="exact"/>
        <w:rPr>
          <w:sz w:val="20"/>
          <w:szCs w:val="20"/>
          <w:color w:val="auto"/>
        </w:rPr>
      </w:pPr>
    </w:p>
    <w:p>
      <w:pPr>
        <w:ind w:left="549" w:hanging="549"/>
        <w:spacing w:after="0"/>
        <w:tabs>
          <w:tab w:leader="none" w:pos="549"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LEGAL PROCEEDINGS</w:t>
      </w:r>
    </w:p>
    <w:p>
      <w:pPr>
        <w:spacing w:after="0" w:line="196" w:lineRule="exact"/>
        <w:rPr>
          <w:rFonts w:ascii="Times New Roman" w:cs="Times New Roman" w:eastAsia="Times New Roman" w:hAnsi="Times New Roman"/>
          <w:sz w:val="15"/>
          <w:szCs w:val="15"/>
          <w:b w:val="1"/>
          <w:bCs w:val="1"/>
          <w:color w:val="auto"/>
        </w:rPr>
      </w:pPr>
    </w:p>
    <w:p>
      <w:pPr>
        <w:ind w:left="569"/>
        <w:spacing w:after="0" w:line="28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335"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STOCK-BASED COMPENSATION PLAN</w:t>
      </w:r>
    </w:p>
    <w:p>
      <w:pPr>
        <w:spacing w:after="0" w:line="196" w:lineRule="exact"/>
        <w:rPr>
          <w:rFonts w:ascii="Times New Roman" w:cs="Times New Roman" w:eastAsia="Times New Roman" w:hAnsi="Times New Roman"/>
          <w:sz w:val="15"/>
          <w:szCs w:val="15"/>
          <w:b w:val="1"/>
          <w:bCs w:val="1"/>
          <w:color w:val="auto"/>
        </w:rPr>
      </w:pPr>
    </w:p>
    <w:p>
      <w:pPr>
        <w:ind w:left="569" w:right="2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of December 31, 2023, we had unvested restricted stock awards and stock options granted under stock-based compensation plans. On June 21, 2023, our stockholders approved the inTEST Corporation 2023 Stock Incentive Plan (the “2023 Plan”) which replaced the Fourth Amended and Restated 2014 Stock Plan (the “2014 Plan”). No further awards can be granted under the 2014 Plan. The maximum number of shares of common stock available for grant and issuance under the 2023 Plan is (a) 350,000, plus</w:t>
      </w:r>
    </w:p>
    <w:p>
      <w:pPr>
        <w:ind w:left="569" w:right="6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date of its approval was 1,117,942.</w:t>
      </w:r>
    </w:p>
    <w:p>
      <w:pPr>
        <w:spacing w:after="0" w:line="153"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9"/>
          </w:cols>
          <w:pgMar w:left="311" w:top="536" w:right="359" w:bottom="1440" w:gutter="0" w:footer="0" w:header="0"/>
        </w:sectPr>
      </w:pPr>
    </w:p>
    <w:bookmarkStart w:id="65" w:name="page66"/>
    <w:bookmarkEnd w:id="65"/>
    <w:p>
      <w:pPr>
        <w:ind w:right="500"/>
        <w:spacing w:after="0" w:line="288" w:lineRule="auto"/>
        <w:rPr>
          <w:sz w:val="20"/>
          <w:szCs w:val="20"/>
          <w:color w:val="auto"/>
        </w:rPr>
      </w:pPr>
      <w:r>
        <w:rPr>
          <w:rFonts w:ascii="Times New Roman" w:cs="Times New Roman" w:eastAsia="Times New Roman" w:hAnsi="Times New Roman"/>
          <w:sz w:val="15"/>
          <w:szCs w:val="15"/>
          <w:color w:val="auto"/>
        </w:rPr>
        <w:t>Our unvested restricted stock awards and stock options are accounted for based on their grant date fair value. At December 31, 2023, total compensation expense to be recognized in future periods is $2,957. The weighted average period over which this expense is expected to be recognized is 2.0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compensation expense we recorded during 2023 and 2022 related to unvested shares of restricted stock and stock options:</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980" w:type="dxa"/>
            <w:vAlign w:val="bottom"/>
          </w:tcPr>
          <w:p>
            <w:pPr>
              <w:spacing w:after="0"/>
              <w:rPr>
                <w:sz w:val="15"/>
                <w:szCs w:val="15"/>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98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104</w:t>
            </w: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Selling expense</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Engineering and product development expense</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1,883</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80" w:type="dxa"/>
            <w:vAlign w:val="bottom"/>
          </w:tcPr>
          <w:p>
            <w:pPr>
              <w:spacing w:after="0"/>
              <w:rPr>
                <w:sz w:val="15"/>
                <w:szCs w:val="15"/>
                <w:color w:val="auto"/>
              </w:rPr>
            </w:pPr>
          </w:p>
        </w:tc>
      </w:tr>
      <w:tr>
        <w:trPr>
          <w:trHeight w:val="214"/>
        </w:trPr>
        <w:tc>
          <w:tcPr>
            <w:tcW w:w="69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2,047</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was no compensation expense capitalized in 2023 or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Stock Options</w:t>
      </w:r>
    </w:p>
    <w:p>
      <w:pPr>
        <w:spacing w:after="0" w:line="19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5"/>
          <w:szCs w:val="15"/>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46"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5"/>
          <w:szCs w:val="15"/>
          <w:color w:val="auto"/>
        </w:rPr>
        <w:t>The fair value for stock options granted during 2023 and 2022 was estimated at the date of grant using the Black-Scholes option pricing model with the following weighted 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260" w:type="dxa"/>
            <w:vAlign w:val="bottom"/>
          </w:tcPr>
          <w:p>
            <w:pPr>
              <w:spacing w:after="0"/>
              <w:rPr>
                <w:sz w:val="15"/>
                <w:szCs w:val="15"/>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w:t>
            </w:r>
          </w:p>
        </w:tc>
      </w:tr>
      <w:tr>
        <w:trPr>
          <w:trHeight w:val="183"/>
        </w:trPr>
        <w:tc>
          <w:tcPr>
            <w:tcW w:w="260" w:type="dxa"/>
            <w:vAlign w:val="bottom"/>
          </w:tcPr>
          <w:p>
            <w:pPr>
              <w:spacing w:after="0"/>
              <w:rPr>
                <w:sz w:val="15"/>
                <w:szCs w:val="15"/>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0.00%</w:t>
            </w:r>
          </w:p>
        </w:tc>
      </w:tr>
      <w:tr>
        <w:trPr>
          <w:trHeight w:val="183"/>
        </w:trPr>
        <w:tc>
          <w:tcPr>
            <w:tcW w:w="260" w:type="dxa"/>
            <w:vAlign w:val="bottom"/>
          </w:tcPr>
          <w:p>
            <w:pPr>
              <w:spacing w:after="0"/>
              <w:rPr>
                <w:sz w:val="15"/>
                <w:szCs w:val="15"/>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common stock market price volatility factor</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5"/>
                <w:szCs w:val="15"/>
                <w:color w:val="auto"/>
              </w:rPr>
            </w:pPr>
          </w:p>
        </w:tc>
      </w:tr>
      <w:tr>
        <w:trPr>
          <w:trHeight w:val="198"/>
        </w:trPr>
        <w:tc>
          <w:tcPr>
            <w:tcW w:w="26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Weighted average expected life of stock options (years)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6.25</w:t>
            </w:r>
          </w:p>
        </w:tc>
        <w:tc>
          <w:tcPr>
            <w:tcW w:w="80" w:type="dxa"/>
            <w:vAlign w:val="bottom"/>
          </w:tcPr>
          <w:p>
            <w:pPr>
              <w:spacing w:after="0"/>
              <w:rPr>
                <w:sz w:val="17"/>
                <w:szCs w:val="17"/>
                <w:color w:val="auto"/>
              </w:rPr>
            </w:pPr>
          </w:p>
        </w:tc>
      </w:tr>
      <w:tr>
        <w:trPr>
          <w:trHeight w:val="351"/>
        </w:trPr>
        <w:tc>
          <w:tcPr>
            <w:tcW w:w="75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per share weighted average fair value of stock options issued during 2023 and 2022 was $9.43 and $4.53, respectively.</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75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following table summarizes the activity related to stock options for the two years ended December 31, 2023: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6"/>
        </w:trPr>
        <w:tc>
          <w:tcPr>
            <w:tcW w:w="2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3"/>
        </w:trPr>
        <w:tc>
          <w:tcPr>
            <w:tcW w:w="26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201"/>
        </w:trPr>
        <w:tc>
          <w:tcPr>
            <w:tcW w:w="2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of Shares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80" w:type="dxa"/>
            <w:vAlign w:val="bottom"/>
          </w:tcPr>
          <w:p>
            <w:pPr>
              <w:spacing w:after="0"/>
              <w:rPr>
                <w:sz w:val="17"/>
                <w:szCs w:val="17"/>
                <w:color w:val="auto"/>
              </w:rPr>
            </w:pPr>
          </w:p>
        </w:tc>
      </w:tr>
      <w:tr>
        <w:trPr>
          <w:trHeight w:val="174"/>
        </w:trPr>
        <w:tc>
          <w:tcPr>
            <w:tcW w:w="260" w:type="dxa"/>
            <w:vAlign w:val="bottom"/>
          </w:tcPr>
          <w:p>
            <w:pPr>
              <w:spacing w:after="0"/>
              <w:rPr>
                <w:sz w:val="15"/>
                <w:szCs w:val="15"/>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January 1, 2022</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408,869</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9.07</w:t>
            </w:r>
          </w:p>
        </w:tc>
      </w:tr>
      <w:tr>
        <w:trPr>
          <w:trHeight w:val="183"/>
        </w:trPr>
        <w:tc>
          <w:tcPr>
            <w:tcW w:w="260" w:type="dxa"/>
            <w:vAlign w:val="bottom"/>
          </w:tcPr>
          <w:p>
            <w:pPr>
              <w:spacing w:after="0"/>
              <w:rPr>
                <w:sz w:val="15"/>
                <w:szCs w:val="15"/>
                <w:color w:val="auto"/>
              </w:rPr>
            </w:pPr>
          </w:p>
        </w:tc>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202,540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8.45</w:t>
            </w:r>
          </w:p>
        </w:tc>
      </w:tr>
      <w:tr>
        <w:trPr>
          <w:trHeight w:val="183"/>
        </w:trPr>
        <w:tc>
          <w:tcPr>
            <w:tcW w:w="260" w:type="dxa"/>
            <w:vAlign w:val="bottom"/>
          </w:tcPr>
          <w:p>
            <w:pPr>
              <w:spacing w:after="0"/>
              <w:rPr>
                <w:sz w:val="15"/>
                <w:szCs w:val="15"/>
                <w:color w:val="auto"/>
              </w:rPr>
            </w:pPr>
          </w:p>
        </w:tc>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(8,060)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4.74</w:t>
            </w:r>
          </w:p>
        </w:tc>
      </w:tr>
      <w:tr>
        <w:trPr>
          <w:trHeight w:val="183"/>
        </w:trPr>
        <w:tc>
          <w:tcPr>
            <w:tcW w:w="260" w:type="dxa"/>
            <w:vAlign w:val="bottom"/>
          </w:tcPr>
          <w:p>
            <w:pPr>
              <w:spacing w:after="0"/>
              <w:rPr>
                <w:sz w:val="15"/>
                <w:szCs w:val="15"/>
                <w:color w:val="auto"/>
              </w:rPr>
            </w:pP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Canceled</w:t>
            </w:r>
          </w:p>
        </w:tc>
        <w:tc>
          <w:tcPr>
            <w:tcW w:w="34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(22,930)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9.10</w:t>
            </w:r>
          </w:p>
        </w:tc>
      </w:tr>
      <w:tr>
        <w:trPr>
          <w:trHeight w:val="174"/>
        </w:trPr>
        <w:tc>
          <w:tcPr>
            <w:tcW w:w="260" w:type="dxa"/>
            <w:vAlign w:val="bottom"/>
          </w:tcPr>
          <w:p>
            <w:pPr>
              <w:spacing w:after="0"/>
              <w:rPr>
                <w:sz w:val="15"/>
                <w:szCs w:val="15"/>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December 31, 2022 (167,886 exercisable)</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580,419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8.91</w:t>
            </w:r>
          </w:p>
        </w:tc>
      </w:tr>
      <w:tr>
        <w:trPr>
          <w:trHeight w:val="183"/>
        </w:trPr>
        <w:tc>
          <w:tcPr>
            <w:tcW w:w="260" w:type="dxa"/>
            <w:vAlign w:val="bottom"/>
          </w:tcPr>
          <w:p>
            <w:pPr>
              <w:spacing w:after="0"/>
              <w:rPr>
                <w:sz w:val="15"/>
                <w:szCs w:val="15"/>
                <w:color w:val="auto"/>
              </w:rPr>
            </w:pPr>
          </w:p>
        </w:tc>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93,860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8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(124,550)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7.85</w:t>
            </w:r>
          </w:p>
        </w:tc>
      </w:tr>
      <w:tr>
        <w:trPr>
          <w:trHeight w:val="183"/>
        </w:trPr>
        <w:tc>
          <w:tcPr>
            <w:tcW w:w="260" w:type="dxa"/>
            <w:vAlign w:val="bottom"/>
          </w:tcPr>
          <w:p>
            <w:pPr>
              <w:spacing w:after="0"/>
              <w:rPr>
                <w:sz w:val="15"/>
                <w:szCs w:val="15"/>
                <w:color w:val="auto"/>
              </w:rPr>
            </w:pP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Canceled</w:t>
            </w:r>
          </w:p>
        </w:tc>
        <w:tc>
          <w:tcPr>
            <w:tcW w:w="34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(44,723)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9.77</w:t>
            </w:r>
          </w:p>
        </w:tc>
      </w:tr>
      <w:tr>
        <w:trPr>
          <w:trHeight w:val="214"/>
        </w:trPr>
        <w:tc>
          <w:tcPr>
            <w:tcW w:w="26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December 31, 2023 (171,735 exercisable)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505,006</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Restricted Stock Awards</w:t>
      </w:r>
    </w:p>
    <w:p>
      <w:pPr>
        <w:spacing w:after="0" w:line="197"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5"/>
          <w:szCs w:val="15"/>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Additional information on specific performance-based awards that have been issued is discussed below under “Performance-Based Awards.”</w:t>
      </w:r>
    </w:p>
    <w:p>
      <w:pPr>
        <w:spacing w:after="0" w:line="15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640"/>
          </w:cols>
          <w:pgMar w:left="880" w:top="53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color w:val="auto"/>
        </w:rPr>
        <w:t>The following table summarizes the activity related to unvested restricted stock awards for the two years ended December 31, 2023:</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3"/>
        </w:trPr>
        <w:tc>
          <w:tcPr>
            <w:tcW w:w="6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3"/>
        </w:trPr>
        <w:tc>
          <w:tcPr>
            <w:tcW w:w="698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Grant Date</w:t>
            </w:r>
          </w:p>
        </w:tc>
      </w:tr>
      <w:tr>
        <w:trPr>
          <w:trHeight w:val="201"/>
        </w:trPr>
        <w:tc>
          <w:tcPr>
            <w:tcW w:w="6980" w:type="dxa"/>
            <w:vAlign w:val="bottom"/>
          </w:tcPr>
          <w:p>
            <w:pPr>
              <w:spacing w:after="0"/>
              <w:rPr>
                <w:sz w:val="17"/>
                <w:szCs w:val="17"/>
                <w:color w:val="auto"/>
              </w:rPr>
            </w:pPr>
          </w:p>
        </w:tc>
        <w:tc>
          <w:tcPr>
            <w:tcW w:w="14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of Shares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80" w:type="dxa"/>
            <w:vAlign w:val="bottom"/>
          </w:tcPr>
          <w:p>
            <w:pPr>
              <w:spacing w:after="0"/>
              <w:rPr>
                <w:sz w:val="17"/>
                <w:szCs w:val="17"/>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shares outstanding, January 1, 2022</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262,533</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7.16</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123,533</w:t>
            </w:r>
          </w:p>
        </w:tc>
        <w:tc>
          <w:tcPr>
            <w:tcW w:w="20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9.21</w:t>
            </w: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Vested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(91,672)</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8.04</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(5,944)</w:t>
            </w:r>
          </w:p>
        </w:tc>
        <w:tc>
          <w:tcPr>
            <w:tcW w:w="20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9.16</w:t>
            </w: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shares outstanding, December 31,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288,450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7.80</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97,461</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16.43</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Vested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(178,636)</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8.21</w:t>
            </w:r>
          </w:p>
        </w:tc>
      </w:tr>
      <w:tr>
        <w:trPr>
          <w:trHeight w:val="183"/>
        </w:trPr>
        <w:tc>
          <w:tcPr>
            <w:tcW w:w="6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(17,491)</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10.08</w:t>
            </w:r>
          </w:p>
        </w:tc>
        <w:tc>
          <w:tcPr>
            <w:tcW w:w="80" w:type="dxa"/>
            <w:vAlign w:val="bottom"/>
          </w:tcPr>
          <w:p>
            <w:pPr>
              <w:spacing w:after="0"/>
              <w:rPr>
                <w:sz w:val="15"/>
                <w:szCs w:val="15"/>
                <w:color w:val="auto"/>
              </w:rPr>
            </w:pPr>
          </w:p>
        </w:tc>
      </w:tr>
      <w:tr>
        <w:trPr>
          <w:trHeight w:val="21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shares outstanding,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189,784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11.51</w:t>
            </w:r>
          </w:p>
        </w:tc>
      </w:tr>
    </w:tbl>
    <w:p>
      <w:pPr>
        <w:spacing w:after="0" w:line="16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5"/>
          <w:szCs w:val="15"/>
          <w:color w:val="auto"/>
        </w:rPr>
        <w:t>The total fair value of the restricted stock awards that vested during the years ended December 31, 2023 and 2022 was $3,132 and $643, respectively, as of the vesting dates of these awards.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Performance-Based Awards</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On August 24, 2020, our new President and Chief Executive Officer ("CEO") received a performance-based restricted stock award totaling 75,162 shares with a vesting date of August 24, 2023. These shares were valued at $345 as of the date of grant. Per the terms of the award, the final vesting percentage could range from 0% to 150% of the number of shares awarded on August 24, 2020. On June 14, 2021, our new Chief Financial Officer ("CFO") received a performance-based restricted stock award totaling 5,953 shares. These shares were valued at $100 as of the date of grant. The vesting provisions of this award are the same as the performance-based award granted to our CEO on August 24, 2020. The final vesting percentage is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2022, we had estimated that these awards would vest at 150% of the original amount based on our assessment of the probable achievement against the relevant performance metrics. These awards vested at the 150% level on August 24, 2023. As a result, 40,557 additional shares of common stock were issued. At the original grant dates of these awards, shares totaling 100% of the respective awards were issued. These additional shares issued on August 24, 2023 represented the additional 50% that vested.</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On March 10, 2021, we issued performance-based restricted stock awards totaling 18,000 shares to members of the senior management within our operating segments. These shares were valued at $191 as of the date of grant. These shares will vest on the third anniversary of the grant date at a vesting percentage that could range from 0% to 150% of the number of shares awarded on March 10, 2021. The final vesting percentage will be based on the achievement of certain performance metrics for the year ended December 31, 2023 related to the operating results of the business units for which these members of management are responsible. During the fourth quarter of 2022, we reduced the expected final vesting percentage for 6,000 of these shares to 0% based on the projected operating results for the related business unit for the relevant measurement period for the performance metrics. During the fourth quarter of 2023, we reduced the expected final vesting percentage for the remaining 12,000 shares from 100% to 88% based on actual operating results through December 31, 2023 for the related business units. As a result of the adjustment in the expected final vesting percentage, we recorded a catch-up adjustment to reduce expense by $14. This adjustment was recorded in general and administrative expense in our statement of operations. The 6,000 shares for which the vesting percentage had been reduced to 0% were forfeited in the first quarter of 2023 when the individual to whom they were granted terminated their employment with us.</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On March 9, 2022, our CEO and CFO received performance-based restricted stock awards totaling 20,493 shares. These shares were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for specified time periods as determined by the Compensation Committee of our Board of Directors. During the fourth quarter of 2023, we reduced the expected final vesting percentage for these shares from 100% to 50% based on our current projection for the performance metrics for the relevant measurement period. As a result of the adjustment in the expected final vesting percentage, we recorded a catch-up adjustment to reduce expense by $60. This adjustment was recorded in general and administrative expense in our statement of operations.</w:t>
      </w:r>
    </w:p>
    <w:p>
      <w:pPr>
        <w:spacing w:after="0" w:line="15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73660</wp:posOffset>
            </wp:positionV>
            <wp:extent cx="71532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80" w:top="536" w:right="319" w:bottom="1440" w:gutter="0" w:footer="0" w:header="0"/>
        </w:sectPr>
      </w:pPr>
    </w:p>
    <w:bookmarkStart w:id="67" w:name="page68"/>
    <w:bookmarkEnd w:id="67"/>
    <w:p>
      <w:pPr>
        <w:ind w:left="569" w:right="80"/>
        <w:spacing w:after="0" w:line="261" w:lineRule="auto"/>
        <w:rPr>
          <w:sz w:val="20"/>
          <w:szCs w:val="20"/>
          <w:color w:val="auto"/>
        </w:rPr>
      </w:pPr>
      <w:r>
        <w:rPr>
          <w:rFonts w:ascii="Times New Roman" w:cs="Times New Roman" w:eastAsia="Times New Roman" w:hAnsi="Times New Roman"/>
          <w:sz w:val="15"/>
          <w:szCs w:val="15"/>
          <w:color w:val="auto"/>
        </w:rPr>
        <w:t>On October 1, 2021, we issued performance-based restricted stock awards totaling 5,000 shares to a member of senior management. These shares were valued at $59 as of the date of grant. These shares will vest on January 1, 2025 at a vesting percentage that could range from 0% to 150% of the number of shares awarded on October 1, 2021. The final vesting percentage will be based on the achievement of certain performance metrics, including revenue compound annual growth rate and diluted earnings per share excluding amortization of intangibles, for specified time periods. During the fourth quarter of 2023, we reduced the expected final vesting percentage for these shares from 100% to 50% based on our current projection for the performance metrics for the relevant measurement period. As a result of the adjustment in the expected final vesting percentage, we recorded a catch-up adjustment to reduce expense by $20. This adjustment was recorded in general and administrative expense in our statement of operations.</w:t>
      </w:r>
    </w:p>
    <w:p>
      <w:pPr>
        <w:spacing w:after="0" w:line="153" w:lineRule="exact"/>
        <w:rPr>
          <w:sz w:val="20"/>
          <w:szCs w:val="20"/>
          <w:color w:val="auto"/>
        </w:rPr>
      </w:pPr>
    </w:p>
    <w:p>
      <w:pPr>
        <w:ind w:left="569" w:right="140"/>
        <w:spacing w:after="0" w:line="262" w:lineRule="auto"/>
        <w:rPr>
          <w:sz w:val="20"/>
          <w:szCs w:val="20"/>
          <w:color w:val="auto"/>
        </w:rPr>
      </w:pPr>
      <w:r>
        <w:rPr>
          <w:rFonts w:ascii="Times New Roman" w:cs="Times New Roman" w:eastAsia="Times New Roman" w:hAnsi="Times New Roman"/>
          <w:sz w:val="15"/>
          <w:szCs w:val="15"/>
          <w:color w:val="auto"/>
        </w:rPr>
        <w:t>On March 8, 2023, our CEO, CFO and certain other members of our senior management received performance-based restricted stock awards totaling 18,888 shares valued at $303 as of the date of grant.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As of December 31, 2023, we have estimated that these shares will vest at 100% of the original amount.</w:t>
      </w:r>
    </w:p>
    <w:p>
      <w:pPr>
        <w:spacing w:after="0" w:line="154" w:lineRule="exact"/>
        <w:rPr>
          <w:sz w:val="20"/>
          <w:szCs w:val="20"/>
          <w:color w:val="auto"/>
        </w:rPr>
      </w:pPr>
    </w:p>
    <w:p>
      <w:pPr>
        <w:ind w:left="569"/>
        <w:spacing w:after="0" w:line="265" w:lineRule="auto"/>
        <w:rPr>
          <w:sz w:val="20"/>
          <w:szCs w:val="20"/>
          <w:color w:val="auto"/>
        </w:rPr>
      </w:pPr>
      <w:r>
        <w:rPr>
          <w:rFonts w:ascii="Times New Roman" w:cs="Times New Roman" w:eastAsia="Times New Roman" w:hAnsi="Times New Roman"/>
          <w:sz w:val="15"/>
          <w:szCs w:val="15"/>
          <w:color w:val="auto"/>
        </w:rPr>
        <w:t>On May 8, 2023 the newly appointed president of our Environmental Technologies segment received performance-based restricted stock awards totaling 5,081 shares valued at $108 as of the date of grant. These shares vest on the third anniversary of the grant date at a vesting percentage that could range from 0% to 150% of the number of shares of restricted stock awarded on May 8, 2023. The final vesting percentage will be based on the achievement of certain performance metrics including revenue and income from operations for specified time periods. As of December 31, 2023, we have estimated that these shares will vest at 100% of the original amount.</w:t>
      </w:r>
    </w:p>
    <w:p>
      <w:pPr>
        <w:spacing w:after="0" w:line="353" w:lineRule="exact"/>
        <w:rPr>
          <w:sz w:val="20"/>
          <w:szCs w:val="20"/>
          <w:color w:val="auto"/>
        </w:rPr>
      </w:pPr>
    </w:p>
    <w:p>
      <w:pPr>
        <w:ind w:left="549" w:hanging="549"/>
        <w:spacing w:after="0"/>
        <w:tabs>
          <w:tab w:leader="none" w:pos="549"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 REPURCHASE PLANS</w:t>
      </w:r>
    </w:p>
    <w:p>
      <w:pPr>
        <w:spacing w:after="0" w:line="196" w:lineRule="exact"/>
        <w:rPr>
          <w:rFonts w:ascii="Times New Roman" w:cs="Times New Roman" w:eastAsia="Times New Roman" w:hAnsi="Times New Roman"/>
          <w:sz w:val="15"/>
          <w:szCs w:val="15"/>
          <w:b w:val="1"/>
          <w:bCs w:val="1"/>
          <w:color w:val="auto"/>
        </w:rPr>
      </w:pPr>
    </w:p>
    <w:p>
      <w:pPr>
        <w:ind w:left="549" w:right="6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November 20, 2023, our Board of Directors authorized a share repurchase plan (the “Repurchase Plan”) whereby we may repurchase shares of our common stock on the open market with a total aggregate repurchase amount of up to $10,000 until November 2024. We are not obligated to purchase any common stock under the Repurchase Plan. Further, the Repurchase Plan may be suspended or discontinued at any time without prior notice. As of December 31, 2023, no shares had been repurchased under the Repurchase Plan.</w:t>
      </w:r>
    </w:p>
    <w:p>
      <w:pPr>
        <w:spacing w:after="0" w:line="352"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STOCK PURCHASE PLAN</w:t>
      </w:r>
    </w:p>
    <w:p>
      <w:pPr>
        <w:spacing w:after="0" w:line="196" w:lineRule="exact"/>
        <w:rPr>
          <w:rFonts w:ascii="Times New Roman" w:cs="Times New Roman" w:eastAsia="Times New Roman" w:hAnsi="Times New Roman"/>
          <w:sz w:val="15"/>
          <w:szCs w:val="15"/>
          <w:b w:val="1"/>
          <w:bCs w:val="1"/>
          <w:color w:val="auto"/>
        </w:rPr>
      </w:pPr>
    </w:p>
    <w:p>
      <w:pPr>
        <w:ind w:left="569" w:right="24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inTEST Corporation Employee Stock Purchase Plan (the “ESPP”) was adopted by our Board of Directors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46" w:lineRule="exact"/>
        <w:rPr>
          <w:rFonts w:ascii="Times New Roman" w:cs="Times New Roman" w:eastAsia="Times New Roman" w:hAnsi="Times New Roman"/>
          <w:sz w:val="15"/>
          <w:szCs w:val="15"/>
          <w:b w:val="1"/>
          <w:bCs w:val="1"/>
          <w:color w:val="auto"/>
        </w:rPr>
      </w:pPr>
    </w:p>
    <w:p>
      <w:pPr>
        <w:ind w:left="569"/>
        <w:spacing w:after="0" w:line="28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33" w:lineRule="exact"/>
        <w:rPr>
          <w:rFonts w:ascii="Times New Roman" w:cs="Times New Roman" w:eastAsia="Times New Roman" w:hAnsi="Times New Roman"/>
          <w:sz w:val="15"/>
          <w:szCs w:val="15"/>
          <w:b w:val="1"/>
          <w:bCs w:val="1"/>
          <w:color w:val="auto"/>
        </w:rPr>
      </w:pPr>
    </w:p>
    <w:p>
      <w:pPr>
        <w:ind w:left="569" w:right="6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year ended December 31, 2023, employees purchased 11,780 shares of our stock through the ESPP at a cost of $174. The closing market price on the dates of purchase were $20.74, $26.26, $15.17 and $13.60, respectively. The prices paid by employees were $17.63, $22.32, $12.89 and $11.56, respectively, which represented a 15% discount. The total amount of the discount of $31 was recorded as compensation expense in our consolidated statements of operations.</w:t>
      </w:r>
    </w:p>
    <w:p>
      <w:pPr>
        <w:spacing w:after="0" w:line="146" w:lineRule="exact"/>
        <w:rPr>
          <w:rFonts w:ascii="Times New Roman" w:cs="Times New Roman" w:eastAsia="Times New Roman" w:hAnsi="Times New Roman"/>
          <w:sz w:val="15"/>
          <w:szCs w:val="15"/>
          <w:b w:val="1"/>
          <w:bCs w:val="1"/>
          <w:color w:val="auto"/>
        </w:rPr>
      </w:pPr>
    </w:p>
    <w:p>
      <w:pPr>
        <w:ind w:left="569" w:right="40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year ended December 31, 2022, employees purchased 27,162 shares of our stock through the ESPP at a cost of $197. The closing market price on the dates of purchase were $10.73, $6.82, $7.63 and $10.30, respectively. The prices paid by employees were $9.12, $5.80, $6.49 and $8.76, respectively, which represented a 15% discount. The total amount of the discount of $36 was recorded as compensation expense in our consolidated statements of operations.</w:t>
      </w:r>
    </w:p>
    <w:p>
      <w:pPr>
        <w:spacing w:after="0" w:line="347"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BENEFIT PLANS</w:t>
      </w:r>
    </w:p>
    <w:p>
      <w:pPr>
        <w:spacing w:after="0" w:line="197" w:lineRule="exact"/>
        <w:rPr>
          <w:sz w:val="20"/>
          <w:szCs w:val="20"/>
          <w:color w:val="auto"/>
        </w:rPr>
      </w:pPr>
    </w:p>
    <w:p>
      <w:pPr>
        <w:jc w:val="both"/>
        <w:ind w:left="569" w:right="100"/>
        <w:spacing w:after="0" w:line="271" w:lineRule="auto"/>
        <w:rPr>
          <w:sz w:val="20"/>
          <w:szCs w:val="20"/>
          <w:color w:val="auto"/>
        </w:rPr>
      </w:pPr>
      <w:r>
        <w:rPr>
          <w:rFonts w:ascii="Times New Roman" w:cs="Times New Roman" w:eastAsia="Times New Roman" w:hAnsi="Times New Roman"/>
          <w:sz w:val="15"/>
          <w:szCs w:val="15"/>
          <w:color w:val="auto"/>
        </w:rPr>
        <w:t>We have defined contribution 401(k) plans for our employees who work in the U.S. These plans include the inTEST Corporation Incentive Savings Plan (the “inTEST Plan”) and the Ambrell Corporation Savings &amp; Profit Sharing Plan (the "Ambrell Plan"). During the quarter ended September 30, 2023, the Ambrell Plan, which is discussed further below, was merged into the inTEST Plan.</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9"/>
          </w:cols>
          <w:pgMar w:left="311" w:top="536" w:right="339" w:bottom="1440" w:gutter="0" w:footer="0" w:header="0"/>
        </w:sectPr>
      </w:pPr>
    </w:p>
    <w:bookmarkStart w:id="68" w:name="page69"/>
    <w:bookmarkEnd w:id="68"/>
    <w:p>
      <w:pPr>
        <w:jc w:val="both"/>
        <w:ind w:left="569" w:right="60"/>
        <w:spacing w:after="0" w:line="271" w:lineRule="auto"/>
        <w:rPr>
          <w:sz w:val="20"/>
          <w:szCs w:val="20"/>
          <w:color w:val="auto"/>
        </w:rPr>
      </w:pPr>
      <w:r>
        <w:rPr>
          <w:rFonts w:ascii="Times New Roman" w:cs="Times New Roman" w:eastAsia="Times New Roman" w:hAnsi="Times New Roman"/>
          <w:sz w:val="15"/>
          <w:szCs w:val="15"/>
          <w:color w:val="auto"/>
        </w:rPr>
        <w:t>As of December 31, 2023, all permanent employees of Acculogic Ltd, Ambrell, inTEST Corporation, inTEST EMS LLC, Temptronic Corporation and Videology, who are at least 18 years of age, are eligible to participate in the inTEST Plan. We match employee contributions dollar for dollar up to 10% of the employee's annual compensation, with a maximum limit of $5. Employer contributions vest ratably over four years. Matching contributions are discretionary.</w:t>
      </w:r>
    </w:p>
    <w:p>
      <w:pPr>
        <w:spacing w:after="0" w:line="146" w:lineRule="exact"/>
        <w:rPr>
          <w:sz w:val="20"/>
          <w:szCs w:val="20"/>
          <w:color w:val="auto"/>
        </w:rPr>
      </w:pPr>
    </w:p>
    <w:p>
      <w:pPr>
        <w:ind w:left="569" w:right="280"/>
        <w:spacing w:after="0" w:line="265" w:lineRule="auto"/>
        <w:rPr>
          <w:sz w:val="20"/>
          <w:szCs w:val="20"/>
          <w:color w:val="auto"/>
        </w:rPr>
      </w:pPr>
      <w:r>
        <w:rPr>
          <w:rFonts w:ascii="Times New Roman" w:cs="Times New Roman" w:eastAsia="Times New Roman" w:hAnsi="Times New Roman"/>
          <w:sz w:val="15"/>
          <w:szCs w:val="15"/>
          <w:color w:val="auto"/>
        </w:rPr>
        <w:t>Prior to the merger with the inTEST Plan, all permanent employees of Ambrell were immediately eligible to participate in the Ambrell Plan upon employment and were eligible for employer matching contributions after completing six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w:t>
      </w:r>
    </w:p>
    <w:p>
      <w:pPr>
        <w:spacing w:after="0" w:line="151"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5"/>
          <w:szCs w:val="15"/>
          <w:color w:val="auto"/>
        </w:rPr>
        <w:t>For the years ended December 31, 2023 and 2022, we recorded expense for matching contributions to both plans of $767 and $747, respectively.</w:t>
      </w:r>
    </w:p>
    <w:p>
      <w:pPr>
        <w:spacing w:after="0" w:line="394" w:lineRule="exact"/>
        <w:rPr>
          <w:sz w:val="20"/>
          <w:szCs w:val="20"/>
          <w:color w:val="auto"/>
        </w:rPr>
      </w:pPr>
    </w:p>
    <w:p>
      <w:pPr>
        <w:ind w:left="549" w:hanging="549"/>
        <w:spacing w:after="0"/>
        <w:tabs>
          <w:tab w:leader="none" w:pos="549" w:val="left"/>
        </w:tabs>
        <w:numPr>
          <w:ilvl w:val="0"/>
          <w:numId w:val="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INFORMATION</w:t>
      </w:r>
    </w:p>
    <w:p>
      <w:pPr>
        <w:spacing w:after="0" w:line="197" w:lineRule="exact"/>
        <w:rPr>
          <w:sz w:val="20"/>
          <w:szCs w:val="20"/>
          <w:color w:val="auto"/>
        </w:rPr>
      </w:pPr>
    </w:p>
    <w:p>
      <w:pPr>
        <w:ind w:left="629" w:right="40"/>
        <w:spacing w:after="0" w:line="262" w:lineRule="auto"/>
        <w:rPr>
          <w:sz w:val="20"/>
          <w:szCs w:val="20"/>
          <w:color w:val="auto"/>
        </w:rPr>
      </w:pPr>
      <w:r>
        <w:rPr>
          <w:rFonts w:ascii="Times New Roman" w:cs="Times New Roman" w:eastAsia="Times New Roman" w:hAnsi="Times New Roman"/>
          <w:sz w:val="15"/>
          <w:szCs w:val="15"/>
          <w:color w:val="auto"/>
        </w:rPr>
        <w:t>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54" w:lineRule="exact"/>
        <w:rPr>
          <w:sz w:val="20"/>
          <w:szCs w:val="20"/>
          <w:color w:val="auto"/>
        </w:rPr>
      </w:pPr>
    </w:p>
    <w:p>
      <w:pPr>
        <w:jc w:val="both"/>
        <w:ind w:left="629" w:right="480"/>
        <w:spacing w:after="0" w:line="271" w:lineRule="auto"/>
        <w:rPr>
          <w:sz w:val="20"/>
          <w:szCs w:val="20"/>
          <w:color w:val="auto"/>
        </w:rPr>
      </w:pPr>
      <w:r>
        <w:rPr>
          <w:rFonts w:ascii="Times New Roman" w:cs="Times New Roman" w:eastAsia="Times New Roman" w:hAnsi="Times New Roman"/>
          <w:sz w:val="15"/>
          <w:szCs w:val="15"/>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Electronic Test</w:t>
            </w:r>
          </w:p>
        </w:tc>
        <w:tc>
          <w:tcPr>
            <w:tcW w:w="4460" w:type="dxa"/>
            <w:vAlign w:val="bottom"/>
            <w:gridSpan w:val="2"/>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41,016</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40,219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Environmental Technologies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30,801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30,172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Process Technologies</w:t>
            </w:r>
          </w:p>
        </w:tc>
        <w:tc>
          <w:tcPr>
            <w:tcW w:w="35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446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123,302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116,828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60" w:type="dxa"/>
            <w:vAlign w:val="bottom"/>
            <w:vMerge w:val="restart"/>
          </w:tcPr>
          <w:p>
            <w:pPr>
              <w:spacing w:after="0"/>
              <w:rPr>
                <w:sz w:val="13"/>
                <w:szCs w:val="13"/>
                <w:color w:val="auto"/>
              </w:rPr>
            </w:pPr>
          </w:p>
        </w:tc>
        <w:tc>
          <w:tcPr>
            <w:tcW w:w="3420" w:type="dxa"/>
            <w:vAlign w:val="bottom"/>
            <w:tcBorders>
              <w:top w:val="single" w:sz="8" w:color="CCEEFF"/>
            </w:tcBorders>
          </w:tcPr>
          <w:p>
            <w:pPr>
              <w:spacing w:after="0"/>
              <w:rPr>
                <w:sz w:val="13"/>
                <w:szCs w:val="13"/>
                <w:color w:val="auto"/>
              </w:rPr>
            </w:pPr>
          </w:p>
        </w:tc>
        <w:tc>
          <w:tcPr>
            <w:tcW w:w="35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Division operating income:</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Electronic Test</w:t>
            </w:r>
          </w:p>
        </w:tc>
        <w:tc>
          <w:tcPr>
            <w:tcW w:w="4460" w:type="dxa"/>
            <w:vAlign w:val="bottom"/>
            <w:gridSpan w:val="2"/>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10,189</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Environmental Technologies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3,817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Process Technologies</w:t>
            </w:r>
          </w:p>
        </w:tc>
        <w:tc>
          <w:tcPr>
            <w:tcW w:w="35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division operating income</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22,806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21,978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15"/>
                <w:szCs w:val="15"/>
                <w:color w:val="auto"/>
              </w:rPr>
            </w:pPr>
          </w:p>
        </w:tc>
        <w:tc>
          <w:tcPr>
            <w:tcW w:w="3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expenses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(10,272)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(8,563)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Acquired intangible amortization</w:t>
            </w: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(2,095)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(2,694)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(679)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35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 before income tax expense</w:t>
            </w:r>
          </w:p>
        </w:tc>
        <w:tc>
          <w:tcPr>
            <w:tcW w:w="35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10,145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60" w:type="dxa"/>
            <w:vAlign w:val="bottom"/>
            <w:vMerge w:val="restart"/>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vMerge w:val="restart"/>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Identifiable assets: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Electronic Test</w:t>
            </w:r>
          </w:p>
        </w:tc>
        <w:tc>
          <w:tcPr>
            <w:tcW w:w="4460" w:type="dxa"/>
            <w:vAlign w:val="bottom"/>
            <w:gridSpan w:val="2"/>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32,505</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31,143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Environmental Technologies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16,772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18,040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Process Technologies</w:t>
            </w: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56,842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56,866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w:t>
            </w:r>
          </w:p>
        </w:tc>
        <w:tc>
          <w:tcPr>
            <w:tcW w:w="35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28,710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460" w:type="dxa"/>
            <w:vAlign w:val="bottom"/>
            <w:gridSpan w:val="2"/>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134,829</w:t>
            </w:r>
          </w:p>
        </w:tc>
        <w:tc>
          <w:tcPr>
            <w:tcW w:w="120" w:type="dxa"/>
            <w:vAlign w:val="bottom"/>
          </w:tcPr>
          <w:p>
            <w:pPr>
              <w:spacing w:after="0"/>
              <w:rPr>
                <w:sz w:val="15"/>
                <w:szCs w:val="15"/>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110,066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vMerge w:val="restart"/>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Capital expenditures:</w:t>
            </w: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Electronic Test</w:t>
            </w:r>
          </w:p>
        </w:tc>
        <w:tc>
          <w:tcPr>
            <w:tcW w:w="446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599</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Environmental Technologies</w:t>
            </w:r>
          </w:p>
        </w:tc>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368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Process Technologies</w:t>
            </w:r>
          </w:p>
        </w:tc>
        <w:tc>
          <w:tcPr>
            <w:tcW w:w="3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Corporate</w:t>
            </w:r>
          </w:p>
        </w:tc>
        <w:tc>
          <w:tcPr>
            <w:tcW w:w="35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96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356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5"/>
                <w:szCs w:val="15"/>
                <w:color w:val="auto"/>
              </w:rPr>
              <w:t>F- 29</w:t>
            </w:r>
          </w:p>
        </w:tc>
        <w:tc>
          <w:tcPr>
            <w:tcW w:w="9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6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513" w:right="319" w:bottom="1440" w:gutter="0" w:footer="0" w:header="0"/>
        </w:sectPr>
      </w:pPr>
    </w:p>
    <w:bookmarkStart w:id="69" w:name="page70"/>
    <w:bookmarkEnd w:id="69"/>
    <w:p>
      <w:pPr>
        <w:ind w:left="569"/>
        <w:spacing w:after="0"/>
        <w:rPr>
          <w:sz w:val="20"/>
          <w:szCs w:val="20"/>
          <w:color w:val="auto"/>
        </w:rPr>
      </w:pPr>
      <w:r>
        <w:rPr>
          <w:rFonts w:ascii="Times New Roman" w:cs="Times New Roman" w:eastAsia="Times New Roman" w:hAnsi="Times New Roman"/>
          <w:sz w:val="15"/>
          <w:szCs w:val="15"/>
          <w:color w:val="auto"/>
        </w:rPr>
        <w:t>The following table provides information about our geographic areas of operation. Revenue is based on the location to which the goods are shipped.</w:t>
      </w:r>
    </w:p>
    <w:p>
      <w:pPr>
        <w:spacing w:after="0" w:line="189" w:lineRule="exact"/>
        <w:rPr>
          <w:sz w:val="20"/>
          <w:szCs w:val="20"/>
          <w:color w:val="auto"/>
        </w:rPr>
      </w:pPr>
    </w:p>
    <w:tbl>
      <w:tblPr>
        <w:tblLayout w:type="fixed"/>
        <w:tblInd w:w="829"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6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9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U.S.</w:t>
            </w: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45,222</w:t>
            </w:r>
          </w:p>
        </w:tc>
        <w:tc>
          <w:tcPr>
            <w:tcW w:w="200" w:type="dxa"/>
            <w:vAlign w:val="bottom"/>
          </w:tcPr>
          <w:p>
            <w:pPr>
              <w:spacing w:after="0"/>
              <w:rPr>
                <w:sz w:val="15"/>
                <w:szCs w:val="15"/>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49,096</w:t>
            </w:r>
          </w:p>
        </w:tc>
      </w:tr>
      <w:tr>
        <w:trPr>
          <w:trHeight w:val="18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78,080</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67,732</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4"/>
        </w:trPr>
        <w:tc>
          <w:tcPr>
            <w:tcW w:w="6980" w:type="dxa"/>
            <w:vAlign w:val="bottom"/>
          </w:tcPr>
          <w:p>
            <w:pPr>
              <w:spacing w:after="0"/>
              <w:rPr>
                <w:sz w:val="15"/>
                <w:szCs w:val="15"/>
                <w:color w:val="auto"/>
              </w:rPr>
            </w:pP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123,302</w:t>
            </w:r>
          </w:p>
        </w:tc>
        <w:tc>
          <w:tcPr>
            <w:tcW w:w="200" w:type="dxa"/>
            <w:vAlign w:val="bottom"/>
          </w:tcPr>
          <w:p>
            <w:pPr>
              <w:spacing w:after="0"/>
              <w:rPr>
                <w:sz w:val="15"/>
                <w:szCs w:val="15"/>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116,828</w:t>
            </w:r>
          </w:p>
        </w:tc>
      </w:tr>
      <w:tr>
        <w:trPr>
          <w:trHeight w:val="20"/>
        </w:trPr>
        <w:tc>
          <w:tcPr>
            <w:tcW w:w="6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829" w:type="dxa"/>
        <w:tblCellMar>
          <w:top w:w="0" w:type="dxa"/>
          <w:left w:w="0" w:type="dxa"/>
          <w:bottom w:w="0" w:type="dxa"/>
          <w:right w:w="0" w:type="dxa"/>
        </w:tblCellMar>
      </w:tblPr>
      <w:tr>
        <w:trPr>
          <w:trHeight w:val="201"/>
        </w:trPr>
        <w:tc>
          <w:tcPr>
            <w:tcW w:w="6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980" w:type="dxa"/>
            <w:vAlign w:val="bottom"/>
          </w:tcPr>
          <w:p>
            <w:pPr>
              <w:spacing w:after="0"/>
              <w:rPr>
                <w:sz w:val="15"/>
                <w:szCs w:val="15"/>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5"/>
                <w:szCs w:val="15"/>
                <w:color w:val="auto"/>
              </w:rPr>
            </w:pPr>
          </w:p>
        </w:tc>
      </w:tr>
      <w:tr>
        <w:trPr>
          <w:trHeight w:val="17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U.S.</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2,502</w:t>
            </w:r>
          </w:p>
        </w:tc>
        <w:tc>
          <w:tcPr>
            <w:tcW w:w="200" w:type="dxa"/>
            <w:vAlign w:val="bottom"/>
          </w:tcPr>
          <w:p>
            <w:pPr>
              <w:spacing w:after="0"/>
              <w:rPr>
                <w:sz w:val="15"/>
                <w:szCs w:val="15"/>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2,658</w:t>
            </w:r>
          </w:p>
        </w:tc>
        <w:tc>
          <w:tcPr>
            <w:tcW w:w="80" w:type="dxa"/>
            <w:vAlign w:val="bottom"/>
          </w:tcPr>
          <w:p>
            <w:pPr>
              <w:spacing w:after="0"/>
              <w:rPr>
                <w:sz w:val="15"/>
                <w:szCs w:val="15"/>
                <w:color w:val="auto"/>
              </w:rPr>
            </w:pPr>
          </w:p>
        </w:tc>
      </w:tr>
      <w:tr>
        <w:trPr>
          <w:trHeight w:val="18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474</w:t>
            </w:r>
          </w:p>
        </w:tc>
      </w:tr>
      <w:tr>
        <w:trPr>
          <w:trHeight w:val="174"/>
        </w:trPr>
        <w:tc>
          <w:tcPr>
            <w:tcW w:w="6980" w:type="dxa"/>
            <w:vAlign w:val="bottom"/>
            <w:tcBorders>
              <w:top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3,190</w:t>
            </w: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3,132</w:t>
            </w:r>
          </w:p>
        </w:tc>
        <w:tc>
          <w:tcPr>
            <w:tcW w:w="80" w:type="dxa"/>
            <w:vAlign w:val="bottom"/>
            <w:tcBorders>
              <w:top w:val="single" w:sz="8" w:color="CCEEFF"/>
            </w:tcBorders>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9" w:lineRule="exact"/>
        <w:rPr>
          <w:sz w:val="20"/>
          <w:szCs w:val="20"/>
          <w:color w:val="auto"/>
        </w:rPr>
      </w:pPr>
    </w:p>
    <w:p>
      <w:pPr>
        <w:ind w:left="549" w:hanging="549"/>
        <w:spacing w:after="0"/>
        <w:tabs>
          <w:tab w:leader="none" w:pos="549"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QUARTERLY CONSOLIDATED FINANCIAL DATA (Unaudited)</w:t>
      </w:r>
    </w:p>
    <w:p>
      <w:pPr>
        <w:spacing w:after="0" w:line="196" w:lineRule="exact"/>
        <w:rPr>
          <w:rFonts w:ascii="Times New Roman" w:cs="Times New Roman" w:eastAsia="Times New Roman" w:hAnsi="Times New Roman"/>
          <w:sz w:val="15"/>
          <w:szCs w:val="15"/>
          <w:b w:val="1"/>
          <w:bCs w:val="1"/>
          <w:color w:val="auto"/>
        </w:rPr>
      </w:pPr>
    </w:p>
    <w:p>
      <w:pPr>
        <w:ind w:left="569" w:right="14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tables present certain unaudited consolidated quarterly financial information for each of the eight quarters ended December 31, 2023.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51" w:lineRule="exact"/>
        <w:rPr>
          <w:rFonts w:ascii="Times New Roman" w:cs="Times New Roman" w:eastAsia="Times New Roman" w:hAnsi="Times New Roman"/>
          <w:sz w:val="15"/>
          <w:szCs w:val="15"/>
          <w:b w:val="1"/>
          <w:bCs w:val="1"/>
          <w:color w:val="auto"/>
        </w:rPr>
      </w:pPr>
    </w:p>
    <w:p>
      <w:pPr>
        <w:ind w:left="569" w:right="36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42" w:lineRule="exact"/>
        <w:rPr>
          <w:sz w:val="20"/>
          <w:szCs w:val="20"/>
          <w:color w:val="auto"/>
        </w:rPr>
      </w:pPr>
    </w:p>
    <w:tbl>
      <w:tblPr>
        <w:tblLayout w:type="fixed"/>
        <w:tblInd w:w="549" w:type="dxa"/>
        <w:tblCellMar>
          <w:top w:w="0" w:type="dxa"/>
          <w:left w:w="0" w:type="dxa"/>
          <w:bottom w:w="0" w:type="dxa"/>
          <w:right w:w="0" w:type="dxa"/>
        </w:tblCellMar>
      </w:tblPr>
      <w:tr>
        <w:trPr>
          <w:trHeight w:val="201"/>
        </w:trPr>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Quarters Ended</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3/31/23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6/30/23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9/30/23</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12/31/23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31,919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32,558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30,941</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27,884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123,302</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15,052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15,030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14,447</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12,449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56,978</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before income tax expense</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2,723</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11,048</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446</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1,706</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2,277</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9,342</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 per common share – basic</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0.19</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0.82</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10,755,729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11,241,183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11,886,005</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11,962,679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11,461,399</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 per common share – diluted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0.19</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0.79</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11,088,664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11,696,569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12,212,317</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12,122,099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11,779,912</w:t>
            </w:r>
          </w:p>
        </w:tc>
        <w:tc>
          <w:tcPr>
            <w:tcW w:w="0" w:type="dxa"/>
            <w:vAlign w:val="bottom"/>
          </w:tcPr>
          <w:p>
            <w:pPr>
              <w:spacing w:after="0"/>
              <w:rPr>
                <w:sz w:val="1"/>
                <w:szCs w:val="1"/>
                <w:color w:val="auto"/>
              </w:rPr>
            </w:pPr>
          </w:p>
        </w:tc>
      </w:tr>
    </w:tbl>
    <w:p>
      <w:pPr>
        <w:spacing w:after="0" w:line="332"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Quarters Ended</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3/31/22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6/30/22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9/30/22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12/31/22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24,081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29,571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30,771</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32,405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116,828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11,013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13,898</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53,440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before income tax expense</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3,039</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515</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2,524</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 per common share – basic</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0.24</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10,617,271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10,653,268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10,695,867</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10,725,662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10,673,017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earnings per common share – diluted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0.23</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10,842,592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10,814,799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10,864,540</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10,928,220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10,862,538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536" w:right="319" w:bottom="1440" w:gutter="0" w:footer="0" w:header="0"/>
        </w:sectPr>
      </w:pPr>
    </w:p>
    <w:bookmarkStart w:id="70" w:name="page71"/>
    <w:bookmarkEnd w:id="70"/>
    <w:p>
      <w:pPr>
        <w:ind w:left="549" w:right="9040" w:hanging="549"/>
        <w:spacing w:after="0" w:line="510" w:lineRule="auto"/>
        <w:tabs>
          <w:tab w:leader="none" w:pos="549"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SUBSEQUENT EVENTS </w:t>
      </w:r>
      <w:r>
        <w:rPr>
          <w:rFonts w:ascii="Times New Roman" w:cs="Times New Roman" w:eastAsia="Times New Roman" w:hAnsi="Times New Roman"/>
          <w:sz w:val="15"/>
          <w:szCs w:val="15"/>
          <w:u w:val="single" w:color="auto"/>
          <w:color w:val="auto"/>
        </w:rPr>
        <w:t>ACQUISITION</w:t>
      </w:r>
    </w:p>
    <w:p>
      <w:pPr>
        <w:spacing w:after="0" w:line="1" w:lineRule="exact"/>
        <w:rPr>
          <w:rFonts w:ascii="Times New Roman" w:cs="Times New Roman" w:eastAsia="Times New Roman" w:hAnsi="Times New Roman"/>
          <w:sz w:val="15"/>
          <w:szCs w:val="15"/>
          <w:b w:val="1"/>
          <w:bCs w:val="1"/>
          <w:color w:val="auto"/>
        </w:rPr>
      </w:pPr>
    </w:p>
    <w:p>
      <w:pPr>
        <w:ind w:left="549" w:right="60"/>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March 12, 2024 we entered into a stock purchase agreement to acquire all of the outstanding capital shares of Alfamation S.p.A.,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will become a part of our Electronic Test operating segment. The aggregate purchase price was approximately EUR 20,000 comprised of approximately EUR 18,000 in cash, 187,432 shares of our common stock and an additional approximately EUR 542 in cash for assets delivered at closing in excess of agreed upon thresholds. On the closing date, this equated to a total purchase price of approximately $22,358.</w:t>
      </w:r>
    </w:p>
    <w:p>
      <w:pPr>
        <w:spacing w:after="0" w:line="152" w:lineRule="exact"/>
        <w:rPr>
          <w:rFonts w:ascii="Times New Roman" w:cs="Times New Roman" w:eastAsia="Times New Roman" w:hAnsi="Times New Roman"/>
          <w:sz w:val="15"/>
          <w:szCs w:val="15"/>
          <w:b w:val="1"/>
          <w:bCs w:val="1"/>
          <w:color w:val="auto"/>
        </w:rPr>
      </w:pPr>
    </w:p>
    <w:p>
      <w:pPr>
        <w:ind w:left="549" w:right="4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connection with the acquisition, we have entered into a lease agreement (the “Lease Agreement”) with the former owner of Alfamation. The Lease Agreement will last for six years starting on March 12, 2024 and will be automatically renewed for the same period of time unless terminated by either party. Under the terms of the Lease Agreement, Alfamation will lease warehouse and office space totaling about 51,817 square feet. Alfamation will pay a yearly lease payment of EUR 231 broken up into four equal payments. At the date of the signing of the lease, this yearly lease payment equated to approximately $253.</w:t>
      </w:r>
    </w:p>
    <w:p>
      <w:pPr>
        <w:spacing w:after="0" w:line="151" w:lineRule="exact"/>
        <w:rPr>
          <w:rFonts w:ascii="Times New Roman" w:cs="Times New Roman" w:eastAsia="Times New Roman" w:hAnsi="Times New Roman"/>
          <w:sz w:val="15"/>
          <w:szCs w:val="15"/>
          <w:b w:val="1"/>
          <w:bCs w:val="1"/>
          <w:color w:val="auto"/>
        </w:rPr>
      </w:pPr>
    </w:p>
    <w:p>
      <w:pPr>
        <w:ind w:left="5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RESTATEMENT OF PREVIOUSLY ISSUED CONSOLIDATED FINANCIAL STATEMENTS</w:t>
      </w:r>
    </w:p>
    <w:p>
      <w:pPr>
        <w:spacing w:after="0" w:line="192" w:lineRule="exact"/>
        <w:rPr>
          <w:rFonts w:ascii="Times New Roman" w:cs="Times New Roman" w:eastAsia="Times New Roman" w:hAnsi="Times New Roman"/>
          <w:sz w:val="15"/>
          <w:szCs w:val="15"/>
          <w:b w:val="1"/>
          <w:bCs w:val="1"/>
          <w:color w:val="auto"/>
        </w:rPr>
      </w:pPr>
    </w:p>
    <w:p>
      <w:pPr>
        <w:ind w:left="549"/>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March 27, 2024, prior to the filing of this Report, we filed a Form 10-Q/A to amend our Quarterly Report on Form 10-Q for the quarterly period ended September 30, 2023, as filed with the SEC on November 9, 2023. The Form 10-Q/A was filed to restate our unaudited consolidated financial statements for the three and nine months ended September 30, 2023. The restatement reflected the reversal of revenue related to the sale of discontinued material/components purchased on behalf of customers where the associated materials/components were still physically located with us and the materials/components are expected to be applied to future product orders for these customers. These transactions were all fully paid for and legal title for the material/components has transferred to the customer. However, these facts alone are not sufficient for revenue recognition under U.S. GAAP for such an arrangement. These adjustments were evaluated by management in accordance with SEC Staff Accounting Bulletin Topic 1M, "Materiality" and management determined the effects of the restatement to be material. See Note 3 to the unaudited consolidated financial statements included in the Form 10-Q/A filed on March 27, 2024 for further information regarding the restatement. All amounts in this Report have been adjusted to reflect the effect of the restatement as applicable.</w:t>
      </w:r>
    </w:p>
    <w:p>
      <w:pPr>
        <w:spacing w:after="0" w:line="15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9"/>
          </w:cols>
          <w:pgMar w:left="311" w:top="737" w:right="339" w:bottom="1440" w:gutter="0" w:footer="0" w:header="0"/>
        </w:sectPr>
      </w:pPr>
    </w:p>
    <w:bookmarkStart w:id="71" w:name="page72"/>
    <w:bookmarkEnd w:id="71"/>
    <w:p>
      <w:pPr>
        <w:jc w:val="center"/>
        <w:ind w:right="-248"/>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29" w:lineRule="exact"/>
        <w:rPr>
          <w:sz w:val="20"/>
          <w:szCs w:val="20"/>
          <w:color w:val="auto"/>
        </w:rPr>
      </w:pPr>
    </w:p>
    <w:p>
      <w:pPr>
        <w:jc w:val="center"/>
        <w:ind w:right="-248"/>
        <w:spacing w:after="0"/>
        <w:rPr>
          <w:sz w:val="20"/>
          <w:szCs w:val="20"/>
          <w:color w:val="auto"/>
        </w:rPr>
      </w:pPr>
      <w:r>
        <w:rPr>
          <w:rFonts w:ascii="Times New Roman" w:cs="Times New Roman" w:eastAsia="Times New Roman" w:hAnsi="Times New Roman"/>
          <w:sz w:val="15"/>
          <w:szCs w:val="15"/>
          <w:b w:val="1"/>
          <w:bCs w:val="1"/>
          <w:color w:val="auto"/>
        </w:rPr>
        <w:t>SCHEDULE II -- VALUATION AND QUALIFYING ACCOUNTS</w:t>
      </w:r>
    </w:p>
    <w:p>
      <w:pPr>
        <w:spacing w:after="0" w:line="10" w:lineRule="exact"/>
        <w:rPr>
          <w:sz w:val="20"/>
          <w:szCs w:val="20"/>
          <w:color w:val="auto"/>
        </w:rPr>
      </w:pPr>
    </w:p>
    <w:p>
      <w:pPr>
        <w:jc w:val="center"/>
        <w:ind w:right="-248"/>
        <w:spacing w:after="0"/>
        <w:rPr>
          <w:sz w:val="20"/>
          <w:szCs w:val="20"/>
          <w:color w:val="auto"/>
        </w:rPr>
      </w:pPr>
      <w:r>
        <w:rPr>
          <w:rFonts w:ascii="Times New Roman" w:cs="Times New Roman" w:eastAsia="Times New Roman" w:hAnsi="Times New Roman"/>
          <w:sz w:val="15"/>
          <w:szCs w:val="15"/>
          <w:color w:val="auto"/>
        </w:rPr>
        <w:t>(in thousands)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5"/>
                <w:szCs w:val="15"/>
                <w:b w:val="1"/>
                <w:bCs w:val="1"/>
                <w:color w:val="auto"/>
                <w:w w:val="99"/>
              </w:rPr>
              <w:t>Amounts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Balance 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through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Balance at</w:t>
            </w:r>
          </w:p>
        </w:tc>
      </w:t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Beginning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2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Translation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End of</w:t>
            </w:r>
          </w:p>
        </w:tc>
      </w:tr>
      <w:tr>
        <w:trPr>
          <w:trHeight w:val="201"/>
        </w:trPr>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of Period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(Recovery)(1)</w:t>
            </w:r>
          </w:p>
        </w:tc>
        <w:tc>
          <w:tcPr>
            <w:tcW w:w="12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(Deductions)</w:t>
            </w: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5"/>
                <w:szCs w:val="15"/>
                <w:b w:val="1"/>
                <w:bCs w:val="1"/>
                <w:color w:val="auto"/>
                <w:w w:val="99"/>
              </w:rPr>
              <w:t>Combinations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Period</w:t>
            </w:r>
          </w:p>
        </w:tc>
      </w:tr>
      <w:tr>
        <w:trPr>
          <w:trHeight w:val="174"/>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w:t>
            </w:r>
          </w:p>
        </w:tc>
        <w:tc>
          <w:tcPr>
            <w:tcW w:w="10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474</w:t>
            </w:r>
          </w:p>
        </w:tc>
      </w:tr>
      <w:tr>
        <w:trPr>
          <w:trHeight w:val="18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reserve</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351</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(376)</w:t>
            </w:r>
          </w:p>
        </w:tc>
        <w:tc>
          <w:tcPr>
            <w:tcW w:w="10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648</w:t>
            </w:r>
          </w:p>
        </w:tc>
      </w:tr>
      <w:tr>
        <w:trPr>
          <w:trHeight w:val="183"/>
        </w:trPr>
        <w:tc>
          <w:tcPr>
            <w:tcW w:w="2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2022</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281</w:t>
            </w:r>
          </w:p>
        </w:tc>
        <w:tc>
          <w:tcPr>
            <w:tcW w:w="10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496</w:t>
            </w:r>
          </w:p>
        </w:tc>
      </w:tr>
      <w:tr>
        <w:trPr>
          <w:trHeight w:val="18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reserve</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473</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(315)</w:t>
            </w:r>
          </w:p>
        </w:tc>
        <w:tc>
          <w:tcPr>
            <w:tcW w:w="10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673</w:t>
            </w:r>
          </w:p>
        </w:tc>
      </w:tr>
    </w:tbl>
    <w:p>
      <w:pPr>
        <w:spacing w:after="0" w:line="168" w:lineRule="exact"/>
        <w:rPr>
          <w:sz w:val="20"/>
          <w:szCs w:val="20"/>
          <w:color w:val="auto"/>
        </w:rPr>
      </w:pPr>
    </w:p>
    <w:p>
      <w:pPr>
        <w:ind w:left="269" w:right="100" w:hanging="269"/>
        <w:spacing w:after="0" w:line="288" w:lineRule="auto"/>
        <w:tabs>
          <w:tab w:leader="none" w:pos="26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Bad debt recoveries in the table above do not include $198 and $470 for the years ended December 31, 2023 and 2022, respectively, that relate to receivables acquired in 2021 that were valued at $0 at the time of acquisition but were subsequently recovered.</w:t>
      </w:r>
    </w:p>
    <w:p>
      <w:pPr>
        <w:spacing w:after="0" w:line="3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F-32</w:t>
      </w:r>
    </w:p>
    <w:p>
      <w:pPr>
        <w:sectPr>
          <w:pgSz w:w="11900" w:h="16838" w:orient="portrait"/>
          <w:cols w:equalWidth="0" w:num="1">
            <w:col w:w="11269"/>
          </w:cols>
          <w:pgMar w:left="311" w:top="737"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10.33</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1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OFFICER COMPENSATION PLAN</w:t>
      </w:r>
    </w:p>
    <w:p>
      <w:pPr>
        <w:spacing w:after="0" w:line="197" w:lineRule="exact"/>
        <w:rPr>
          <w:sz w:val="20"/>
          <w:szCs w:val="20"/>
          <w:color w:val="auto"/>
        </w:rPr>
      </w:pPr>
    </w:p>
    <w:p>
      <w:pPr>
        <w:jc w:val="both"/>
        <w:ind w:left="9" w:firstLine="548"/>
        <w:spacing w:after="0" w:line="271" w:lineRule="auto"/>
        <w:rPr>
          <w:sz w:val="20"/>
          <w:szCs w:val="20"/>
          <w:color w:val="auto"/>
        </w:rPr>
      </w:pPr>
      <w:r>
        <w:rPr>
          <w:rFonts w:ascii="Times New Roman" w:cs="Times New Roman" w:eastAsia="Times New Roman" w:hAnsi="Times New Roman"/>
          <w:sz w:val="15"/>
          <w:szCs w:val="15"/>
          <w:color w:val="auto"/>
        </w:rPr>
        <w:t>The Compensation Committee (the “Committee”) of the Board of Directors of inTEST Corporation (the “Company”) has approved a compensation plan for [ ] (each, a “Selected Officer”) for[ ]. The components of this plan include (i) base salary, (ii) short term incentive compensation in the form of a performance based bonus and (iii) long term incentive compensation in the form of equity compensation grants.</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u w:val="single" w:color="auto"/>
          <w:color w:val="auto"/>
        </w:rPr>
        <w:t>Base Salary</w:t>
      </w:r>
    </w:p>
    <w:p>
      <w:pPr>
        <w:spacing w:after="0" w:line="197"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The base salary of the Selected Officers for [ ], effective on [ ], are as follows:</w:t>
      </w:r>
    </w:p>
    <w:p>
      <w:pPr>
        <w:spacing w:after="0" w:line="183" w:lineRule="exact"/>
        <w:rPr>
          <w:sz w:val="20"/>
          <w:szCs w:val="20"/>
          <w:color w:val="auto"/>
        </w:rPr>
      </w:pPr>
    </w:p>
    <w:tbl>
      <w:tblPr>
        <w:tblLayout w:type="fixed"/>
        <w:tblInd w:w="549" w:type="dxa"/>
        <w:tblCellMar>
          <w:top w:w="0" w:type="dxa"/>
          <w:left w:w="0" w:type="dxa"/>
          <w:bottom w:w="0" w:type="dxa"/>
          <w:right w:w="0" w:type="dxa"/>
        </w:tblCellMar>
      </w:tblPr>
      <w:tr>
        <w:trPr>
          <w:trHeight w:val="172"/>
        </w:trPr>
        <w:tc>
          <w:tcPr>
            <w:tcW w:w="2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Base Salary</w:t>
            </w:r>
          </w:p>
        </w:tc>
      </w:tr>
      <w:tr>
        <w:trPr>
          <w:trHeight w:val="182"/>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r>
    </w:tbl>
    <w:p>
      <w:pPr>
        <w:spacing w:after="0" w:line="1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u w:val="single" w:color="auto"/>
          <w:color w:val="auto"/>
        </w:rPr>
        <w:t>Short Term Incentive Compensation</w:t>
      </w:r>
    </w:p>
    <w:p>
      <w:pPr>
        <w:spacing w:after="0" w:line="197" w:lineRule="exact"/>
        <w:rPr>
          <w:sz w:val="20"/>
          <w:szCs w:val="20"/>
          <w:color w:val="auto"/>
        </w:rPr>
      </w:pPr>
    </w:p>
    <w:p>
      <w:pPr>
        <w:ind w:left="129"/>
        <w:spacing w:after="0"/>
        <w:rPr>
          <w:sz w:val="20"/>
          <w:szCs w:val="20"/>
          <w:color w:val="auto"/>
        </w:rPr>
      </w:pPr>
      <w:r>
        <w:rPr>
          <w:rFonts w:ascii="Times New Roman" w:cs="Times New Roman" w:eastAsia="Times New Roman" w:hAnsi="Times New Roman"/>
          <w:sz w:val="15"/>
          <w:szCs w:val="15"/>
          <w:color w:val="auto"/>
        </w:rPr>
        <w:t>The performance bonus payment target percentages to be used in the Selected Officers’ bonus calculation for [ ] are as follows:</w:t>
      </w:r>
    </w:p>
    <w:p>
      <w:pPr>
        <w:spacing w:after="0" w:line="183" w:lineRule="exact"/>
        <w:rPr>
          <w:sz w:val="20"/>
          <w:szCs w:val="20"/>
          <w:color w:val="auto"/>
        </w:rPr>
      </w:pPr>
    </w:p>
    <w:tbl>
      <w:tblPr>
        <w:tblLayout w:type="fixed"/>
        <w:tblInd w:w="549" w:type="dxa"/>
        <w:tblCellMar>
          <w:top w:w="0" w:type="dxa"/>
          <w:left w:w="0" w:type="dxa"/>
          <w:bottom w:w="0" w:type="dxa"/>
          <w:right w:w="0" w:type="dxa"/>
        </w:tblCellMar>
      </w:tblPr>
      <w:tr>
        <w:trPr>
          <w:trHeight w:val="172"/>
        </w:trPr>
        <w:tc>
          <w:tcPr>
            <w:tcW w:w="2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9"/>
              </w:rPr>
              <w:t>Target Percentage</w:t>
            </w:r>
          </w:p>
        </w:tc>
      </w:tr>
      <w:tr>
        <w:trPr>
          <w:trHeight w:val="182"/>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820" w:type="dxa"/>
            <w:vAlign w:val="bottom"/>
          </w:tcPr>
          <w:p>
            <w:pPr>
              <w:jc w:val="right"/>
              <w:ind w:right="44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r>
    </w:tbl>
    <w:p>
      <w:pPr>
        <w:spacing w:after="0" w:line="168" w:lineRule="exact"/>
        <w:rPr>
          <w:sz w:val="20"/>
          <w:szCs w:val="20"/>
          <w:color w:val="auto"/>
        </w:rPr>
      </w:pPr>
    </w:p>
    <w:p>
      <w:pPr>
        <w:ind w:left="9" w:right="20" w:hanging="9"/>
        <w:spacing w:after="0" w:line="288" w:lineRule="auto"/>
        <w:tabs>
          <w:tab w:leader="none" w:pos="47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a Selected Officer’s bonus may range from zero (if none of the performance metrics are satisfied) to an amount that may exceed the target performance bonus amounts.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u w:val="single" w:color="auto"/>
          <w:color w:val="auto"/>
        </w:rPr>
        <w:t>Short Term Incentive Target and Performance Objectives</w:t>
      </w:r>
    </w:p>
    <w:p>
      <w:pPr>
        <w:spacing w:after="0" w:line="197"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The Selected Officers will each be eligible to receive a performance bonus payment upon satisfaction of the following weighted performance metrics during 2024:</w:t>
      </w:r>
    </w:p>
    <w:p>
      <w:pPr>
        <w:spacing w:after="0" w:line="183"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54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9"/>
              </w:rPr>
              <w:t>Performan Goal</w:t>
            </w:r>
          </w:p>
        </w:tc>
        <w:tc>
          <w:tcPr>
            <w:tcW w:w="410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7"/>
              </w:rPr>
              <w:t>Weighting</w:t>
            </w:r>
          </w:p>
        </w:tc>
        <w:tc>
          <w:tcPr>
            <w:tcW w:w="5000" w:type="dxa"/>
            <w:vAlign w:val="bottom"/>
          </w:tcPr>
          <w:p>
            <w:pPr>
              <w:spacing w:after="0"/>
              <w:rPr>
                <w:sz w:val="15"/>
                <w:szCs w:val="15"/>
                <w:color w:val="auto"/>
              </w:rPr>
            </w:pPr>
          </w:p>
        </w:tc>
      </w:tr>
      <w:tr>
        <w:trPr>
          <w:trHeight w:val="182"/>
        </w:trPr>
        <w:tc>
          <w:tcPr>
            <w:tcW w:w="8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5000" w:type="dxa"/>
            <w:vAlign w:val="bottom"/>
          </w:tcPr>
          <w:p>
            <w:pPr>
              <w:spacing w:after="0"/>
              <w:rPr>
                <w:sz w:val="15"/>
                <w:szCs w:val="15"/>
                <w:color w:val="auto"/>
              </w:rPr>
            </w:pPr>
          </w:p>
        </w:tc>
      </w:tr>
      <w:tr>
        <w:trPr>
          <w:trHeight w:val="183"/>
        </w:trPr>
        <w:tc>
          <w:tcPr>
            <w:tcW w:w="8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5000" w:type="dxa"/>
            <w:vAlign w:val="bottom"/>
          </w:tcPr>
          <w:p>
            <w:pPr>
              <w:spacing w:after="0"/>
              <w:rPr>
                <w:sz w:val="15"/>
                <w:szCs w:val="15"/>
                <w:color w:val="auto"/>
              </w:rPr>
            </w:pPr>
          </w:p>
        </w:tc>
      </w:tr>
      <w:tr>
        <w:trPr>
          <w:trHeight w:val="183"/>
        </w:trPr>
        <w:tc>
          <w:tcPr>
            <w:tcW w:w="8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5000" w:type="dxa"/>
            <w:vAlign w:val="bottom"/>
          </w:tcPr>
          <w:p>
            <w:pPr>
              <w:spacing w:after="0"/>
              <w:rPr>
                <w:sz w:val="15"/>
                <w:szCs w:val="15"/>
                <w:color w:val="auto"/>
              </w:rPr>
            </w:pPr>
          </w:p>
        </w:tc>
      </w:tr>
      <w:tr>
        <w:trPr>
          <w:trHeight w:val="183"/>
        </w:trPr>
        <w:tc>
          <w:tcPr>
            <w:tcW w:w="8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5000" w:type="dxa"/>
            <w:vAlign w:val="bottom"/>
          </w:tcPr>
          <w:p>
            <w:pPr>
              <w:spacing w:after="0"/>
              <w:rPr>
                <w:sz w:val="15"/>
                <w:szCs w:val="15"/>
                <w:color w:val="auto"/>
              </w:rPr>
            </w:pPr>
          </w:p>
        </w:tc>
      </w:tr>
      <w:tr>
        <w:trPr>
          <w:trHeight w:val="198"/>
        </w:trPr>
        <w:tc>
          <w:tcPr>
            <w:tcW w:w="8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5000" w:type="dxa"/>
            <w:vAlign w:val="bottom"/>
          </w:tcPr>
          <w:p>
            <w:pPr>
              <w:spacing w:after="0"/>
              <w:rPr>
                <w:sz w:val="17"/>
                <w:szCs w:val="17"/>
                <w:color w:val="auto"/>
              </w:rPr>
            </w:pPr>
          </w:p>
        </w:tc>
      </w:tr>
      <w:tr>
        <w:trPr>
          <w:trHeight w:val="482"/>
        </w:trPr>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121" w:right="319" w:bottom="1440" w:gutter="0" w:footer="0" w:header="0"/>
        </w:sectPr>
      </w:pPr>
    </w:p>
    <w:bookmarkStart w:id="73" w:name="page74"/>
    <w:bookmarkEnd w:id="73"/>
    <w:p>
      <w:pPr>
        <w:jc w:val="both"/>
        <w:ind w:right="20" w:firstLine="548"/>
        <w:spacing w:after="0" w:line="288" w:lineRule="auto"/>
        <w:rPr>
          <w:sz w:val="20"/>
          <w:szCs w:val="20"/>
          <w:color w:val="auto"/>
        </w:rPr>
      </w:pPr>
      <w:r>
        <w:rPr>
          <w:rFonts w:ascii="Times New Roman" w:cs="Times New Roman" w:eastAsia="Times New Roman" w:hAnsi="Times New Roman"/>
          <w:sz w:val="15"/>
          <w:szCs w:val="15"/>
          <w:color w:val="auto"/>
        </w:rPr>
        <w:t>A Selected Officer’s respective performance bonus target percentage multiplied by his base salary; with that amount multiplied by the performance metric weighting factor; with that amount multiplied by the factor percentage, if any, determined from the matrix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matricies</w:t>
      </w:r>
      <w:r>
        <w:rPr>
          <w:rFonts w:ascii="Times New Roman" w:cs="Times New Roman" w:eastAsia="Times New Roman" w:hAnsi="Times New Roman"/>
          <w:sz w:val="15"/>
          <w:szCs w:val="15"/>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General</w:t>
      </w:r>
    </w:p>
    <w:p>
      <w:pPr>
        <w:spacing w:after="0" w:line="193" w:lineRule="exact"/>
        <w:rPr>
          <w:sz w:val="20"/>
          <w:szCs w:val="20"/>
          <w:color w:val="auto"/>
        </w:rPr>
      </w:pPr>
    </w:p>
    <w:p>
      <w:pPr>
        <w:jc w:val="both"/>
        <w:ind w:firstLine="548"/>
        <w:spacing w:after="0" w:line="259" w:lineRule="auto"/>
        <w:rPr>
          <w:sz w:val="20"/>
          <w:szCs w:val="20"/>
          <w:color w:val="auto"/>
        </w:rPr>
      </w:pPr>
      <w:r>
        <w:rPr>
          <w:rFonts w:ascii="Times New Roman" w:cs="Times New Roman" w:eastAsia="Times New Roman" w:hAnsi="Times New Roman"/>
          <w:sz w:val="15"/>
          <w:szCs w:val="15"/>
          <w:color w:val="auto"/>
        </w:rPr>
        <w:t>The Committee shall calculate and determine achievement of all components of the short term incentive compensation. In the case of financial achievements, the determination shall be based on amounts derived from the Company’s audited financial statements. The Committee reserves the right to make subjective determinations and interpretations regarding the impact of unusual circumstances or events on achievement of each performance metric component by the Selected Officers. All such determinations will apply to the Selected Officers in the same manner. The Committee shall have final decision making authority regarding all issues related to the short term incentive compensation component of the plan. The</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Committee shall finalize the amount of and authorize payment of the bonuses as part of the approval process for the Company’s [ ] audited financial statements. If a Selected Officer leaves the Company other than for death, disability, or retirement, he will receive no bonus if he is not employed on December 31, [ ]. If a Selected Officer retires (age plus years of</w:t>
      </w:r>
    </w:p>
    <w:p>
      <w:pPr>
        <w:jc w:val="both"/>
        <w:spacing w:after="0" w:line="258" w:lineRule="auto"/>
        <w:rPr>
          <w:sz w:val="20"/>
          <w:szCs w:val="20"/>
          <w:color w:val="auto"/>
        </w:rPr>
      </w:pPr>
      <w:r>
        <w:rPr>
          <w:rFonts w:ascii="Times New Roman" w:cs="Times New Roman" w:eastAsia="Times New Roman" w:hAnsi="Times New Roman"/>
          <w:sz w:val="15"/>
          <w:szCs w:val="15"/>
          <w:color w:val="auto"/>
        </w:rPr>
        <w:t>service equal to at least 70), or dies or becomes disabled, he is entitled to a pro-rated bonus calculated by multiplying the bonus calculated above by the result obtained by dividing the number of completed months the Selected Officer is employed in [ ] by twelve (12). Any bonus payment shall be made on or before March 15, [ ]. The Committee shall have such authority to demand the repayment or “claw back” of any amounts paid pursuant to this plan pursuant to Company recovery policies and as needed to comply with all applicable laws and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Long Term Incentive Compensation</w:t>
      </w:r>
    </w:p>
    <w:p>
      <w:pPr>
        <w:spacing w:after="0" w:line="197" w:lineRule="exact"/>
        <w:rPr>
          <w:sz w:val="20"/>
          <w:szCs w:val="20"/>
          <w:color w:val="auto"/>
        </w:rPr>
      </w:pPr>
    </w:p>
    <w:p>
      <w:pPr>
        <w:jc w:val="both"/>
        <w:ind w:right="20" w:firstLine="548"/>
        <w:spacing w:after="0" w:line="288" w:lineRule="auto"/>
        <w:rPr>
          <w:sz w:val="20"/>
          <w:szCs w:val="20"/>
          <w:color w:val="auto"/>
        </w:rPr>
      </w:pPr>
      <w:r>
        <w:rPr>
          <w:rFonts w:ascii="Times New Roman" w:cs="Times New Roman" w:eastAsia="Times New Roman" w:hAnsi="Times New Roman"/>
          <w:sz w:val="15"/>
          <w:szCs w:val="15"/>
          <w:color w:val="auto"/>
        </w:rPr>
        <w:t>The Selected Officers shall be entitled to receive equity compensation grants consisting of restricted stock and stock options under the inTEST Corporation 2023 Stock Incentive Plan, as amended, with the following respective fair values: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Fair Value</w:t>
            </w:r>
          </w:p>
        </w:tc>
        <w:tc>
          <w:tcPr>
            <w:tcW w:w="1040" w:type="dxa"/>
            <w:vAlign w:val="bottom"/>
          </w:tcPr>
          <w:p>
            <w:pPr>
              <w:spacing w:after="0"/>
              <w:rPr>
                <w:sz w:val="15"/>
                <w:szCs w:val="15"/>
                <w:color w:val="auto"/>
              </w:rPr>
            </w:pPr>
          </w:p>
        </w:tc>
      </w:tr>
      <w:tr>
        <w:trPr>
          <w:trHeight w:val="182"/>
        </w:trPr>
        <w:tc>
          <w:tcPr>
            <w:tcW w:w="8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8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8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8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8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3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50"/>
        </w:trPr>
        <w:tc>
          <w:tcPr>
            <w:tcW w:w="5620" w:type="dxa"/>
            <w:vAlign w:val="bottom"/>
            <w:gridSpan w:val="4"/>
          </w:tcPr>
          <w:p>
            <w:pPr>
              <w:ind w:left="540"/>
              <w:spacing w:after="0"/>
              <w:rPr>
                <w:sz w:val="20"/>
                <w:szCs w:val="20"/>
                <w:color w:val="auto"/>
              </w:rPr>
            </w:pPr>
            <w:r>
              <w:rPr>
                <w:rFonts w:ascii="Times New Roman" w:cs="Times New Roman" w:eastAsia="Times New Roman" w:hAnsi="Times New Roman"/>
                <w:sz w:val="15"/>
                <w:szCs w:val="15"/>
                <w:color w:val="auto"/>
              </w:rPr>
              <w:t>All equity compensation grants shall be awarded to the Selected Officers on [</w:t>
            </w:r>
          </w:p>
        </w:tc>
        <w:tc>
          <w:tcPr>
            <w:tcW w:w="260" w:type="dxa"/>
            <w:vAlign w:val="bottom"/>
          </w:tcPr>
          <w:p>
            <w:pPr>
              <w:spacing w:after="0"/>
              <w:rPr>
                <w:sz w:val="24"/>
                <w:szCs w:val="24"/>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(the “Grant Date”). The fair value shall be allocated as follows: [</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time-vested</w:t>
            </w:r>
          </w:p>
        </w:tc>
      </w:tr>
      <w:tr>
        <w:trPr>
          <w:trHeight w:val="198"/>
        </w:trPr>
        <w:tc>
          <w:tcPr>
            <w:tcW w:w="11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restricted stock, [</w:t>
            </w:r>
          </w:p>
        </w:tc>
        <w:tc>
          <w:tcPr>
            <w:tcW w:w="3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performance-vested restricted stock and [</w:t>
            </w:r>
          </w:p>
        </w:tc>
        <w:tc>
          <w:tcPr>
            <w:tcW w:w="70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stock options. The number of shares to be awarded for the time-vested restricted stock and the performance-</w:t>
            </w:r>
          </w:p>
        </w:tc>
      </w:tr>
    </w:tbl>
    <w:p>
      <w:pPr>
        <w:jc w:val="both"/>
        <w:spacing w:after="0" w:line="261" w:lineRule="auto"/>
        <w:rPr>
          <w:sz w:val="20"/>
          <w:szCs w:val="20"/>
          <w:color w:val="auto"/>
        </w:rPr>
      </w:pPr>
      <w:r>
        <w:rPr>
          <w:rFonts w:ascii="Times New Roman" w:cs="Times New Roman" w:eastAsia="Times New Roman" w:hAnsi="Times New Roman"/>
          <w:sz w:val="15"/>
          <w:szCs w:val="15"/>
          <w:color w:val="auto"/>
        </w:rPr>
        <w:t>vested restricted stock components will each be determined by dividing the applicable fair value by the closing price of the Company’s shares on teh Grant Date, and the number of shares to be awarded for the stock options component will be determined by dividing the applicable fair value by the Black-Scholes value on the Grant Date, in each case, rounded to the nearest whole number of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74" w:name="page75"/>
    <w:bookmarkEnd w:id="74"/>
    <w:p>
      <w:pPr>
        <w:ind w:firstLine="548"/>
        <w:spacing w:after="0" w:line="288" w:lineRule="auto"/>
        <w:rPr>
          <w:sz w:val="20"/>
          <w:szCs w:val="20"/>
          <w:color w:val="auto"/>
        </w:rPr>
      </w:pPr>
      <w:r>
        <w:rPr>
          <w:rFonts w:ascii="Times New Roman" w:cs="Times New Roman" w:eastAsia="Times New Roman" w:hAnsi="Times New Roman"/>
          <w:sz w:val="15"/>
          <w:szCs w:val="15"/>
          <w:color w:val="auto"/>
        </w:rPr>
        <w:t>The time-vested restricted stock awards will vest [ ], the performance-vested restricted stock awards will vest [ ] (subject to the performance metrics set forth below) and the stock option awards will vest [ ].</w:t>
      </w:r>
    </w:p>
    <w:p>
      <w:pPr>
        <w:spacing w:after="0" w:line="134" w:lineRule="exact"/>
        <w:rPr>
          <w:sz w:val="20"/>
          <w:szCs w:val="20"/>
          <w:color w:val="auto"/>
        </w:rPr>
      </w:pPr>
    </w:p>
    <w:p>
      <w:pPr>
        <w:ind w:left="540"/>
        <w:spacing w:after="0"/>
        <w:tabs>
          <w:tab w:leader="none" w:pos="6320" w:val="left"/>
        </w:tabs>
        <w:rPr>
          <w:sz w:val="20"/>
          <w:szCs w:val="20"/>
          <w:color w:val="auto"/>
        </w:rPr>
      </w:pPr>
      <w:r>
        <w:rPr>
          <w:rFonts w:ascii="Times New Roman" w:cs="Times New Roman" w:eastAsia="Times New Roman" w:hAnsi="Times New Roman"/>
          <w:sz w:val="15"/>
          <w:szCs w:val="15"/>
          <w:color w:val="auto"/>
        </w:rPr>
        <w:t>The performance metric used for the shares of performance-vested restricted stock shall be [</w:t>
        <w:tab/>
        <w: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schedule shall determine how many shares of the performance vested restricted stock are delivered:</w:t>
      </w:r>
    </w:p>
    <w:p>
      <w:pPr>
        <w:spacing w:after="0" w:line="1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schedule</w:t>
      </w:r>
      <w:r>
        <w:rPr>
          <w:rFonts w:ascii="Times New Roman" w:cs="Times New Roman" w:eastAsia="Times New Roman" w:hAnsi="Times New Roman"/>
          <w:sz w:val="15"/>
          <w:szCs w:val="15"/>
          <w:color w:val="auto"/>
        </w:rPr>
        <w:t>]</w:t>
      </w:r>
    </w:p>
    <w:p>
      <w:pPr>
        <w:spacing w:after="0" w:line="197" w:lineRule="exact"/>
        <w:rPr>
          <w:sz w:val="20"/>
          <w:szCs w:val="20"/>
          <w:color w:val="auto"/>
        </w:rPr>
      </w:pPr>
    </w:p>
    <w:p>
      <w:pPr>
        <w:ind w:firstLine="548"/>
        <w:spacing w:after="0" w:line="288" w:lineRule="auto"/>
        <w:rPr>
          <w:sz w:val="20"/>
          <w:szCs w:val="20"/>
          <w:color w:val="auto"/>
        </w:rPr>
      </w:pPr>
      <w:r>
        <w:rPr>
          <w:rFonts w:ascii="Times New Roman" w:cs="Times New Roman" w:eastAsia="Times New Roman" w:hAnsi="Times New Roman"/>
          <w:sz w:val="15"/>
          <w:szCs w:val="15"/>
          <w:color w:val="auto"/>
        </w:rPr>
        <w:t>To achieve a given performance level, results must equal or exceed the threshold for that level, otherwise the percentage delivered shall be rounded down to the nearest point on the schedule.</w:t>
      </w:r>
    </w:p>
    <w:p>
      <w:pPr>
        <w:sectPr>
          <w:pgSz w:w="11900" w:h="16838" w:orient="portrait"/>
          <w:cols w:equalWidth="0" w:num="1">
            <w:col w:w="11240"/>
          </w:cols>
          <w:pgMar w:left="320" w:top="513" w:right="339" w:bottom="1440" w:gutter="0" w:footer="0" w:header="0"/>
        </w:sectPr>
      </w:pPr>
    </w:p>
    <w:p>
      <w:pPr>
        <w:spacing w:after="0" w:line="1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ectPr>
          <w:pgSz w:w="11900" w:h="16838" w:orient="portrait"/>
          <w:cols w:equalWidth="0" w:num="5">
            <w:col w:w="4820" w:space="340"/>
            <w:col w:w="80" w:space="340"/>
            <w:col w:w="80" w:space="340"/>
            <w:col w:w="80" w:space="340"/>
            <w:col w:w="4820"/>
          </w:cols>
          <w:pgMar w:left="320" w:top="513" w:right="339" w:bottom="1440"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513"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10.38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COMPENSATORY ARRANGEMENTS OF DIRECTORS</w:t>
      </w:r>
    </w:p>
    <w:p>
      <w:pPr>
        <w:spacing w:after="0" w:line="3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Directors who are not also our officers (each a "non-employee director") currently receive an annual retainer of $25,000. The Board Chairman is paid an additional annual retainer of $40,000. The Chair of each of the committees of the Board are paid an additional annual fee as follows: the Chair of the Audit Committee is paid an additional annual fee of $20,000; the Chair of the Compensation Committee is paid an additional annual fee of $15,000; and the Chair of the Nominating and Corporate Governance Committee is paid an additional annual fee of $10,000. The members of the committees, other than the Chair, are paid additional annual fees as follows: members of the Audit Committee are paid an additional annual fee of $10,000, members of the Compensation Committee are paid an additional annual fee of $5,000, and members of the Nominating and Corporate Governance Committee are paid an additional annual fee of $5,000. Non-employee directors also receive an annual award of restricted stock under our 2023 Stock Incentive Plan.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260"/>
          </w:cols>
          <w:pgMar w:left="320" w:top="121"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080" w:type="dxa"/>
            <w:vAlign w:val="bottom"/>
          </w:tcPr>
          <w:p>
            <w:pPr>
              <w:jc w:val="center"/>
              <w:ind w:right="3244"/>
              <w:spacing w:after="0"/>
              <w:rPr>
                <w:sz w:val="20"/>
                <w:szCs w:val="20"/>
                <w:color w:val="auto"/>
              </w:rPr>
            </w:pPr>
            <w:r>
              <w:rPr>
                <w:rFonts w:ascii="Times New Roman" w:cs="Times New Roman" w:eastAsia="Times New Roman" w:hAnsi="Times New Roman"/>
                <w:sz w:val="15"/>
                <w:szCs w:val="15"/>
                <w:b w:val="1"/>
                <w:bCs w:val="1"/>
                <w:color w:val="auto"/>
              </w:rPr>
              <w:t>Subsidiaries of the Registrant</w:t>
            </w:r>
          </w:p>
        </w:tc>
        <w:tc>
          <w:tcPr>
            <w:tcW w:w="0" w:type="dxa"/>
            <w:vAlign w:val="bottom"/>
          </w:tcPr>
          <w:p>
            <w:pPr>
              <w:spacing w:after="0"/>
              <w:rPr>
                <w:sz w:val="1"/>
                <w:szCs w:val="1"/>
                <w:color w:val="auto"/>
              </w:rPr>
            </w:pPr>
          </w:p>
        </w:tc>
      </w:tr>
      <w:tr>
        <w:trPr>
          <w:trHeight w:val="71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of Subsidiaries</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b w:val="1"/>
                <w:bCs w:val="1"/>
                <w:color w:val="auto"/>
              </w:rPr>
              <w:t>Jurisdiction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7080" w:type="dxa"/>
            <w:vAlign w:val="bottom"/>
            <w:tcBorders>
              <w:bottom w:val="single" w:sz="8" w:color="auto"/>
            </w:tcBorders>
          </w:tcPr>
          <w:p>
            <w:pPr>
              <w:jc w:val="center"/>
              <w:ind w:left="3924"/>
              <w:spacing w:after="0"/>
              <w:rPr>
                <w:sz w:val="20"/>
                <w:szCs w:val="20"/>
                <w:color w:val="auto"/>
              </w:rPr>
            </w:pPr>
            <w:r>
              <w:rPr>
                <w:rFonts w:ascii="Times New Roman" w:cs="Times New Roman" w:eastAsia="Times New Roman" w:hAnsi="Times New Roman"/>
                <w:sz w:val="15"/>
                <w:szCs w:val="15"/>
                <w:b w:val="1"/>
                <w:bCs w:val="1"/>
                <w:color w:val="auto"/>
              </w:rPr>
              <w:t>of Incorporation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Acculogic Ltd</w:t>
            </w:r>
          </w:p>
        </w:tc>
        <w:tc>
          <w:tcPr>
            <w:tcW w:w="7080" w:type="dxa"/>
            <w:vAlign w:val="bottom"/>
          </w:tcPr>
          <w:p>
            <w:pPr>
              <w:jc w:val="center"/>
              <w:ind w:left="3944"/>
              <w:spacing w:after="0" w:line="159" w:lineRule="exact"/>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Ambrell Corporation</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EMS LLC (a)</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Italy</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Silicon Valley Corporation (a)</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Temptronic Corporation (b)</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Videology Imaging Corporation</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Acculogic Inc.</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Ontario</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Acculogic GmbH</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Germany</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Ambrell B.V.</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Netherlands</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Ambrell Limited</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U.K.</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PTE, Ltd.</w:t>
            </w:r>
          </w:p>
        </w:tc>
        <w:tc>
          <w:tcPr>
            <w:tcW w:w="7080" w:type="dxa"/>
            <w:vAlign w:val="bottom"/>
          </w:tcPr>
          <w:p>
            <w:pPr>
              <w:jc w:val="center"/>
              <w:ind w:left="3944"/>
              <w:spacing w:after="0"/>
              <w:rPr>
                <w:sz w:val="20"/>
                <w:szCs w:val="20"/>
                <w:color w:val="auto"/>
              </w:rPr>
            </w:pPr>
            <w:r>
              <w:rPr>
                <w:rFonts w:ascii="Times New Roman" w:cs="Times New Roman" w:eastAsia="Times New Roman" w:hAnsi="Times New Roman"/>
                <w:sz w:val="15"/>
                <w:szCs w:val="15"/>
                <w:color w:val="auto"/>
              </w:rPr>
              <w:t>Singapore</w:t>
            </w:r>
          </w:p>
        </w:tc>
        <w:tc>
          <w:tcPr>
            <w:tcW w:w="0" w:type="dxa"/>
            <w:vAlign w:val="bottom"/>
          </w:tcPr>
          <w:p>
            <w:pPr>
              <w:spacing w:after="0"/>
              <w:rPr>
                <w:sz w:val="1"/>
                <w:szCs w:val="1"/>
                <w:color w:val="auto"/>
              </w:rPr>
            </w:pPr>
          </w:p>
        </w:tc>
      </w:tr>
      <w:tr>
        <w:trPr>
          <w:trHeight w:val="18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SE Asia Sdn Bhd</w:t>
            </w:r>
          </w:p>
        </w:tc>
        <w:tc>
          <w:tcPr>
            <w:tcW w:w="7080" w:type="dxa"/>
            <w:vAlign w:val="bottom"/>
          </w:tcPr>
          <w:p>
            <w:pPr>
              <w:jc w:val="center"/>
              <w:ind w:left="3924"/>
              <w:spacing w:after="0"/>
              <w:rPr>
                <w:sz w:val="20"/>
                <w:szCs w:val="20"/>
                <w:color w:val="auto"/>
              </w:rPr>
            </w:pPr>
            <w:r>
              <w:rPr>
                <w:rFonts w:ascii="Times New Roman" w:cs="Times New Roman" w:eastAsia="Times New Roman" w:hAnsi="Times New Roman"/>
                <w:sz w:val="15"/>
                <w:szCs w:val="15"/>
                <w:color w:val="auto"/>
              </w:rPr>
              <w:t>Malaysia</w:t>
            </w:r>
          </w:p>
        </w:tc>
        <w:tc>
          <w:tcPr>
            <w:tcW w:w="0" w:type="dxa"/>
            <w:vAlign w:val="bottom"/>
          </w:tcPr>
          <w:p>
            <w:pPr>
              <w:spacing w:after="0"/>
              <w:rPr>
                <w:sz w:val="1"/>
                <w:szCs w:val="1"/>
                <w:color w:val="auto"/>
              </w:rPr>
            </w:pPr>
          </w:p>
        </w:tc>
      </w:tr>
      <w:tr>
        <w:trPr>
          <w:trHeight w:val="198"/>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inTEST Thermal Solutions GmbH</w:t>
            </w:r>
          </w:p>
        </w:tc>
        <w:tc>
          <w:tcPr>
            <w:tcW w:w="7080" w:type="dxa"/>
            <w:vAlign w:val="bottom"/>
            <w:vMerge w:val="restart"/>
          </w:tcPr>
          <w:p>
            <w:pPr>
              <w:jc w:val="center"/>
              <w:ind w:right="3244"/>
              <w:spacing w:after="0"/>
              <w:rPr>
                <w:sz w:val="20"/>
                <w:szCs w:val="20"/>
                <w:color w:val="auto"/>
              </w:rPr>
            </w:pPr>
            <w:r>
              <w:rPr>
                <w:rFonts w:ascii="Times New Roman" w:cs="Times New Roman" w:eastAsia="Times New Roman" w:hAnsi="Times New Roman"/>
                <w:sz w:val="15"/>
                <w:szCs w:val="15"/>
                <w:color w:val="auto"/>
              </w:rPr>
              <w:t>Germany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80" w:hanging="278"/>
        <w:spacing w:after="0"/>
        <w:tabs>
          <w:tab w:leader="none" w:pos="2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Doing business as inTEST EMS.</w:t>
      </w:r>
    </w:p>
    <w:p>
      <w:pPr>
        <w:spacing w:after="0" w:line="25" w:lineRule="exact"/>
        <w:rPr>
          <w:rFonts w:ascii="Times New Roman" w:cs="Times New Roman" w:eastAsia="Times New Roman" w:hAnsi="Times New Roman"/>
          <w:sz w:val="15"/>
          <w:szCs w:val="15"/>
          <w:color w:val="auto"/>
        </w:rPr>
      </w:pPr>
    </w:p>
    <w:p>
      <w:pPr>
        <w:ind w:left="300" w:hanging="298"/>
        <w:spacing w:after="0"/>
        <w:tabs>
          <w:tab w:leader="none" w:pos="3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Doing business as inTEST Thermal Solutions Corp.</w:t>
      </w:r>
    </w:p>
    <w:p>
      <w:pPr>
        <w:sectPr>
          <w:pgSz w:w="11900" w:h="16838" w:orient="portrait"/>
          <w:cols w:equalWidth="0" w:num="1">
            <w:col w:w="10820"/>
          </w:cols>
          <w:pgMar w:left="760" w:top="304"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23</w:t>
      </w:r>
    </w:p>
    <w:p>
      <w:pPr>
        <w:spacing w:after="0" w:line="3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3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Statements (Nos. 333-145176, 333-197858, 333-226815, 333-233297, 333-258791, 333-266834, and 333-273886) on Form S-8 and the Registration Statement (No. 333-275451) on Form S-3 of inTEST Corporation of our reports dated March 27, 2024, relating to the consolidated financial statements and the financial statement schedule and the effectiveness of internal control over financial reporting (on which our report expresses an adverse opinion on the effectiveness of the Company’s internal control over financial reporting because of material weakness) of inTEST Corporation, appearing in this Annual Report on Form 10-K of inTEST Corporation for the year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RSM US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Blue Bell, Pennsylvania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27, 2024</w:t>
      </w:r>
    </w:p>
    <w:p>
      <w:pPr>
        <w:sectPr>
          <w:pgSz w:w="11900" w:h="16838" w:orient="portrait"/>
          <w:cols w:equalWidth="0" w:num="1">
            <w:col w:w="11260"/>
          </w:cols>
          <w:pgMar w:left="320" w:top="121" w:right="319" w:bottom="1440" w:gutter="0" w:footer="0" w:header="0"/>
        </w:sectPr>
      </w:pPr>
    </w:p>
    <w:bookmarkStart w:id="78" w:name="page79"/>
    <w:bookmarkEnd w:id="78"/>
    <w:p>
      <w:pPr>
        <w:jc w:val="right"/>
        <w:ind w:right="80"/>
        <w:spacing w:after="0"/>
        <w:rPr>
          <w:sz w:val="20"/>
          <w:szCs w:val="20"/>
          <w:color w:val="auto"/>
        </w:rPr>
      </w:pPr>
      <w:r>
        <w:rPr>
          <w:rFonts w:ascii="Times New Roman" w:cs="Times New Roman" w:eastAsia="Times New Roman" w:hAnsi="Times New Roman"/>
          <w:sz w:val="15"/>
          <w:szCs w:val="15"/>
          <w:b w:val="1"/>
          <w:bCs w:val="1"/>
          <w:u w:val="single" w:color="auto"/>
          <w:color w:val="auto"/>
        </w:rPr>
        <w:t>EXHIBIT 31.1</w:t>
      </w:r>
    </w:p>
    <w:p>
      <w:pPr>
        <w:spacing w:after="0" w:line="1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u w:val="single" w:color="auto"/>
          <w:color w:val="auto"/>
        </w:rPr>
        <w:t>CERTIFICATION</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 Richard N. Grant, Jr., certify that:</w:t>
      </w:r>
    </w:p>
    <w:p>
      <w:pPr>
        <w:spacing w:after="0" w:line="193" w:lineRule="exact"/>
        <w:rPr>
          <w:sz w:val="20"/>
          <w:szCs w:val="20"/>
          <w:color w:val="auto"/>
        </w:rPr>
      </w:pPr>
    </w:p>
    <w:p>
      <w:pPr>
        <w:ind w:left="660" w:hanging="273"/>
        <w:spacing w:after="0"/>
        <w:tabs>
          <w:tab w:leader="none" w:pos="6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inTEST Corporation;</w:t>
      </w:r>
    </w:p>
    <w:p>
      <w:pPr>
        <w:spacing w:after="0" w:line="192" w:lineRule="exact"/>
        <w:rPr>
          <w:rFonts w:ascii="Times New Roman" w:cs="Times New Roman" w:eastAsia="Times New Roman" w:hAnsi="Times New Roman"/>
          <w:sz w:val="15"/>
          <w:szCs w:val="15"/>
          <w:color w:val="auto"/>
        </w:rPr>
      </w:pPr>
    </w:p>
    <w:p>
      <w:pPr>
        <w:ind w:right="120" w:firstLine="387"/>
        <w:spacing w:after="0" w:line="288" w:lineRule="auto"/>
        <w:tabs>
          <w:tab w:leader="none" w:pos="662"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15"/>
          <w:szCs w:val="15"/>
          <w:color w:val="auto"/>
        </w:rPr>
      </w:pPr>
    </w:p>
    <w:p>
      <w:pPr>
        <w:ind w:right="160" w:firstLine="387"/>
        <w:spacing w:after="0" w:line="288" w:lineRule="auto"/>
        <w:tabs>
          <w:tab w:leader="none" w:pos="662"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5"/>
          <w:szCs w:val="15"/>
          <w:color w:val="auto"/>
        </w:rPr>
      </w:pPr>
    </w:p>
    <w:p>
      <w:pPr>
        <w:ind w:right="100" w:firstLine="387"/>
        <w:spacing w:after="0" w:line="288" w:lineRule="auto"/>
        <w:tabs>
          <w:tab w:leader="none" w:pos="65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Times New Roman" w:cs="Times New Roman" w:eastAsia="Times New Roman" w:hAnsi="Times New Roman"/>
          <w:sz w:val="15"/>
          <w:szCs w:val="15"/>
          <w:color w:val="auto"/>
        </w:rPr>
      </w:pPr>
    </w:p>
    <w:p>
      <w:pPr>
        <w:ind w:left="480" w:right="380" w:firstLine="211"/>
        <w:spacing w:after="0" w:line="271" w:lineRule="auto"/>
        <w:tabs>
          <w:tab w:leader="none" w:pos="101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480" w:right="460" w:firstLine="211"/>
        <w:spacing w:after="0" w:line="271" w:lineRule="auto"/>
        <w:tabs>
          <w:tab w:leader="none" w:pos="1022"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480" w:right="260" w:firstLine="211"/>
        <w:spacing w:after="0" w:line="288" w:lineRule="auto"/>
        <w:tabs>
          <w:tab w:leader="none" w:pos="101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color w:val="auto"/>
        </w:rPr>
      </w:pPr>
    </w:p>
    <w:p>
      <w:pPr>
        <w:ind w:left="480" w:right="480" w:firstLine="211"/>
        <w:spacing w:after="0" w:line="271" w:lineRule="auto"/>
        <w:tabs>
          <w:tab w:leader="none" w:pos="1022"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right="280" w:firstLine="387"/>
        <w:spacing w:after="0" w:line="288" w:lineRule="auto"/>
        <w:tabs>
          <w:tab w:leader="none" w:pos="65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5"/>
          <w:szCs w:val="15"/>
          <w:color w:val="auto"/>
        </w:rPr>
      </w:pPr>
    </w:p>
    <w:p>
      <w:pPr>
        <w:ind w:left="480" w:right="460" w:firstLine="211"/>
        <w:spacing w:after="0" w:line="288" w:lineRule="auto"/>
        <w:tabs>
          <w:tab w:leader="none" w:pos="1005"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color w:val="auto"/>
        </w:rPr>
      </w:pPr>
    </w:p>
    <w:p>
      <w:pPr>
        <w:ind w:left="480" w:right="720" w:firstLine="211"/>
        <w:spacing w:after="0" w:line="288" w:lineRule="auto"/>
        <w:tabs>
          <w:tab w:leader="none" w:pos="1014"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29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March 27, 2024</w:t>
            </w:r>
          </w:p>
        </w:tc>
        <w:tc>
          <w:tcPr>
            <w:tcW w:w="1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/s/Richard N. Grant, Jr.</w:t>
            </w:r>
          </w:p>
        </w:tc>
      </w:tr>
      <w:tr>
        <w:trPr>
          <w:trHeight w:val="159"/>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1880" w:type="dxa"/>
            <w:vAlign w:val="bottom"/>
          </w:tcPr>
          <w:p>
            <w:pPr>
              <w:spacing w:after="0"/>
              <w:rPr>
                <w:sz w:val="13"/>
                <w:szCs w:val="13"/>
                <w:color w:val="auto"/>
              </w:rPr>
            </w:pPr>
          </w:p>
        </w:tc>
        <w:tc>
          <w:tcPr>
            <w:tcW w:w="53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Richard N. Grant, Jr.</w:t>
            </w:r>
          </w:p>
        </w:tc>
      </w:tr>
      <w:tr>
        <w:trPr>
          <w:trHeight w:val="198"/>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bl>
    <w:p>
      <w:pPr>
        <w:sectPr>
          <w:pgSz w:w="11900" w:h="16838" w:orient="portrait"/>
          <w:cols w:equalWidth="0" w:num="1">
            <w:col w:w="11340"/>
          </w:cols>
          <w:pgMar w:left="320" w:top="121"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CERTIFICATION</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 Duncan Gilmour, certify that:</w:t>
      </w:r>
    </w:p>
    <w:p>
      <w:pPr>
        <w:spacing w:after="0" w:line="193" w:lineRule="exact"/>
        <w:rPr>
          <w:sz w:val="20"/>
          <w:szCs w:val="20"/>
          <w:color w:val="auto"/>
        </w:rPr>
      </w:pPr>
    </w:p>
    <w:p>
      <w:pPr>
        <w:ind w:left="660" w:hanging="273"/>
        <w:spacing w:after="0"/>
        <w:tabs>
          <w:tab w:leader="none" w:pos="6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inTEST Corporation;</w:t>
      </w:r>
    </w:p>
    <w:p>
      <w:pPr>
        <w:spacing w:after="0" w:line="192" w:lineRule="exact"/>
        <w:rPr>
          <w:rFonts w:ascii="Times New Roman" w:cs="Times New Roman" w:eastAsia="Times New Roman" w:hAnsi="Times New Roman"/>
          <w:sz w:val="15"/>
          <w:szCs w:val="15"/>
          <w:color w:val="auto"/>
        </w:rPr>
      </w:pPr>
    </w:p>
    <w:p>
      <w:pPr>
        <w:ind w:right="40" w:firstLine="387"/>
        <w:spacing w:after="0" w:line="288" w:lineRule="auto"/>
        <w:tabs>
          <w:tab w:leader="none" w:pos="662"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15"/>
          <w:szCs w:val="15"/>
          <w:color w:val="auto"/>
        </w:rPr>
      </w:pPr>
    </w:p>
    <w:p>
      <w:pPr>
        <w:ind w:right="80" w:firstLine="387"/>
        <w:spacing w:after="0" w:line="288" w:lineRule="auto"/>
        <w:tabs>
          <w:tab w:leader="none" w:pos="662"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5"/>
          <w:szCs w:val="15"/>
          <w:color w:val="auto"/>
        </w:rPr>
      </w:pPr>
    </w:p>
    <w:p>
      <w:pPr>
        <w:ind w:right="20" w:firstLine="387"/>
        <w:spacing w:after="0" w:line="288" w:lineRule="auto"/>
        <w:tabs>
          <w:tab w:leader="none" w:pos="65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Times New Roman" w:cs="Times New Roman" w:eastAsia="Times New Roman" w:hAnsi="Times New Roman"/>
          <w:sz w:val="15"/>
          <w:szCs w:val="15"/>
          <w:color w:val="auto"/>
        </w:rPr>
      </w:pPr>
    </w:p>
    <w:p>
      <w:pPr>
        <w:ind w:left="480" w:right="300" w:firstLine="211"/>
        <w:spacing w:after="0" w:line="271" w:lineRule="auto"/>
        <w:tabs>
          <w:tab w:leader="none" w:pos="1014"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480" w:right="380" w:firstLine="211"/>
        <w:spacing w:after="0" w:line="271" w:lineRule="auto"/>
        <w:tabs>
          <w:tab w:leader="none" w:pos="1022"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480" w:right="180" w:firstLine="211"/>
        <w:spacing w:after="0" w:line="288" w:lineRule="auto"/>
        <w:tabs>
          <w:tab w:leader="none" w:pos="1014"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color w:val="auto"/>
        </w:rPr>
      </w:pPr>
    </w:p>
    <w:p>
      <w:pPr>
        <w:ind w:left="480" w:right="400" w:firstLine="211"/>
        <w:spacing w:after="0" w:line="271" w:lineRule="auto"/>
        <w:tabs>
          <w:tab w:leader="none" w:pos="1022"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right="200" w:firstLine="387"/>
        <w:spacing w:after="0" w:line="288" w:lineRule="auto"/>
        <w:tabs>
          <w:tab w:leader="none" w:pos="65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5"/>
          <w:szCs w:val="15"/>
          <w:color w:val="auto"/>
        </w:rPr>
      </w:pPr>
    </w:p>
    <w:p>
      <w:pPr>
        <w:ind w:left="480" w:right="380" w:firstLine="211"/>
        <w:spacing w:after="0" w:line="288" w:lineRule="auto"/>
        <w:tabs>
          <w:tab w:leader="none" w:pos="1005"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color w:val="auto"/>
        </w:rPr>
      </w:pPr>
    </w:p>
    <w:p>
      <w:pPr>
        <w:ind w:left="480" w:right="640" w:firstLine="211"/>
        <w:spacing w:after="0" w:line="288" w:lineRule="auto"/>
        <w:tabs>
          <w:tab w:leader="none" w:pos="1014"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March 27, 2024</w:t>
            </w:r>
          </w:p>
        </w:tc>
        <w:tc>
          <w:tcPr>
            <w:tcW w:w="124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/s/ Duncan Gilmour</w:t>
            </w:r>
          </w:p>
        </w:tc>
      </w:tr>
      <w:tr>
        <w:trPr>
          <w:trHeight w:val="159"/>
        </w:trPr>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456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Duncan Gilmour</w:t>
            </w:r>
          </w:p>
        </w:tc>
      </w:tr>
      <w:tr>
        <w:trPr>
          <w:trHeight w:val="198"/>
        </w:trPr>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Treasurer and Secretary</w:t>
            </w:r>
          </w:p>
        </w:tc>
      </w:tr>
    </w:tbl>
    <w:p>
      <w:pPr>
        <w:sectPr>
          <w:pgSz w:w="11900" w:h="16838" w:orient="portrait"/>
          <w:cols w:equalWidth="0" w:num="1">
            <w:col w:w="11260"/>
          </w:cols>
          <w:pgMar w:left="320" w:top="121"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32.1</w:t>
      </w:r>
    </w:p>
    <w:p>
      <w:pPr>
        <w:spacing w:after="0" w:line="37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37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360" w:lineRule="exact"/>
        <w:rPr>
          <w:sz w:val="20"/>
          <w:szCs w:val="20"/>
          <w:color w:val="auto"/>
        </w:rPr>
      </w:pPr>
    </w:p>
    <w:p>
      <w:pPr>
        <w:ind w:left="9" w:right="180"/>
        <w:spacing w:after="0" w:line="271" w:lineRule="auto"/>
        <w:rPr>
          <w:sz w:val="20"/>
          <w:szCs w:val="20"/>
          <w:color w:val="auto"/>
        </w:rPr>
      </w:pPr>
      <w:r>
        <w:rPr>
          <w:rFonts w:ascii="Times New Roman" w:cs="Times New Roman" w:eastAsia="Times New Roman" w:hAnsi="Times New Roman"/>
          <w:sz w:val="15"/>
          <w:szCs w:val="15"/>
          <w:color w:val="auto"/>
        </w:rPr>
        <w:t>In connection with the Annual Report of inTEST Corporation (the "Company") on Form 10-K for the year ended December 31, 2023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329" w:hanging="329"/>
        <w:spacing w:after="0"/>
        <w:tabs>
          <w:tab w:leader="none" w:pos="32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5"/>
          <w:szCs w:val="15"/>
          <w:color w:val="auto"/>
        </w:rPr>
      </w:pPr>
    </w:p>
    <w:p>
      <w:pPr>
        <w:ind w:left="329" w:hanging="329"/>
        <w:spacing w:after="0"/>
        <w:tabs>
          <w:tab w:leader="none" w:pos="32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March 27, 2024</w:t>
            </w:r>
          </w:p>
        </w:tc>
        <w:tc>
          <w:tcPr>
            <w:tcW w:w="5640" w:type="dxa"/>
            <w:vAlign w:val="bottom"/>
            <w:gridSpan w:val="2"/>
          </w:tcPr>
          <w:p>
            <w:pPr>
              <w:ind w:left="1560"/>
              <w:spacing w:after="0"/>
              <w:rPr>
                <w:sz w:val="20"/>
                <w:szCs w:val="20"/>
                <w:color w:val="auto"/>
              </w:rPr>
            </w:pPr>
            <w:r>
              <w:rPr>
                <w:rFonts w:ascii="Times New Roman" w:cs="Times New Roman" w:eastAsia="Times New Roman" w:hAnsi="Times New Roman"/>
                <w:sz w:val="15"/>
                <w:szCs w:val="15"/>
                <w:color w:val="auto"/>
              </w:rPr>
              <w:t>/s/ Richard N. Grant, Jr.</w:t>
            </w:r>
          </w:p>
        </w:tc>
      </w:tr>
      <w:tr>
        <w:trPr>
          <w:trHeight w:val="159"/>
        </w:trPr>
        <w:tc>
          <w:tcPr>
            <w:tcW w:w="6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40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Richard N. Grant, Jr.</w:t>
            </w:r>
          </w:p>
        </w:tc>
      </w:tr>
      <w:tr>
        <w:trPr>
          <w:trHeight w:val="198"/>
        </w:trPr>
        <w:tc>
          <w:tcPr>
            <w:tcW w:w="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40" w:type="dxa"/>
            <w:vAlign w:val="bottom"/>
            <w:gridSpan w:val="2"/>
          </w:tcPr>
          <w:p>
            <w:pPr>
              <w:ind w:left="156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bl>
    <w:p>
      <w:pPr>
        <w:sectPr>
          <w:pgSz w:w="11900" w:h="16838" w:orient="portrait"/>
          <w:cols w:equalWidth="0" w:num="1">
            <w:col w:w="11269"/>
          </w:cols>
          <w:pgMar w:left="311" w:top="121"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32.2</w:t>
      </w:r>
    </w:p>
    <w:p>
      <w:pPr>
        <w:spacing w:after="0" w:line="37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inTEST CORPORATION</w:t>
      </w:r>
    </w:p>
    <w:p>
      <w:pPr>
        <w:spacing w:after="0" w:line="37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360" w:lineRule="exact"/>
        <w:rPr>
          <w:sz w:val="20"/>
          <w:szCs w:val="20"/>
          <w:color w:val="auto"/>
        </w:rPr>
      </w:pPr>
    </w:p>
    <w:p>
      <w:pPr>
        <w:ind w:left="9" w:right="320"/>
        <w:spacing w:after="0" w:line="271" w:lineRule="auto"/>
        <w:rPr>
          <w:sz w:val="20"/>
          <w:szCs w:val="20"/>
          <w:color w:val="auto"/>
        </w:rPr>
      </w:pPr>
      <w:r>
        <w:rPr>
          <w:rFonts w:ascii="Times New Roman" w:cs="Times New Roman" w:eastAsia="Times New Roman" w:hAnsi="Times New Roman"/>
          <w:sz w:val="15"/>
          <w:szCs w:val="15"/>
          <w:color w:val="auto"/>
        </w:rPr>
        <w:t>In connection with the Annual Report of inTEST Corporation (the "Company") on Form 10-K for the year ended December 31, 2023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46" w:lineRule="exact"/>
        <w:rPr>
          <w:sz w:val="20"/>
          <w:szCs w:val="20"/>
          <w:color w:val="auto"/>
        </w:rPr>
      </w:pPr>
    </w:p>
    <w:p>
      <w:pPr>
        <w:ind w:left="329" w:hanging="329"/>
        <w:spacing w:after="0"/>
        <w:tabs>
          <w:tab w:leader="none" w:pos="32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2" w:lineRule="exact"/>
        <w:rPr>
          <w:rFonts w:ascii="Times New Roman" w:cs="Times New Roman" w:eastAsia="Times New Roman" w:hAnsi="Times New Roman"/>
          <w:sz w:val="15"/>
          <w:szCs w:val="15"/>
          <w:color w:val="auto"/>
        </w:rPr>
      </w:pPr>
    </w:p>
    <w:p>
      <w:pPr>
        <w:ind w:left="329" w:hanging="329"/>
        <w:spacing w:after="0"/>
        <w:tabs>
          <w:tab w:leader="none" w:pos="32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March 27, 2024</w:t>
            </w:r>
          </w:p>
        </w:tc>
        <w:tc>
          <w:tcPr>
            <w:tcW w:w="56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/s/ Duncan Gilmour</w:t>
            </w:r>
          </w:p>
        </w:tc>
      </w:tr>
      <w:tr>
        <w:trPr>
          <w:trHeight w:val="159"/>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45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Duncan Gilmour</w:t>
            </w:r>
          </w:p>
        </w:tc>
      </w:tr>
      <w:tr>
        <w:trPr>
          <w:trHeight w:val="198"/>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6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Chief Financial Officer, Treasurer and Secretary</w:t>
            </w:r>
          </w:p>
        </w:tc>
      </w:tr>
    </w:tbl>
    <w:p>
      <w:pPr>
        <w:sectPr>
          <w:pgSz w:w="11900" w:h="16838" w:orient="portrait"/>
          <w:cols w:equalWidth="0" w:num="1">
            <w:col w:w="11269"/>
          </w:cols>
          <w:pgMar w:left="311" w:top="121"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97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inTEST CORPORATION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POLICY FOR THE RECOVERY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ERRONEOUSLY AWARDED COMPENSATION</w:t>
      </w:r>
    </w:p>
    <w:p>
      <w:pPr>
        <w:spacing w:after="0" w:line="1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1.</w:t>
        <w:tab/>
        <w:t>Introduction</w:t>
      </w:r>
    </w:p>
    <w:p>
      <w:pPr>
        <w:spacing w:after="0" w:line="197" w:lineRule="exact"/>
        <w:rPr>
          <w:sz w:val="20"/>
          <w:szCs w:val="20"/>
          <w:color w:val="auto"/>
        </w:rPr>
      </w:pPr>
    </w:p>
    <w:p>
      <w:pPr>
        <w:jc w:val="both"/>
        <w:ind w:firstLine="548"/>
        <w:spacing w:after="0" w:line="265" w:lineRule="auto"/>
        <w:rPr>
          <w:sz w:val="20"/>
          <w:szCs w:val="20"/>
          <w:color w:val="auto"/>
        </w:rPr>
      </w:pPr>
      <w:r>
        <w:rPr>
          <w:rFonts w:ascii="Times New Roman" w:cs="Times New Roman" w:eastAsia="Times New Roman" w:hAnsi="Times New Roman"/>
          <w:sz w:val="15"/>
          <w:szCs w:val="15"/>
          <w:color w:val="auto"/>
        </w:rPr>
        <w:t>The Board (as defined below) of inTEST Corporation,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hereby adopts this Policy for the Recovery of Erroneously Awarded Compensation (as amended or restated from time to time, this “</w:t>
      </w:r>
      <w:r>
        <w:rPr>
          <w:rFonts w:ascii="Times New Roman" w:cs="Times New Roman" w:eastAsia="Times New Roman" w:hAnsi="Times New Roman"/>
          <w:sz w:val="15"/>
          <w:szCs w:val="15"/>
          <w:u w:val="single" w:color="auto"/>
          <w:color w:val="auto"/>
        </w:rPr>
        <w:t>Policy</w:t>
      </w:r>
      <w:r>
        <w:rPr>
          <w:rFonts w:ascii="Times New Roman" w:cs="Times New Roman" w:eastAsia="Times New Roman" w:hAnsi="Times New Roman"/>
          <w:sz w:val="15"/>
          <w:szCs w:val="15"/>
          <w:color w:val="auto"/>
        </w:rPr>
        <w:t>”) in accordance with the requirements of the Recovery Rules (as defined below) to implement a written policy for the recovery of erroneously awarded compensation received by executive officers in the event of an accounting restatement. This Policy shall be effective as of November 22, 2023 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Definitions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purposes of this Policy, the following capitalized terms shall have their respective meanings set forth below:</w:t>
      </w:r>
    </w:p>
    <w:p>
      <w:pPr>
        <w:spacing w:after="0" w:line="193" w:lineRule="exact"/>
        <w:rPr>
          <w:sz w:val="20"/>
          <w:szCs w:val="20"/>
          <w:color w:val="auto"/>
        </w:rPr>
      </w:pPr>
    </w:p>
    <w:p>
      <w:pPr>
        <w:jc w:val="both"/>
        <w:ind w:firstLine="1087"/>
        <w:spacing w:after="0" w:line="265" w:lineRule="auto"/>
        <w:tabs>
          <w:tab w:leader="none" w:pos="141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Accounting Restatement</w:t>
      </w:r>
      <w:r>
        <w:rPr>
          <w:rFonts w:ascii="Times New Roman" w:cs="Times New Roman" w:eastAsia="Times New Roman" w:hAnsi="Times New Roman"/>
          <w:sz w:val="15"/>
          <w:szCs w:val="15"/>
          <w:color w:val="auto"/>
        </w:rPr>
        <w:t>” shall mean an accounting restatement (i) due to the material noncompliance of the Company with any financial reporting requirement under the federal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151" w:lineRule="exact"/>
        <w:rPr>
          <w:rFonts w:ascii="Times New Roman" w:cs="Times New Roman" w:eastAsia="Times New Roman" w:hAnsi="Times New Roman"/>
          <w:sz w:val="15"/>
          <w:szCs w:val="15"/>
          <w:color w:val="auto"/>
        </w:rPr>
      </w:pPr>
    </w:p>
    <w:p>
      <w:pPr>
        <w:ind w:left="1420" w:hanging="333"/>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means the Board of Directors of the Company.</w:t>
      </w:r>
    </w:p>
    <w:p>
      <w:pPr>
        <w:spacing w:after="0" w:line="192" w:lineRule="exact"/>
        <w:rPr>
          <w:rFonts w:ascii="Times New Roman" w:cs="Times New Roman" w:eastAsia="Times New Roman" w:hAnsi="Times New Roman"/>
          <w:sz w:val="15"/>
          <w:szCs w:val="15"/>
          <w:color w:val="auto"/>
        </w:rPr>
      </w:pPr>
    </w:p>
    <w:p>
      <w:pPr>
        <w:ind w:firstLine="1087"/>
        <w:spacing w:after="0" w:line="288" w:lineRule="auto"/>
        <w:tabs>
          <w:tab w:leader="none" w:pos="142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Committee</w:t>
      </w:r>
      <w:r>
        <w:rPr>
          <w:rFonts w:ascii="Times New Roman" w:cs="Times New Roman" w:eastAsia="Times New Roman" w:hAnsi="Times New Roman"/>
          <w:sz w:val="15"/>
          <w:szCs w:val="15"/>
          <w:color w:val="auto"/>
        </w:rPr>
        <w:t>” means the Compensation Committee of the Board, or any other committee designated by the Board to administer this Policy, and in the absence of such a committee, a majority of the independent directors serving on the Board.</w:t>
      </w:r>
    </w:p>
    <w:p>
      <w:pPr>
        <w:spacing w:after="0" w:line="133" w:lineRule="exact"/>
        <w:rPr>
          <w:rFonts w:ascii="Times New Roman" w:cs="Times New Roman" w:eastAsia="Times New Roman" w:hAnsi="Times New Roman"/>
          <w:sz w:val="15"/>
          <w:szCs w:val="15"/>
          <w:color w:val="auto"/>
        </w:rPr>
      </w:pPr>
    </w:p>
    <w:p>
      <w:pPr>
        <w:jc w:val="both"/>
        <w:ind w:firstLine="1087"/>
        <w:spacing w:after="0" w:line="271" w:lineRule="auto"/>
        <w:tabs>
          <w:tab w:leader="none" w:pos="152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Covered Erroneously Awarded Compensation</w:t>
      </w:r>
      <w:r>
        <w:rPr>
          <w:rFonts w:ascii="Times New Roman" w:cs="Times New Roman" w:eastAsia="Times New Roman" w:hAnsi="Times New Roman"/>
          <w:sz w:val="15"/>
          <w:szCs w:val="15"/>
          <w:color w:val="auto"/>
        </w:rPr>
        <w:t>” means the Erroneously Awarded Compensation Received by a Covered Executive Officer (i) during the applicable Recovery Period, (ii) on or after the Effective Date, (iii) after the Covered Executive Officer began service as an Executive Officer, and (iv) while the Company has a class of securities listed on a national securities exchange or a national securities association.</w:t>
      </w:r>
    </w:p>
    <w:p>
      <w:pPr>
        <w:spacing w:after="0" w:line="146" w:lineRule="exact"/>
        <w:rPr>
          <w:rFonts w:ascii="Times New Roman" w:cs="Times New Roman" w:eastAsia="Times New Roman" w:hAnsi="Times New Roman"/>
          <w:sz w:val="15"/>
          <w:szCs w:val="15"/>
          <w:color w:val="auto"/>
        </w:rPr>
      </w:pPr>
    </w:p>
    <w:p>
      <w:pPr>
        <w:jc w:val="both"/>
        <w:ind w:firstLine="1087"/>
        <w:spacing w:after="0" w:line="271" w:lineRule="auto"/>
        <w:tabs>
          <w:tab w:leader="none" w:pos="1474"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Covered Executive Officer</w:t>
      </w:r>
      <w:r>
        <w:rPr>
          <w:rFonts w:ascii="Times New Roman" w:cs="Times New Roman" w:eastAsia="Times New Roman" w:hAnsi="Times New Roman"/>
          <w:sz w:val="15"/>
          <w:szCs w:val="15"/>
          <w:color w:val="auto"/>
        </w:rPr>
        <w:t>” means an individual who served as an Executive Officer at any time during the applicable performance period for the affected Incentive-Based Compensation (whether or not such individual is an Executive Officer at the time that Erroneously Awarded Compensation is required to be repaid under this Policy) and includes both current and former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5327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p>
      <w:pPr>
        <w:ind w:right="20" w:firstLine="1087"/>
        <w:spacing w:after="0" w:line="288" w:lineRule="auto"/>
        <w:tabs>
          <w:tab w:leader="none" w:pos="14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Erroneously Awarded Compensation</w:t>
      </w:r>
      <w:r>
        <w:rPr>
          <w:rFonts w:ascii="Times New Roman" w:cs="Times New Roman" w:eastAsia="Times New Roman" w:hAnsi="Times New Roman"/>
          <w:sz w:val="15"/>
          <w:szCs w:val="15"/>
          <w:color w:val="auto"/>
        </w:rPr>
        <w:t>” means the amount of Incentive-Based Compensation Received that exceeds the amount of Incentive-Based Compensation that otherwise would have been Received had it been determined based on the restated amounts, computed without regard to any taxes paid.</w:t>
      </w:r>
    </w:p>
    <w:p>
      <w:pPr>
        <w:spacing w:after="0" w:line="133" w:lineRule="exact"/>
        <w:rPr>
          <w:rFonts w:ascii="Times New Roman" w:cs="Times New Roman" w:eastAsia="Times New Roman" w:hAnsi="Times New Roman"/>
          <w:sz w:val="15"/>
          <w:szCs w:val="15"/>
          <w:color w:val="auto"/>
        </w:rPr>
      </w:pPr>
    </w:p>
    <w:p>
      <w:pPr>
        <w:ind w:left="1420" w:hanging="333"/>
        <w:spacing w:after="0"/>
        <w:tabs>
          <w:tab w:leader="none" w:pos="14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w:t>
      </w:r>
      <w:r>
        <w:rPr>
          <w:rFonts w:ascii="Times New Roman" w:cs="Times New Roman" w:eastAsia="Times New Roman" w:hAnsi="Times New Roman"/>
          <w:sz w:val="15"/>
          <w:szCs w:val="15"/>
          <w:color w:val="auto"/>
        </w:rPr>
        <w:t>” means the New York Stock Exchange American.</w:t>
      </w:r>
    </w:p>
    <w:p>
      <w:pPr>
        <w:spacing w:after="0" w:line="192" w:lineRule="exact"/>
        <w:rPr>
          <w:rFonts w:ascii="Times New Roman" w:cs="Times New Roman" w:eastAsia="Times New Roman" w:hAnsi="Times New Roman"/>
          <w:sz w:val="15"/>
          <w:szCs w:val="15"/>
          <w:color w:val="auto"/>
        </w:rPr>
      </w:pPr>
    </w:p>
    <w:p>
      <w:pPr>
        <w:ind w:left="1420" w:hanging="333"/>
        <w:spacing w:after="0"/>
        <w:tabs>
          <w:tab w:leader="none" w:pos="14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and the rules and regulations promulgated thereunder.</w:t>
      </w:r>
    </w:p>
    <w:p>
      <w:pPr>
        <w:spacing w:after="0" w:line="192" w:lineRule="exact"/>
        <w:rPr>
          <w:rFonts w:ascii="Times New Roman" w:cs="Times New Roman" w:eastAsia="Times New Roman" w:hAnsi="Times New Roman"/>
          <w:sz w:val="15"/>
          <w:szCs w:val="15"/>
          <w:color w:val="auto"/>
        </w:rPr>
      </w:pPr>
    </w:p>
    <w:p>
      <w:pPr>
        <w:ind w:firstLine="1087"/>
        <w:spacing w:after="0" w:line="288" w:lineRule="auto"/>
        <w:tabs>
          <w:tab w:leader="none" w:pos="143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Executive Officer</w:t>
      </w:r>
      <w:r>
        <w:rPr>
          <w:rFonts w:ascii="Times New Roman" w:cs="Times New Roman" w:eastAsia="Times New Roman" w:hAnsi="Times New Roman"/>
          <w:sz w:val="15"/>
          <w:szCs w:val="15"/>
          <w:color w:val="auto"/>
        </w:rPr>
        <w:t>” means any current or former “officer” of the Company, as defined by Rule 16a-1(f) of the Exchange Act. The Committee shall have full discretion to determine which individuals in the Company and its subsidiaries shall be considered an “Executive Officer” for purposes of this Policy.</w:t>
      </w:r>
    </w:p>
    <w:p>
      <w:pPr>
        <w:spacing w:after="0" w:line="133" w:lineRule="exact"/>
        <w:rPr>
          <w:rFonts w:ascii="Times New Roman" w:cs="Times New Roman" w:eastAsia="Times New Roman" w:hAnsi="Times New Roman"/>
          <w:sz w:val="15"/>
          <w:szCs w:val="15"/>
          <w:color w:val="auto"/>
        </w:rPr>
      </w:pPr>
    </w:p>
    <w:p>
      <w:pPr>
        <w:jc w:val="both"/>
        <w:ind w:firstLine="1087"/>
        <w:spacing w:after="0" w:line="271" w:lineRule="auto"/>
        <w:tabs>
          <w:tab w:leader="none" w:pos="142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Financial Reporting Measure</w:t>
      </w:r>
      <w:r>
        <w:rPr>
          <w:rFonts w:ascii="Times New Roman" w:cs="Times New Roman" w:eastAsia="Times New Roman" w:hAnsi="Times New Roman"/>
          <w:sz w:val="15"/>
          <w:szCs w:val="15"/>
          <w:color w:val="auto"/>
        </w:rPr>
        <w:t>” means a measure that is determined and presented in accordance with the accounting principles used in preparing the Company’s financial statements, and any measure that is derived wholly or in part from such measures. Financial Reporting Measure shall also include the Company’s stock price and total shareholder return. A Financial Reporting Measure need not be presented within the Company’s financial statements or included in a filing with the SEC.</w:t>
      </w:r>
    </w:p>
    <w:p>
      <w:pPr>
        <w:spacing w:after="0" w:line="146" w:lineRule="exact"/>
        <w:rPr>
          <w:rFonts w:ascii="Times New Roman" w:cs="Times New Roman" w:eastAsia="Times New Roman" w:hAnsi="Times New Roman"/>
          <w:sz w:val="15"/>
          <w:szCs w:val="15"/>
          <w:color w:val="auto"/>
        </w:rPr>
      </w:pPr>
    </w:p>
    <w:p>
      <w:pPr>
        <w:jc w:val="both"/>
        <w:ind w:firstLine="1087"/>
        <w:spacing w:after="0" w:line="271" w:lineRule="auto"/>
        <w:tabs>
          <w:tab w:leader="none" w:pos="142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Incentive-Based Compensation</w:t>
      </w:r>
      <w:r>
        <w:rPr>
          <w:rFonts w:ascii="Times New Roman" w:cs="Times New Roman" w:eastAsia="Times New Roman" w:hAnsi="Times New Roman"/>
          <w:sz w:val="15"/>
          <w:szCs w:val="15"/>
          <w:color w:val="auto"/>
        </w:rPr>
        <w:t>” means any compensation that is granted, earned, or vested based wholly or in part upon the attainment of a Financial Reporting Measure. Incentive-Based Compensation does not include compensation that is granted, earned and vests exclusively upon completion of a specified employment or other period, without any performance condition, and compensation that is discretionary or based on subjective goals or goals unrelated to a Financial Reporting Measure.</w:t>
      </w:r>
    </w:p>
    <w:p>
      <w:pPr>
        <w:spacing w:after="0" w:line="146" w:lineRule="exact"/>
        <w:rPr>
          <w:rFonts w:ascii="Times New Roman" w:cs="Times New Roman" w:eastAsia="Times New Roman" w:hAnsi="Times New Roman"/>
          <w:sz w:val="15"/>
          <w:szCs w:val="15"/>
          <w:color w:val="auto"/>
        </w:rPr>
      </w:pPr>
    </w:p>
    <w:p>
      <w:pPr>
        <w:jc w:val="both"/>
        <w:ind w:firstLine="1087"/>
        <w:spacing w:after="0" w:line="271" w:lineRule="auto"/>
        <w:tabs>
          <w:tab w:leader="none" w:pos="146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Received</w:t>
      </w:r>
      <w:r>
        <w:rPr>
          <w:rFonts w:ascii="Times New Roman" w:cs="Times New Roman" w:eastAsia="Times New Roman" w:hAnsi="Times New Roman"/>
          <w:sz w:val="15"/>
          <w:szCs w:val="15"/>
          <w:color w:val="auto"/>
        </w:rPr>
        <w:t>” with respect to Incentive-Based Compensation means when the Incentive-Based Compensation is deemed received, which is the Company’s fiscal period during which the Financial Reporting Measure specified in the Incentive-Based Compensation award is attained, even if the payment or grant of the Incentive-Based Compensation occurs after the end of that period.</w:t>
      </w:r>
    </w:p>
    <w:p>
      <w:pPr>
        <w:spacing w:after="0" w:line="146" w:lineRule="exact"/>
        <w:rPr>
          <w:rFonts w:ascii="Times New Roman" w:cs="Times New Roman" w:eastAsia="Times New Roman" w:hAnsi="Times New Roman"/>
          <w:sz w:val="15"/>
          <w:szCs w:val="15"/>
          <w:color w:val="auto"/>
        </w:rPr>
      </w:pPr>
    </w:p>
    <w:p>
      <w:pPr>
        <w:ind w:firstLine="1087"/>
        <w:spacing w:after="0" w:line="288" w:lineRule="auto"/>
        <w:tabs>
          <w:tab w:leader="none" w:pos="149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Recovery Period</w:t>
      </w:r>
      <w:r>
        <w:rPr>
          <w:rFonts w:ascii="Times New Roman" w:cs="Times New Roman" w:eastAsia="Times New Roman" w:hAnsi="Times New Roman"/>
          <w:sz w:val="15"/>
          <w:szCs w:val="15"/>
          <w:color w:val="auto"/>
        </w:rPr>
        <w:t>” means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33" w:lineRule="exact"/>
        <w:rPr>
          <w:rFonts w:ascii="Times New Roman" w:cs="Times New Roman" w:eastAsia="Times New Roman" w:hAnsi="Times New Roman"/>
          <w:sz w:val="15"/>
          <w:szCs w:val="15"/>
          <w:color w:val="auto"/>
        </w:rPr>
      </w:pPr>
    </w:p>
    <w:p>
      <w:pPr>
        <w:ind w:right="20" w:firstLine="1087"/>
        <w:spacing w:after="0" w:line="288" w:lineRule="auto"/>
        <w:tabs>
          <w:tab w:leader="none" w:pos="142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Recovery Rules</w:t>
      </w:r>
      <w:r>
        <w:rPr>
          <w:rFonts w:ascii="Times New Roman" w:cs="Times New Roman" w:eastAsia="Times New Roman" w:hAnsi="Times New Roman"/>
          <w:sz w:val="15"/>
          <w:szCs w:val="15"/>
          <w:color w:val="auto"/>
        </w:rPr>
        <w:t>” means Section 10D of the Exchange Act and any applicable rules or standards adopted by the SEC (including Rule 10D-1 under the Exchange Act) and Section 811 of the NYSE American Listed Company Manual.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327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19" w:right="319" w:bottom="1440" w:gutter="0" w:footer="0" w:header="0"/>
        </w:sectPr>
      </w:pPr>
    </w:p>
    <w:bookmarkStart w:id="84" w:name="page85"/>
    <w:bookmarkEnd w:id="84"/>
    <w:p>
      <w:pPr>
        <w:jc w:val="both"/>
        <w:ind w:left="9" w:right="20" w:firstLine="1087"/>
        <w:spacing w:after="0" w:line="271" w:lineRule="auto"/>
        <w:tabs>
          <w:tab w:leader="none" w:pos="1483"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Restatement Date</w:t>
      </w:r>
      <w:r>
        <w:rPr>
          <w:rFonts w:ascii="Times New Roman" w:cs="Times New Roman" w:eastAsia="Times New Roman" w:hAnsi="Times New Roman"/>
          <w:sz w:val="15"/>
          <w:szCs w:val="15"/>
          <w:color w:val="auto"/>
        </w:rPr>
        <w:t>” means the earlier of (i) the date that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46" w:lineRule="exact"/>
        <w:rPr>
          <w:rFonts w:ascii="Times New Roman" w:cs="Times New Roman" w:eastAsia="Times New Roman" w:hAnsi="Times New Roman"/>
          <w:sz w:val="15"/>
          <w:szCs w:val="15"/>
          <w:color w:val="auto"/>
        </w:rPr>
      </w:pPr>
    </w:p>
    <w:p>
      <w:pPr>
        <w:ind w:left="1429" w:hanging="333"/>
        <w:spacing w:after="0"/>
        <w:tabs>
          <w:tab w:leader="none" w:pos="1429"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Securities and Exchange Commission.</w:t>
      </w:r>
    </w:p>
    <w:p>
      <w:pPr>
        <w:spacing w:after="0" w:line="188"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Recovery of Erroneously Awarded Compensation</w:t>
      </w:r>
    </w:p>
    <w:p>
      <w:pPr>
        <w:spacing w:after="0" w:line="196" w:lineRule="exact"/>
        <w:rPr>
          <w:rFonts w:ascii="Times New Roman" w:cs="Times New Roman" w:eastAsia="Times New Roman" w:hAnsi="Times New Roman"/>
          <w:sz w:val="15"/>
          <w:szCs w:val="15"/>
          <w:b w:val="1"/>
          <w:bCs w:val="1"/>
          <w:color w:val="auto"/>
        </w:rPr>
      </w:pPr>
    </w:p>
    <w:p>
      <w:pPr>
        <w:jc w:val="both"/>
        <w:ind w:left="9" w:right="20" w:firstLine="1087"/>
        <w:spacing w:after="0" w:line="271" w:lineRule="auto"/>
        <w:tabs>
          <w:tab w:leader="none" w:pos="1429"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 Accounting Restatement, the Committee shall reasonably promptly determine the amount of any Covered Erroneously Awarded Compensation Received by each Covered Executive Officer during the Recovery Period based on the Accounting Restatement and shall promptly provide each affected Covered Executive Officer with a written notice stating the amount of Covered Erroneously Awarded Compensation and a demand for repayment or return, as applicable.</w:t>
      </w:r>
    </w:p>
    <w:p>
      <w:pPr>
        <w:spacing w:after="0" w:line="146" w:lineRule="exact"/>
        <w:rPr>
          <w:rFonts w:ascii="Times New Roman" w:cs="Times New Roman" w:eastAsia="Times New Roman" w:hAnsi="Times New Roman"/>
          <w:sz w:val="15"/>
          <w:szCs w:val="15"/>
          <w:color w:val="auto"/>
        </w:rPr>
      </w:pPr>
    </w:p>
    <w:p>
      <w:pPr>
        <w:ind w:left="9" w:firstLine="1087"/>
        <w:spacing w:after="0" w:line="288" w:lineRule="auto"/>
        <w:tabs>
          <w:tab w:leader="none" w:pos="143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Covered Executive Officer must comply with any request or demand for repayment or return within 45 days from the date such request or demand was sent (or by such later date specified in the request or demand, if any).</w:t>
      </w:r>
    </w:p>
    <w:p>
      <w:pPr>
        <w:spacing w:after="0" w:line="133" w:lineRule="exact"/>
        <w:rPr>
          <w:rFonts w:ascii="Times New Roman" w:cs="Times New Roman" w:eastAsia="Times New Roman" w:hAnsi="Times New Roman"/>
          <w:sz w:val="15"/>
          <w:szCs w:val="15"/>
          <w:color w:val="auto"/>
        </w:rPr>
      </w:pPr>
    </w:p>
    <w:p>
      <w:pPr>
        <w:jc w:val="both"/>
        <w:ind w:left="9" w:right="20" w:firstLine="1087"/>
        <w:spacing w:after="0" w:line="271" w:lineRule="auto"/>
        <w:tabs>
          <w:tab w:leader="none" w:pos="147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obligation to recover Erroneously Awarded Compensation pursuant to this Policy is not dependent on whether or when the restated financial statements are filed. In addition, the recovery of Erroneously Awarded Compensation is required without regard to whether any misconduct occurred or an Executive Officer’s responsibility for the erroneous financial statements.</w:t>
      </w:r>
    </w:p>
    <w:p>
      <w:pPr>
        <w:spacing w:after="0" w:line="146" w:lineRule="exact"/>
        <w:rPr>
          <w:rFonts w:ascii="Times New Roman" w:cs="Times New Roman" w:eastAsia="Times New Roman" w:hAnsi="Times New Roman"/>
          <w:sz w:val="15"/>
          <w:szCs w:val="15"/>
          <w:color w:val="auto"/>
        </w:rPr>
      </w:pPr>
    </w:p>
    <w:p>
      <w:pPr>
        <w:ind w:left="1449" w:hanging="353"/>
        <w:spacing w:after="0"/>
        <w:tabs>
          <w:tab w:leader="none" w:pos="1449"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Committee shall have broad discretion to determine the appropriate means of recovery of Erroneously Awarded Compensation based on all applicable facts</w:t>
      </w:r>
    </w:p>
    <w:p>
      <w:pPr>
        <w:spacing w:after="0" w:line="25" w:lineRule="exact"/>
        <w:rPr>
          <w:rFonts w:ascii="Times New Roman" w:cs="Times New Roman" w:eastAsia="Times New Roman" w:hAnsi="Times New Roman"/>
          <w:sz w:val="15"/>
          <w:szCs w:val="15"/>
          <w:color w:val="auto"/>
        </w:rPr>
      </w:pP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circumstances.</w:t>
      </w:r>
    </w:p>
    <w:p>
      <w:pPr>
        <w:spacing w:after="0" w:line="177" w:lineRule="exact"/>
        <w:rPr>
          <w:rFonts w:ascii="Times New Roman" w:cs="Times New Roman" w:eastAsia="Times New Roman" w:hAnsi="Times New Roman"/>
          <w:sz w:val="15"/>
          <w:szCs w:val="15"/>
          <w:color w:val="auto"/>
        </w:rPr>
      </w:pPr>
    </w:p>
    <w:p>
      <w:pPr>
        <w:jc w:val="both"/>
        <w:ind w:left="9" w:firstLine="1087"/>
        <w:spacing w:after="0" w:line="265" w:lineRule="auto"/>
        <w:tabs>
          <w:tab w:leader="none" w:pos="1452"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that a Covered Executive Officer fails to repay any or all Covered Erroneously Awarded Compensation to the Company when due, the Company shall take all actions reasonable and appropriate to promptly recover such Covered Erroneously Awarded Compensation from the Covered Executive Officer, and the Covered Executive Officer shall be required to reimburse the Company for any and all expenses reasonably incurred (including legal fees) by the Company in seeking to recover such Covered Erroneously Awarded Compensation.</w:t>
      </w:r>
    </w:p>
    <w:p>
      <w:pPr>
        <w:spacing w:after="0" w:line="147"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Determination of Erroneously Awarded Compensation</w:t>
      </w:r>
    </w:p>
    <w:p>
      <w:pPr>
        <w:spacing w:after="0" w:line="196" w:lineRule="exact"/>
        <w:rPr>
          <w:rFonts w:ascii="Times New Roman" w:cs="Times New Roman" w:eastAsia="Times New Roman" w:hAnsi="Times New Roman"/>
          <w:sz w:val="15"/>
          <w:szCs w:val="15"/>
          <w:b w:val="1"/>
          <w:bCs w:val="1"/>
          <w:color w:val="auto"/>
        </w:rPr>
      </w:pPr>
    </w:p>
    <w:p>
      <w:pPr>
        <w:jc w:val="both"/>
        <w:ind w:left="9" w:firstLine="1087"/>
        <w:spacing w:after="0" w:line="271" w:lineRule="auto"/>
        <w:tabs>
          <w:tab w:leader="none" w:pos="152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Covered Erroneously Awarded Compensation shall be determined by the Committee based on the particular facts and circumstances and consistent with the principles of the Recovery Rules. The Committee is authorized to engage, on behalf of the Company, any third-party advisors it deems advisable in order to perform any calculations contemplated by this Policy.</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513" w:right="319" w:bottom="1440" w:gutter="0" w:footer="0" w:header="0"/>
        </w:sectPr>
      </w:pPr>
    </w:p>
    <w:bookmarkStart w:id="85" w:name="page86"/>
    <w:bookmarkEnd w:id="85"/>
    <w:p>
      <w:pPr>
        <w:jc w:val="both"/>
        <w:ind w:left="9" w:firstLine="1087"/>
        <w:spacing w:after="0" w:line="265" w:lineRule="auto"/>
        <w:tabs>
          <w:tab w:leader="none" w:pos="1461"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Incentive-Based Compensation based on stock price or total shareholder return, where the amount of Erroneously Awarded Compensation is not subject to mathematical recalculation directly from the information in the Accounting Restatement, the Committee shall determine the amount of Erroneously Awarded Compensation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the Exchange.</w:t>
      </w:r>
    </w:p>
    <w:p>
      <w:pPr>
        <w:spacing w:after="0" w:line="151" w:lineRule="exact"/>
        <w:rPr>
          <w:rFonts w:ascii="Times New Roman" w:cs="Times New Roman" w:eastAsia="Times New Roman" w:hAnsi="Times New Roman"/>
          <w:sz w:val="15"/>
          <w:szCs w:val="15"/>
          <w:color w:val="auto"/>
        </w:rPr>
      </w:pPr>
    </w:p>
    <w:p>
      <w:pPr>
        <w:jc w:val="both"/>
        <w:ind w:left="9" w:firstLine="1087"/>
        <w:spacing w:after="0" w:line="265" w:lineRule="auto"/>
        <w:tabs>
          <w:tab w:leader="none" w:pos="14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cash awards, Erroneously Awarded Compensation typically will be the difference between the amount of the cash award (whether payable as a lump sum or over time) that was received and the amount that should have been received after applying the restated Financial Reporting Measure. For cash awards from bonus pools, the Erroneously Awarded Compensation typically will be the pro rata portion of any deficiency that results from the aggregate bonus pool that is reduced based on applying the restated Financial Reporting Measure.</w:t>
      </w:r>
    </w:p>
    <w:p>
      <w:pPr>
        <w:spacing w:after="0" w:line="151" w:lineRule="exact"/>
        <w:rPr>
          <w:rFonts w:ascii="Times New Roman" w:cs="Times New Roman" w:eastAsia="Times New Roman" w:hAnsi="Times New Roman"/>
          <w:sz w:val="15"/>
          <w:szCs w:val="15"/>
          <w:color w:val="auto"/>
        </w:rPr>
      </w:pPr>
    </w:p>
    <w:p>
      <w:pPr>
        <w:jc w:val="both"/>
        <w:ind w:left="9" w:firstLine="1087"/>
        <w:spacing w:after="0" w:line="265" w:lineRule="auto"/>
        <w:tabs>
          <w:tab w:leader="none" w:pos="1495"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stock options or stock appreciation rights, if the shares, stock options or stock appreciation rights are still held at the time of recovery, the Erroneously Awarded Compensation typically will be the number of shares received in excess of the number of shares that should have been received applying the restated Financial Reporting Measure (or the value of that excess number). If the options or stock appreciation rights have been exercised, but the underlying shares have not been sold, the Erroneously Awarded Compensation typically will be the number of shares underlying the excess options or stock appreciation rights (or the value thereof).</w:t>
      </w:r>
    </w:p>
    <w:p>
      <w:pPr>
        <w:spacing w:after="0" w:line="147"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Exemption</w:t>
      </w:r>
    </w:p>
    <w:p>
      <w:pPr>
        <w:spacing w:after="0" w:line="197" w:lineRule="exact"/>
        <w:rPr>
          <w:sz w:val="20"/>
          <w:szCs w:val="20"/>
          <w:color w:val="auto"/>
        </w:rPr>
      </w:pPr>
    </w:p>
    <w:p>
      <w:pPr>
        <w:ind w:left="9" w:firstLine="548"/>
        <w:spacing w:after="0" w:line="288" w:lineRule="auto"/>
        <w:rPr>
          <w:sz w:val="20"/>
          <w:szCs w:val="20"/>
          <w:color w:val="auto"/>
        </w:rPr>
      </w:pPr>
      <w:r>
        <w:rPr>
          <w:rFonts w:ascii="Times New Roman" w:cs="Times New Roman" w:eastAsia="Times New Roman" w:hAnsi="Times New Roman"/>
          <w:sz w:val="15"/>
          <w:szCs w:val="15"/>
          <w:color w:val="auto"/>
        </w:rPr>
        <w:t>Recovery of Erroneously Awarded Compensation shall not be required to the extent that the Committee determines that recovery would be impracticable because of one or more of the following conditions:</w:t>
      </w:r>
    </w:p>
    <w:p>
      <w:pPr>
        <w:spacing w:after="0" w:line="134" w:lineRule="exact"/>
        <w:rPr>
          <w:sz w:val="20"/>
          <w:szCs w:val="20"/>
          <w:color w:val="auto"/>
        </w:rPr>
      </w:pPr>
    </w:p>
    <w:p>
      <w:pPr>
        <w:jc w:val="both"/>
        <w:ind w:left="9" w:firstLine="1087"/>
        <w:spacing w:after="0" w:line="271" w:lineRule="auto"/>
        <w:tabs>
          <w:tab w:leader="none" w:pos="1517"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w:t>
      </w:r>
    </w:p>
    <w:p>
      <w:pPr>
        <w:spacing w:after="0" w:line="146" w:lineRule="exact"/>
        <w:rPr>
          <w:rFonts w:ascii="Times New Roman" w:cs="Times New Roman" w:eastAsia="Times New Roman" w:hAnsi="Times New Roman"/>
          <w:sz w:val="15"/>
          <w:szCs w:val="15"/>
          <w:color w:val="auto"/>
        </w:rPr>
      </w:pPr>
    </w:p>
    <w:p>
      <w:pPr>
        <w:jc w:val="both"/>
        <w:ind w:left="9" w:firstLine="1087"/>
        <w:spacing w:after="0" w:line="271" w:lineRule="auto"/>
        <w:tabs>
          <w:tab w:leader="none" w:pos="144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Exchange, that recovery would result in such a violation, and must provide such opinion to the Exchange.</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513" w:right="319" w:bottom="1440" w:gutter="0" w:footer="0" w:header="0"/>
        </w:sectPr>
      </w:pPr>
    </w:p>
    <w:bookmarkStart w:id="86" w:name="page87"/>
    <w:bookmarkEnd w:id="86"/>
    <w:p>
      <w:pPr>
        <w:ind w:left="9" w:right="20" w:firstLine="1087"/>
        <w:spacing w:after="0" w:line="288" w:lineRule="auto"/>
        <w:tabs>
          <w:tab w:leader="none" w:pos="1432"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Recovery would likely cause an otherwise tax-qualified retirement plan, under which benefits are broadly available to employees of the Company, to fail to meet the requirements of Section 401(a)(13) or 411(a) of the Internal Revenue Code of 1986, as amended, and the regulations thereunder.</w:t>
      </w:r>
    </w:p>
    <w:p>
      <w:pPr>
        <w:spacing w:after="0" w:line="12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Prohibition on Indemnification</w:t>
      </w:r>
    </w:p>
    <w:p>
      <w:pPr>
        <w:spacing w:after="0" w:line="197" w:lineRule="exact"/>
        <w:rPr>
          <w:sz w:val="20"/>
          <w:szCs w:val="20"/>
          <w:color w:val="auto"/>
        </w:rPr>
      </w:pPr>
    </w:p>
    <w:p>
      <w:pPr>
        <w:jc w:val="both"/>
        <w:ind w:left="9" w:firstLine="548"/>
        <w:spacing w:after="0" w:line="265" w:lineRule="auto"/>
        <w:rPr>
          <w:sz w:val="20"/>
          <w:szCs w:val="20"/>
          <w:color w:val="auto"/>
        </w:rPr>
      </w:pPr>
      <w:r>
        <w:rPr>
          <w:rFonts w:ascii="Times New Roman" w:cs="Times New Roman" w:eastAsia="Times New Roman" w:hAnsi="Times New Roman"/>
          <w:sz w:val="15"/>
          <w:szCs w:val="15"/>
          <w:color w:val="auto"/>
        </w:rPr>
        <w:t>The Company and its subsidiaries are prohibited from indemnifying any current or former Executive Officer against the loss of Erroneously Awarded Compensation pursuant to this Policy and from paying the premiums on any insurance policy protecting against the recovery of Erroneously Awarded Compensation. Neither the Company nor any subsidiary shall enter into any agreement that exempts any Incentive-based Compensation from the application of this Policy or that waives the Company’s right to recover Erroneously Awarded Compensation, and this Policy shall supersede any such agreement (whether entered into before, on or after the Effective Date).</w:t>
      </w:r>
    </w:p>
    <w:p>
      <w:pPr>
        <w:spacing w:after="0" w:line="147" w:lineRule="exact"/>
        <w:rPr>
          <w:sz w:val="20"/>
          <w:szCs w:val="20"/>
          <w:color w:val="auto"/>
        </w:rPr>
      </w:pPr>
    </w:p>
    <w:p>
      <w:pPr>
        <w:ind w:left="9"/>
        <w:spacing w:after="0"/>
        <w:tabs>
          <w:tab w:leader="none" w:pos="228" w:val="left"/>
        </w:tabs>
        <w:rPr>
          <w:sz w:val="20"/>
          <w:szCs w:val="20"/>
          <w:color w:val="auto"/>
        </w:rPr>
      </w:pPr>
      <w:r>
        <w:rPr>
          <w:rFonts w:ascii="Times New Roman" w:cs="Times New Roman" w:eastAsia="Times New Roman" w:hAnsi="Times New Roman"/>
          <w:sz w:val="15"/>
          <w:szCs w:val="15"/>
          <w:b w:val="1"/>
          <w:bCs w:val="1"/>
          <w:color w:val="auto"/>
        </w:rPr>
        <w:t>7.</w:t>
        <w:tab/>
        <w:t>Administration</w:t>
      </w:r>
    </w:p>
    <w:p>
      <w:pPr>
        <w:spacing w:after="0" w:line="197" w:lineRule="exact"/>
        <w:rPr>
          <w:sz w:val="20"/>
          <w:szCs w:val="20"/>
          <w:color w:val="auto"/>
        </w:rPr>
      </w:pPr>
    </w:p>
    <w:p>
      <w:pPr>
        <w:jc w:val="both"/>
        <w:ind w:left="9" w:right="20" w:firstLine="548"/>
        <w:spacing w:after="0" w:line="265" w:lineRule="auto"/>
        <w:rPr>
          <w:sz w:val="20"/>
          <w:szCs w:val="20"/>
          <w:color w:val="auto"/>
        </w:rPr>
      </w:pPr>
      <w:r>
        <w:rPr>
          <w:rFonts w:ascii="Times New Roman" w:cs="Times New Roman" w:eastAsia="Times New Roman" w:hAnsi="Times New Roman"/>
          <w:sz w:val="15"/>
          <w:szCs w:val="15"/>
          <w:color w:val="auto"/>
        </w:rPr>
        <w:t>This Policy shall be administered by the Committee in accordance with the Recovery Rules. The Committee is authorized to interpret and construe this Policy and to make all determinations necessary, appropriate or advisable for the administration of this Policy. Any determination made by the Committee shall be binding on all persons.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147" w:lineRule="exact"/>
        <w:rPr>
          <w:sz w:val="20"/>
          <w:szCs w:val="20"/>
          <w:color w:val="auto"/>
        </w:rPr>
      </w:pPr>
    </w:p>
    <w:p>
      <w:pPr>
        <w:ind w:left="9"/>
        <w:spacing w:after="0"/>
        <w:tabs>
          <w:tab w:leader="none" w:pos="228" w:val="left"/>
        </w:tabs>
        <w:rPr>
          <w:sz w:val="20"/>
          <w:szCs w:val="20"/>
          <w:color w:val="auto"/>
        </w:rPr>
      </w:pPr>
      <w:r>
        <w:rPr>
          <w:rFonts w:ascii="Times New Roman" w:cs="Times New Roman" w:eastAsia="Times New Roman" w:hAnsi="Times New Roman"/>
          <w:sz w:val="15"/>
          <w:szCs w:val="15"/>
          <w:b w:val="1"/>
          <w:bCs w:val="1"/>
          <w:color w:val="auto"/>
        </w:rPr>
        <w:t>8.</w:t>
        <w:tab/>
        <w:t>Acknowledgement</w:t>
      </w:r>
    </w:p>
    <w:p>
      <w:pPr>
        <w:spacing w:after="0" w:line="197" w:lineRule="exact"/>
        <w:rPr>
          <w:sz w:val="20"/>
          <w:szCs w:val="20"/>
          <w:color w:val="auto"/>
        </w:rPr>
      </w:pPr>
    </w:p>
    <w:p>
      <w:pPr>
        <w:jc w:val="both"/>
        <w:ind w:left="9" w:firstLine="548"/>
        <w:spacing w:after="0" w:line="271" w:lineRule="auto"/>
        <w:rPr>
          <w:sz w:val="20"/>
          <w:szCs w:val="20"/>
          <w:color w:val="auto"/>
        </w:rPr>
      </w:pPr>
      <w:r>
        <w:rPr>
          <w:rFonts w:ascii="Times New Roman" w:cs="Times New Roman" w:eastAsia="Times New Roman" w:hAnsi="Times New Roman"/>
          <w:sz w:val="15"/>
          <w:szCs w:val="15"/>
          <w:color w:val="auto"/>
        </w:rPr>
        <w:t xml:space="preserve">The Company may require an Executive Officer to sign and return to the Company the Acknowledgement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pursuant to which such Executive Officer will agree to be bound by the terms and comply with this Policy; provided, however, that this Policy shall apply to, and be enforceable against, any Executive Officer regardless of whether or not such Executive Officer properly signs and returns to the Company such Acknowledgement Form.</w:t>
      </w:r>
    </w:p>
    <w:p>
      <w:pPr>
        <w:spacing w:after="0" w:line="142" w:lineRule="exact"/>
        <w:rPr>
          <w:sz w:val="20"/>
          <w:szCs w:val="20"/>
          <w:color w:val="auto"/>
        </w:rPr>
      </w:pPr>
    </w:p>
    <w:p>
      <w:pPr>
        <w:ind w:left="9"/>
        <w:spacing w:after="0"/>
        <w:tabs>
          <w:tab w:leader="none" w:pos="248" w:val="left"/>
        </w:tabs>
        <w:rPr>
          <w:sz w:val="20"/>
          <w:szCs w:val="20"/>
          <w:color w:val="auto"/>
        </w:rPr>
      </w:pPr>
      <w:r>
        <w:rPr>
          <w:rFonts w:ascii="Times New Roman" w:cs="Times New Roman" w:eastAsia="Times New Roman" w:hAnsi="Times New Roman"/>
          <w:sz w:val="15"/>
          <w:szCs w:val="15"/>
          <w:b w:val="1"/>
          <w:bCs w:val="1"/>
          <w:color w:val="auto"/>
        </w:rPr>
        <w:t>9.</w:t>
        <w:tab/>
        <w:t>Reporting and Disclosure</w:t>
      </w:r>
    </w:p>
    <w:p>
      <w:pPr>
        <w:spacing w:after="0" w:line="197" w:lineRule="exact"/>
        <w:rPr>
          <w:sz w:val="20"/>
          <w:szCs w:val="20"/>
          <w:color w:val="auto"/>
        </w:rPr>
      </w:pPr>
    </w:p>
    <w:p>
      <w:pPr>
        <w:jc w:val="both"/>
        <w:ind w:left="9" w:right="20" w:firstLine="548"/>
        <w:spacing w:after="0" w:line="288" w:lineRule="auto"/>
        <w:rPr>
          <w:sz w:val="20"/>
          <w:szCs w:val="20"/>
          <w:color w:val="auto"/>
        </w:rPr>
      </w:pPr>
      <w:r>
        <w:rPr>
          <w:rFonts w:ascii="Times New Roman" w:cs="Times New Roman" w:eastAsia="Times New Roman" w:hAnsi="Times New Roman"/>
          <w:sz w:val="15"/>
          <w:szCs w:val="15"/>
          <w:color w:val="auto"/>
        </w:rPr>
        <w:t>The Company shall file all disclosures with respect to this Policy in accordance with the requirements of the federal securities laws, including the disclosure required by applicable SEC rules.</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513" w:right="319" w:bottom="1440" w:gutter="0" w:footer="0" w:header="0"/>
        </w:sectPr>
      </w:pPr>
    </w:p>
    <w:bookmarkStart w:id="87" w:name="page88"/>
    <w:bookmarkEnd w:id="87"/>
    <w:p>
      <w:pPr>
        <w:ind w:left="349" w:hanging="349"/>
        <w:spacing w:after="0"/>
        <w:tabs>
          <w:tab w:leader="none" w:pos="349"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p>
    <w:p>
      <w:pPr>
        <w:spacing w:after="0" w:line="196" w:lineRule="exact"/>
        <w:rPr>
          <w:rFonts w:ascii="Times New Roman" w:cs="Times New Roman" w:eastAsia="Times New Roman" w:hAnsi="Times New Roman"/>
          <w:sz w:val="15"/>
          <w:szCs w:val="15"/>
          <w:b w:val="1"/>
          <w:bCs w:val="1"/>
          <w:color w:val="auto"/>
        </w:rPr>
      </w:pPr>
    </w:p>
    <w:p>
      <w:pPr>
        <w:jc w:val="both"/>
        <w:ind w:left="9" w:firstLine="1087"/>
        <w:spacing w:after="0" w:line="259" w:lineRule="auto"/>
        <w:tabs>
          <w:tab w:leader="none" w:pos="1482"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Termination</w:t>
      </w:r>
      <w:r>
        <w:rPr>
          <w:rFonts w:ascii="Times New Roman" w:cs="Times New Roman" w:eastAsia="Times New Roman" w:hAnsi="Times New Roman"/>
          <w:sz w:val="15"/>
          <w:szCs w:val="15"/>
          <w:color w:val="auto"/>
        </w:rPr>
        <w:t>. The Committee may amend this Policy from time to time in its discretion and shall amend this 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Section 10(a)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 Furthermore, unless otherwise determined by the Committee or as otherwise amended, this Policy shall automatically be deemed amended in a manner necessary to comply with any change in the Recovery Rules.</w:t>
      </w:r>
    </w:p>
    <w:p>
      <w:pPr>
        <w:spacing w:after="0" w:line="157" w:lineRule="exact"/>
        <w:rPr>
          <w:rFonts w:ascii="Times New Roman" w:cs="Times New Roman" w:eastAsia="Times New Roman" w:hAnsi="Times New Roman"/>
          <w:sz w:val="15"/>
          <w:szCs w:val="15"/>
          <w:color w:val="auto"/>
        </w:rPr>
      </w:pPr>
    </w:p>
    <w:p>
      <w:pPr>
        <w:jc w:val="both"/>
        <w:ind w:left="9" w:firstLine="1087"/>
        <w:spacing w:after="0" w:line="257" w:lineRule="auto"/>
        <w:tabs>
          <w:tab w:leader="none" w:pos="1434"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Recovery Rights</w:t>
      </w:r>
      <w:r>
        <w:rPr>
          <w:rFonts w:ascii="Times New Roman" w:cs="Times New Roman" w:eastAsia="Times New Roman" w:hAnsi="Times New Roman"/>
          <w:sz w:val="15"/>
          <w:szCs w:val="15"/>
          <w:color w:val="auto"/>
        </w:rPr>
        <w:t>. The Committee intends that this Policy will be applied to the fullest extent of the law. The Committee may require that any employment agreement, equity award agreement, or any other agreement entered into on or after the Effective Date shall, as a condition to the grant of any benefit thereunder, require an Executive Officer to abide by the terms of this Policy. Executive Officers shall be deemed to have accepted continuing employment on terms that include compliance with this Policy, to the extent of its otherwise applicable provisions, and to be contractually bound by its enforcement provisions. Executive Officers who cease employment or service with the Company and its subsidiaries shall continue to be bound by the terms of this Policy with respect to Incentive-Based Compensation subject to this Policy. Any right of recovery under this Policy is in addition to, and not in lieu of, any other remedies or rights of recovery that may be available to the Company or its subsidiaries under applicable law, regulation or rule, or pursuant to the terms of any policy or in any employment agreement, equity award agreement, or similar agreement and any other legal remedies available to the Company and its subsidiaries. Nothing in this Policy precludes the Company from implementing any additional clawback, recovery or recoupment policies with respect to Executive Officers or other individuals. Application of this Policy does not preclude the Company or its subsidiaries from taking any other action to enforce any Executive Officer’s obligations to the Company or its subsidiaries, including termination of employment or institution of civil or criminal proceedings or any other remedies that may be available to the Company or its subsidiaries with respect to any Executive Officer.</w:t>
      </w:r>
    </w:p>
    <w:p>
      <w:pPr>
        <w:spacing w:after="0" w:line="159" w:lineRule="exact"/>
        <w:rPr>
          <w:rFonts w:ascii="Times New Roman" w:cs="Times New Roman" w:eastAsia="Times New Roman" w:hAnsi="Times New Roman"/>
          <w:sz w:val="15"/>
          <w:szCs w:val="15"/>
          <w:color w:val="auto"/>
        </w:rPr>
      </w:pPr>
    </w:p>
    <w:p>
      <w:pPr>
        <w:ind w:left="1469" w:hanging="373"/>
        <w:spacing w:after="0"/>
        <w:tabs>
          <w:tab w:leader="none" w:pos="1469"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This Policy shall be binding and enforceable against all Executive Officers and their beneficiaries, heirs, executors, administrators or other legal</w:t>
      </w:r>
    </w:p>
    <w:p>
      <w:pPr>
        <w:spacing w:after="0" w:line="25" w:lineRule="exact"/>
        <w:rPr>
          <w:rFonts w:ascii="Times New Roman" w:cs="Times New Roman" w:eastAsia="Times New Roman" w:hAnsi="Times New Roman"/>
          <w:sz w:val="15"/>
          <w:szCs w:val="15"/>
          <w:color w:val="auto"/>
        </w:rPr>
      </w:pP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representatives.</w:t>
      </w:r>
    </w:p>
    <w:p>
      <w:pPr>
        <w:spacing w:after="0" w:line="178" w:lineRule="exact"/>
        <w:rPr>
          <w:sz w:val="20"/>
          <w:szCs w:val="20"/>
          <w:color w:val="auto"/>
        </w:rPr>
      </w:pPr>
    </w:p>
    <w:p>
      <w:pPr>
        <w:ind w:left="4749"/>
        <w:spacing w:after="0"/>
        <w:tabs>
          <w:tab w:leader="none" w:pos="5148" w:val="left"/>
          <w:tab w:leader="none" w:pos="5568" w:val="left"/>
          <w:tab w:leader="none" w:pos="5988" w:val="left"/>
          <w:tab w:leader="none" w:pos="6408"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5327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509"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inTEST CORPORATION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POLICY FOR THE RECOVERY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ERRONEOUSLY AWARDED COMPENSATION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ACKNOWLEDGEMENT FORM</w:t>
      </w:r>
    </w:p>
    <w:p>
      <w:pPr>
        <w:spacing w:after="0" w:line="19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By signing below, the undersigned executive officer (the “</w:t>
      </w:r>
      <w:r>
        <w:rPr>
          <w:rFonts w:ascii="Times New Roman" w:cs="Times New Roman" w:eastAsia="Times New Roman" w:hAnsi="Times New Roman"/>
          <w:sz w:val="15"/>
          <w:szCs w:val="15"/>
          <w:u w:val="single" w:color="auto"/>
          <w:color w:val="auto"/>
        </w:rPr>
        <w:t>Executive Officer</w:t>
      </w:r>
      <w:r>
        <w:rPr>
          <w:rFonts w:ascii="Times New Roman" w:cs="Times New Roman" w:eastAsia="Times New Roman" w:hAnsi="Times New Roman"/>
          <w:sz w:val="15"/>
          <w:szCs w:val="15"/>
          <w:color w:val="auto"/>
        </w:rPr>
        <w:t>”) acknowledges and confirms that the Executive Officer has received and reviewed a copy of the inTEST Corporation Policy for the Recovery of Erroneously Awarded Compensation (the “</w:t>
      </w:r>
      <w:r>
        <w:rPr>
          <w:rFonts w:ascii="Times New Roman" w:cs="Times New Roman" w:eastAsia="Times New Roman" w:hAnsi="Times New Roman"/>
          <w:sz w:val="15"/>
          <w:szCs w:val="15"/>
          <w:u w:val="single" w:color="auto"/>
          <w:color w:val="auto"/>
        </w:rPr>
        <w:t>Policy</w:t>
      </w:r>
      <w:r>
        <w:rPr>
          <w:rFonts w:ascii="Times New Roman" w:cs="Times New Roman" w:eastAsia="Times New Roman" w:hAnsi="Times New Roman"/>
          <w:sz w:val="15"/>
          <w:szCs w:val="15"/>
          <w:color w:val="auto"/>
        </w:rPr>
        <w:t>”). Capitalized terms used but not otherwise defined in this Acknowledgement Form shall have the meanings ascribed to such terms in the Policy.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By signing this Acknowledgement Form, the Executive Officer:</w:t>
      </w:r>
    </w:p>
    <w:p>
      <w:pPr>
        <w:spacing w:after="0" w:line="193" w:lineRule="exact"/>
        <w:rPr>
          <w:sz w:val="20"/>
          <w:szCs w:val="20"/>
          <w:color w:val="auto"/>
        </w:rPr>
      </w:pPr>
    </w:p>
    <w:p>
      <w:pPr>
        <w:ind w:left="1080" w:hanging="267"/>
        <w:spacing w:after="0" w:line="288" w:lineRule="auto"/>
        <w:tabs>
          <w:tab w:leader="none" w:pos="10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acknowledges and agrees that the Executive Officer is and will continue to be subject to the Policy and that the Policy will apply both during and after the Executive Officer’s employment with the Company and its subsidiaries;</w:t>
      </w:r>
    </w:p>
    <w:p>
      <w:pPr>
        <w:spacing w:after="0" w:line="133" w:lineRule="exact"/>
        <w:rPr>
          <w:rFonts w:ascii="Times New Roman" w:cs="Times New Roman" w:eastAsia="Times New Roman" w:hAnsi="Times New Roman"/>
          <w:sz w:val="15"/>
          <w:szCs w:val="15"/>
          <w:color w:val="auto"/>
        </w:rPr>
      </w:pPr>
    </w:p>
    <w:p>
      <w:pPr>
        <w:ind w:left="1080" w:hanging="267"/>
        <w:spacing w:after="0" w:line="288" w:lineRule="auto"/>
        <w:tabs>
          <w:tab w:leader="none" w:pos="10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agrees to abide by the terms of the Policy, including, without limitation, by promptly returning any Covered Erroneously Awarded Compensation to the Company in a manner permitted by the Policy;</w:t>
      </w:r>
    </w:p>
    <w:p>
      <w:pPr>
        <w:spacing w:after="0" w:line="133" w:lineRule="exact"/>
        <w:rPr>
          <w:rFonts w:ascii="Times New Roman" w:cs="Times New Roman" w:eastAsia="Times New Roman" w:hAnsi="Times New Roman"/>
          <w:sz w:val="15"/>
          <w:szCs w:val="15"/>
          <w:color w:val="auto"/>
        </w:rPr>
      </w:pPr>
    </w:p>
    <w:p>
      <w:pPr>
        <w:jc w:val="both"/>
        <w:ind w:left="1080" w:right="20" w:hanging="267"/>
        <w:spacing w:after="0" w:line="271" w:lineRule="auto"/>
        <w:tabs>
          <w:tab w:leader="none" w:pos="10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acknowledges and agrees to reimburse the Company for any and all expenses reasonably incurred by the Company in seeking to recover such Covered Erroneously Awarded Compensation in the event that the Executive Officer fails to promptly repay any or all Covered Erroneously Awarded Compensation to the Company when due; and</w:t>
      </w:r>
    </w:p>
    <w:p>
      <w:pPr>
        <w:spacing w:after="0" w:line="146" w:lineRule="exact"/>
        <w:rPr>
          <w:rFonts w:ascii="Times New Roman" w:cs="Times New Roman" w:eastAsia="Times New Roman" w:hAnsi="Times New Roman"/>
          <w:sz w:val="15"/>
          <w:szCs w:val="15"/>
          <w:color w:val="auto"/>
        </w:rPr>
      </w:pPr>
    </w:p>
    <w:p>
      <w:pPr>
        <w:jc w:val="both"/>
        <w:ind w:left="1080" w:hanging="267"/>
        <w:spacing w:after="0" w:line="271" w:lineRule="auto"/>
        <w:tabs>
          <w:tab w:leader="none" w:pos="10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acknowledges and agrees that the Company may, to the greatest extent permitted by law, reduce any amount that may become payable to the Executive Officer by any amount to be recovered by the Company pursuant to the Policy if such amount has not been returned to the Company prior to the date that the subsequent amount becomes payable to the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-106680</wp:posOffset>
            </wp:positionV>
            <wp:extent cx="35731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3573145" cy="6985"/>
                    </a:xfrm>
                    <a:prstGeom prst="rect">
                      <a:avLst/>
                    </a:prstGeom>
                    <a:noFill/>
                  </pic:spPr>
                </pic:pic>
              </a:graphicData>
            </a:graphic>
          </wp:anchor>
        </w:drawing>
      </w: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-106680</wp:posOffset>
            </wp:positionV>
            <wp:extent cx="35731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3573145" cy="6985"/>
                    </a:xfrm>
                    <a:prstGeom prst="rect">
                      <a:avLst/>
                    </a:prstGeom>
                    <a:noFill/>
                  </pic:spPr>
                </pic:pic>
              </a:graphicData>
            </a:graphic>
          </wp:anchor>
        </w:drawing>
      </w:r>
    </w:p>
    <w:p>
      <w:pPr>
        <w:spacing w:after="0" w:line="3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-106680</wp:posOffset>
            </wp:positionV>
            <wp:extent cx="35731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3573145" cy="6985"/>
                    </a:xfrm>
                    <a:prstGeom prst="rect">
                      <a:avLst/>
                    </a:prstGeom>
                    <a:noFill/>
                  </pic:spPr>
                </pic:pic>
              </a:graphicData>
            </a:graphic>
          </wp:anchor>
        </w:drawing>
      </w:r>
    </w:p>
    <w:sectPr>
      <w:pgSz w:w="11900" w:h="16838" w:orient="portrait"/>
      <w:cols w:equalWidth="0" w:num="1">
        <w:col w:w="11260"/>
      </w:cols>
      <w:pgMar w:left="320" w:top="5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21"/>
    </w:lvl>
  </w:abstractNum>
  <w:abstractNum w:abstractNumId="13">
    <w:nsid w:val="419AC241"/>
    <w:multiLevelType w:val="hybridMultilevel"/>
    <w:lvl w:ilvl="0">
      <w:lvlJc w:val="left"/>
      <w:lvlText w:val="%1"/>
      <w:numFmt w:val="decimal"/>
      <w:start w:val="23"/>
    </w:lvl>
  </w:abstractNum>
  <w:abstractNum w:abstractNumId="14">
    <w:nsid w:val="5577F8E1"/>
    <w:multiLevelType w:val="hybridMultilevel"/>
    <w:lvl w:ilvl="0">
      <w:lvlJc w:val="left"/>
      <w:lvlText w:val="%1"/>
      <w:numFmt w:val="decimal"/>
      <w:start w:val="97"/>
    </w:lvl>
  </w:abstractNum>
  <w:abstractNum w:abstractNumId="15">
    <w:nsid w:val="440BADFC"/>
    <w:multiLevelType w:val="hybridMultilevel"/>
    <w:lvl w:ilvl="0">
      <w:lvlJc w:val="left"/>
      <w:lvlText w:val="%1"/>
      <w:numFmt w:val="decimal"/>
      <w:start w:val="104"/>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o"/>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1)"/>
      <w:numFmt w:val="decimal"/>
      <w:start w:val="3"/>
    </w:lvl>
  </w:abstractNum>
  <w:abstractNum w:abstractNumId="24">
    <w:nsid w:val="2D517796"/>
    <w:multiLevelType w:val="hybridMultilevel"/>
    <w:lvl w:ilvl="0">
      <w:lvlJc w:val="left"/>
      <w:lvlText w:val="(%1)"/>
      <w:numFmt w:val="decimal"/>
      <w:start w:val="4"/>
    </w:lvl>
  </w:abstractNum>
  <w:abstractNum w:abstractNumId="25">
    <w:nsid w:val="580BD78F"/>
    <w:multiLevelType w:val="hybridMultilevel"/>
    <w:lvl w:ilvl="0">
      <w:lvlJc w:val="left"/>
      <w:lvlText w:val="(%1)"/>
      <w:numFmt w:val="decimal"/>
      <w:start w:val="5"/>
    </w:lvl>
  </w:abstractNum>
  <w:abstractNum w:abstractNumId="26">
    <w:nsid w:val="153EA438"/>
    <w:multiLevelType w:val="hybridMultilevel"/>
    <w:lvl w:ilvl="0">
      <w:lvlJc w:val="left"/>
      <w:lvlText w:val="(%1)"/>
      <w:numFmt w:val="decimal"/>
      <w:start w:val="6"/>
    </w:lvl>
  </w:abstractNum>
  <w:abstractNum w:abstractNumId="27">
    <w:nsid w:val="3855585C"/>
    <w:multiLevelType w:val="hybridMultilevel"/>
    <w:lvl w:ilvl="0">
      <w:lvlJc w:val="left"/>
      <w:lvlText w:val="(%1)"/>
      <w:numFmt w:val="decimal"/>
      <w:start w:val="7"/>
    </w:lvl>
  </w:abstractNum>
  <w:abstractNum w:abstractNumId="28">
    <w:nsid w:val="70A64E2A"/>
    <w:multiLevelType w:val="hybridMultilevel"/>
    <w:lvl w:ilvl="0">
      <w:lvlJc w:val="left"/>
      <w:lvlText w:val="(%1)"/>
      <w:numFmt w:val="decimal"/>
      <w:start w:val="8"/>
    </w:lvl>
  </w:abstractNum>
  <w:abstractNum w:abstractNumId="29">
    <w:nsid w:val="6A2342EC"/>
    <w:multiLevelType w:val="hybridMultilevel"/>
    <w:lvl w:ilvl="0">
      <w:lvlJc w:val="left"/>
      <w:lvlText w:val="(%1)"/>
      <w:numFmt w:val="decimal"/>
      <w:start w:val="9"/>
    </w:lvl>
  </w:abstractNum>
  <w:abstractNum w:abstractNumId="30">
    <w:nsid w:val="2A487CB0"/>
    <w:multiLevelType w:val="hybridMultilevel"/>
    <w:lvl w:ilvl="0">
      <w:lvlJc w:val="left"/>
      <w:lvlText w:val="(%1)"/>
      <w:numFmt w:val="decimal"/>
      <w:start w:val="10"/>
    </w:lvl>
  </w:abstractNum>
  <w:abstractNum w:abstractNumId="31">
    <w:nsid w:val="1D4ED43B"/>
    <w:multiLevelType w:val="hybridMultilevel"/>
    <w:lvl w:ilvl="0">
      <w:lvlJc w:val="left"/>
      <w:lvlText w:val="(%1)"/>
      <w:numFmt w:val="decimal"/>
      <w:start w:val="11"/>
    </w:lvl>
  </w:abstractNum>
  <w:abstractNum w:abstractNumId="32">
    <w:nsid w:val="725A06FB"/>
    <w:multiLevelType w:val="hybridMultilevel"/>
    <w:lvl w:ilvl="0">
      <w:lvlJc w:val="left"/>
      <w:lvlText w:val="(%1)"/>
      <w:numFmt w:val="decimal"/>
      <w:start w:val="12"/>
    </w:lvl>
  </w:abstractNum>
  <w:abstractNum w:abstractNumId="33">
    <w:nsid w:val="2CD89A32"/>
    <w:multiLevelType w:val="hybridMultilevel"/>
    <w:lvl w:ilvl="0">
      <w:lvlJc w:val="left"/>
      <w:lvlText w:val="(%1)"/>
      <w:numFmt w:val="decimal"/>
      <w:start w:val="14"/>
    </w:lvl>
  </w:abstractNum>
  <w:abstractNum w:abstractNumId="34">
    <w:nsid w:val="57E4CCAF"/>
    <w:multiLevelType w:val="hybridMultilevel"/>
    <w:lvl w:ilvl="0">
      <w:lvlJc w:val="left"/>
      <w:lvlText w:val="(%1)"/>
      <w:numFmt w:val="decimal"/>
      <w:start w:val="17"/>
    </w:lvl>
  </w:abstractNum>
  <w:abstractNum w:abstractNumId="35">
    <w:nsid w:val="7A6D8D3C"/>
    <w:multiLevelType w:val="hybridMultilevel"/>
    <w:lvl w:ilvl="0">
      <w:lvlJc w:val="left"/>
      <w:lvlText w:val="(%1)"/>
      <w:numFmt w:val="decimal"/>
      <w:start w:val="18"/>
    </w:lvl>
  </w:abstractNum>
  <w:abstractNum w:abstractNumId="36">
    <w:nsid w:val="4B588F54"/>
    <w:multiLevelType w:val="hybridMultilevel"/>
    <w:lvl w:ilvl="0">
      <w:lvlJc w:val="left"/>
      <w:lvlText w:val="(%1)"/>
      <w:numFmt w:val="decimal"/>
      <w:start w:val="19"/>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decimal"/>
      <w:start w:val="1"/>
    </w:lvl>
    <w:lvl w:ilvl="1">
      <w:lvlJc w:val="left"/>
      <w:lvlText w:val="(%2)"/>
      <w:numFmt w:val="lowerLetter"/>
      <w:start w:val="1"/>
    </w:lvl>
  </w:abstractNum>
  <w:abstractNum w:abstractNumId="41">
    <w:nsid w:val="32FFF902"/>
    <w:multiLevelType w:val="hybridMultilevel"/>
    <w:lvl w:ilvl="0">
      <w:lvlJc w:val="left"/>
      <w:lvlText w:val="%1."/>
      <w:numFmt w:val="decimal"/>
      <w:start w:val="1"/>
    </w:lvl>
    <w:lvl w:ilvl="1">
      <w:lvlJc w:val="left"/>
      <w:lvlText w:val="(%2)"/>
      <w:numFmt w:val="lowerLetter"/>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6"/>
    </w:lvl>
  </w:abstractNum>
  <w:abstractNum w:abstractNumId="46">
    <w:nsid w:val="1BA026FA"/>
    <w:multiLevelType w:val="hybridMultilevel"/>
    <w:lvl w:ilvl="0">
      <w:lvlJc w:val="left"/>
      <w:lvlText w:val="%1"/>
      <w:numFmt w:val="decimal"/>
      <w:start w:val="1"/>
    </w:lvl>
    <w:lvl w:ilvl="1">
      <w:lvlJc w:val="left"/>
      <w:lvlText w:val="(%2)"/>
      <w:numFmt w:val="lowerLetter"/>
      <w:start w:val="15"/>
    </w:lvl>
  </w:abstractNum>
  <w:abstractNum w:abstractNumId="47">
    <w:nsid w:val="79A1DEAA"/>
    <w:multiLevelType w:val="hybridMultilevel"/>
    <w:lvl w:ilvl="0">
      <w:lvlJc w:val="left"/>
      <w:lvlText w:val="%1."/>
      <w:numFmt w:val="decimal"/>
      <w:start w:val="3"/>
    </w:lvl>
    <w:lvl w:ilvl="1">
      <w:lvlJc w:val="left"/>
      <w:lvlText w:val="(%2)"/>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2"/>
    </w:lvl>
  </w:abstractNum>
  <w:abstractNum w:abstractNumId="49">
    <w:nsid w:val="12E685FB"/>
    <w:multiLevelType w:val="hybridMultilevel"/>
    <w:lvl w:ilvl="0">
      <w:lvlJc w:val="left"/>
      <w:lvlText w:val="%1."/>
      <w:numFmt w:val="decimal"/>
      <w:start w:val="5"/>
    </w:lvl>
    <w:lvl w:ilvl="1">
      <w:lvlJc w:val="left"/>
      <w:lvlText w:val="%2"/>
      <w:numFmt w:val="lowerLetter"/>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3"/>
    </w:lvl>
  </w:abstractNum>
  <w:abstractNum w:abstractNumId="52">
    <w:nsid w:val="374A3FE6"/>
    <w:multiLevelType w:val="hybridMultilevel"/>
    <w:lvl w:ilvl="0">
      <w:lvlJc w:val="left"/>
      <w:lvlText w:val="%1."/>
      <w:numFmt w:val="decimal"/>
      <w:start w:val="6"/>
    </w:lvl>
    <w:lvl w:ilvl="1">
      <w:lvlJc w:val="left"/>
      <w:lvlText w:val="%2"/>
      <w:numFmt w:val="lowerLetter"/>
      <w:start w:val="1"/>
    </w:lvl>
  </w:abstractNum>
  <w:abstractNum w:abstractNumId="53">
    <w:nsid w:val="4F4EF005"/>
    <w:multiLevelType w:val="hybridMultilevel"/>
    <w:lvl w:ilvl="0">
      <w:lvlJc w:val="left"/>
      <w:lvlText w:val="%1."/>
      <w:numFmt w:val="decimal"/>
      <w:start w:val="10"/>
    </w:lvl>
    <w:lvl w:ilvl="1">
      <w:lvlJc w:val="left"/>
      <w:lvlText w:val="(%2)"/>
      <w:numFmt w:val="lowerLetter"/>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41" Type="http://schemas.openxmlformats.org/officeDocument/2006/relationships/hyperlink" Target="http://www.sec.gov/Archives/edgar/data/1036262/000143774920005921/ex_177250.htm" TargetMode="External"/><Relationship Id="rId42" Type="http://schemas.openxmlformats.org/officeDocument/2006/relationships/hyperlink" Target="http://www.sec.gov/Archives/edgar/data/1036262/000143774918007703/ex_111081.htm" TargetMode="External"/><Relationship Id="rId43" Type="http://schemas.openxmlformats.org/officeDocument/2006/relationships/hyperlink" Target="http://www.sec.gov/Archives/edgar/data/1036262/000143774920005921/ex_177251.htm" TargetMode="External"/><Relationship Id="rId44" Type="http://schemas.openxmlformats.org/officeDocument/2006/relationships/hyperlink" Target="http://www.sec.gov/Archives/edgar/data/1036262/000103626210000025/ex101-8k051010.htm" TargetMode="External"/><Relationship Id="rId45" Type="http://schemas.openxmlformats.org/officeDocument/2006/relationships/hyperlink" Target="http://www.sec.gov/Archives/edgar/data/1036262/000143774920020176/ex_204864.htm" TargetMode="External"/><Relationship Id="rId46" Type="http://schemas.openxmlformats.org/officeDocument/2006/relationships/hyperlink" Target="http://www.sec.gov/Archives/edgar/data/1036262/000143774921008828/ex_240270.htm" TargetMode="External"/><Relationship Id="rId47" Type="http://schemas.openxmlformats.org/officeDocument/2006/relationships/hyperlink" Target="http://www.sec.gov/Archives/edgar/data/1036262/000103626210000043/ex101-8k102710.htm" TargetMode="External"/><Relationship Id="rId48" Type="http://schemas.openxmlformats.org/officeDocument/2006/relationships/hyperlink" Target="http://www.sec.gov/Archives/edgar/data/1036262/000143774919007093/ex_140554.htm" TargetMode="External"/><Relationship Id="rId49" Type="http://schemas.openxmlformats.org/officeDocument/2006/relationships/hyperlink" Target="http://www.sec.gov/Archives/edgar/data/1036262/000103626212000022/ex101-10q033112.htm" TargetMode="External"/><Relationship Id="rId50" Type="http://schemas.openxmlformats.org/officeDocument/2006/relationships/hyperlink" Target="http://www.sec.gov/Archives/edgar/data/1036262/000103626216000065/exh101-f8k111816.htm" TargetMode="External"/><Relationship Id="rId51" Type="http://schemas.openxmlformats.org/officeDocument/2006/relationships/hyperlink" Target="http://www.sec.gov/Archives/edgar/data/1036262/000143774920001297/ex_170460.htm" TargetMode="External"/><Relationship Id="rId52" Type="http://schemas.openxmlformats.org/officeDocument/2006/relationships/hyperlink" Target="http://www.sec.gov/Archives/edgar/data/1036262/000103626212000022/ex102-10q033112.htm" TargetMode="External"/><Relationship Id="rId53" Type="http://schemas.openxmlformats.org/officeDocument/2006/relationships/hyperlink" Target="http://www.sec.gov/Archives/edgar/data/1036262/000143774917021126/ex_102407.htm" TargetMode="External"/><Relationship Id="rId54" Type="http://schemas.openxmlformats.org/officeDocument/2006/relationships/hyperlink" Target="http://www.sec.gov/Archives/edgar/data/1036262/000143774917021126/ex_102408.htm" TargetMode="External"/><Relationship Id="rId55" Type="http://schemas.openxmlformats.org/officeDocument/2006/relationships/hyperlink" Target="http://www.sec.gov/Archives/edgar/data/1036262/000143774922028501/ex_452797.htm" TargetMode="External"/><Relationship Id="rId56" Type="http://schemas.openxmlformats.org/officeDocument/2006/relationships/hyperlink" Target="http://www.sec.gov/Archives/edgar/data/1036262/000143774921023970/ex_292653.htm" TargetMode="External"/><Relationship Id="rId57" Type="http://schemas.openxmlformats.org/officeDocument/2006/relationships/hyperlink" Target="http://www.sec.gov/Archives/edgar/data/1036262/000143774922000553/ex_321680.htm" TargetMode="External"/><Relationship Id="rId58" Type="http://schemas.openxmlformats.org/officeDocument/2006/relationships/hyperlink" Target="http://www.sec.gov/Archives/edgar/data/1036262/000143774922023063/ex_426417.htm" TargetMode="External"/><Relationship Id="rId59" Type="http://schemas.openxmlformats.org/officeDocument/2006/relationships/hyperlink" Target="http://www.sec.gov/Archives/edgar/data/1036262/000143774921024929/ex_300120.htm" TargetMode="External"/><Relationship Id="rId60" Type="http://schemas.openxmlformats.org/officeDocument/2006/relationships/hyperlink" Target="http://www.sec.gov/Archives/edgar/data/1036262/000143774922000553/ex_321683.htm" TargetMode="External"/><Relationship Id="rId61" Type="http://schemas.openxmlformats.org/officeDocument/2006/relationships/hyperlink" Target="http://www.sec.gov/Archives/edgar/data/1036262/000143774922023063/ex_426418.htm" TargetMode="External"/><Relationship Id="rId62" Type="http://schemas.openxmlformats.org/officeDocument/2006/relationships/hyperlink" Target="http://www.sec.gov/Archives/edgar/data/1036262/000143774922000553/ex_321684.htm" TargetMode="External"/><Relationship Id="rId63" Type="http://schemas.openxmlformats.org/officeDocument/2006/relationships/hyperlink" Target="http://www.sec.gov/Archives/edgar/data/1036262/000143774922000553/ex_321685.htm" TargetMode="External"/><Relationship Id="rId64" Type="http://schemas.openxmlformats.org/officeDocument/2006/relationships/hyperlink" Target="http://www.sec.gov/Archives/edgar/data/1036262/000143774922000553/ex_321686.htm" TargetMode="External"/><Relationship Id="rId65" Type="http://schemas.openxmlformats.org/officeDocument/2006/relationships/hyperlink" Target="http://www.sec.gov/Archives/edgar/data/1036262/000143774922000553/ex_321687.htm" TargetMode="External"/><Relationship Id="rId66" Type="http://schemas.openxmlformats.org/officeDocument/2006/relationships/hyperlink" Target="http://www.sec.gov/Archives/edgar/data/1036262/000143774922000553/ex_321682.htm" TargetMode="External"/><Relationship Id="rId67" Type="http://schemas.openxmlformats.org/officeDocument/2006/relationships/hyperlink" Target="http://www.sec.gov/Archives/edgar/data/1036262/000143774922000553/ex_321681.htm" TargetMode="External"/><Relationship Id="rId68" Type="http://schemas.openxmlformats.org/officeDocument/2006/relationships/hyperlink" Target="http://www.sec.gov/Archives/edgar/data/1036262/000143774921023970/ex_292655.htm" TargetMode="External"/><Relationship Id="rId69" Type="http://schemas.openxmlformats.org/officeDocument/2006/relationships/hyperlink" Target="http://www.sec.gov/Archives/edgar/data/1036262/000143774920014043/ex_191785.htm" TargetMode="External"/><Relationship Id="rId70" Type="http://schemas.openxmlformats.org/officeDocument/2006/relationships/hyperlink" Target="http://www.sec.gov/Archives/edgar/data/1036262/000143774922015993/ex_390299.htm" TargetMode="External"/><Relationship Id="rId71" Type="http://schemas.openxmlformats.org/officeDocument/2006/relationships/hyperlink" Target="http://www.sec.gov/Archives/edgar/data/1036262/000143774921019703/ex_272464.htm" TargetMode="External"/><Relationship Id="rId72" Type="http://schemas.openxmlformats.org/officeDocument/2006/relationships/hyperlink" Target="http://www.sec.gov/Archives/edgar/data/1036262/000143774920017523/ex_198825.htm" TargetMode="External"/><Relationship Id="rId73" Type="http://schemas.openxmlformats.org/officeDocument/2006/relationships/hyperlink" Target="http://www.sec.gov/Archives/edgar/data/1036262/000143774921014664/ex_256878.htm" TargetMode="External"/><Relationship Id="rId74" Type="http://schemas.openxmlformats.org/officeDocument/2006/relationships/hyperlink" Target="http://www.sec.gov/Archives/edgar/data/1036262/000143774920023648/ex_212630.htm" TargetMode="External"/><Relationship Id="rId75" Type="http://schemas.openxmlformats.org/officeDocument/2006/relationships/hyperlink" Target="http://www.sec.gov/Archives/edgar/data/1036262/000143774922006956/ex_348726.htm" TargetMode="External"/><Relationship Id="rId76" Type="http://schemas.openxmlformats.org/officeDocument/2006/relationships/hyperlink" Target="http://www.sec.gov/Archives/edgar/data/1036262/000143774920023648/ex_212626.htm" TargetMode="External"/><Relationship Id="rId77" Type="http://schemas.openxmlformats.org/officeDocument/2006/relationships/hyperlink" Target="http://www.sec.gov/Archives/edgar/data/1036262/000143774920023648/ex_212627.htm" TargetMode="External"/><Relationship Id="rId78" Type="http://schemas.openxmlformats.org/officeDocument/2006/relationships/hyperlink" Target="http://www.sec.gov/Archives/edgar/data/1036262/000143774921006160/ex_234027.htm" TargetMode="External"/><Relationship Id="rId79" Type="http://schemas.openxmlformats.org/officeDocument/2006/relationships/hyperlink" Target="http://www.sec.gov/Archives/edgar/data/1036262/000143774921006160/ex_234026.htm" TargetMode="External"/><Relationship Id="rId80" Type="http://schemas.openxmlformats.org/officeDocument/2006/relationships/hyperlink" Target="http://www.sec.gov/Archives/edgar/data/1036262/000119312523122353/d483836ddef14a.htm#toc483836_18" TargetMode="External"/><Relationship Id="rId81" Type="http://schemas.openxmlformats.org/officeDocument/2006/relationships/hyperlink" Target="http://www.sec.gov/Archives/edgar/data/1036262/000143774923013753/ex_518648.htm" TargetMode="External"/><Relationship Id="rId82" Type="http://schemas.openxmlformats.org/officeDocument/2006/relationships/hyperlink" Target="http://www.sec.gov/Archives/edgar/data/1036262/000143774923033729/ex_6031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2024-03-27T17:03:06Z</dcterms:created>
  <dcterms:modified xsi:type="dcterms:W3CDTF">2024-03-27T17:03:06Z</dcterms:modified>
</cp:coreProperties>
</file>