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000FF"/>
        </w:rPr>
        <w:t>FORM 10-K</w:t>
      </w:r>
    </w:p>
    <w:p>
      <w:pPr>
        <w:spacing w:after="0" w:line="216" w:lineRule="exact"/>
        <w:rPr>
          <w:sz w:val="24"/>
          <w:szCs w:val="24"/>
          <w:color w:val="auto"/>
        </w:rPr>
      </w:pPr>
    </w:p>
    <w:p>
      <w:pPr>
        <w:spacing w:after="0"/>
        <w:rPr>
          <w:sz w:val="20"/>
          <w:szCs w:val="20"/>
          <w:color w:val="auto"/>
        </w:rPr>
      </w:pPr>
      <w:r>
        <w:rPr>
          <w:rFonts w:ascii="Arial" w:cs="Arial" w:eastAsia="Arial" w:hAnsi="Arial"/>
          <w:sz w:val="14"/>
          <w:szCs w:val="14"/>
          <w:i w:val="1"/>
          <w:iCs w:val="1"/>
          <w:color w:val="auto"/>
        </w:rPr>
        <w:t>(Mark One)</w:t>
      </w:r>
    </w:p>
    <w:p>
      <w:pPr>
        <w:spacing w:after="0" w:line="4" w:lineRule="exact"/>
        <w:rPr>
          <w:sz w:val="24"/>
          <w:szCs w:val="24"/>
          <w:color w:val="auto"/>
        </w:rPr>
      </w:pPr>
    </w:p>
    <w:p>
      <w:pPr>
        <w:ind w:left="720" w:right="2420" w:hanging="712"/>
        <w:spacing w:after="0" w:line="252" w:lineRule="auto"/>
        <w:tabs>
          <w:tab w:leader="none" w:pos="42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FF0000"/>
        </w:rPr>
        <w:t>December 31, 2016</w:t>
      </w:r>
      <w:r>
        <w:rPr>
          <w:rFonts w:ascii="Arial" w:cs="Arial" w:eastAsia="Arial" w:hAnsi="Arial"/>
          <w:sz w:val="18"/>
          <w:szCs w:val="18"/>
          <w:color w:val="auto"/>
        </w:rPr>
        <w:t xml:space="preserve"> or</w:t>
      </w:r>
    </w:p>
    <w:p>
      <w:pPr>
        <w:spacing w:after="0" w:line="194" w:lineRule="exact"/>
        <w:rPr>
          <w:sz w:val="24"/>
          <w:szCs w:val="24"/>
          <w:color w:val="auto"/>
        </w:rPr>
      </w:pPr>
    </w:p>
    <w:p>
      <w:pPr>
        <w:ind w:left="720" w:right="2060" w:hanging="712"/>
        <w:spacing w:after="0" w:line="275" w:lineRule="auto"/>
        <w:tabs>
          <w:tab w:leader="none" w:pos="20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__________________ to 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1-36117</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0000FF"/>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5"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3440" w:type="dxa"/>
            <w:vAlign w:val="bottom"/>
            <w:gridSpan w:val="2"/>
          </w:tcPr>
          <w:p>
            <w:pPr>
              <w:jc w:val="center"/>
              <w:ind w:right="1272"/>
              <w:spacing w:after="0"/>
              <w:rPr>
                <w:sz w:val="20"/>
                <w:szCs w:val="20"/>
                <w:color w:val="auto"/>
              </w:rPr>
            </w:pPr>
            <w:r>
              <w:rPr>
                <w:rFonts w:ascii="Arial" w:cs="Arial" w:eastAsia="Arial" w:hAnsi="Arial"/>
                <w:sz w:val="18"/>
                <w:szCs w:val="18"/>
                <w:b w:val="1"/>
                <w:bCs w:val="1"/>
                <w:color w:val="auto"/>
                <w:w w:val="96"/>
              </w:rPr>
              <w:t>DELAWARE</w:t>
            </w:r>
          </w:p>
        </w:tc>
        <w:tc>
          <w:tcPr>
            <w:tcW w:w="3380" w:type="dxa"/>
            <w:vAlign w:val="bottom"/>
            <w:gridSpan w:val="2"/>
          </w:tcPr>
          <w:p>
            <w:pPr>
              <w:jc w:val="right"/>
              <w:ind w:right="826"/>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172"/>
        </w:trPr>
        <w:tc>
          <w:tcPr>
            <w:tcW w:w="4060" w:type="dxa"/>
            <w:vAlign w:val="bottom"/>
            <w:gridSpan w:val="3"/>
          </w:tcPr>
          <w:p>
            <w:pPr>
              <w:jc w:val="center"/>
              <w:ind w:right="652"/>
              <w:spacing w:after="0"/>
              <w:rPr>
                <w:sz w:val="20"/>
                <w:szCs w:val="20"/>
                <w:color w:val="auto"/>
              </w:rPr>
            </w:pPr>
            <w:r>
              <w:rPr>
                <w:rFonts w:ascii="Arial" w:cs="Arial" w:eastAsia="Arial" w:hAnsi="Arial"/>
                <w:sz w:val="14"/>
                <w:szCs w:val="14"/>
                <w:color w:val="auto"/>
                <w:w w:val="89"/>
              </w:rPr>
              <w:t>(State or Other Jurisdiction of Incorporation or Organization)</w:t>
            </w:r>
          </w:p>
        </w:tc>
        <w:tc>
          <w:tcPr>
            <w:tcW w:w="74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0"/>
              </w:rPr>
              <w:t>(I.R.S. Employer Identification Number)</w:t>
            </w:r>
          </w:p>
        </w:tc>
        <w:tc>
          <w:tcPr>
            <w:tcW w:w="0" w:type="dxa"/>
            <w:vAlign w:val="bottom"/>
          </w:tcPr>
          <w:p>
            <w:pPr>
              <w:spacing w:after="0"/>
              <w:rPr>
                <w:sz w:val="1"/>
                <w:szCs w:val="1"/>
                <w:color w:val="auto"/>
              </w:rPr>
            </w:pPr>
          </w:p>
        </w:tc>
      </w:tr>
      <w:tr>
        <w:trPr>
          <w:trHeight w:val="432"/>
        </w:trPr>
        <w:tc>
          <w:tcPr>
            <w:tcW w:w="4060" w:type="dxa"/>
            <w:vAlign w:val="bottom"/>
            <w:gridSpan w:val="3"/>
          </w:tcPr>
          <w:p>
            <w:pPr>
              <w:jc w:val="center"/>
              <w:ind w:right="652"/>
              <w:spacing w:after="0"/>
              <w:rPr>
                <w:sz w:val="20"/>
                <w:szCs w:val="20"/>
                <w:color w:val="auto"/>
              </w:rPr>
            </w:pPr>
            <w:r>
              <w:rPr>
                <w:rFonts w:ascii="Arial" w:cs="Arial" w:eastAsia="Arial" w:hAnsi="Arial"/>
                <w:sz w:val="18"/>
                <w:szCs w:val="18"/>
                <w:b w:val="1"/>
                <w:bCs w:val="1"/>
                <w:color w:val="auto"/>
                <w:w w:val="95"/>
              </w:rPr>
              <w:t>804 EAST GATE DRIVE, SUITE 200</w:t>
            </w:r>
          </w:p>
        </w:tc>
        <w:tc>
          <w:tcPr>
            <w:tcW w:w="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60" w:type="dxa"/>
            <w:vAlign w:val="bottom"/>
            <w:gridSpan w:val="3"/>
          </w:tcPr>
          <w:p>
            <w:pPr>
              <w:jc w:val="center"/>
              <w:ind w:right="652"/>
              <w:spacing w:after="0"/>
              <w:rPr>
                <w:sz w:val="20"/>
                <w:szCs w:val="20"/>
                <w:color w:val="auto"/>
              </w:rPr>
            </w:pPr>
            <w:r>
              <w:rPr>
                <w:rFonts w:ascii="Arial" w:cs="Arial" w:eastAsia="Arial" w:hAnsi="Arial"/>
                <w:sz w:val="18"/>
                <w:szCs w:val="18"/>
                <w:b w:val="1"/>
                <w:bCs w:val="1"/>
                <w:color w:val="auto"/>
                <w:w w:val="97"/>
              </w:rPr>
              <w:t>MT. LAUREL, NEW JERSEY</w:t>
            </w:r>
          </w:p>
        </w:tc>
        <w:tc>
          <w:tcPr>
            <w:tcW w:w="3380" w:type="dxa"/>
            <w:vAlign w:val="bottom"/>
            <w:gridSpan w:val="2"/>
          </w:tcPr>
          <w:p>
            <w:pPr>
              <w:jc w:val="right"/>
              <w:ind w:right="1026"/>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72"/>
        </w:trPr>
        <w:tc>
          <w:tcPr>
            <w:tcW w:w="4060" w:type="dxa"/>
            <w:vAlign w:val="bottom"/>
            <w:gridSpan w:val="3"/>
          </w:tcPr>
          <w:p>
            <w:pPr>
              <w:jc w:val="center"/>
              <w:ind w:right="652"/>
              <w:spacing w:after="0"/>
              <w:rPr>
                <w:sz w:val="20"/>
                <w:szCs w:val="20"/>
                <w:color w:val="auto"/>
              </w:rPr>
            </w:pPr>
            <w:r>
              <w:rPr>
                <w:rFonts w:ascii="Arial" w:cs="Arial" w:eastAsia="Arial" w:hAnsi="Arial"/>
                <w:sz w:val="14"/>
                <w:szCs w:val="14"/>
                <w:color w:val="auto"/>
                <w:w w:val="89"/>
              </w:rPr>
              <w:t>(Address of Principal Executive Offices)</w:t>
            </w:r>
          </w:p>
        </w:tc>
        <w:tc>
          <w:tcPr>
            <w:tcW w:w="74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6820" w:type="dxa"/>
            <w:vAlign w:val="bottom"/>
            <w:gridSpan w:val="4"/>
          </w:tcPr>
          <w:p>
            <w:pPr>
              <w:jc w:val="center"/>
              <w:ind w:right="386"/>
              <w:spacing w:after="0"/>
              <w:rPr>
                <w:sz w:val="20"/>
                <w:szCs w:val="20"/>
                <w:color w:val="auto"/>
              </w:rPr>
            </w:pPr>
            <w:r>
              <w:rPr>
                <w:rFonts w:ascii="Arial" w:cs="Arial" w:eastAsia="Arial" w:hAnsi="Arial"/>
                <w:sz w:val="18"/>
                <w:szCs w:val="18"/>
                <w:b w:val="1"/>
                <w:bCs w:val="1"/>
                <w:color w:val="auto"/>
                <w:w w:val="87"/>
              </w:rPr>
              <w:t>Registrant's telephone number, including area code: (856) 505-8800</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6820" w:type="dxa"/>
            <w:vAlign w:val="bottom"/>
            <w:gridSpan w:val="4"/>
          </w:tcPr>
          <w:p>
            <w:pPr>
              <w:jc w:val="center"/>
              <w:ind w:right="406"/>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313"/>
        </w:trPr>
        <w:tc>
          <w:tcPr>
            <w:tcW w:w="62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360" w:type="dxa"/>
            <w:vAlign w:val="bottom"/>
          </w:tcPr>
          <w:p>
            <w:pPr>
              <w:spacing w:after="0"/>
              <w:rPr>
                <w:sz w:val="24"/>
                <w:szCs w:val="24"/>
                <w:color w:val="auto"/>
              </w:rPr>
            </w:pPr>
          </w:p>
        </w:tc>
        <w:tc>
          <w:tcPr>
            <w:tcW w:w="3380" w:type="dxa"/>
            <w:vAlign w:val="bottom"/>
            <w:gridSpan w:val="2"/>
          </w:tcPr>
          <w:p>
            <w:pPr>
              <w:jc w:val="center"/>
              <w:ind w:left="659"/>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360" w:type="dxa"/>
            <w:vAlign w:val="bottom"/>
            <w:vMerge w:val="restart"/>
          </w:tcPr>
          <w:p>
            <w:pPr>
              <w:ind w:left="60"/>
              <w:spacing w:after="0"/>
              <w:rPr>
                <w:sz w:val="20"/>
                <w:szCs w:val="20"/>
                <w:color w:val="auto"/>
              </w:rPr>
            </w:pPr>
            <w:r>
              <w:rPr>
                <w:rFonts w:ascii="Arial" w:cs="Arial" w:eastAsia="Arial" w:hAnsi="Arial"/>
                <w:sz w:val="18"/>
                <w:szCs w:val="18"/>
                <w:color w:val="auto"/>
              </w:rPr>
              <w:t>share</w:t>
            </w:r>
          </w:p>
        </w:tc>
        <w:tc>
          <w:tcPr>
            <w:tcW w:w="7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Arial" w:cs="Arial" w:eastAsia="Arial" w:hAnsi="Arial"/>
                <w:sz w:val="18"/>
                <w:szCs w:val="18"/>
                <w:color w:val="auto"/>
                <w:w w:val="86"/>
              </w:rPr>
              <w:t>Common Stock, par value $0.01 per</w:t>
            </w:r>
          </w:p>
        </w:tc>
        <w:tc>
          <w:tcPr>
            <w:tcW w:w="136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NYSE MKT</w:t>
            </w:r>
          </w:p>
        </w:tc>
        <w:tc>
          <w:tcPr>
            <w:tcW w:w="0" w:type="dxa"/>
            <w:vAlign w:val="bottom"/>
          </w:tcPr>
          <w:p>
            <w:pPr>
              <w:spacing w:after="0"/>
              <w:rPr>
                <w:sz w:val="1"/>
                <w:szCs w:val="1"/>
                <w:color w:val="auto"/>
              </w:rPr>
            </w:pPr>
          </w:p>
        </w:tc>
      </w:tr>
    </w:tbl>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58" w:lineRule="exact"/>
        <w:rPr>
          <w:sz w:val="24"/>
          <w:szCs w:val="24"/>
          <w:color w:val="auto"/>
        </w:rPr>
      </w:pPr>
    </w:p>
    <w:p>
      <w:pPr>
        <w:ind w:right="1960"/>
        <w:spacing w:after="0" w:line="332"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72" w:lineRule="exact"/>
        <w:rPr>
          <w:sz w:val="24"/>
          <w:szCs w:val="24"/>
          <w:color w:val="auto"/>
        </w:rPr>
      </w:pPr>
    </w:p>
    <w:p>
      <w:pPr>
        <w:jc w:val="both"/>
        <w:ind w:right="2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2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27" w:lineRule="exact"/>
        <w:rPr>
          <w:sz w:val="24"/>
          <w:szCs w:val="24"/>
          <w:color w:val="auto"/>
        </w:rPr>
      </w:pPr>
    </w:p>
    <w:p>
      <w:pPr>
        <w:ind w:right="680"/>
        <w:spacing w:after="0" w:line="28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ind w:right="3360"/>
        <w:spacing w:after="0" w:line="261" w:lineRule="auto"/>
        <w:rPr>
          <w:sz w:val="20"/>
          <w:szCs w:val="20"/>
          <w:color w:val="auto"/>
        </w:rPr>
      </w:pPr>
      <w:r>
        <w:rPr>
          <w:rFonts w:ascii="Arial" w:cs="Arial" w:eastAsia="Arial" w:hAnsi="Arial"/>
          <w:sz w:val="18"/>
          <w:szCs w:val="18"/>
          <w:color w:val="auto"/>
        </w:rPr>
        <w:t>Large accelerated filer / / Accelerated filer / / Non-accelerated filer (Do not check if a smaller reporting company)/ / Smaller reporting company /X/</w:t>
      </w: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332"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2016 (the last business day of the registrant's most recently completed second fiscal quarter), was: $31,138,682.</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17, 2017, was 10,402,058.</w:t>
      </w:r>
    </w:p>
    <w:p>
      <w:pPr>
        <w:spacing w:after="0" w:line="158"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jc w:val="both"/>
        <w:ind w:right="720"/>
        <w:spacing w:after="0" w:line="332" w:lineRule="auto"/>
        <w:rPr>
          <w:sz w:val="20"/>
          <w:szCs w:val="20"/>
          <w:color w:val="auto"/>
        </w:rPr>
      </w:pPr>
      <w:r>
        <w:rPr>
          <w:rFonts w:ascii="Arial" w:cs="Arial" w:eastAsia="Arial" w:hAnsi="Arial"/>
          <w:sz w:val="16"/>
          <w:szCs w:val="16"/>
          <w:color w:val="auto"/>
        </w:rPr>
        <w:t>Portions of the definitive proxy statement of the Registrant for the Registrant's 2017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8280" w:type="dxa"/>
            <w:vAlign w:val="bottom"/>
          </w:tcPr>
          <w:p>
            <w:pPr>
              <w:ind w:left="3440"/>
              <w:spacing w:after="0"/>
              <w:rPr>
                <w:sz w:val="20"/>
                <w:szCs w:val="20"/>
                <w:color w:val="auto"/>
              </w:rPr>
            </w:pPr>
            <w:r>
              <w:rPr>
                <w:rFonts w:ascii="Arial" w:cs="Arial" w:eastAsia="Arial" w:hAnsi="Arial"/>
                <w:sz w:val="18"/>
                <w:szCs w:val="18"/>
                <w:b w:val="1"/>
                <w:bCs w:val="1"/>
                <w:color w:val="auto"/>
              </w:rPr>
              <w:t>PART I</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262"/>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8280" w:type="dxa"/>
            <w:vAlign w:val="bottom"/>
          </w:tcPr>
          <w:p>
            <w:pPr>
              <w:ind w:left="60"/>
              <w:spacing w:after="0"/>
              <w:rPr>
                <w:sz w:val="20"/>
                <w:szCs w:val="20"/>
                <w:color w:val="auto"/>
              </w:rPr>
            </w:pPr>
            <w:r>
              <w:rPr>
                <w:rFonts w:ascii="Arial" w:cs="Arial" w:eastAsia="Arial" w:hAnsi="Arial"/>
                <w:sz w:val="18"/>
                <w:szCs w:val="18"/>
                <w:color w:val="auto"/>
              </w:rPr>
              <w:t>Business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1A.</w:t>
            </w:r>
          </w:p>
        </w:tc>
        <w:tc>
          <w:tcPr>
            <w:tcW w:w="8280" w:type="dxa"/>
            <w:vAlign w:val="bottom"/>
          </w:tcPr>
          <w:p>
            <w:pPr>
              <w:ind w:left="6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1B.</w:t>
            </w:r>
          </w:p>
        </w:tc>
        <w:tc>
          <w:tcPr>
            <w:tcW w:w="8280" w:type="dxa"/>
            <w:vAlign w:val="bottom"/>
          </w:tcPr>
          <w:p>
            <w:pPr>
              <w:ind w:left="60"/>
              <w:spacing w:after="0"/>
              <w:rPr>
                <w:sz w:val="20"/>
                <w:szCs w:val="20"/>
                <w:color w:val="auto"/>
              </w:rPr>
            </w:pPr>
            <w:r>
              <w:rPr>
                <w:rFonts w:ascii="Arial" w:cs="Arial" w:eastAsia="Arial" w:hAnsi="Arial"/>
                <w:sz w:val="18"/>
                <w:szCs w:val="18"/>
                <w:color w:val="auto"/>
              </w:rPr>
              <w:t>Unresolved Staff Comments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8280" w:type="dxa"/>
            <w:vAlign w:val="bottom"/>
          </w:tcPr>
          <w:p>
            <w:pPr>
              <w:ind w:left="60"/>
              <w:spacing w:after="0"/>
              <w:rPr>
                <w:sz w:val="20"/>
                <w:szCs w:val="20"/>
                <w:color w:val="auto"/>
              </w:rPr>
            </w:pPr>
            <w:r>
              <w:rPr>
                <w:rFonts w:ascii="Arial" w:cs="Arial" w:eastAsia="Arial" w:hAnsi="Arial"/>
                <w:sz w:val="18"/>
                <w:szCs w:val="18"/>
                <w:color w:val="auto"/>
              </w:rPr>
              <w:t>Properties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828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828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20</w:t>
            </w:r>
          </w:p>
        </w:tc>
      </w:tr>
    </w:tbl>
    <w:p>
      <w:pPr>
        <w:sectPr>
          <w:pgSz w:w="11900" w:h="16990" w:orient="portrait"/>
          <w:cols w:equalWidth="0" w:num="1">
            <w:col w:w="11420"/>
          </w:cols>
          <w:pgMar w:left="240" w:top="233" w:right="239" w:bottom="0" w:gutter="0" w:footer="0" w:header="0"/>
        </w:sectPr>
      </w:pPr>
    </w:p>
    <w:bookmarkStart w:id="1" w:name="page2"/>
    <w:bookmarkEnd w:id="1"/>
    <w:p>
      <w:pPr>
        <w:spacing w:after="0" w:line="7"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8160" w:type="dxa"/>
            <w:vAlign w:val="bottom"/>
          </w:tcPr>
          <w:p>
            <w:pPr>
              <w:ind w:left="3420"/>
              <w:spacing w:after="0"/>
              <w:rPr>
                <w:sz w:val="20"/>
                <w:szCs w:val="20"/>
                <w:color w:val="auto"/>
              </w:rPr>
            </w:pPr>
            <w:r>
              <w:rPr>
                <w:rFonts w:ascii="Arial" w:cs="Arial" w:eastAsia="Arial" w:hAnsi="Arial"/>
                <w:sz w:val="18"/>
                <w:szCs w:val="18"/>
                <w:b w:val="1"/>
                <w:bCs w:val="1"/>
                <w:color w:val="auto"/>
              </w:rPr>
              <w:t>PART II</w:t>
            </w:r>
          </w:p>
        </w:tc>
        <w:tc>
          <w:tcPr>
            <w:tcW w:w="400" w:type="dxa"/>
            <w:vAlign w:val="bottom"/>
          </w:tcPr>
          <w:p>
            <w:pPr>
              <w:spacing w:after="0"/>
              <w:rPr>
                <w:sz w:val="19"/>
                <w:szCs w:val="19"/>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Item 5.</w:t>
            </w:r>
          </w:p>
        </w:tc>
        <w:tc>
          <w:tcPr>
            <w:tcW w:w="8160" w:type="dxa"/>
            <w:vAlign w:val="bottom"/>
          </w:tcPr>
          <w:p>
            <w:pPr>
              <w:ind w:left="60"/>
              <w:spacing w:after="0"/>
              <w:rPr>
                <w:sz w:val="20"/>
                <w:szCs w:val="20"/>
                <w:color w:val="auto"/>
              </w:rPr>
            </w:pPr>
            <w:r>
              <w:rPr>
                <w:rFonts w:ascii="Arial" w:cs="Arial" w:eastAsia="Arial" w:hAnsi="Arial"/>
                <w:sz w:val="18"/>
                <w:szCs w:val="18"/>
                <w:color w:val="auto"/>
                <w:w w:val="90"/>
              </w:rPr>
              <w:t>Market for Registrant's Common Equity, Related Stockholder Matters and Issuer Purchases of Equity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8160" w:type="dxa"/>
            <w:vAlign w:val="bottom"/>
          </w:tcPr>
          <w:p>
            <w:pPr>
              <w:ind w:left="60"/>
              <w:spacing w:after="0"/>
              <w:rPr>
                <w:sz w:val="20"/>
                <w:szCs w:val="20"/>
                <w:color w:val="auto"/>
              </w:rPr>
            </w:pPr>
            <w:r>
              <w:rPr>
                <w:rFonts w:ascii="Arial" w:cs="Arial" w:eastAsia="Arial" w:hAnsi="Arial"/>
                <w:sz w:val="18"/>
                <w:szCs w:val="18"/>
                <w:color w:val="auto"/>
              </w:rPr>
              <w:t>Selected Financial Data</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7.</w:t>
            </w:r>
          </w:p>
        </w:tc>
        <w:tc>
          <w:tcPr>
            <w:tcW w:w="816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7A.</w:t>
            </w:r>
          </w:p>
        </w:tc>
        <w:tc>
          <w:tcPr>
            <w:tcW w:w="816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8.</w:t>
            </w:r>
          </w:p>
        </w:tc>
        <w:tc>
          <w:tcPr>
            <w:tcW w:w="8160" w:type="dxa"/>
            <w:vAlign w:val="bottom"/>
          </w:tcPr>
          <w:p>
            <w:pPr>
              <w:ind w:left="60"/>
              <w:spacing w:after="0"/>
              <w:rPr>
                <w:sz w:val="20"/>
                <w:szCs w:val="20"/>
                <w:color w:val="auto"/>
              </w:rPr>
            </w:pPr>
            <w:r>
              <w:rPr>
                <w:rFonts w:ascii="Arial" w:cs="Arial" w:eastAsia="Arial" w:hAnsi="Arial"/>
                <w:sz w:val="18"/>
                <w:szCs w:val="18"/>
                <w:color w:val="auto"/>
              </w:rPr>
              <w:t>Financial Statements and Supplementary Data</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9.</w:t>
            </w:r>
          </w:p>
        </w:tc>
        <w:tc>
          <w:tcPr>
            <w:tcW w:w="8160" w:type="dxa"/>
            <w:vAlign w:val="bottom"/>
          </w:tcPr>
          <w:p>
            <w:pPr>
              <w:ind w:left="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9A.</w:t>
            </w:r>
          </w:p>
        </w:tc>
        <w:tc>
          <w:tcPr>
            <w:tcW w:w="816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9B.</w:t>
            </w:r>
          </w:p>
        </w:tc>
        <w:tc>
          <w:tcPr>
            <w:tcW w:w="8160" w:type="dxa"/>
            <w:vAlign w:val="bottom"/>
          </w:tcPr>
          <w:p>
            <w:pPr>
              <w:ind w:left="60"/>
              <w:spacing w:after="0"/>
              <w:rPr>
                <w:sz w:val="20"/>
                <w:szCs w:val="20"/>
                <w:color w:val="auto"/>
              </w:rPr>
            </w:pPr>
            <w:r>
              <w:rPr>
                <w:rFonts w:ascii="Arial" w:cs="Arial" w:eastAsia="Arial" w:hAnsi="Arial"/>
                <w:sz w:val="18"/>
                <w:szCs w:val="18"/>
                <w:color w:val="auto"/>
              </w:rPr>
              <w:t>Other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86"/>
        </w:trPr>
        <w:tc>
          <w:tcPr>
            <w:tcW w:w="700" w:type="dxa"/>
            <w:vAlign w:val="bottom"/>
          </w:tcPr>
          <w:p>
            <w:pPr>
              <w:spacing w:after="0"/>
              <w:rPr>
                <w:sz w:val="24"/>
                <w:szCs w:val="24"/>
                <w:color w:val="auto"/>
              </w:rPr>
            </w:pPr>
          </w:p>
        </w:tc>
        <w:tc>
          <w:tcPr>
            <w:tcW w:w="8160" w:type="dxa"/>
            <w:vAlign w:val="bottom"/>
          </w:tcPr>
          <w:p>
            <w:pPr>
              <w:ind w:left="3380"/>
              <w:spacing w:after="0"/>
              <w:rPr>
                <w:sz w:val="20"/>
                <w:szCs w:val="20"/>
                <w:color w:val="auto"/>
              </w:rPr>
            </w:pPr>
            <w:r>
              <w:rPr>
                <w:rFonts w:ascii="Arial" w:cs="Arial" w:eastAsia="Arial" w:hAnsi="Arial"/>
                <w:sz w:val="18"/>
                <w:szCs w:val="18"/>
                <w:b w:val="1"/>
                <w:bCs w:val="1"/>
                <w:color w:val="auto"/>
              </w:rPr>
              <w:t>PART III</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Item 10.</w:t>
            </w:r>
          </w:p>
        </w:tc>
        <w:tc>
          <w:tcPr>
            <w:tcW w:w="8160" w:type="dxa"/>
            <w:vAlign w:val="bottom"/>
          </w:tcPr>
          <w:p>
            <w:pPr>
              <w:ind w:left="60"/>
              <w:spacing w:after="0"/>
              <w:rPr>
                <w:sz w:val="20"/>
                <w:szCs w:val="20"/>
                <w:color w:val="auto"/>
              </w:rPr>
            </w:pPr>
            <w:r>
              <w:rPr>
                <w:rFonts w:ascii="Arial" w:cs="Arial" w:eastAsia="Arial" w:hAnsi="Arial"/>
                <w:sz w:val="18"/>
                <w:szCs w:val="18"/>
                <w:color w:val="auto"/>
              </w:rPr>
              <w:t>Directors, Executive Officers and Corporate Governance</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11.</w:t>
            </w:r>
          </w:p>
        </w:tc>
        <w:tc>
          <w:tcPr>
            <w:tcW w:w="8160" w:type="dxa"/>
            <w:vAlign w:val="bottom"/>
          </w:tcPr>
          <w:p>
            <w:pPr>
              <w:ind w:left="60"/>
              <w:spacing w:after="0"/>
              <w:rPr>
                <w:sz w:val="20"/>
                <w:szCs w:val="20"/>
                <w:color w:val="auto"/>
              </w:rPr>
            </w:pPr>
            <w:r>
              <w:rPr>
                <w:rFonts w:ascii="Arial" w:cs="Arial" w:eastAsia="Arial" w:hAnsi="Arial"/>
                <w:sz w:val="18"/>
                <w:szCs w:val="18"/>
                <w:color w:val="auto"/>
              </w:rPr>
              <w:t>Executive Compensation</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12.</w:t>
            </w:r>
          </w:p>
        </w:tc>
        <w:tc>
          <w:tcPr>
            <w:tcW w:w="8160" w:type="dxa"/>
            <w:vAlign w:val="bottom"/>
          </w:tcPr>
          <w:p>
            <w:pPr>
              <w:ind w:left="6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13.</w:t>
            </w:r>
          </w:p>
        </w:tc>
        <w:tc>
          <w:tcPr>
            <w:tcW w:w="8160" w:type="dxa"/>
            <w:vAlign w:val="bottom"/>
          </w:tcPr>
          <w:p>
            <w:pPr>
              <w:ind w:left="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00" w:type="dxa"/>
            <w:vAlign w:val="bottom"/>
          </w:tcPr>
          <w:p>
            <w:pPr>
              <w:spacing w:after="0"/>
              <w:rPr>
                <w:sz w:val="20"/>
                <w:szCs w:val="20"/>
                <w:color w:val="auto"/>
              </w:rPr>
            </w:pPr>
            <w:r>
              <w:rPr>
                <w:rFonts w:ascii="Arial" w:cs="Arial" w:eastAsia="Arial" w:hAnsi="Arial"/>
                <w:sz w:val="18"/>
                <w:szCs w:val="18"/>
                <w:color w:val="auto"/>
              </w:rPr>
              <w:t>Item 14.</w:t>
            </w:r>
          </w:p>
        </w:tc>
        <w:tc>
          <w:tcPr>
            <w:tcW w:w="8160" w:type="dxa"/>
            <w:vAlign w:val="bottom"/>
          </w:tcPr>
          <w:p>
            <w:pPr>
              <w:ind w:left="60"/>
              <w:spacing w:after="0"/>
              <w:rPr>
                <w:sz w:val="20"/>
                <w:szCs w:val="20"/>
                <w:color w:val="auto"/>
              </w:rPr>
            </w:pPr>
            <w:r>
              <w:rPr>
                <w:rFonts w:ascii="Arial" w:cs="Arial" w:eastAsia="Arial" w:hAnsi="Arial"/>
                <w:sz w:val="18"/>
                <w:szCs w:val="18"/>
                <w:color w:val="auto"/>
              </w:rPr>
              <w:t>Principal Accounting Fees and Services</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86"/>
        </w:trPr>
        <w:tc>
          <w:tcPr>
            <w:tcW w:w="700" w:type="dxa"/>
            <w:vAlign w:val="bottom"/>
          </w:tcPr>
          <w:p>
            <w:pPr>
              <w:spacing w:after="0"/>
              <w:rPr>
                <w:sz w:val="24"/>
                <w:szCs w:val="24"/>
                <w:color w:val="auto"/>
              </w:rPr>
            </w:pPr>
          </w:p>
        </w:tc>
        <w:tc>
          <w:tcPr>
            <w:tcW w:w="8160" w:type="dxa"/>
            <w:vAlign w:val="bottom"/>
          </w:tcPr>
          <w:p>
            <w:pPr>
              <w:ind w:left="3380"/>
              <w:spacing w:after="0"/>
              <w:rPr>
                <w:sz w:val="20"/>
                <w:szCs w:val="20"/>
                <w:color w:val="auto"/>
              </w:rPr>
            </w:pPr>
            <w:r>
              <w:rPr>
                <w:rFonts w:ascii="Arial" w:cs="Arial" w:eastAsia="Arial" w:hAnsi="Arial"/>
                <w:sz w:val="18"/>
                <w:szCs w:val="18"/>
                <w:b w:val="1"/>
                <w:bCs w:val="1"/>
                <w:color w:val="auto"/>
              </w:rPr>
              <w:t>PART IV</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Arial" w:cs="Arial" w:eastAsia="Arial" w:hAnsi="Arial"/>
                <w:sz w:val="18"/>
                <w:szCs w:val="18"/>
                <w:color w:val="auto"/>
              </w:rPr>
              <w:t>Item 15.</w:t>
            </w:r>
          </w:p>
        </w:tc>
        <w:tc>
          <w:tcPr>
            <w:tcW w:w="8160" w:type="dxa"/>
            <w:vAlign w:val="bottom"/>
          </w:tcPr>
          <w:p>
            <w:pPr>
              <w:ind w:left="60"/>
              <w:spacing w:after="0"/>
              <w:rPr>
                <w:sz w:val="20"/>
                <w:szCs w:val="20"/>
                <w:color w:val="auto"/>
              </w:rPr>
            </w:pPr>
            <w:r>
              <w:rPr>
                <w:rFonts w:ascii="Arial" w:cs="Arial" w:eastAsia="Arial" w:hAnsi="Arial"/>
                <w:sz w:val="18"/>
                <w:szCs w:val="18"/>
                <w:color w:val="auto"/>
              </w:rPr>
              <w:t>Exhibits, Financial Statement Schedules</w:t>
            </w: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Signatures</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Index to Exhibits</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3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PART I</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34" w:lineRule="exact"/>
        <w:rPr>
          <w:sz w:val="20"/>
          <w:szCs w:val="20"/>
          <w:color w:val="auto"/>
        </w:rPr>
      </w:pPr>
    </w:p>
    <w:p>
      <w:pPr>
        <w:ind w:left="1080" w:right="2380"/>
        <w:spacing w:after="0" w:line="254" w:lineRule="auto"/>
        <w:rPr>
          <w:sz w:val="20"/>
          <w:szCs w:val="20"/>
          <w:color w:val="auto"/>
        </w:rPr>
      </w:pPr>
      <w:r>
        <w:rPr>
          <w:rFonts w:ascii="Arial" w:cs="Arial" w:eastAsia="Arial" w:hAnsi="Arial"/>
          <w:sz w:val="18"/>
          <w:szCs w:val="18"/>
          <w:color w:val="auto"/>
        </w:rPr>
        <w:t>the possibility of future acquisitions or dispositions and the successful integration of any acquired operations; the ability to borrow funds to finance major potential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-96520</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20"/>
        <w:spacing w:after="0" w:line="250" w:lineRule="auto"/>
        <w:rPr>
          <w:sz w:val="20"/>
          <w:szCs w:val="20"/>
          <w:color w:val="auto"/>
        </w:rPr>
      </w:pPr>
      <w:r>
        <w:rPr>
          <w:rFonts w:ascii="Arial" w:cs="Arial" w:eastAsia="Arial" w:hAnsi="Arial"/>
          <w:sz w:val="18"/>
          <w:szCs w:val="18"/>
          <w:color w:val="auto"/>
        </w:rPr>
        <w:t>the success of our strategy to diversify our business by entering markets outside the integrated circuit, or IC, and automatic test equipment, or ATE, markets, including the automotive, consumer electronics, defense/aerospace, energy, industrial and telecommunications markets; indications of a change in the market cycles in the IC and ATE markets or other markets we serve; the success of our 2015 stock repurchase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-506730</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-232410</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-95250</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developments and trends in the IC and 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effects of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260"/>
        <w:spacing w:after="0" w:line="250" w:lineRule="auto"/>
        <w:rPr>
          <w:sz w:val="20"/>
          <w:szCs w:val="20"/>
          <w:color w:val="auto"/>
        </w:rPr>
      </w:pPr>
      <w:r>
        <w:rPr>
          <w:rFonts w:ascii="Arial" w:cs="Arial" w:eastAsia="Arial" w:hAnsi="Arial"/>
          <w:sz w:val="18"/>
          <w:szCs w:val="18"/>
          <w:color w:val="auto"/>
        </w:rPr>
        <w:t>the success of our restructuring efforts (the goal of which is to return non-profitable operations to profitability); general economic conditions both domestically and globally;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anticipated market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availability of and retention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46" w:orient="portrait"/>
          <w:cols w:equalWidth="0" w:num="1">
            <w:col w:w="11160"/>
          </w:cols>
          <w:pgMar w:left="240" w:top="611" w:right="499" w:bottom="0" w:gutter="0" w:footer="0" w:header="0"/>
        </w:sectPr>
      </w:pPr>
    </w:p>
    <w:bookmarkStart w:id="2" w:name="page3"/>
    <w:bookmarkEnd w:id="2"/>
    <w:p>
      <w:pPr>
        <w:spacing w:after="0" w:line="6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stock price fluctuations;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80"/>
        <w:spacing w:after="0" w:line="261" w:lineRule="auto"/>
        <w:rPr>
          <w:sz w:val="20"/>
          <w:szCs w:val="20"/>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1" w:lineRule="exact"/>
        <w:rPr>
          <w:sz w:val="20"/>
          <w:szCs w:val="20"/>
          <w:color w:val="auto"/>
        </w:rPr>
      </w:pPr>
    </w:p>
    <w:p>
      <w:pPr>
        <w:ind w:left="540" w:right="40"/>
        <w:spacing w:after="0" w:line="255" w:lineRule="auto"/>
        <w:rPr>
          <w:sz w:val="20"/>
          <w:szCs w:val="20"/>
          <w:color w:val="auto"/>
        </w:rPr>
      </w:pPr>
      <w:r>
        <w:rPr>
          <w:rFonts w:ascii="Arial" w:cs="Arial" w:eastAsia="Arial" w:hAnsi="Arial"/>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INTRODUCTION</w:t>
      </w:r>
    </w:p>
    <w:p>
      <w:pPr>
        <w:spacing w:after="0" w:line="225"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We are an independent designer, manufacturer and marketer of thermal, mechanical and electrical products that are used by semiconductor manufacturers in conjunction with ATE, in the testing of ICs. In addition, we market our thermal products in markets outside the ATE market, such as the automotive, consumer electronics, defense/aerospace, energy, industrial and telecommunications markets. Our high-performance products are designed to enable our customers to improve the efficiency of their test processes and, consequently, their profitability.</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Our largest customers include Analog Devices, Inc., Cypress Semiconductor Corporation, Hakuto Co. Ltd., Lumentum Holdings, Inc., NXP Semiconductors N.V., Raytheon Company, Teradyne, Inc., Texas Instruments Incorporated, ViaSat, Inc. and Xcerra Corporation.</w:t>
      </w:r>
    </w:p>
    <w:p>
      <w:pPr>
        <w:spacing w:after="0" w:line="167" w:lineRule="exact"/>
        <w:rPr>
          <w:sz w:val="20"/>
          <w:szCs w:val="20"/>
          <w:color w:val="auto"/>
        </w:rPr>
      </w:pPr>
    </w:p>
    <w:p>
      <w:pPr>
        <w:ind w:left="540" w:right="140"/>
        <w:spacing w:after="0" w:line="288" w:lineRule="auto"/>
        <w:rPr>
          <w:sz w:val="20"/>
          <w:szCs w:val="20"/>
          <w:color w:val="auto"/>
        </w:rPr>
      </w:pPr>
      <w:r>
        <w:rPr>
          <w:rFonts w:ascii="Arial" w:cs="Arial" w:eastAsia="Arial" w:hAnsi="Arial"/>
          <w:sz w:val="16"/>
          <w:szCs w:val="16"/>
          <w:color w:val="auto"/>
        </w:rPr>
        <w:t>The consolidated entity is comprised of inTEST Corporation (parent) and our wholly-owned subsidiaries. inTEST Corporation was incorporated in New Jersey in 1981 and reincorporated in Delaware in April 1997. During 2016, we were in the process of reorganizing our business from three product segments (Thermal Products, Mechanical Products and Electrical Products) into two product segments (inTEST Thermal Solutions ("iTS") and inTEST Electromechanical Semiconductor Products ("EMS")). Certain operational changes undertaken in the first quarter of 2016 in connection with this reorganization are discussed further in Note 3 of our consolidated financial statements included in Item 8 of this Report on Form 10-K. This reorganization was substantially completed as of December 31, 2016. Accordingly, the discussion below and the disclosures in Note 15 of our consolidated financial statements regarding our segments are presented on the basis of three products segments for 2016. Effective January 1, 2017, we will report information about our segments based on two product segments, iTS and EMS, with prior period information reclassified to be comparable to the presentation for 2017.</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Our business is grounded in the ATE market, which provides automated test equipment to the semiconductor market; however, since 2009, we have begun to diversify our served markets to address the thermal test requirements of several other markets outside the ATE market as well as certain thermal process industrial requirements. These include the automotive, consumer electronics, defense/aerospace, energy, industrial and telecommunications markets. We offer highly specialized engineering solutions in these markets outside the ATE market, the demand for which is limited and which we expect may vary significantly from period to period. During 2016 and 2015, our net revenues in markets outside the ATE market were $12.2 million and $10.7 million, respectively, and represented 30% and 27%, respectively, of our total net revenues. In the last five years, our net revenues from sales in markets outside the ATE market have ranged from 18% to 30%.</w:t>
      </w:r>
    </w:p>
    <w:p>
      <w:pPr>
        <w:spacing w:after="0" w:line="172" w:lineRule="exact"/>
        <w:rPr>
          <w:sz w:val="20"/>
          <w:szCs w:val="20"/>
          <w:color w:val="auto"/>
        </w:rPr>
      </w:pPr>
    </w:p>
    <w:p>
      <w:pPr>
        <w:ind w:left="540" w:right="60"/>
        <w:spacing w:after="0" w:line="287" w:lineRule="auto"/>
        <w:rPr>
          <w:sz w:val="20"/>
          <w:szCs w:val="20"/>
          <w:color w:val="auto"/>
        </w:rPr>
      </w:pPr>
      <w:r>
        <w:rPr>
          <w:rFonts w:ascii="Arial" w:cs="Arial" w:eastAsia="Arial" w:hAnsi="Arial"/>
          <w:sz w:val="16"/>
          <w:szCs w:val="16"/>
          <w:color w:val="auto"/>
        </w:rPr>
        <w:t>The level of our net revenues in the various markets we serve outside the ATE market varies significantly from market to market. During 2016 and 2015, our net revenues from the telecommunications market represented 15% and 9%, respectively, of our total net revenues, our net revenues from the defense/aerospace market represented 8% of our total net revenues in both years and our net revenues from the industrial market represented 2% and 4%, respectively, of our total net revenues. The level of our net revenues in these non-ATE markets has varied significantly in the past and we expect will vary significantly in the future as we build our presence in these markets and establish new markets for our products. One of our goals is to further expand our sales in these markets outside the ATE market; however, due to the nature of our highly specialized product offerings in these non-ATE markets, we do not expect broad market penetration in many of these markets and therefore, do not anticipate developing meaningful market shares in these non-ATE markets. Consequently, we are continuing to evaluate buying patterns and opportunities for growth in these markets that may affect our performance. The following discussion of our markets, therefore, is limited to only the ATE and semiconductor markets, which currently represent the majority of our net revenues.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Semiconductor and ATE Markets</w:t>
      </w:r>
    </w:p>
    <w:p>
      <w:pPr>
        <w:spacing w:after="0" w:line="225" w:lineRule="exact"/>
        <w:rPr>
          <w:sz w:val="20"/>
          <w:szCs w:val="20"/>
          <w:color w:val="auto"/>
        </w:rPr>
      </w:pPr>
    </w:p>
    <w:p>
      <w:pPr>
        <w:ind w:left="540" w:right="100"/>
        <w:spacing w:after="0" w:line="290" w:lineRule="auto"/>
        <w:rPr>
          <w:sz w:val="20"/>
          <w:szCs w:val="20"/>
          <w:color w:val="auto"/>
        </w:rPr>
      </w:pPr>
      <w:r>
        <w:rPr>
          <w:rFonts w:ascii="Arial" w:cs="Arial" w:eastAsia="Arial" w:hAnsi="Arial"/>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ectPr>
          <w:pgSz w:w="11900" w:h="16906" w:orient="portrait"/>
          <w:cols w:equalWidth="0" w:num="1">
            <w:col w:w="11420"/>
          </w:cols>
          <w:pgMar w:left="240" w:top="131" w:right="239" w:bottom="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- 4 -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IC Test Process</w:t>
      </w:r>
    </w:p>
    <w:p>
      <w:pPr>
        <w:spacing w:after="0" w:line="225"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6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97"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67"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97" w:lineRule="exact"/>
        <w:rPr>
          <w:sz w:val="20"/>
          <w:szCs w:val="20"/>
          <w:color w:val="auto"/>
        </w:rPr>
      </w:pPr>
    </w:p>
    <w:p>
      <w:pPr>
        <w:ind w:left="540" w:right="160"/>
        <w:spacing w:after="0" w:line="294" w:lineRule="auto"/>
        <w:rPr>
          <w:sz w:val="20"/>
          <w:szCs w:val="20"/>
          <w:color w:val="auto"/>
        </w:rPr>
      </w:pPr>
      <w:r>
        <w:rPr>
          <w:rFonts w:ascii="Arial" w:cs="Arial" w:eastAsia="Arial" w:hAnsi="Arial"/>
          <w:sz w:val="16"/>
          <w:szCs w:val="16"/>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Trends in IC Testing</w:t>
      </w:r>
    </w:p>
    <w:p>
      <w:pPr>
        <w:spacing w:after="0" w:line="225"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94"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i w:val="1"/>
          <w:iCs w:val="1"/>
          <w:color w:val="auto"/>
        </w:rPr>
        <w:t>Change in Technology</w:t>
      </w:r>
      <w:r>
        <w:rPr>
          <w:rFonts w:ascii="Arial" w:cs="Arial" w:eastAsia="Arial" w:hAnsi="Arial"/>
          <w:sz w:val="18"/>
          <w:szCs w:val="18"/>
          <w:color w:val="auto"/>
        </w:rPr>
        <w:t>. End-user applications are demanding ICs with increasingly higher performance, greater speeds, and smaller sizes. ICs that meet</w:t>
      </w:r>
      <w:r>
        <w:rPr>
          <w:rFonts w:ascii="Arial" w:cs="Arial" w:eastAsia="Arial" w:hAnsi="Arial"/>
          <w:sz w:val="18"/>
          <w:szCs w:val="18"/>
          <w:i w:val="1"/>
          <w:iCs w:val="1"/>
          <w:color w:val="auto"/>
        </w:rPr>
        <w:t xml:space="preserve"> </w:t>
      </w:r>
      <w:r>
        <w:rPr>
          <w:rFonts w:ascii="Arial" w:cs="Arial" w:eastAsia="Arial" w:hAnsi="Arial"/>
          <w:sz w:val="18"/>
          <w:szCs w:val="18"/>
          <w:color w:val="auto"/>
        </w:rPr>
        <w:t>these higher standards, including SOC designs, are more complex and dense. These technology trends have significant implications for the IC testing process, including:</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60"/>
        <w:spacing w:after="0" w:line="298" w:lineRule="auto"/>
        <w:rPr>
          <w:sz w:val="20"/>
          <w:szCs w:val="20"/>
          <w:color w:val="auto"/>
        </w:rPr>
      </w:pPr>
      <w:r>
        <w:rPr>
          <w:rFonts w:ascii="Arial" w:cs="Arial" w:eastAsia="Arial" w:hAnsi="Arial"/>
          <w:sz w:val="16"/>
          <w:szCs w:val="16"/>
          <w:i w:val="1"/>
          <w:iCs w:val="1"/>
          <w:color w:val="auto"/>
        </w:rPr>
        <w:t>Need for Plug-Compatibility and Integration</w:t>
      </w:r>
      <w:r>
        <w:rPr>
          <w:rFonts w:ascii="Arial" w:cs="Arial" w:eastAsia="Arial" w:hAnsi="Arial"/>
          <w:sz w:val="16"/>
          <w:szCs w:val="16"/>
          <w:color w:val="auto"/>
        </w:rPr>
        <w:t>. Semiconductor manufacturers need test methodologies that will perform increasingly complex tests while</w:t>
      </w:r>
      <w:r>
        <w:rPr>
          <w:rFonts w:ascii="Arial" w:cs="Arial" w:eastAsia="Arial" w:hAnsi="Arial"/>
          <w:sz w:val="16"/>
          <w:szCs w:val="16"/>
          <w:i w:val="1"/>
          <w:iCs w:val="1"/>
          <w:color w:val="auto"/>
        </w:rPr>
        <w:t xml:space="preserve"> </w:t>
      </w:r>
      <w:r>
        <w:rPr>
          <w:rFonts w:ascii="Arial" w:cs="Arial" w:eastAsia="Arial" w:hAnsi="Arial"/>
          <w:sz w:val="16"/>
          <w:szCs w:val="16"/>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67"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Testing Under Extreme Conditions</w:t>
      </w:r>
      <w:r>
        <w:rPr>
          <w:rFonts w:ascii="Arial" w:cs="Arial" w:eastAsia="Arial" w:hAnsi="Arial"/>
          <w:sz w:val="18"/>
          <w:szCs w:val="18"/>
          <w:color w:val="auto"/>
        </w:rPr>
        <w:t>. ICs will have to perform across a wider spectrum of temperature and environmental conditions than ever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of the growing complexity of products in which they are deployed. In recent years, temperature testing has found an increasing role in front-end, wafer-level testing. Creating a uniform thermal profile over much larger wafer areas represents a significant engineering and design challenge for ATE manufacturers.</w:t>
      </w:r>
    </w:p>
    <w:p>
      <w:pPr>
        <w:sectPr>
          <w:pgSz w:w="11900" w:h="16838" w:orient="portrait"/>
          <w:cols w:equalWidth="0" w:num="1">
            <w:col w:w="11380"/>
          </w:cols>
          <w:pgMar w:left="240" w:top="131" w:right="279" w:bottom="0" w:gutter="0" w:footer="0" w:header="0"/>
        </w:sectPr>
      </w:pPr>
    </w:p>
    <w:bookmarkStart w:id="4" w:name="page5"/>
    <w:bookmarkEnd w:id="4"/>
    <w:p>
      <w:pPr>
        <w:spacing w:after="0" w:line="46"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i w:val="1"/>
          <w:iCs w:val="1"/>
          <w:color w:val="auto"/>
        </w:rPr>
        <w:t>Demand for Higher Levels of Technical Support</w:t>
      </w:r>
      <w:r>
        <w:rPr>
          <w:rFonts w:ascii="Arial" w:cs="Arial" w:eastAsia="Arial" w:hAnsi="Arial"/>
          <w:sz w:val="16"/>
          <w:szCs w:val="16"/>
          <w:color w:val="auto"/>
        </w:rPr>
        <w:t>. As IC testing becomes more complex, semiconductor manufacturers demand higher levels of technical</w:t>
      </w:r>
      <w:r>
        <w:rPr>
          <w:rFonts w:ascii="Arial" w:cs="Arial" w:eastAsia="Arial" w:hAnsi="Arial"/>
          <w:sz w:val="16"/>
          <w:szCs w:val="16"/>
          <w:i w:val="1"/>
          <w:iCs w:val="1"/>
          <w:color w:val="auto"/>
        </w:rPr>
        <w:t xml:space="preserve"> </w:t>
      </w:r>
      <w:r>
        <w:rPr>
          <w:rFonts w:ascii="Arial" w:cs="Arial" w:eastAsia="Arial" w:hAnsi="Arial"/>
          <w:sz w:val="16"/>
          <w:szCs w:val="16"/>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61"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i w:val="1"/>
          <w:iCs w:val="1"/>
          <w:color w:val="auto"/>
        </w:rPr>
        <w:t>Cost Reduction Through Increased Front-End Testing</w:t>
      </w:r>
      <w:r>
        <w:rPr>
          <w:rFonts w:ascii="Arial" w:cs="Arial" w:eastAsia="Arial" w:hAnsi="Arial"/>
          <w:sz w:val="16"/>
          <w:szCs w:val="16"/>
          <w:color w:val="auto"/>
        </w:rPr>
        <w:t>. As the cost of testing ICs increases, semiconductor manufacturers will continue to look for ways to</w:t>
      </w:r>
      <w:r>
        <w:rPr>
          <w:rFonts w:ascii="Arial" w:cs="Arial" w:eastAsia="Arial" w:hAnsi="Arial"/>
          <w:sz w:val="16"/>
          <w:szCs w:val="16"/>
          <w:i w:val="1"/>
          <w:iCs w:val="1"/>
          <w:color w:val="auto"/>
        </w:rPr>
        <w:t xml:space="preserve"> </w:t>
      </w:r>
      <w:r>
        <w:rPr>
          <w:rFonts w:ascii="Arial" w:cs="Arial" w:eastAsia="Arial" w:hAnsi="Arial"/>
          <w:sz w:val="16"/>
          <w:szCs w:val="16"/>
          <w:color w:val="auto"/>
        </w:rPr>
        <w:t>streamline the testing process to make it more cost-effective, such as the trend to use massive parallel testing, in which semiconductor manufacturers test multiple ICs on the wafer simultaneously. We believe that this factor will lead to more front-end, wafer-level testing.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SOLUTIONS</w:t>
      </w:r>
    </w:p>
    <w:p>
      <w:pPr>
        <w:spacing w:after="0" w:line="225" w:lineRule="exact"/>
        <w:rPr>
          <w:sz w:val="20"/>
          <w:szCs w:val="20"/>
          <w:color w:val="auto"/>
        </w:rPr>
      </w:pPr>
    </w:p>
    <w:p>
      <w:pPr>
        <w:ind w:left="540" w:right="400"/>
        <w:spacing w:after="0" w:line="298" w:lineRule="auto"/>
        <w:rPr>
          <w:sz w:val="20"/>
          <w:szCs w:val="20"/>
          <w:color w:val="auto"/>
        </w:rPr>
      </w:pPr>
      <w:r>
        <w:rPr>
          <w:rFonts w:ascii="Arial" w:cs="Arial" w:eastAsia="Arial" w:hAnsi="Arial"/>
          <w:sz w:val="16"/>
          <w:szCs w:val="16"/>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market and other markets that we serve, which we believe provide the following advantages:</w:t>
      </w:r>
    </w:p>
    <w:p>
      <w:pPr>
        <w:spacing w:after="0" w:line="167" w:lineRule="exact"/>
        <w:rPr>
          <w:sz w:val="20"/>
          <w:szCs w:val="20"/>
          <w:color w:val="auto"/>
        </w:rPr>
      </w:pPr>
    </w:p>
    <w:p>
      <w:pPr>
        <w:ind w:left="540" w:right="160"/>
        <w:spacing w:after="0" w:line="309" w:lineRule="auto"/>
        <w:rPr>
          <w:sz w:val="20"/>
          <w:szCs w:val="20"/>
          <w:color w:val="auto"/>
        </w:rPr>
      </w:pPr>
      <w:r>
        <w:rPr>
          <w:rFonts w:ascii="Arial" w:cs="Arial" w:eastAsia="Arial" w:hAnsi="Arial"/>
          <w:sz w:val="15"/>
          <w:szCs w:val="15"/>
          <w:i w:val="1"/>
          <w:iCs w:val="1"/>
          <w:color w:val="auto"/>
        </w:rPr>
        <w:t>Temperature-Controlled Testing</w:t>
      </w:r>
      <w:r>
        <w:rPr>
          <w:rFonts w:ascii="Arial" w:cs="Arial" w:eastAsia="Arial" w:hAnsi="Arial"/>
          <w:sz w:val="15"/>
          <w:szCs w:val="15"/>
          <w:color w:val="auto"/>
        </w:rPr>
        <w:t>. Our Thermostream (R) products are used by manufacturers in a number of markets to stress test a variety of</w:t>
      </w:r>
      <w:r>
        <w:rPr>
          <w:rFonts w:ascii="Arial" w:cs="Arial" w:eastAsia="Arial" w:hAnsi="Arial"/>
          <w:sz w:val="15"/>
          <w:szCs w:val="15"/>
          <w:i w:val="1"/>
          <w:iCs w:val="1"/>
          <w:color w:val="auto"/>
        </w:rPr>
        <w:t xml:space="preserve"> </w:t>
      </w:r>
      <w:r>
        <w:rPr>
          <w:rFonts w:ascii="Arial" w:cs="Arial" w:eastAsia="Arial" w:hAnsi="Arial"/>
          <w:sz w:val="15"/>
          <w:szCs w:val="15"/>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have significantly increased our product offerings in the area of temperature-controlled testing and enabled us to begin serving customers in other markets outside the ATE market. Sigma's thermal platforms and temperature chambers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62"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jc w:val="both"/>
        <w:ind w:left="540" w:right="140"/>
        <w:spacing w:after="0" w:line="306" w:lineRule="auto"/>
        <w:rPr>
          <w:sz w:val="20"/>
          <w:szCs w:val="20"/>
          <w:color w:val="auto"/>
        </w:rPr>
      </w:pPr>
      <w:r>
        <w:rPr>
          <w:rFonts w:ascii="Arial" w:cs="Arial" w:eastAsia="Arial" w:hAnsi="Arial"/>
          <w:sz w:val="16"/>
          <w:szCs w:val="16"/>
          <w:i w:val="1"/>
          <w:iCs w:val="1"/>
          <w:color w:val="auto"/>
        </w:rPr>
        <w:t>Compatibility and Integration</w:t>
      </w:r>
      <w:r>
        <w:rPr>
          <w:rFonts w:ascii="Arial" w:cs="Arial" w:eastAsia="Arial" w:hAnsi="Arial"/>
          <w:sz w:val="16"/>
          <w:szCs w:val="16"/>
          <w:color w:val="auto"/>
        </w:rPr>
        <w:t>. A hallmark of our products has been, and continues to be, compatibility with a wide variety of ATE. Our manipulator and</w:t>
      </w:r>
      <w:r>
        <w:rPr>
          <w:rFonts w:ascii="Arial" w:cs="Arial" w:eastAsia="Arial" w:hAnsi="Arial"/>
          <w:sz w:val="16"/>
          <w:szCs w:val="16"/>
          <w:i w:val="1"/>
          <w:iCs w:val="1"/>
          <w:color w:val="auto"/>
        </w:rPr>
        <w:t xml:space="preserve"> </w:t>
      </w:r>
      <w:r>
        <w:rPr>
          <w:rFonts w:ascii="Arial" w:cs="Arial" w:eastAsia="Arial" w:hAnsi="Arial"/>
          <w:sz w:val="16"/>
          <w:szCs w:val="16"/>
          <w:color w:val="auto"/>
        </w:rPr>
        <w:t>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61"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i w:val="1"/>
          <w:iCs w:val="1"/>
          <w:color w:val="auto"/>
        </w:rPr>
        <w:t>Worldwide Customer Service and Support</w:t>
      </w:r>
      <w:r>
        <w:rPr>
          <w:rFonts w:ascii="Arial" w:cs="Arial" w:eastAsia="Arial" w:hAnsi="Arial"/>
          <w:sz w:val="16"/>
          <w:szCs w:val="16"/>
          <w:color w:val="auto"/>
        </w:rPr>
        <w:t>. We have long recognized the need to maintain a physical presence near our customers' facilities.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2016, we had domestic manufacturing facilities in Massachusetts, New Jersey and California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STRATEGIES</w:t>
      </w:r>
    </w:p>
    <w:p>
      <w:pPr>
        <w:spacing w:after="0" w:line="225"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We remain committed to our goals of being recognized in our markets as the designer and manufacturer of the highest quality and most cost-effective products and becoming the key supplier of all of our customers' product testing needs, other than probers, handlers and testers. Our strategies to achieve these goals include the following:</w:t>
      </w:r>
    </w:p>
    <w:p>
      <w:pPr>
        <w:spacing w:after="0" w:line="194"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i w:val="1"/>
          <w:iCs w:val="1"/>
          <w:color w:val="auto"/>
        </w:rPr>
        <w:t>Pursuing Synergistic Acquisitions</w:t>
      </w:r>
      <w:r>
        <w:rPr>
          <w:rFonts w:ascii="Arial" w:cs="Arial" w:eastAsia="Arial" w:hAnsi="Arial"/>
          <w:sz w:val="16"/>
          <w:szCs w:val="16"/>
          <w:color w:val="auto"/>
        </w:rPr>
        <w:t>. A key element of our growth strategy has been to acquire businesses, technologies or products that are complementary</w:t>
      </w:r>
      <w:r>
        <w:rPr>
          <w:rFonts w:ascii="Arial" w:cs="Arial" w:eastAsia="Arial" w:hAnsi="Arial"/>
          <w:sz w:val="16"/>
          <w:szCs w:val="16"/>
          <w:i w:val="1"/>
          <w:iCs w:val="1"/>
          <w:color w:val="auto"/>
        </w:rPr>
        <w:t xml:space="preserve"> </w:t>
      </w:r>
      <w:r>
        <w:rPr>
          <w:rFonts w:ascii="Arial" w:cs="Arial" w:eastAsia="Arial" w:hAnsi="Arial"/>
          <w:sz w:val="16"/>
          <w:szCs w:val="16"/>
          <w:color w:val="auto"/>
        </w:rPr>
        <w:t>to our current product offerings. Since our initial public offering in 1997, we have acquired several businesses which have enabled us to expand our line of product offerings and have given us the opportunity to market a broader range of products to our customer base. In particular, the acquisitions of Temptronic in 2000, Sigma in 2008 and Thermonics in 2012 provided access to markets that are less sensitive to cyclicality than the ATE market. We seek to make acquisitions that will further expand our product lines as well as increase our exposure to markets outside of the ATE market.</w:t>
      </w:r>
    </w:p>
    <w:p>
      <w:pPr>
        <w:spacing w:after="0" w:line="170"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i w:val="1"/>
          <w:iCs w:val="1"/>
          <w:color w:val="auto"/>
        </w:rPr>
        <w:t xml:space="preserve">Pursuing Revenue Growth Opportunities Outside the Semiconductor ATE Market. </w:t>
      </w:r>
      <w:r>
        <w:rPr>
          <w:rFonts w:ascii="Arial" w:cs="Arial" w:eastAsia="Arial" w:hAnsi="Arial"/>
          <w:sz w:val="16"/>
          <w:szCs w:val="16"/>
          <w:color w:val="auto"/>
        </w:rPr>
        <w:t>Another element of our growth strategy is to pursue revenue growth</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opportunities in markets we have not traditionally served, such as the automotive, consumer electronics, defense/aerospace, energy, industrial and telecommunications markets. We believe that we may be able to reduce some of the cyclicality that we have historically experienced by further diversifying our revenue streams outside the semiconductor ATE market. We see the most potential for this within our Thermal Products segment. During 2016 and 2015, approximately $12.2 million, or 30%, and $10.7 million, or 27%, respectively, of our total net revenues were derived from markets outside semiconductor test. These revenues were all generated by our Thermal Products segment. We cannot determine at this time whether we will be successful in building our sales in these non-traditional markets or what the growth rate of our sales in these markets will be in future periods.</w:t>
      </w:r>
    </w:p>
    <w:p>
      <w:pPr>
        <w:spacing w:after="0" w:line="172" w:lineRule="exact"/>
        <w:rPr>
          <w:sz w:val="20"/>
          <w:szCs w:val="20"/>
          <w:color w:val="auto"/>
        </w:rPr>
      </w:pPr>
    </w:p>
    <w:p>
      <w:pPr>
        <w:ind w:left="540" w:right="360"/>
        <w:spacing w:after="0" w:line="259" w:lineRule="auto"/>
        <w:rPr>
          <w:sz w:val="20"/>
          <w:szCs w:val="20"/>
          <w:color w:val="auto"/>
        </w:rPr>
      </w:pPr>
      <w:r>
        <w:rPr>
          <w:rFonts w:ascii="Arial" w:cs="Arial" w:eastAsia="Arial" w:hAnsi="Arial"/>
          <w:sz w:val="18"/>
          <w:szCs w:val="18"/>
          <w:i w:val="1"/>
          <w:iCs w:val="1"/>
          <w:color w:val="auto"/>
        </w:rPr>
        <w:t>Providing Technologically Advanced Solutions</w:t>
      </w:r>
      <w:r>
        <w:rPr>
          <w:rFonts w:ascii="Arial" w:cs="Arial" w:eastAsia="Arial" w:hAnsi="Arial"/>
          <w:sz w:val="18"/>
          <w:szCs w:val="18"/>
          <w:color w:val="auto"/>
        </w:rPr>
        <w:t>. We are committed to designing and producing only the highest quality products which incorporate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94" w:lineRule="exact"/>
        <w:rPr>
          <w:sz w:val="20"/>
          <w:szCs w:val="20"/>
          <w:color w:val="auto"/>
        </w:rPr>
      </w:pPr>
    </w:p>
    <w:p>
      <w:pPr>
        <w:ind w:left="540" w:right="360"/>
        <w:spacing w:after="0" w:line="332" w:lineRule="auto"/>
        <w:rPr>
          <w:sz w:val="20"/>
          <w:szCs w:val="20"/>
          <w:color w:val="auto"/>
        </w:rPr>
      </w:pPr>
      <w:r>
        <w:rPr>
          <w:rFonts w:ascii="Arial" w:cs="Arial" w:eastAsia="Arial" w:hAnsi="Arial"/>
          <w:sz w:val="16"/>
          <w:szCs w:val="16"/>
          <w:i w:val="1"/>
          <w:iCs w:val="1"/>
          <w:color w:val="auto"/>
        </w:rPr>
        <w:t>Leveraging Our Strong Customer Relationships</w:t>
      </w:r>
      <w:r>
        <w:rPr>
          <w:rFonts w:ascii="Arial" w:cs="Arial" w:eastAsia="Arial" w:hAnsi="Arial"/>
          <w:sz w:val="16"/>
          <w:szCs w:val="16"/>
          <w:color w:val="auto"/>
        </w:rPr>
        <w:t>. Our technical personnel work closely with ATE manufacturers to design tester interface and docking</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that are compatible with their ATE. As a result, we are often privy to proprietary technical data and information about these manufacturers'</w:t>
      </w:r>
    </w:p>
    <w:p>
      <w:pPr>
        <w:sectPr>
          <w:pgSz w:w="11900" w:h="16885" w:orient="portrait"/>
          <w:cols w:equalWidth="0" w:num="1">
            <w:col w:w="11420"/>
          </w:cols>
          <w:pgMar w:left="240" w:top="131" w:right="239" w:bottom="0" w:gutter="0" w:footer="0" w:header="0"/>
        </w:sectPr>
      </w:pPr>
    </w:p>
    <w:bookmarkStart w:id="5" w:name="page6"/>
    <w:bookmarkEnd w:id="5"/>
    <w:p>
      <w:pPr>
        <w:ind w:left="540" w:right="260"/>
        <w:spacing w:after="0" w:line="332" w:lineRule="auto"/>
        <w:rPr>
          <w:sz w:val="20"/>
          <w:szCs w:val="20"/>
          <w:color w:val="auto"/>
        </w:rPr>
      </w:pPr>
      <w:r>
        <w:rPr>
          <w:rFonts w:ascii="Arial" w:cs="Arial" w:eastAsia="Arial" w:hAnsi="Arial"/>
          <w:sz w:val="16"/>
          <w:szCs w:val="16"/>
          <w:color w:val="auto"/>
        </w:rPr>
        <w:t>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pacing w:after="0" w:line="139" w:lineRule="exact"/>
        <w:rPr>
          <w:sz w:val="20"/>
          <w:szCs w:val="20"/>
          <w:color w:val="auto"/>
        </w:rPr>
      </w:pPr>
    </w:p>
    <w:p>
      <w:pPr>
        <w:ind w:left="540" w:right="200"/>
        <w:spacing w:after="0" w:line="332" w:lineRule="auto"/>
        <w:rPr>
          <w:sz w:val="20"/>
          <w:szCs w:val="20"/>
          <w:color w:val="auto"/>
        </w:rPr>
      </w:pPr>
      <w:r>
        <w:rPr>
          <w:rFonts w:ascii="Arial" w:cs="Arial" w:eastAsia="Arial" w:hAnsi="Arial"/>
          <w:sz w:val="16"/>
          <w:szCs w:val="16"/>
          <w:i w:val="1"/>
          <w:iCs w:val="1"/>
          <w:color w:val="auto"/>
        </w:rPr>
        <w:t>Maintaining Our International Presence</w:t>
      </w:r>
      <w:r>
        <w:rPr>
          <w:rFonts w:ascii="Arial" w:cs="Arial" w:eastAsia="Arial" w:hAnsi="Arial"/>
          <w:sz w:val="16"/>
          <w:szCs w:val="16"/>
          <w:color w:val="auto"/>
        </w:rPr>
        <w:t>. Our existing and potential customers are concentrated in certain regions throughout the world. We believe that</w:t>
      </w:r>
      <w:r>
        <w:rPr>
          <w:rFonts w:ascii="Arial" w:cs="Arial" w:eastAsia="Arial" w:hAnsi="Arial"/>
          <w:sz w:val="16"/>
          <w:szCs w:val="16"/>
          <w:i w:val="1"/>
          <w:iCs w:val="1"/>
          <w:color w:val="auto"/>
        </w:rPr>
        <w:t xml:space="preserve"> </w:t>
      </w:r>
      <w:r>
        <w:rPr>
          <w:rFonts w:ascii="Arial" w:cs="Arial" w:eastAsia="Arial" w:hAnsi="Arial"/>
          <w:sz w:val="16"/>
          <w:szCs w:val="16"/>
          <w:color w:val="auto"/>
        </w:rPr>
        <w:t>we must maintain a presence in the markets in which our customers operate. We currently have offices in the U.S., Germany and Singapore.</w:t>
      </w:r>
    </w:p>
    <w:p>
      <w:pPr>
        <w:spacing w:after="0" w:line="139" w:lineRule="exact"/>
        <w:rPr>
          <w:sz w:val="20"/>
          <w:szCs w:val="20"/>
          <w:color w:val="auto"/>
        </w:rPr>
      </w:pPr>
    </w:p>
    <w:p>
      <w:pPr>
        <w:ind w:left="540"/>
        <w:spacing w:after="0" w:line="370" w:lineRule="auto"/>
        <w:rPr>
          <w:sz w:val="20"/>
          <w:szCs w:val="20"/>
          <w:color w:val="auto"/>
        </w:rPr>
      </w:pPr>
      <w:r>
        <w:rPr>
          <w:rFonts w:ascii="Arial" w:cs="Arial" w:eastAsia="Arial" w:hAnsi="Arial"/>
          <w:sz w:val="15"/>
          <w:szCs w:val="15"/>
          <w:i w:val="1"/>
          <w:iCs w:val="1"/>
          <w:color w:val="auto"/>
        </w:rPr>
        <w:t xml:space="preserve">Controlling Costs. </w:t>
      </w:r>
      <w:r>
        <w:rPr>
          <w:rFonts w:ascii="Arial" w:cs="Arial" w:eastAsia="Arial" w:hAnsi="Arial"/>
          <w:sz w:val="15"/>
          <w:szCs w:val="15"/>
          <w:color w:val="auto"/>
        </w:rPr>
        <w:t>At the same time as we are pursuing growth opportunities, we will seek ways to more aggressively streamline our cost structure, so that</w:t>
      </w:r>
      <w:r>
        <w:rPr>
          <w:rFonts w:ascii="Arial" w:cs="Arial" w:eastAsia="Arial" w:hAnsi="Arial"/>
          <w:sz w:val="15"/>
          <w:szCs w:val="15"/>
          <w:i w:val="1"/>
          <w:iCs w:val="1"/>
          <w:color w:val="auto"/>
        </w:rPr>
        <w:t xml:space="preserve"> </w:t>
      </w:r>
      <w:r>
        <w:rPr>
          <w:rFonts w:ascii="Arial" w:cs="Arial" w:eastAsia="Arial" w:hAnsi="Arial"/>
          <w:sz w:val="15"/>
          <w:szCs w:val="15"/>
          <w:color w:val="auto"/>
        </w:rPr>
        <w:t>we are positioned to offer products at prices that provide the margin for a reasonable profit as well as the resources for continual product development.</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jc w:val="center"/>
        <w:ind w:right="8960"/>
        <w:spacing w:after="0"/>
        <w:tabs>
          <w:tab w:leader="none" w:pos="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OUR SEGMENTS</w:t>
      </w:r>
    </w:p>
    <w:p>
      <w:pPr>
        <w:spacing w:after="0" w:line="225"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As previously discussed, during 2016, we have been in the process of reorganizing our business from three product segments, which were also our reporting units (Thermal Products, Mechanical Products and Electrical Products) into two product segments (iTS and EMS) which will be our reporting units effective January 1, 2017. Our Thermal Products segment consists of our subsidiaries in Mansfield, Massachusetts (Temptronic Corporation, which manufactures products under the Temptronic, Sigma and Thermonics brand names), Germany (inTEST Thermal Solutions GmbH), and Singapore (inTEST Pte Ltd.). Our Mechanical Products segment consists of our manufacturing operation in Mt. Laurel, New Jersey. Our Electrical Products segment consists of our manufacturing operation in Fremont, California (inTEST Silicon Valley Corporation). iTS consists of all of the operations which were previously included in our Thermal Products segment, while EMS represents a combination of the operations that were formerly part of our Mechanical and Electrical Products segments. The discussion that follows is based on three product segments as this represents the primary way in which we managed our business and reported our results of operations during 2016.</w:t>
      </w:r>
    </w:p>
    <w:p>
      <w:pPr>
        <w:spacing w:after="0" w:line="174" w:lineRule="exact"/>
        <w:rPr>
          <w:sz w:val="20"/>
          <w:szCs w:val="20"/>
          <w:color w:val="auto"/>
        </w:rPr>
      </w:pPr>
    </w:p>
    <w:p>
      <w:pPr>
        <w:ind w:left="540" w:right="100"/>
        <w:spacing w:after="0" w:line="255" w:lineRule="auto"/>
        <w:rPr>
          <w:sz w:val="20"/>
          <w:szCs w:val="20"/>
          <w:color w:val="auto"/>
        </w:rPr>
      </w:pPr>
      <w:r>
        <w:rPr>
          <w:rFonts w:ascii="Arial" w:cs="Arial" w:eastAsia="Arial" w:hAnsi="Arial"/>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consumer electronics, defense/aerospace, energy, industrial and telecommunications markets. We custom design most of our products for each customer's particular combination of 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25"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Our thermal products are sold into the environmental test market encompassing a wide variety of markets including the ATE, automotive, consumer electronics, defense/aerospace, energy, industrial and telecommunications markets. Our thermal products enable a manufacturer to test semiconductor wafers and ICs, electronic components and assemblies, mechanical assemblies and electromechanical assemblies. Our thermal products provide the ability to characterize and stress test a variety of materials over extreme and variable temperature conditions that can occur in actual use.</w:t>
      </w:r>
    </w:p>
    <w:p>
      <w:pPr>
        <w:spacing w:after="0" w:line="167"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semiconductor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ThermoStream(R) products provide a source of heated and cooled air which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70"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markets testing such things as electronic sub-assemblies, sensor assemblies, and printed circuit boards.</w:t>
      </w:r>
    </w:p>
    <w:p>
      <w:pPr>
        <w:spacing w:after="0" w:line="167" w:lineRule="exact"/>
        <w:rPr>
          <w:sz w:val="20"/>
          <w:szCs w:val="20"/>
          <w:color w:val="auto"/>
        </w:rPr>
      </w:pPr>
    </w:p>
    <w:p>
      <w:pPr>
        <w:ind w:left="540" w:right="240"/>
        <w:spacing w:after="0" w:line="298" w:lineRule="auto"/>
        <w:rPr>
          <w:sz w:val="20"/>
          <w:szCs w:val="20"/>
          <w:color w:val="auto"/>
        </w:rPr>
      </w:pPr>
      <w:r>
        <w:rPr>
          <w:rFonts w:ascii="Arial" w:cs="Arial" w:eastAsia="Arial" w:hAnsi="Arial"/>
          <w:sz w:val="16"/>
          <w:szCs w:val="16"/>
          <w:color w:val="auto"/>
        </w:rPr>
        <w:t>Traditionally, our customers used ThermoStream(R) products primarily in engineering, quality assurance and small-run manufacturing environments. However, increasingly, our customers use ThermoStream(R) products in longer-run production applications. Sigma has significantly broadened our product line by providing the ability to thermally test devices and assemblies requiring a far larger scale, both physically and thermally, than previously achievable. ThermoStream(R) and MobileTemp products range in price from approximately $15,000 to $50,000.</w:t>
      </w:r>
    </w:p>
    <w:p>
      <w:pPr>
        <w:spacing w:after="0" w:line="167" w:lineRule="exact"/>
        <w:rPr>
          <w:sz w:val="20"/>
          <w:szCs w:val="20"/>
          <w:color w:val="auto"/>
        </w:rPr>
      </w:pPr>
    </w:p>
    <w:p>
      <w:pPr>
        <w:ind w:left="540" w:right="100"/>
        <w:spacing w:after="0" w:line="298" w:lineRule="auto"/>
        <w:rPr>
          <w:sz w:val="20"/>
          <w:szCs w:val="20"/>
          <w:color w:val="auto"/>
        </w:rPr>
      </w:pPr>
      <w:r>
        <w:rPr>
          <w:rFonts w:ascii="Arial" w:cs="Arial" w:eastAsia="Arial" w:hAnsi="Arial"/>
          <w:sz w:val="16"/>
          <w:szCs w:val="16"/>
          <w:i w:val="1"/>
          <w:iCs w:val="1"/>
          <w:color w:val="auto"/>
        </w:rPr>
        <w:t xml:space="preserve">ThermoChambers: </w:t>
      </w:r>
      <w:r>
        <w:rPr>
          <w:rFonts w:ascii="Arial" w:cs="Arial" w:eastAsia="Arial" w:hAnsi="Arial"/>
          <w:sz w:val="16"/>
          <w:szCs w:val="16"/>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platforms are available in surface sizes ranging from 7.2 square inches to 616 square inches. They provide a flat, thermally</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ThermoChuck(R) Products</w:t>
      </w:r>
      <w:r>
        <w:rPr>
          <w:rFonts w:ascii="Arial" w:cs="Arial" w:eastAsia="Arial" w:hAnsi="Arial"/>
          <w:sz w:val="16"/>
          <w:szCs w:val="16"/>
          <w:color w:val="auto"/>
        </w:rPr>
        <w:t>: Our ThermoChuck(R) precision vacuum platform assemblies, used primarily in the semiconductor market, quickly change</w:t>
      </w:r>
    </w:p>
    <w:p>
      <w:pPr>
        <w:sectPr>
          <w:pgSz w:w="11900" w:h="16838" w:orient="portrait"/>
          <w:cols w:equalWidth="0" w:num="1">
            <w:col w:w="11420"/>
          </w:cols>
          <w:pgMar w:left="240" w:top="131" w:right="239" w:bottom="0" w:gutter="0" w:footer="0" w:header="0"/>
        </w:sectPr>
      </w:pPr>
    </w:p>
    <w:bookmarkStart w:id="6" w:name="page7"/>
    <w:bookmarkEnd w:id="6"/>
    <w:p>
      <w:pPr>
        <w:ind w:left="540" w:right="40"/>
        <w:spacing w:after="0" w:line="256" w:lineRule="auto"/>
        <w:rPr>
          <w:sz w:val="20"/>
          <w:szCs w:val="20"/>
          <w:color w:val="auto"/>
        </w:rPr>
      </w:pPr>
      <w:r>
        <w:rPr>
          <w:rFonts w:ascii="Arial" w:cs="Arial" w:eastAsia="Arial" w:hAnsi="Arial"/>
          <w:sz w:val="18"/>
          <w:szCs w:val="18"/>
          <w:color w:val="auto"/>
        </w:rPr>
        <w:t>and stabilize the temperature of semiconductor wafers accurately and uniformly during testing without removing the wafer from its testing environment. Such temperatures can range from as low as -65 degrees Celsius to as high as +300 degrees Celsius. ThermoChucks(R) are incorporated into wafer prober equipment for laboratory analysis and for in-line production testing of semiconductor wafers. ThermoChuck(R) products range in price from approximately $16,000 to $120,000.</w:t>
      </w:r>
    </w:p>
    <w:p>
      <w:pPr>
        <w:spacing w:after="0" w:line="197" w:lineRule="exact"/>
        <w:rPr>
          <w:sz w:val="20"/>
          <w:szCs w:val="20"/>
          <w:color w:val="auto"/>
        </w:rPr>
      </w:pPr>
    </w:p>
    <w:p>
      <w:pPr>
        <w:jc w:val="both"/>
        <w:ind w:left="540" w:right="480"/>
        <w:spacing w:after="0" w:line="259" w:lineRule="auto"/>
        <w:rPr>
          <w:sz w:val="20"/>
          <w:szCs w:val="20"/>
          <w:color w:val="auto"/>
        </w:rPr>
      </w:pPr>
      <w:r>
        <w:rPr>
          <w:rFonts w:ascii="Arial" w:cs="Arial" w:eastAsia="Arial" w:hAnsi="Arial"/>
          <w:sz w:val="18"/>
          <w:szCs w:val="18"/>
          <w:i w:val="1"/>
          <w:iCs w:val="1"/>
          <w:color w:val="auto"/>
        </w:rPr>
        <w:t xml:space="preserve">Thermonics(R) Products: </w:t>
      </w:r>
      <w:r>
        <w:rPr>
          <w:rFonts w:ascii="Arial" w:cs="Arial" w:eastAsia="Arial" w:hAnsi="Arial"/>
          <w:sz w:val="18"/>
          <w:szCs w:val="18"/>
          <w:color w:val="auto"/>
        </w:rPr>
        <w:t>Our Thermonics temperature conditioning products provide tempered gas or fluid to enable customers to maintain desired</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conditions within their tool or process. Applications include general industrial, chemical processing, energy, electronics and semiconductor markets. Prices range from $20,000 to greater than $100,000.</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Mechanical Products</w:t>
      </w:r>
    </w:p>
    <w:p>
      <w:pPr>
        <w:spacing w:after="0" w:line="225"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i w:val="1"/>
          <w:iCs w:val="1"/>
          <w:color w:val="auto"/>
        </w:rPr>
        <w:t xml:space="preserve">Manipulator Products. </w:t>
      </w:r>
      <w:r>
        <w:rPr>
          <w:rFonts w:ascii="Arial" w:cs="Arial" w:eastAsia="Arial" w:hAnsi="Arial"/>
          <w:sz w:val="16"/>
          <w:szCs w:val="16"/>
          <w:color w:val="auto"/>
        </w:rPr>
        <w:t>We offer two lines of manipulator products: the in2(R) and the Cobal Series. These free-standing universal manipulators can hold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test heads and enable an operator to reposition a test head for alternate use with any one of several probers or handlers on a test floor.</w:t>
      </w:r>
    </w:p>
    <w:p>
      <w:pPr>
        <w:spacing w:after="0" w:line="139"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The in2(R) and Cobal Series of manipulator products incorporate our balanced floating-head design. This design permits a test head weighing up to 1,100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$60,000.</w:t>
      </w:r>
    </w:p>
    <w:p>
      <w:pPr>
        <w:spacing w:after="0" w:line="172"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We offer two lines of docking hardware products: fixed manual docking and Intellidock pin and cup docking. Both types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Both types eliminate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74"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jc w:val="center"/>
        <w:ind w:right="8960"/>
        <w:spacing w:after="0"/>
        <w:tabs>
          <w:tab w:leader="none" w:pos="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Electrical Products</w:t>
      </w:r>
    </w:p>
    <w:p>
      <w:pPr>
        <w:spacing w:after="0" w:line="225" w:lineRule="exact"/>
        <w:rPr>
          <w:sz w:val="20"/>
          <w:szCs w:val="20"/>
          <w:color w:val="auto"/>
        </w:rPr>
      </w:pPr>
    </w:p>
    <w:p>
      <w:pPr>
        <w:ind w:left="540" w:right="20"/>
        <w:spacing w:after="0" w:line="287" w:lineRule="auto"/>
        <w:rPr>
          <w:sz w:val="20"/>
          <w:szCs w:val="20"/>
          <w:color w:val="auto"/>
        </w:rPr>
      </w:pPr>
      <w:r>
        <w:rPr>
          <w:rFonts w:ascii="Arial" w:cs="Arial" w:eastAsia="Arial" w:hAnsi="Arial"/>
          <w:sz w:val="16"/>
          <w:szCs w:val="16"/>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tester interface products range in price from approximately $7,000 to $110,000.</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Financial Information About Product Segments and Geographic Areas</w:t>
      </w:r>
    </w:p>
    <w:p>
      <w:pPr>
        <w:spacing w:after="0" w:line="225"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Please see Note 15 of our consolidated financial statements included in Item 8 of this Report on Form 10-K for additional data regarding net revenues, profit or loss and total assets of each of our segments and revenues attributable to foreign countries.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25" w:lineRule="exact"/>
        <w:rPr>
          <w:sz w:val="20"/>
          <w:szCs w:val="20"/>
          <w:color w:val="auto"/>
        </w:rPr>
      </w:pPr>
    </w:p>
    <w:p>
      <w:pPr>
        <w:ind w:left="540" w:right="180"/>
        <w:spacing w:after="0" w:line="298" w:lineRule="auto"/>
        <w:rPr>
          <w:sz w:val="20"/>
          <w:szCs w:val="20"/>
          <w:color w:val="auto"/>
        </w:rPr>
      </w:pPr>
      <w:r>
        <w:rPr>
          <w:rFonts w:ascii="Arial" w:cs="Arial" w:eastAsia="Arial" w:hAnsi="Arial"/>
          <w:sz w:val="16"/>
          <w:szCs w:val="16"/>
          <w:color w:val="auto"/>
        </w:rPr>
        <w:t>We market and sell our products primarily in markets where semiconductors are manufactured.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67" w:lineRule="exact"/>
        <w:rPr>
          <w:sz w:val="20"/>
          <w:szCs w:val="20"/>
          <w:color w:val="auto"/>
        </w:rPr>
      </w:pPr>
    </w:p>
    <w:p>
      <w:pPr>
        <w:ind w:left="540" w:right="120"/>
        <w:spacing w:after="0" w:line="323" w:lineRule="auto"/>
        <w:rPr>
          <w:sz w:val="20"/>
          <w:szCs w:val="20"/>
          <w:color w:val="auto"/>
        </w:rPr>
      </w:pPr>
      <w:r>
        <w:rPr>
          <w:rFonts w:ascii="Arial" w:cs="Arial" w:eastAsia="Arial" w:hAnsi="Arial"/>
          <w:sz w:val="15"/>
          <w:szCs w:val="15"/>
          <w:i w:val="1"/>
          <w:iCs w:val="1"/>
          <w:color w:val="auto"/>
        </w:rPr>
        <w:t>Thermal Products</w:t>
      </w:r>
      <w:r>
        <w:rPr>
          <w:rFonts w:ascii="Arial" w:cs="Arial" w:eastAsia="Arial" w:hAnsi="Arial"/>
          <w:sz w:val="15"/>
          <w:szCs w:val="15"/>
          <w:color w:val="auto"/>
        </w:rPr>
        <w:t>: We market our thermal products brands, Temptronic, Sigma and Thermonics, under the umbrella name of inTEST Thermal Solutions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w:t>
      </w:r>
    </w:p>
    <w:p>
      <w:pPr>
        <w:sectPr>
          <w:pgSz w:w="11900" w:h="16838" w:orient="portrait"/>
          <w:cols w:equalWidth="0" w:num="1">
            <w:col w:w="11420"/>
          </w:cols>
          <w:pgMar w:left="240" w:top="131" w:right="239" w:bottom="0" w:gutter="0" w:footer="0" w:header="0"/>
        </w:sectPr>
      </w:pPr>
    </w:p>
    <w:bookmarkStart w:id="7" w:name="page8"/>
    <w:bookmarkEnd w:id="7"/>
    <w:p>
      <w:pPr>
        <w:ind w:left="540" w:right="740"/>
        <w:spacing w:after="0" w:line="268" w:lineRule="auto"/>
        <w:rPr>
          <w:sz w:val="20"/>
          <w:szCs w:val="20"/>
          <w:color w:val="auto"/>
        </w:rPr>
      </w:pPr>
      <w:r>
        <w:rPr>
          <w:rFonts w:ascii="Arial" w:cs="Arial" w:eastAsia="Arial" w:hAnsi="Arial"/>
          <w:sz w:val="18"/>
          <w:szCs w:val="18"/>
          <w:color w:val="auto"/>
        </w:rPr>
        <w:t>as regional distributors and independent sales representatives, sell to semiconductor manufacturers and customers in other markets. We visit our distributors regularly and have trained them to sell and service all of our thermal products.</w:t>
      </w:r>
    </w:p>
    <w:p>
      <w:pPr>
        <w:spacing w:after="0" w:line="186"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i w:val="1"/>
          <w:iCs w:val="1"/>
          <w:color w:val="auto"/>
        </w:rPr>
        <w:t>Mechanical and Electrical Products</w:t>
      </w:r>
      <w:r>
        <w:rPr>
          <w:rFonts w:ascii="Arial" w:cs="Arial" w:eastAsia="Arial" w:hAnsi="Arial"/>
          <w:sz w:val="18"/>
          <w:szCs w:val="18"/>
          <w:color w:val="auto"/>
        </w:rPr>
        <w:t>: In North America, we sell to semiconductor manufacturers principally through the use of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commissioned sales representatives. North American sales representatives also coordinate product installation and support with our technical staff and participate in trade shows.</w:t>
      </w:r>
    </w:p>
    <w:p>
      <w:pPr>
        <w:spacing w:after="0" w:line="194" w:lineRule="exact"/>
        <w:rPr>
          <w:sz w:val="20"/>
          <w:szCs w:val="20"/>
          <w:color w:val="auto"/>
        </w:rPr>
      </w:pPr>
    </w:p>
    <w:p>
      <w:pPr>
        <w:ind w:left="540" w:right="40"/>
        <w:spacing w:after="0" w:line="298" w:lineRule="auto"/>
        <w:rPr>
          <w:sz w:val="20"/>
          <w:szCs w:val="20"/>
          <w:color w:val="auto"/>
        </w:rPr>
      </w:pPr>
      <w:r>
        <w:rPr>
          <w:rFonts w:ascii="Arial" w:cs="Arial" w:eastAsia="Arial" w:hAnsi="Arial"/>
          <w:sz w:val="16"/>
          <w:szCs w:val="16"/>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67" w:lineRule="exact"/>
        <w:rPr>
          <w:sz w:val="20"/>
          <w:szCs w:val="20"/>
          <w:color w:val="auto"/>
        </w:rPr>
      </w:pPr>
    </w:p>
    <w:p>
      <w:pPr>
        <w:ind w:left="540" w:right="100"/>
        <w:spacing w:after="0" w:line="291" w:lineRule="auto"/>
        <w:rPr>
          <w:sz w:val="20"/>
          <w:szCs w:val="20"/>
          <w:color w:val="auto"/>
        </w:rPr>
      </w:pPr>
      <w:r>
        <w:rPr>
          <w:rFonts w:ascii="Arial" w:cs="Arial" w:eastAsia="Arial" w:hAnsi="Arial"/>
          <w:sz w:val="16"/>
          <w:szCs w:val="16"/>
          <w:color w:val="auto"/>
        </w:rPr>
        <w:t>In Europe, we sell to semiconductor and ATE manufacturers through our internal sales staff and through the use of independent sales representatives. Technical support is provided to European customers by an employee based in the UK or by independent sales representatives who we have trained. In China, Japan, the Philippines, South Korea, Taiwan and Thailand, we sell through the use of independent sales representatives who are supervised by our internal sales staff. In Malaysia and Singapore,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CUSTOMERS</w:t>
      </w:r>
    </w:p>
    <w:p>
      <w:pPr>
        <w:spacing w:after="0" w:line="225" w:lineRule="exact"/>
        <w:rPr>
          <w:sz w:val="20"/>
          <w:szCs w:val="20"/>
          <w:color w:val="auto"/>
        </w:rPr>
      </w:pPr>
    </w:p>
    <w:p>
      <w:pPr>
        <w:ind w:left="540" w:right="20"/>
        <w:spacing w:after="0" w:line="291" w:lineRule="auto"/>
        <w:rPr>
          <w:sz w:val="20"/>
          <w:szCs w:val="20"/>
          <w:color w:val="auto"/>
        </w:rPr>
      </w:pPr>
      <w:r>
        <w:rPr>
          <w:rFonts w:ascii="Arial" w:cs="Arial" w:eastAsia="Arial" w:hAnsi="Arial"/>
          <w:sz w:val="16"/>
          <w:szCs w:val="16"/>
          <w:color w:val="auto"/>
        </w:rPr>
        <w:t>We market all of our products to end users, which include semiconductor manufacturers and third-party foundries, test and assembly providers,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industrial and telecommunications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74"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During the years ended December 31, 2016 and 2015, Hakuto Co. Ltd., one of our distributors, accounted for 13% and 12% of our consolidated net revenues, respectively. These revenues were generated by our Thermal Products segment. During the year ended December 31, 2016, Texas Instruments Incorporated accounted for 10% of our consolidated net revenues. While all three of our operating segments sold products to this customer, these revenues were primarily generated by our Mechanical Products and Electrical Products segments. Our ten largest customers accounted for approximately 50% and 43% of our consolidated net revenues in 2016 and 2015,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largest customers in 2016 include:</w:t>
      </w:r>
    </w:p>
    <w:p>
      <w:pPr>
        <w:spacing w:after="0" w:line="221"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Arial" w:cs="Arial" w:eastAsia="Arial" w:hAnsi="Arial"/>
                <w:sz w:val="14"/>
                <w:szCs w:val="14"/>
                <w:b w:val="1"/>
                <w:bCs w:val="1"/>
                <w:i w:val="1"/>
                <w:iCs w:val="1"/>
                <w:color w:val="auto"/>
                <w:w w:val="84"/>
              </w:rPr>
              <w:t>Semiconductor Manufacturers</w:t>
            </w:r>
          </w:p>
        </w:tc>
        <w:tc>
          <w:tcPr>
            <w:tcW w:w="146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b w:val="1"/>
                <w:bCs w:val="1"/>
                <w:i w:val="1"/>
                <w:iCs w:val="1"/>
                <w:color w:val="auto"/>
                <w:w w:val="87"/>
              </w:rPr>
              <w:t>ATE Manufacturers</w:t>
            </w:r>
          </w:p>
        </w:tc>
        <w:tc>
          <w:tcPr>
            <w:tcW w:w="1460" w:type="dxa"/>
            <w:vAlign w:val="bottom"/>
          </w:tcPr>
          <w:p>
            <w:pPr>
              <w:spacing w:after="0"/>
              <w:rPr>
                <w:sz w:val="14"/>
                <w:szCs w:val="14"/>
                <w:color w:val="auto"/>
              </w:rPr>
            </w:pPr>
          </w:p>
        </w:tc>
        <w:tc>
          <w:tcPr>
            <w:tcW w:w="18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Other</w:t>
            </w:r>
          </w:p>
        </w:tc>
      </w:tr>
      <w:tr>
        <w:trPr>
          <w:trHeight w:val="20"/>
        </w:trPr>
        <w:tc>
          <w:tcPr>
            <w:tcW w:w="17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5"/>
        </w:trPr>
        <w:tc>
          <w:tcPr>
            <w:tcW w:w="1720" w:type="dxa"/>
            <w:vAlign w:val="bottom"/>
          </w:tcPr>
          <w:p>
            <w:pPr>
              <w:spacing w:after="0"/>
              <w:rPr>
                <w:sz w:val="20"/>
                <w:szCs w:val="20"/>
                <w:color w:val="auto"/>
              </w:rPr>
            </w:pPr>
            <w:r>
              <w:rPr>
                <w:rFonts w:ascii="Arial" w:cs="Arial" w:eastAsia="Arial" w:hAnsi="Arial"/>
                <w:sz w:val="18"/>
                <w:szCs w:val="18"/>
                <w:color w:val="auto"/>
              </w:rPr>
              <w:t>Analog Devices, Inc.</w:t>
            </w: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7"/>
              </w:rPr>
              <w:t>Teradyne, Inc.</w:t>
            </w:r>
          </w:p>
        </w:tc>
        <w:tc>
          <w:tcPr>
            <w:tcW w:w="1460" w:type="dxa"/>
            <w:vAlign w:val="bottom"/>
          </w:tcPr>
          <w:p>
            <w:pPr>
              <w:spacing w:after="0"/>
              <w:rPr>
                <w:sz w:val="20"/>
                <w:szCs w:val="20"/>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Hakuto Co. Ltd.</w:t>
            </w: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Cypress Semiconductor Corporation</w:t>
            </w:r>
          </w:p>
        </w:tc>
        <w:tc>
          <w:tcPr>
            <w:tcW w:w="2600" w:type="dxa"/>
            <w:vAlign w:val="bottom"/>
            <w:gridSpan w:val="2"/>
          </w:tcPr>
          <w:p>
            <w:pPr>
              <w:spacing w:after="0"/>
              <w:rPr>
                <w:sz w:val="20"/>
                <w:szCs w:val="20"/>
                <w:color w:val="auto"/>
              </w:rPr>
            </w:pPr>
            <w:r>
              <w:rPr>
                <w:rFonts w:ascii="Arial" w:cs="Arial" w:eastAsia="Arial" w:hAnsi="Arial"/>
                <w:sz w:val="18"/>
                <w:szCs w:val="18"/>
                <w:color w:val="auto"/>
              </w:rPr>
              <w:t>Xcerra Corporation</w:t>
            </w:r>
          </w:p>
        </w:tc>
        <w:tc>
          <w:tcPr>
            <w:tcW w:w="1820" w:type="dxa"/>
            <w:vAlign w:val="bottom"/>
            <w:gridSpan w:val="2"/>
          </w:tcPr>
          <w:p>
            <w:pPr>
              <w:spacing w:after="0"/>
              <w:rPr>
                <w:sz w:val="20"/>
                <w:szCs w:val="20"/>
                <w:color w:val="auto"/>
              </w:rPr>
            </w:pPr>
            <w:r>
              <w:rPr>
                <w:rFonts w:ascii="Arial" w:cs="Arial" w:eastAsia="Arial" w:hAnsi="Arial"/>
                <w:sz w:val="18"/>
                <w:szCs w:val="18"/>
                <w:color w:val="auto"/>
                <w:w w:val="90"/>
              </w:rPr>
              <w:t>Lumentum Holdings, Inc.</w:t>
            </w: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NXP Semiconductors N.V.</w:t>
            </w:r>
          </w:p>
        </w:tc>
        <w:tc>
          <w:tcPr>
            <w:tcW w:w="1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Raytheon Company</w:t>
            </w: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1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ViaSat, Inc.</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MANUFACTURING AND SUPPLY</w:t>
      </w:r>
    </w:p>
    <w:p>
      <w:pPr>
        <w:spacing w:after="0" w:line="225"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As of December 31, 2016, our principal manufacturing operations consisted of assembly and testing at our facilities in Massachusetts, New Jersey and California.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72" w:lineRule="exact"/>
        <w:rPr>
          <w:sz w:val="20"/>
          <w:szCs w:val="20"/>
          <w:color w:val="auto"/>
        </w:rPr>
      </w:pPr>
    </w:p>
    <w:p>
      <w:pPr>
        <w:ind w:left="540" w:right="40"/>
        <w:spacing w:after="0" w:line="306"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61"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Our Massachusetts facility is ISO 9001:2015 certified. Our New Jersey and California facilities manufacture products only for the semiconductor industry where ISO certification is not required. However, these locations do employ the practices embodied in the ISO 9001:2008.</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00"/>
          </w:cols>
          <w:pgMar w:left="240" w:top="131" w:right="259" w:bottom="337"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2016, we employed a total of 25 engineers, who were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72" w:lineRule="exact"/>
        <w:rPr>
          <w:sz w:val="20"/>
          <w:szCs w:val="20"/>
          <w:color w:val="auto"/>
        </w:rPr>
      </w:pPr>
    </w:p>
    <w:p>
      <w:pPr>
        <w:ind w:left="540" w:right="340"/>
        <w:spacing w:after="0" w:line="268" w:lineRule="auto"/>
        <w:rPr>
          <w:sz w:val="20"/>
          <w:szCs w:val="20"/>
          <w:color w:val="auto"/>
        </w:rPr>
      </w:pPr>
      <w:r>
        <w:rPr>
          <w:rFonts w:ascii="Arial" w:cs="Arial" w:eastAsia="Arial" w:hAnsi="Arial"/>
          <w:sz w:val="18"/>
          <w:szCs w:val="18"/>
          <w:color w:val="auto"/>
        </w:rPr>
        <w:t>Since most of our products are customized, we consider substantially all of our engineering activities to be engineering and product development. We spent approximately $3.7 million in 2016 and $3.9 million in 2015 on engineering and product development.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25"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Our policy is to protect our technology by filing patent applications for the technologies that we consider important to our business. We also rely on trademarks, trade secrets, copyrights and unpatented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70"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As of December 31, 2016, we held 50 active U.S. patents and had 6 pending U.S. patent applications covering various aspects of our technology. Our U.S. patents expire at various times beginning in 2017 and extending through 2034. During 2016, two U.S. patents were issued and we had no U.S. patents expire. We do not believe that the upcoming expiration of certain of our patents in 2017 will have a material impact on our business. We also hold foreign patents and file foreign patent applications, in selected cases corresponding to our U.S. patents and patent applications, to the extent management deems appropriate.</w:t>
      </w:r>
    </w:p>
    <w:p>
      <w:pPr>
        <w:spacing w:after="0" w:line="197"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While we believe that our patents and other proprietary rights are important to our business, we also believe that, due to the rapid pace of technological change in the semiconductor equipment market,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COMPETITION</w:t>
      </w:r>
    </w:p>
    <w:p>
      <w:pPr>
        <w:spacing w:after="0" w:line="225" w:lineRule="exact"/>
        <w:rPr>
          <w:sz w:val="20"/>
          <w:szCs w:val="20"/>
          <w:color w:val="auto"/>
        </w:rPr>
      </w:pPr>
    </w:p>
    <w:p>
      <w:pPr>
        <w:ind w:left="540" w:right="40"/>
        <w:spacing w:after="0" w:line="254" w:lineRule="auto"/>
        <w:rPr>
          <w:sz w:val="20"/>
          <w:szCs w:val="20"/>
          <w:color w:val="auto"/>
        </w:rPr>
      </w:pPr>
      <w:r>
        <w:rPr>
          <w:rFonts w:ascii="Arial" w:cs="Arial" w:eastAsia="Arial" w:hAnsi="Arial"/>
          <w:sz w:val="18"/>
          <w:szCs w:val="18"/>
          <w:color w:val="auto"/>
        </w:rPr>
        <w:t>We operate in an increasingly competitive environment within each of our product segments. Some of our competitors have greater financial resources and more extensive design and production capabilities than we do. Certain markets in which we operate have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98"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Our competitors include independent manufacturers, ATE manufacturers and, to a lesser extent, semiconductor manufacturers' in-house ATE interface groups. Competitive factors in the markets we serve include price, functionality,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 xml:space="preserve">BUSINESS </w:t>
      </w:r>
      <w:r>
        <w:rPr>
          <w:rFonts w:ascii="Arial" w:cs="Arial" w:eastAsia="Arial" w:hAnsi="Arial"/>
          <w:sz w:val="16"/>
          <w:szCs w:val="16"/>
          <w:color w:val="auto"/>
        </w:rPr>
        <w:t>(Continued)</w:t>
      </w:r>
    </w:p>
    <w:p>
      <w:pPr>
        <w:spacing w:after="0" w:line="191"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94" w:lineRule="exact"/>
        <w:rPr>
          <w:sz w:val="20"/>
          <w:szCs w:val="20"/>
          <w:color w:val="auto"/>
        </w:rPr>
      </w:pPr>
    </w:p>
    <w:p>
      <w:pPr>
        <w:ind w:left="540" w:right="300"/>
        <w:spacing w:after="0" w:line="256" w:lineRule="auto"/>
        <w:rPr>
          <w:sz w:val="20"/>
          <w:szCs w:val="20"/>
          <w:color w:val="auto"/>
        </w:rPr>
      </w:pPr>
      <w:r>
        <w:rPr>
          <w:rFonts w:ascii="Arial" w:cs="Arial" w:eastAsia="Arial" w:hAnsi="Arial"/>
          <w:sz w:val="18"/>
          <w:szCs w:val="18"/>
          <w:color w:val="auto"/>
        </w:rPr>
        <w:t>Our principal competitors for Thermostream products are FTS Systems, a part of SP Industries, and MPI Corporation. Our principal competitors for Thermochuck products include Cascade Microtech, Inc., a subsidiary of FormFactor, Inc., ERS Electronik GmbH and Espec Corp. Our principal competitors for environmental chambers are Cincinnati Sub-Zero Products, Inc., Espec Corp. and Thermotron Industries. Our principal competitor for thermal platforms is Environmental Stress Systems Inc.</w:t>
      </w:r>
    </w:p>
    <w:p>
      <w:pPr>
        <w:spacing w:after="0" w:line="197"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Our principal competitors for tester interface products are Advantest Corporation, Esmo AG, Reid-Ashman Manufacturing and Teradyne, Inc.</w:t>
      </w:r>
    </w:p>
    <w:p>
      <w:pPr>
        <w:sectPr>
          <w:pgSz w:w="11900" w:h="16838" w:orient="portrait"/>
          <w:cols w:equalWidth="0" w:num="1">
            <w:col w:w="11400"/>
          </w:cols>
          <w:pgMar w:left="240" w:top="125" w:right="259" w:bottom="0" w:gutter="0" w:footer="0" w:header="0"/>
        </w:sectPr>
      </w:pPr>
    </w:p>
    <w:bookmarkStart w:id="9" w:name="page10"/>
    <w:bookmarkEnd w:id="9"/>
    <w:p>
      <w:pPr>
        <w:ind w:left="540"/>
        <w:spacing w:after="0"/>
        <w:rPr>
          <w:sz w:val="20"/>
          <w:szCs w:val="20"/>
          <w:color w:val="auto"/>
        </w:rPr>
      </w:pPr>
      <w:r>
        <w:rPr>
          <w:rFonts w:ascii="Arial" w:cs="Arial" w:eastAsia="Arial" w:hAnsi="Arial"/>
          <w:sz w:val="18"/>
          <w:szCs w:val="18"/>
          <w:u w:val="single" w:color="auto"/>
          <w:color w:val="auto"/>
        </w:rPr>
        <w:t>BACKLOG</w:t>
      </w:r>
    </w:p>
    <w:p>
      <w:pPr>
        <w:spacing w:after="0" w:line="225" w:lineRule="exact"/>
        <w:rPr>
          <w:sz w:val="20"/>
          <w:szCs w:val="20"/>
          <w:color w:val="auto"/>
        </w:rPr>
      </w:pPr>
    </w:p>
    <w:p>
      <w:pPr>
        <w:ind w:left="540" w:right="200"/>
        <w:spacing w:after="0" w:line="291" w:lineRule="auto"/>
        <w:rPr>
          <w:sz w:val="20"/>
          <w:szCs w:val="20"/>
          <w:color w:val="auto"/>
        </w:rPr>
      </w:pPr>
      <w:r>
        <w:rPr>
          <w:rFonts w:ascii="Arial" w:cs="Arial" w:eastAsia="Arial" w:hAnsi="Arial"/>
          <w:sz w:val="16"/>
          <w:szCs w:val="16"/>
          <w:color w:val="auto"/>
        </w:rPr>
        <w:t>At December 31, 2016, our backlog of unfilled orders for all products was approximately $7.4 million compared with approximately $2.4 million at December 31, 2015. Our backlog includes customer orders which we have accepted, substantially all of which we expect to deliver in 2017.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540" w:right="60"/>
        <w:spacing w:after="0" w:line="256" w:lineRule="auto"/>
        <w:rPr>
          <w:sz w:val="20"/>
          <w:szCs w:val="20"/>
          <w:color w:val="auto"/>
        </w:rPr>
      </w:pPr>
      <w:r>
        <w:rPr>
          <w:rFonts w:ascii="Arial" w:cs="Arial" w:eastAsia="Arial" w:hAnsi="Arial"/>
          <w:sz w:val="18"/>
          <w:szCs w:val="18"/>
          <w:color w:val="auto"/>
        </w:rPr>
        <w:t>At December 31, 2016, we had 113 full time employees, including 48 in manufacturing operations, 44 in customer support/operations and 21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ADDITIONAL INFORMATION</w:t>
      </w:r>
    </w:p>
    <w:p>
      <w:pPr>
        <w:spacing w:after="0" w:line="225" w:lineRule="exact"/>
        <w:rPr>
          <w:sz w:val="20"/>
          <w:szCs w:val="20"/>
          <w:color w:val="auto"/>
        </w:rPr>
      </w:pPr>
    </w:p>
    <w:p>
      <w:pPr>
        <w:ind w:left="540" w:right="300"/>
        <w:spacing w:after="0" w:line="259"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right="700"/>
        <w:spacing w:after="0" w:line="378" w:lineRule="auto"/>
        <w:rPr>
          <w:sz w:val="20"/>
          <w:szCs w:val="20"/>
          <w:color w:val="auto"/>
        </w:rPr>
      </w:pPr>
      <w:r>
        <w:rPr>
          <w:rFonts w:ascii="Arial" w:cs="Arial" w:eastAsia="Arial" w:hAnsi="Arial"/>
          <w:sz w:val="15"/>
          <w:szCs w:val="15"/>
          <w:b w:val="1"/>
          <w:bCs w:val="1"/>
          <w:color w:val="auto"/>
        </w:rPr>
        <w:t>We seek to acquire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111" w:lineRule="exact"/>
        <w:rPr>
          <w:sz w:val="20"/>
          <w:szCs w:val="20"/>
          <w:color w:val="auto"/>
        </w:rPr>
      </w:pPr>
    </w:p>
    <w:p>
      <w:pPr>
        <w:ind w:left="540" w:right="80"/>
        <w:spacing w:after="0" w:line="259"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We seek to make acquisitions that will further expand our product lines as well as reduce our overall reliance on the ATE market. We may not be able to execute our acquisition strategy if:</w:t>
      </w:r>
    </w:p>
    <w:p>
      <w:pPr>
        <w:spacing w:after="0" w:line="154" w:lineRule="exact"/>
        <w:rPr>
          <w:sz w:val="20"/>
          <w:szCs w:val="20"/>
          <w:color w:val="auto"/>
        </w:rPr>
      </w:pPr>
    </w:p>
    <w:p>
      <w:pPr>
        <w:ind w:left="1080" w:right="4580"/>
        <w:spacing w:after="0" w:line="298" w:lineRule="auto"/>
        <w:rPr>
          <w:sz w:val="20"/>
          <w:szCs w:val="20"/>
          <w:color w:val="auto"/>
        </w:rPr>
      </w:pPr>
      <w:r>
        <w:rPr>
          <w:rFonts w:ascii="Arial" w:cs="Arial" w:eastAsia="Arial" w:hAnsi="Arial"/>
          <w:sz w:val="16"/>
          <w:szCs w:val="16"/>
          <w:color w:val="auto"/>
        </w:rPr>
        <w:t>we are unable to identify suitable businesses, technologies or products to acquire; we do not have sufficient cash or access to required capital at the necessary time; we are unwilling or unable to outbid larger, more resourceful companies; or we are unable to successfully close proposed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-535305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-398145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-260985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-123825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0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40"/>
        <w:spacing w:after="0" w:line="254" w:lineRule="auto"/>
        <w:rPr>
          <w:sz w:val="20"/>
          <w:szCs w:val="20"/>
          <w:color w:val="auto"/>
        </w:rPr>
      </w:pPr>
      <w:r>
        <w:rPr>
          <w:rFonts w:ascii="Arial" w:cs="Arial" w:eastAsia="Arial" w:hAnsi="Arial"/>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-233680</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540"/>
        <w:spacing w:after="0" w:line="281" w:lineRule="auto"/>
        <w:rPr>
          <w:sz w:val="20"/>
          <w:szCs w:val="20"/>
          <w:color w:val="auto"/>
        </w:rPr>
      </w:pPr>
      <w:r>
        <w:rPr>
          <w:rFonts w:ascii="Arial" w:cs="Arial" w:eastAsia="Arial" w:hAnsi="Arial"/>
          <w:sz w:val="16"/>
          <w:szCs w:val="16"/>
          <w:color w:val="auto"/>
        </w:rPr>
        <w:t>we might not be able to integrate future acquisitions into our business successfully or operate acquired businesses profitably; 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120"/>
        <w:spacing w:after="0" w:line="298" w:lineRule="auto"/>
        <w:rPr>
          <w:sz w:val="20"/>
          <w:szCs w:val="20"/>
          <w:color w:val="auto"/>
        </w:rPr>
      </w:pPr>
      <w:r>
        <w:rPr>
          <w:rFonts w:ascii="Arial" w:cs="Arial" w:eastAsia="Arial" w:hAnsi="Arial"/>
          <w:sz w:val="16"/>
          <w:szCs w:val="16"/>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61" w:lineRule="exact"/>
        <w:rPr>
          <w:sz w:val="20"/>
          <w:szCs w:val="20"/>
          <w:color w:val="auto"/>
        </w:rPr>
      </w:pPr>
    </w:p>
    <w:p>
      <w:pPr>
        <w:ind w:left="540" w:right="100"/>
        <w:spacing w:after="0" w:line="310" w:lineRule="auto"/>
        <w:rPr>
          <w:sz w:val="20"/>
          <w:szCs w:val="20"/>
          <w:color w:val="auto"/>
        </w:rPr>
      </w:pPr>
      <w:r>
        <w:rPr>
          <w:rFonts w:ascii="Arial" w:cs="Arial" w:eastAsia="Arial" w:hAnsi="Arial"/>
          <w:sz w:val="16"/>
          <w:szCs w:val="16"/>
          <w:b w:val="1"/>
          <w:bCs w:val="1"/>
          <w:color w:val="auto"/>
        </w:rPr>
        <w:t>We seek to further diversify the markets for our thermal products in order to increase the proportion of our sales attributable to markets which are less subject to cyclicality than the semiconductor and ATE markets. If we are unable to do so, our future performance will remain substantially exposed to the fluctuations of the cyclicality of the semiconductor and ATE markets.</w:t>
      </w:r>
    </w:p>
    <w:p>
      <w:pPr>
        <w:spacing w:after="0" w:line="157" w:lineRule="exact"/>
        <w:rPr>
          <w:sz w:val="20"/>
          <w:szCs w:val="20"/>
          <w:color w:val="auto"/>
        </w:rPr>
      </w:pPr>
    </w:p>
    <w:p>
      <w:pPr>
        <w:ind w:left="540" w:right="60"/>
        <w:spacing w:after="0" w:line="318" w:lineRule="auto"/>
        <w:rPr>
          <w:sz w:val="20"/>
          <w:szCs w:val="20"/>
          <w:color w:val="auto"/>
        </w:rPr>
      </w:pPr>
      <w:r>
        <w:rPr>
          <w:rFonts w:ascii="Arial" w:cs="Arial" w:eastAsia="Arial" w:hAnsi="Arial"/>
          <w:sz w:val="15"/>
          <w:szCs w:val="15"/>
          <w:color w:val="auto"/>
        </w:rPr>
        <w:t>Since 2009, we have sold our thermal products in markets outside of the ATE market, including the automotive, consumer electronics, defense/aerospace, energy, industrial and telecommunications markets. During 2016 and 2015, our sales to these non-ATE markets were $12.2 million and $10.7 million, respectively, and represented 30% and 27% of our consolidated net revenues, respectively. We offer highly specialized engineering solutions in these markets outside the ATE market, the demand for which is limited and which we expect may vary significantly from period to period. Our goal is to increase our sales into these and other non-ATE markets; however, in most cases, the expansion of our thermal product sales into these new markets has</w:t>
      </w:r>
    </w:p>
    <w:p>
      <w:pPr>
        <w:sectPr>
          <w:pgSz w:w="11900" w:h="16838" w:orient="portrait"/>
          <w:cols w:equalWidth="0" w:num="1">
            <w:col w:w="11400"/>
          </w:cols>
          <w:pgMar w:left="240" w:top="347" w:right="259" w:bottom="0" w:gutter="0" w:footer="0" w:header="0"/>
        </w:sectPr>
      </w:pPr>
    </w:p>
    <w:bookmarkStart w:id="10" w:name="page11"/>
    <w:bookmarkEnd w:id="10"/>
    <w:p>
      <w:pPr>
        <w:spacing w:after="0" w:line="19" w:lineRule="exact"/>
        <w:rPr>
          <w:sz w:val="20"/>
          <w:szCs w:val="20"/>
          <w:color w:val="auto"/>
        </w:rPr>
      </w:pPr>
    </w:p>
    <w:p>
      <w:pPr>
        <w:ind w:left="540" w:right="80"/>
        <w:spacing w:after="0" w:line="254" w:lineRule="auto"/>
        <w:rPr>
          <w:sz w:val="20"/>
          <w:szCs w:val="20"/>
          <w:color w:val="auto"/>
        </w:rPr>
      </w:pPr>
      <w:r>
        <w:rPr>
          <w:rFonts w:ascii="Arial" w:cs="Arial" w:eastAsia="Arial" w:hAnsi="Arial"/>
          <w:sz w:val="18"/>
          <w:szCs w:val="18"/>
          <w:color w:val="auto"/>
        </w:rPr>
        <w:t>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nature of our highly specialized product offerings in these non-ATE markets, we do not expect broad market penetration in many of these markets. If we are unable to expand our sales in non-ATE markets, our net revenues and results of operations will remain substantially dependent upon the cycles of the semiconductor and ATE markets.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restructuring efforts, the goal of which is to return non-profitable operations to profitability, may not be successful.</w:t>
      </w:r>
    </w:p>
    <w:p>
      <w:pPr>
        <w:spacing w:after="0" w:line="191" w:lineRule="exact"/>
        <w:rPr>
          <w:sz w:val="20"/>
          <w:szCs w:val="20"/>
          <w:color w:val="auto"/>
        </w:rPr>
      </w:pPr>
    </w:p>
    <w:p>
      <w:pPr>
        <w:ind w:left="540" w:right="80"/>
        <w:spacing w:after="0" w:line="289" w:lineRule="auto"/>
        <w:rPr>
          <w:sz w:val="20"/>
          <w:szCs w:val="20"/>
          <w:color w:val="auto"/>
        </w:rPr>
      </w:pPr>
      <w:r>
        <w:rPr>
          <w:rFonts w:ascii="Arial" w:cs="Arial" w:eastAsia="Arial" w:hAnsi="Arial"/>
          <w:sz w:val="16"/>
          <w:szCs w:val="16"/>
          <w:color w:val="auto"/>
        </w:rPr>
        <w:t>In recent years, our Mechanical Products segment has experienced significant operating losses. We have undertaken actions at various times over the last few years to address these losses. On January 4, 2016, in conjunction with the formation of the inTEST EMS Products Division, we implemented a workforce reduction which resulted in our recording a restructuring charge of $99,000 in the first quarter of 2016. These efforts were substantially completed during 2016 and we did not incur any further significant costs associated with these efforts. As a result of the restructuring action taken during 2016, as well as improvements in procurement, our Mechanical Products segment saw its operating loss reduced from $1.9 million in 2015 to $74,000 in 2016. We cannot be certain that our efforts to restructure this operation to achieve profitability will be successful. These efforts could require us to utilize additional financial resources to pay severance or fund other costs associated with the restructuring of this operation, which would reduce the amount of our cash and cash equivalents available to fund our short-term working capital requirements.</w:t>
      </w:r>
    </w:p>
    <w:p>
      <w:pPr>
        <w:spacing w:after="0" w:line="166" w:lineRule="exact"/>
        <w:rPr>
          <w:sz w:val="20"/>
          <w:szCs w:val="20"/>
          <w:color w:val="auto"/>
        </w:rPr>
      </w:pPr>
    </w:p>
    <w:p>
      <w:pPr>
        <w:ind w:left="540" w:right="180"/>
        <w:spacing w:after="0" w:line="275" w:lineRule="auto"/>
        <w:rPr>
          <w:sz w:val="20"/>
          <w:szCs w:val="20"/>
          <w:color w:val="auto"/>
        </w:rPr>
      </w:pPr>
      <w:r>
        <w:rPr>
          <w:rFonts w:ascii="Arial" w:cs="Arial" w:eastAsia="Arial" w:hAnsi="Arial"/>
          <w:sz w:val="18"/>
          <w:szCs w:val="18"/>
          <w:b w:val="1"/>
          <w:bCs w:val="1"/>
          <w:color w:val="auto"/>
        </w:rPr>
        <w:t>Our sales are affected by the cyclicality and seasonality of the semiconductor and ATE markets, which causes our operating results to fluctuate significantly.</w:t>
      </w:r>
    </w:p>
    <w:p>
      <w:pPr>
        <w:spacing w:after="0" w:line="180" w:lineRule="exact"/>
        <w:rPr>
          <w:sz w:val="20"/>
          <w:szCs w:val="20"/>
          <w:color w:val="auto"/>
        </w:rPr>
      </w:pPr>
    </w:p>
    <w:p>
      <w:pPr>
        <w:ind w:left="540" w:right="60"/>
        <w:spacing w:after="0" w:line="288" w:lineRule="auto"/>
        <w:rPr>
          <w:sz w:val="20"/>
          <w:szCs w:val="20"/>
          <w:color w:val="auto"/>
        </w:rPr>
      </w:pPr>
      <w:r>
        <w:rPr>
          <w:rFonts w:ascii="Arial" w:cs="Arial" w:eastAsia="Arial" w:hAnsi="Arial"/>
          <w:sz w:val="16"/>
          <w:szCs w:val="16"/>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 These market changes and seasonal sales pattern have contributed in the past, and will likely continue to contribute in the future, to fluctuations in our operating results.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is subject to intense competition.</w:t>
      </w:r>
    </w:p>
    <w:p>
      <w:pPr>
        <w:spacing w:after="0" w:line="231"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face significant competition throughout the world in each of our product segments. Some of our competitors have substantial financial resources and more extensive design and production capabilities than we do. Some of our competitors are much smaller than we are, and therefore have much lower levels of overhead than we do, which enables them to sell their competing products at lower prices.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66" w:lineRule="exact"/>
        <w:rPr>
          <w:sz w:val="20"/>
          <w:szCs w:val="20"/>
          <w:color w:val="auto"/>
        </w:rPr>
      </w:pPr>
    </w:p>
    <w:p>
      <w:pPr>
        <w:ind w:left="540" w:right="460"/>
        <w:spacing w:after="0" w:line="339"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34"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 addition to the cyclicality and seasonality of the semiconductor and ATE markets,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540" w:right="60"/>
        <w:spacing w:after="0" w:line="332" w:lineRule="auto"/>
        <w:rPr>
          <w:sz w:val="20"/>
          <w:szCs w:val="20"/>
          <w:color w:val="auto"/>
        </w:rPr>
      </w:pPr>
      <w:r>
        <w:rPr>
          <w:rFonts w:ascii="Arial" w:cs="Arial" w:eastAsia="Arial" w:hAnsi="Arial"/>
          <w:sz w:val="16"/>
          <w:szCs w:val="16"/>
          <w:color w:val="auto"/>
        </w:rPr>
        <w:t>specifying other suppliers as primary vendors, with less frequent opportunities to compete for such designations, (iii) customers requiring products with a greater range of use at the lowest cost, and (iv) customer supply chain management groups demanding lower prices and spreading purchases across</w:t>
      </w:r>
    </w:p>
    <w:p>
      <w:pPr>
        <w:sectPr>
          <w:pgSz w:w="11900" w:h="16858" w:orient="portrait"/>
          <w:cols w:equalWidth="0" w:num="1">
            <w:col w:w="11400"/>
          </w:cols>
          <w:pgMar w:left="240" w:top="131" w:right="259" w:bottom="0" w:gutter="0" w:footer="0" w:header="0"/>
        </w:sectPr>
      </w:pPr>
    </w:p>
    <w:bookmarkStart w:id="11" w:name="page12"/>
    <w:bookmarkEnd w:id="11"/>
    <w:p>
      <w:pPr>
        <w:jc w:val="both"/>
        <w:ind w:left="540" w:right="160"/>
        <w:spacing w:after="0" w:line="306" w:lineRule="auto"/>
        <w:rPr>
          <w:sz w:val="20"/>
          <w:szCs w:val="20"/>
          <w:color w:val="auto"/>
        </w:rPr>
      </w:pPr>
      <w:r>
        <w:rPr>
          <w:rFonts w:ascii="Arial" w:cs="Arial" w:eastAsia="Arial" w:hAnsi="Arial"/>
          <w:sz w:val="16"/>
          <w:szCs w:val="16"/>
          <w:color w:val="auto"/>
        </w:rPr>
        <w:t>multiple vendors. These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55" w:lineRule="exact"/>
        <w:rPr>
          <w:sz w:val="20"/>
          <w:szCs w:val="20"/>
          <w:color w:val="auto"/>
        </w:rPr>
      </w:pPr>
    </w:p>
    <w:p>
      <w:pPr>
        <w:ind w:left="540" w:right="160"/>
        <w:spacing w:after="0" w:line="262" w:lineRule="auto"/>
        <w:rPr>
          <w:sz w:val="20"/>
          <w:szCs w:val="20"/>
          <w:color w:val="auto"/>
        </w:rPr>
      </w:pPr>
      <w:r>
        <w:rPr>
          <w:rFonts w:ascii="Arial" w:cs="Arial" w:eastAsia="Arial" w:hAnsi="Arial"/>
          <w:sz w:val="18"/>
          <w:szCs w:val="18"/>
          <w:b w:val="1"/>
          <w:bCs w:val="1"/>
          <w:color w:val="auto"/>
        </w:rPr>
        <w:t>Increased in-house manufacturing capabilities among certain ATE manufacturers may have resulted, and may continue to result, in reductions in our share of the manipulator, docking hardware and tester interface products markets, reduced revenues in our Mechanical and Electrical Products segments and net losses in our Mechanical Products segment.</w:t>
      </w:r>
    </w:p>
    <w:p>
      <w:pPr>
        <w:spacing w:after="0" w:line="192"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Over the last several years, certain ATE manufacturers have begun manufacturing and selling certain products made by both our Mechanical and Electrical Products segments, including manipulator, docking hardware and tester interface products. As a result of the loss of these product sales, we may have lost market share in our manipulator, docking hardware and tester interface products, and our Mechanical Products segment has incurred operating losses. To the extent that we cannot replace these lost sales, our market share may decline, which could have a material adverse impact on the financial results of our Mechanical and Electrical Products segments.</w:t>
      </w:r>
    </w:p>
    <w:p>
      <w:pPr>
        <w:spacing w:after="0" w:line="191" w:lineRule="exact"/>
        <w:rPr>
          <w:sz w:val="20"/>
          <w:szCs w:val="20"/>
          <w:color w:val="auto"/>
        </w:rPr>
      </w:pPr>
    </w:p>
    <w:p>
      <w:pPr>
        <w:ind w:left="540" w:right="380"/>
        <w:spacing w:after="0" w:line="275"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operating results could suffer dramatically.</w:t>
      </w:r>
    </w:p>
    <w:p>
      <w:pPr>
        <w:spacing w:after="0" w:line="180" w:lineRule="exact"/>
        <w:rPr>
          <w:sz w:val="20"/>
          <w:szCs w:val="20"/>
          <w:color w:val="auto"/>
        </w:rPr>
      </w:pPr>
    </w:p>
    <w:p>
      <w:pPr>
        <w:ind w:left="540"/>
        <w:spacing w:after="0" w:line="314" w:lineRule="auto"/>
        <w:rPr>
          <w:sz w:val="20"/>
          <w:szCs w:val="20"/>
          <w:color w:val="auto"/>
        </w:rPr>
      </w:pPr>
      <w:r>
        <w:rPr>
          <w:rFonts w:ascii="Arial" w:cs="Arial" w:eastAsia="Arial" w:hAnsi="Arial"/>
          <w:sz w:val="15"/>
          <w:szCs w:val="15"/>
          <w:color w:val="auto"/>
        </w:rPr>
        <w:t>During the years ended December 31, 2016 and 2015, Hakuto Co. Ltd., one of our distributors, accounted for 13% and 12% of our consolidated net revenues, respectively. These revenues were generated by our Thermal Products segment. During the year ended December 31, 2016, Texas Instruments Incorporated accounted for 10% of our consolidated net revenues. While all three of our operating segments sold products to this customer, these revenues were primarily generated by our Mechanical Products and Electrical Products segments. Our ten largest customers accounted for approximately 50% and 43% of our consolidated net revenues in 2016 and 2015,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31" w:lineRule="exact"/>
        <w:rPr>
          <w:sz w:val="20"/>
          <w:szCs w:val="20"/>
          <w:color w:val="auto"/>
        </w:rPr>
      </w:pPr>
    </w:p>
    <w:p>
      <w:pPr>
        <w:jc w:val="both"/>
        <w:ind w:left="540" w:right="20"/>
        <w:spacing w:after="0" w:line="306" w:lineRule="auto"/>
        <w:rPr>
          <w:sz w:val="20"/>
          <w:szCs w:val="20"/>
          <w:color w:val="auto"/>
        </w:rPr>
      </w:pPr>
      <w:r>
        <w:rPr>
          <w:rFonts w:ascii="Arial" w:cs="Arial" w:eastAsia="Arial" w:hAnsi="Arial"/>
          <w:sz w:val="16"/>
          <w:szCs w:val="16"/>
          <w:color w:val="auto"/>
        </w:rPr>
        <w:t>Historically,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2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changes in demand in the markets we serve outside the ATE market including the automotive, consumer electronics, defense/aerospace,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-72390</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industrial and telecommunication markets;</w:t>
      </w:r>
    </w:p>
    <w:p>
      <w:pPr>
        <w:spacing w:after="0" w:line="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state of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40"/>
        <w:spacing w:after="0" w:line="250" w:lineRule="auto"/>
        <w:rPr>
          <w:sz w:val="20"/>
          <w:szCs w:val="20"/>
          <w:color w:val="auto"/>
        </w:rPr>
      </w:pPr>
      <w:r>
        <w:rPr>
          <w:rFonts w:ascii="Arial" w:cs="Arial" w:eastAsia="Arial" w:hAnsi="Arial"/>
          <w:sz w:val="18"/>
          <w:szCs w:val="18"/>
          <w:color w:val="auto"/>
        </w:rPr>
        <w:t>quantities of our inventories greater than is reasonably likely to be utilized in future periods; fluctuations in the level of product warranty charges;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060"/>
        <w:spacing w:after="0" w:line="255" w:lineRule="auto"/>
        <w:rPr>
          <w:sz w:val="20"/>
          <w:szCs w:val="20"/>
          <w:color w:val="auto"/>
        </w:rPr>
      </w:pPr>
      <w:r>
        <w:rPr>
          <w:rFonts w:ascii="Arial" w:cs="Arial" w:eastAsia="Arial" w:hAnsi="Arial"/>
          <w:sz w:val="18"/>
          <w:szCs w:val="18"/>
          <w:color w:val="auto"/>
        </w:rPr>
        <w:t>costs related to due diligence and transaction-related expenses for a proposed acquisition that does not get completed; costs and timing of integration of our acquisitions and plant consolidations and relocations; 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-378460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-241300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-104140</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implementing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our ability to obtain raw materials or fabricated parts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increases in costs of component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80" w:lineRule="exact"/>
        <w:rPr>
          <w:sz w:val="20"/>
          <w:szCs w:val="20"/>
          <w:color w:val="auto"/>
        </w:rPr>
      </w:pPr>
    </w:p>
    <w:p>
      <w:pPr>
        <w:ind w:left="540" w:right="280"/>
        <w:spacing w:after="0" w:line="275"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80"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ectPr>
          <w:pgSz w:w="11900" w:h="16838" w:orient="portrait"/>
          <w:cols w:equalWidth="0" w:num="1">
            <w:col w:w="11400"/>
          </w:cols>
          <w:pgMar w:left="240" w:top="131" w:right="259" w:bottom="0" w:gutter="0" w:footer="0" w:header="0"/>
        </w:sectPr>
      </w:pPr>
    </w:p>
    <w:bookmarkStart w:id="12" w:name="page13"/>
    <w:bookmarkEnd w:id="12"/>
    <w:p>
      <w:pPr>
        <w:ind w:left="540" w:right="280"/>
        <w:spacing w:after="0" w:line="275"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semiconductor and ATE markets.</w:t>
      </w:r>
    </w:p>
    <w:p>
      <w:pPr>
        <w:spacing w:after="0" w:line="180"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Semiconductor technology continues to become more complex as manufacturers incorporate ICs into an increasing variety of products. This trend, and the changes needed in automatic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substantial portion of our customers are located outside the U.S., which exposes us to foreign political and economic risks.</w:t>
      </w:r>
    </w:p>
    <w:p>
      <w:pPr>
        <w:spacing w:after="0" w:line="231" w:lineRule="exact"/>
        <w:rPr>
          <w:sz w:val="20"/>
          <w:szCs w:val="20"/>
          <w:color w:val="auto"/>
        </w:rPr>
      </w:pPr>
    </w:p>
    <w:p>
      <w:pPr>
        <w:ind w:left="540" w:right="120"/>
        <w:spacing w:after="0" w:line="291" w:lineRule="auto"/>
        <w:rPr>
          <w:sz w:val="20"/>
          <w:szCs w:val="20"/>
          <w:color w:val="auto"/>
        </w:rPr>
      </w:pPr>
      <w:r>
        <w:rPr>
          <w:rFonts w:ascii="Arial" w:cs="Arial" w:eastAsia="Arial" w:hAnsi="Arial"/>
          <w:sz w:val="16"/>
          <w:szCs w:val="16"/>
          <w:color w:val="auto"/>
        </w:rPr>
        <w:t>We have operated internationally for many years and expect to expand our international operations as necessary to continue expansion of our sales and service to our non-U.S. customers. Our foreign subsidiaries generated 16% and 13% of consolidated net revenues in 2016 and 2015, respectively. Net revenues from foreign customers totaled $27.2 million, or 68% of consolidated net revenues in 2016, and $24.6 million, or 63% of consolidated net revenues in 2015.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3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080"/>
        <w:spacing w:after="0" w:line="281" w:lineRule="auto"/>
        <w:rPr>
          <w:sz w:val="20"/>
          <w:szCs w:val="20"/>
          <w:color w:val="auto"/>
        </w:rPr>
      </w:pPr>
      <w:r>
        <w:rPr>
          <w:rFonts w:ascii="Arial" w:cs="Arial" w:eastAsia="Arial" w:hAnsi="Arial"/>
          <w:sz w:val="16"/>
          <w:szCs w:val="16"/>
          <w:color w:val="auto"/>
        </w:rPr>
        <w:t>the imposition of financial and operational controls and regulatory restrictions by foreign governments; the need to comply with a wide variety of U.S. and foreign import and export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20"/>
        <w:spacing w:after="0" w:line="250" w:lineRule="auto"/>
        <w:rPr>
          <w:sz w:val="20"/>
          <w:szCs w:val="20"/>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significant portion of our cash position is maintained overseas.</w:t>
      </w:r>
    </w:p>
    <w:p>
      <w:pPr>
        <w:spacing w:after="0" w:line="231" w:lineRule="exact"/>
        <w:rPr>
          <w:sz w:val="20"/>
          <w:szCs w:val="20"/>
          <w:color w:val="auto"/>
        </w:rPr>
      </w:pPr>
    </w:p>
    <w:p>
      <w:pPr>
        <w:ind w:left="540" w:right="20"/>
        <w:spacing w:after="0" w:line="290" w:lineRule="auto"/>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As of December 31, 2016, $1.7 million of our cash and cash equivalents was held by our foreign subsidiaries. Our financial condition and results of operations could be adversely impacted if we are unable to maintain a sufficient level of cash flow in the U.S. to address our cash requirements or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 breach of our operational or security systems could negatively affect our business and results of operations.</w:t>
      </w:r>
    </w:p>
    <w:p>
      <w:pPr>
        <w:spacing w:after="0" w:line="231"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damage our reputation, cause losses and significantly increase our costs.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If our suppliers do not meet product or delivery requirements, we could have reduced revenues and earnings.</w:t>
      </w:r>
    </w:p>
    <w:p>
      <w:pPr>
        <w:spacing w:after="0" w:line="231" w:lineRule="exact"/>
        <w:rPr>
          <w:sz w:val="20"/>
          <w:szCs w:val="20"/>
          <w:color w:val="auto"/>
        </w:rPr>
      </w:pPr>
    </w:p>
    <w:p>
      <w:pPr>
        <w:ind w:left="540" w:right="60"/>
        <w:spacing w:after="0" w:line="294" w:lineRule="auto"/>
        <w:rPr>
          <w:sz w:val="20"/>
          <w:szCs w:val="20"/>
          <w:color w:val="auto"/>
        </w:rPr>
      </w:pPr>
      <w:r>
        <w:rPr>
          <w:rFonts w:ascii="Arial" w:cs="Arial" w:eastAsia="Arial" w:hAnsi="Arial"/>
          <w:sz w:val="16"/>
          <w:szCs w:val="16"/>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business may suffer if we are unable to attract and retain key employees.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which has caused us to experience operating losses, we have implemented temporary salary and benefit reductions and eliminations that have remained in place until our operations returned to profitability. As global economic conditions improve and employment opportunities increase, if we are unable to increase employee salaries and maintain employee benefits commensurate with competitive opportunities, we may not be able to retain our senior management and other key employees. Our business could suffer if we were to lose one of more of our senior officers or other key employees.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If we are not able to obtain patents on or otherwise preserve and protect our proprietary technologies, our business may suffer.</w:t>
      </w:r>
    </w:p>
    <w:p>
      <w:pPr>
        <w:sectPr>
          <w:pgSz w:w="11900" w:h="16838" w:orient="portrait"/>
          <w:cols w:equalWidth="0" w:num="1">
            <w:col w:w="11420"/>
          </w:cols>
          <w:pgMar w:left="240" w:top="125" w:right="239" w:bottom="0" w:gutter="0" w:footer="0" w:header="0"/>
        </w:sectPr>
      </w:pPr>
    </w:p>
    <w:bookmarkStart w:id="13" w:name="page14"/>
    <w:bookmarkEnd w:id="13"/>
    <w:p>
      <w:pPr>
        <w:ind w:left="540" w:right="140"/>
        <w:spacing w:after="0" w:line="259" w:lineRule="auto"/>
        <w:rPr>
          <w:sz w:val="20"/>
          <w:szCs w:val="20"/>
          <w:color w:val="auto"/>
        </w:rPr>
      </w:pPr>
      <w:r>
        <w:rPr>
          <w:rFonts w:ascii="Arial" w:cs="Arial" w:eastAsia="Arial" w:hAnsi="Arial"/>
          <w:sz w:val="18"/>
          <w:szCs w:val="18"/>
          <w:color w:val="auto"/>
        </w:rPr>
        <w:t>We have obtained domestic and foreign patents covering some of our products which expire between the years 2017 and 2034, and we have applications pending for additional patents. Some of our products utilize proprietary technology that is not covered by a patent or similar protection, and, in many cases, cannot be protected. We cannot be certain that: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RISK FACTORS </w:t>
      </w:r>
      <w:r>
        <w:rPr>
          <w:rFonts w:ascii="Arial" w:cs="Arial" w:eastAsia="Arial" w:hAnsi="Arial"/>
          <w:sz w:val="18"/>
          <w:szCs w:val="18"/>
          <w:color w:val="auto"/>
        </w:rPr>
        <w:t>(Continued)</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-86995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160"/>
        <w:spacing w:after="0" w:line="250" w:lineRule="auto"/>
        <w:rPr>
          <w:sz w:val="20"/>
          <w:szCs w:val="20"/>
          <w:color w:val="auto"/>
        </w:rPr>
      </w:pPr>
      <w:r>
        <w:rPr>
          <w:rFonts w:ascii="Arial" w:cs="Arial" w:eastAsia="Arial" w:hAnsi="Arial"/>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If we cannot obtain patent or other protection for our proprietary technologies, our ability to compete in our markets could be impaired.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31" w:lineRule="exact"/>
        <w:rPr>
          <w:sz w:val="20"/>
          <w:szCs w:val="20"/>
          <w:color w:val="auto"/>
        </w:rPr>
      </w:pPr>
    </w:p>
    <w:p>
      <w:pPr>
        <w:ind w:left="540" w:right="60"/>
        <w:spacing w:after="0" w:line="290"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We may not be able to fully execute our share repurchase program.</w:t>
      </w:r>
    </w:p>
    <w:p>
      <w:pPr>
        <w:spacing w:after="0" w:line="231" w:lineRule="exact"/>
        <w:rPr>
          <w:sz w:val="20"/>
          <w:szCs w:val="20"/>
          <w:color w:val="auto"/>
        </w:rPr>
      </w:pPr>
    </w:p>
    <w:p>
      <w:pPr>
        <w:ind w:left="540" w:right="40"/>
        <w:spacing w:after="0" w:line="288" w:lineRule="auto"/>
        <w:rPr>
          <w:sz w:val="20"/>
          <w:szCs w:val="20"/>
          <w:color w:val="auto"/>
        </w:rPr>
      </w:pPr>
      <w:r>
        <w:rPr>
          <w:rFonts w:ascii="Arial" w:cs="Arial" w:eastAsia="Arial" w:hAnsi="Arial"/>
          <w:sz w:val="16"/>
          <w:szCs w:val="16"/>
          <w:color w:val="auto"/>
        </w:rPr>
        <w:t>In October 2015, our Board of Directors authorized our management to repurchase up to $5.0 million of our common stock commencing in December 2015. We may not be able to purchase this amount of shares in the open market or in privately negotiated transactions in compliance with applicable securities regulations. Future share repurchases are subject to the discretion of our Board of Directors and will depend, among other things, upon our earnings, capital requirements and financial condition. While we have authorized a share repurchase program, we are not required to repurchase the full dollar amount of shares authorized for repurchase and we may reduce or eliminate our share repurchase program in the future. The reduction or elimination of our share repurchase program, particularly if we do not repurchase the full dollar amount of shares authorized under the program, could adversely affect the market price of our common stock. As of December 31, 2016, we had repurchased a total of 283,137 shares at a cost of $1,133,000, including fees paid to our broker. Through February 28, 2017, we had repurchased a total of 297,020 shares at a cost of $1,195,000, including fees paid to our broker.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1" w:lineRule="exact"/>
        <w:rPr>
          <w:sz w:val="20"/>
          <w:szCs w:val="20"/>
          <w:color w:val="auto"/>
        </w:rPr>
      </w:pPr>
    </w:p>
    <w:p>
      <w:pPr>
        <w:ind w:left="540" w:right="300"/>
        <w:spacing w:after="0" w:line="268" w:lineRule="auto"/>
        <w:rPr>
          <w:sz w:val="20"/>
          <w:szCs w:val="20"/>
          <w:color w:val="auto"/>
        </w:rPr>
      </w:pPr>
      <w:r>
        <w:rPr>
          <w:rFonts w:ascii="Arial" w:cs="Arial" w:eastAsia="Arial" w:hAnsi="Arial"/>
          <w:sz w:val="18"/>
          <w:szCs w:val="18"/>
          <w:color w:val="auto"/>
        </w:rPr>
        <w:t>At December 31, 2016, we leased five facilities worldwide. The following chart provides information regarding each of our principal facilities that we occupied at December 31, 2016:</w:t>
      </w:r>
    </w:p>
    <w:p>
      <w:pPr>
        <w:spacing w:after="0" w:line="185"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i w:val="1"/>
                <w:iCs w:val="1"/>
                <w:color w:val="auto"/>
                <w:w w:val="83"/>
              </w:rPr>
              <w:t>Approx.</w:t>
            </w:r>
          </w:p>
        </w:tc>
        <w:tc>
          <w:tcPr>
            <w:tcW w:w="8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49"/>
        </w:trPr>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80"/>
              </w:rPr>
              <w:t>Lease</w:t>
            </w:r>
          </w:p>
        </w:tc>
        <w:tc>
          <w:tcPr>
            <w:tcW w:w="26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i w:val="1"/>
                <w:iCs w:val="1"/>
                <w:color w:val="auto"/>
                <w:w w:val="84"/>
              </w:rPr>
              <w:t>Square</w:t>
            </w: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46"/>
        </w:trPr>
        <w:tc>
          <w:tcPr>
            <w:tcW w:w="880" w:type="dxa"/>
            <w:vAlign w:val="bottom"/>
          </w:tcPr>
          <w:p>
            <w:pPr>
              <w:spacing w:after="0"/>
              <w:rPr>
                <w:sz w:val="12"/>
                <w:szCs w:val="12"/>
                <w:color w:val="auto"/>
              </w:rPr>
            </w:pPr>
          </w:p>
        </w:tc>
        <w:tc>
          <w:tcPr>
            <w:tcW w:w="50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Location</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7"/>
              </w:rPr>
              <w:t>Expiration</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4"/>
              </w:rPr>
              <w:t>Footage</w:t>
            </w:r>
          </w:p>
        </w:tc>
        <w:tc>
          <w:tcPr>
            <w:tcW w:w="280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Principal Uses</w:t>
            </w:r>
          </w:p>
        </w:tc>
      </w:tr>
      <w:tr>
        <w:trPr>
          <w:trHeight w:val="20"/>
        </w:trPr>
        <w:tc>
          <w:tcPr>
            <w:tcW w:w="8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35"/>
        </w:trPr>
        <w:tc>
          <w:tcPr>
            <w:tcW w:w="1920" w:type="dxa"/>
            <w:vAlign w:val="bottom"/>
            <w:gridSpan w:val="3"/>
          </w:tcPr>
          <w:p>
            <w:pPr>
              <w:spacing w:after="0"/>
              <w:rPr>
                <w:sz w:val="20"/>
                <w:szCs w:val="20"/>
                <w:color w:val="auto"/>
              </w:rPr>
            </w:pPr>
            <w:r>
              <w:rPr>
                <w:rFonts w:ascii="Arial" w:cs="Arial" w:eastAsia="Arial" w:hAnsi="Arial"/>
                <w:sz w:val="18"/>
                <w:szCs w:val="18"/>
                <w:color w:val="auto"/>
              </w:rPr>
              <w:t>Mansfield, MA</w:t>
            </w:r>
          </w:p>
        </w:tc>
        <w:tc>
          <w:tcPr>
            <w:tcW w:w="174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August 2021</w:t>
            </w:r>
          </w:p>
        </w:tc>
        <w:tc>
          <w:tcPr>
            <w:tcW w:w="10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52,700</w:t>
            </w:r>
          </w:p>
        </w:tc>
        <w:tc>
          <w:tcPr>
            <w:tcW w:w="2800" w:type="dxa"/>
            <w:vAlign w:val="bottom"/>
            <w:gridSpan w:val="2"/>
          </w:tcPr>
          <w:p>
            <w:pPr>
              <w:spacing w:after="0"/>
              <w:rPr>
                <w:sz w:val="20"/>
                <w:szCs w:val="20"/>
                <w:color w:val="auto"/>
              </w:rPr>
            </w:pPr>
            <w:r>
              <w:rPr>
                <w:rFonts w:ascii="Arial" w:cs="Arial" w:eastAsia="Arial" w:hAnsi="Arial"/>
                <w:sz w:val="18"/>
                <w:szCs w:val="18"/>
                <w:color w:val="auto"/>
                <w:w w:val="89"/>
              </w:rPr>
              <w:t>Thermal Products segment operations.</w:t>
            </w:r>
          </w:p>
        </w:tc>
      </w:tr>
      <w:tr>
        <w:trPr>
          <w:trHeight w:val="237"/>
        </w:trPr>
        <w:tc>
          <w:tcPr>
            <w:tcW w:w="1920" w:type="dxa"/>
            <w:vAlign w:val="bottom"/>
            <w:gridSpan w:val="3"/>
          </w:tcPr>
          <w:p>
            <w:pPr>
              <w:spacing w:after="0"/>
              <w:rPr>
                <w:sz w:val="20"/>
                <w:szCs w:val="20"/>
                <w:color w:val="auto"/>
              </w:rPr>
            </w:pPr>
            <w:r>
              <w:rPr>
                <w:rFonts w:ascii="Arial" w:cs="Arial" w:eastAsia="Arial" w:hAnsi="Arial"/>
                <w:sz w:val="18"/>
                <w:szCs w:val="18"/>
                <w:color w:val="auto"/>
              </w:rPr>
              <w:t>Mt. Laurel, NJ</w:t>
            </w:r>
          </w:p>
        </w:tc>
        <w:tc>
          <w:tcPr>
            <w:tcW w:w="1740" w:type="dxa"/>
            <w:vAlign w:val="bottom"/>
            <w:gridSpan w:val="3"/>
          </w:tcPr>
          <w:p>
            <w:pPr>
              <w:jc w:val="center"/>
              <w:ind w:left="212"/>
              <w:spacing w:after="0"/>
              <w:rPr>
                <w:sz w:val="20"/>
                <w:szCs w:val="20"/>
                <w:color w:val="auto"/>
              </w:rPr>
            </w:pPr>
            <w:r>
              <w:rPr>
                <w:rFonts w:ascii="Arial" w:cs="Arial" w:eastAsia="Arial" w:hAnsi="Arial"/>
                <w:sz w:val="18"/>
                <w:szCs w:val="18"/>
                <w:color w:val="auto"/>
                <w:w w:val="93"/>
              </w:rPr>
              <w:t>April 2021</w:t>
            </w:r>
          </w:p>
        </w:tc>
        <w:tc>
          <w:tcPr>
            <w:tcW w:w="10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54,897</w:t>
            </w:r>
          </w:p>
        </w:tc>
        <w:tc>
          <w:tcPr>
            <w:tcW w:w="2800" w:type="dxa"/>
            <w:vAlign w:val="bottom"/>
            <w:gridSpan w:val="2"/>
          </w:tcPr>
          <w:p>
            <w:pPr>
              <w:spacing w:after="0"/>
              <w:rPr>
                <w:sz w:val="20"/>
                <w:szCs w:val="20"/>
                <w:color w:val="auto"/>
              </w:rPr>
            </w:pPr>
            <w:r>
              <w:rPr>
                <w:rFonts w:ascii="Arial" w:cs="Arial" w:eastAsia="Arial" w:hAnsi="Arial"/>
                <w:sz w:val="18"/>
                <w:szCs w:val="18"/>
                <w:color w:val="auto"/>
                <w:w w:val="86"/>
              </w:rPr>
              <w:t>Corporate headquarters and Mechanical</w:t>
            </w:r>
          </w:p>
        </w:tc>
      </w:tr>
      <w:tr>
        <w:trPr>
          <w:trHeight w:val="222"/>
        </w:trPr>
        <w:tc>
          <w:tcPr>
            <w:tcW w:w="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Products segment operations.</w:t>
            </w:r>
          </w:p>
        </w:tc>
      </w:tr>
      <w:tr>
        <w:trPr>
          <w:trHeight w:val="243"/>
        </w:trPr>
        <w:tc>
          <w:tcPr>
            <w:tcW w:w="1920" w:type="dxa"/>
            <w:vAlign w:val="bottom"/>
            <w:gridSpan w:val="3"/>
          </w:tcPr>
          <w:p>
            <w:pPr>
              <w:spacing w:after="0"/>
              <w:rPr>
                <w:sz w:val="20"/>
                <w:szCs w:val="20"/>
                <w:color w:val="auto"/>
              </w:rPr>
            </w:pPr>
            <w:r>
              <w:rPr>
                <w:rFonts w:ascii="Arial" w:cs="Arial" w:eastAsia="Arial" w:hAnsi="Arial"/>
                <w:sz w:val="18"/>
                <w:szCs w:val="18"/>
                <w:color w:val="auto"/>
              </w:rPr>
              <w:t>Fremont, CA</w:t>
            </w:r>
          </w:p>
        </w:tc>
        <w:tc>
          <w:tcPr>
            <w:tcW w:w="1740" w:type="dxa"/>
            <w:vAlign w:val="bottom"/>
            <w:gridSpan w:val="3"/>
          </w:tcPr>
          <w:p>
            <w:pPr>
              <w:jc w:val="center"/>
              <w:ind w:left="212"/>
              <w:spacing w:after="0"/>
              <w:rPr>
                <w:sz w:val="20"/>
                <w:szCs w:val="20"/>
                <w:color w:val="auto"/>
              </w:rPr>
            </w:pPr>
            <w:r>
              <w:rPr>
                <w:rFonts w:ascii="Arial" w:cs="Arial" w:eastAsia="Arial" w:hAnsi="Arial"/>
                <w:sz w:val="18"/>
                <w:szCs w:val="18"/>
                <w:color w:val="auto"/>
                <w:w w:val="87"/>
              </w:rPr>
              <w:t>October 2020</w:t>
            </w:r>
          </w:p>
        </w:tc>
        <w:tc>
          <w:tcPr>
            <w:tcW w:w="106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15,746</w:t>
            </w:r>
          </w:p>
        </w:tc>
        <w:tc>
          <w:tcPr>
            <w:tcW w:w="2800" w:type="dxa"/>
            <w:vAlign w:val="bottom"/>
            <w:gridSpan w:val="2"/>
          </w:tcPr>
          <w:p>
            <w:pPr>
              <w:spacing w:after="0"/>
              <w:rPr>
                <w:sz w:val="20"/>
                <w:szCs w:val="20"/>
                <w:color w:val="auto"/>
              </w:rPr>
            </w:pPr>
            <w:r>
              <w:rPr>
                <w:rFonts w:ascii="Arial" w:cs="Arial" w:eastAsia="Arial" w:hAnsi="Arial"/>
                <w:sz w:val="18"/>
                <w:szCs w:val="18"/>
                <w:color w:val="auto"/>
                <w:w w:val="87"/>
              </w:rPr>
              <w:t>Electrical Products segment operations.</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ectPr>
          <w:pgSz w:w="11900" w:h="16838" w:orient="portrait"/>
          <w:cols w:equalWidth="0" w:num="1">
            <w:col w:w="11400"/>
          </w:cols>
          <w:pgMar w:left="240" w:top="347" w:right="259" w:bottom="0" w:gutter="0" w:footer="0" w:header="0"/>
        </w:sect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ectPr>
          <w:pgSz w:w="11900" w:h="16838" w:orient="portrait"/>
          <w:cols w:equalWidth="0" w:num="1">
            <w:col w:w="11400"/>
          </w:cols>
          <w:pgMar w:left="240" w:top="347" w:right="259" w:bottom="0" w:gutter="0" w:footer="0" w:header="0"/>
          <w:type w:val="continuous"/>
        </w:sectPr>
      </w:pPr>
    </w:p>
    <w:bookmarkStart w:id="14" w:name="page15"/>
    <w:bookmarkEnd w:id="14"/>
    <w:p>
      <w:pPr>
        <w:spacing w:after="0" w:line="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384175</wp:posOffset>
            </wp:positionV>
            <wp:extent cx="1478915"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31"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Our common stock is traded on NYSE MKT under the symbol "INTT." The following table sets forth the high and low sale prices of our common stock, as reported on the NYSE MKT LLC for the periods indicated. Sale prices have been rounded to the nearest full cent.</w:t>
      </w:r>
    </w:p>
    <w:p>
      <w:pPr>
        <w:spacing w:after="0" w:line="182" w:lineRule="exact"/>
        <w:rPr>
          <w:sz w:val="20"/>
          <w:szCs w:val="20"/>
          <w:color w:val="auto"/>
        </w:rPr>
      </w:pPr>
    </w:p>
    <w:tbl>
      <w:tblPr>
        <w:tblLayout w:type="fixed"/>
        <w:tblInd w:w="32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6"/>
          </w:tcPr>
          <w:p>
            <w:pPr>
              <w:jc w:val="right"/>
              <w:ind w:right="180"/>
              <w:spacing w:after="0"/>
              <w:rPr>
                <w:sz w:val="20"/>
                <w:szCs w:val="20"/>
                <w:color w:val="auto"/>
              </w:rPr>
            </w:pPr>
            <w:r>
              <w:rPr>
                <w:rFonts w:ascii="Arial" w:cs="Arial" w:eastAsia="Arial" w:hAnsi="Arial"/>
                <w:sz w:val="14"/>
                <w:szCs w:val="14"/>
                <w:b w:val="1"/>
                <w:bCs w:val="1"/>
                <w:i w:val="1"/>
                <w:iCs w:val="1"/>
                <w:color w:val="auto"/>
                <w:w w:val="80"/>
              </w:rPr>
              <w:t>Sales Price</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4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2016</w:t>
            </w:r>
          </w:p>
        </w:tc>
        <w:tc>
          <w:tcPr>
            <w:tcW w:w="1500" w:type="dxa"/>
            <w:vAlign w:val="bottom"/>
          </w:tcPr>
          <w:p>
            <w:pPr>
              <w:spacing w:after="0"/>
              <w:rPr>
                <w:sz w:val="13"/>
                <w:szCs w:val="13"/>
                <w:color w:val="auto"/>
              </w:rPr>
            </w:pPr>
          </w:p>
        </w:tc>
        <w:tc>
          <w:tcPr>
            <w:tcW w:w="3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i w:val="1"/>
                <w:iCs w:val="1"/>
                <w:color w:val="auto"/>
                <w:w w:val="89"/>
              </w:rPr>
              <w:t>High</w:t>
            </w:r>
          </w:p>
        </w:tc>
        <w:tc>
          <w:tcPr>
            <w:tcW w:w="10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2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8"/>
              </w:rPr>
              <w:t>Low</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540" w:type="dxa"/>
            <w:vAlign w:val="bottom"/>
            <w:gridSpan w:val="2"/>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5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$4.69</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4.28</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4.15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4.75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475"/>
        </w:trPr>
        <w:tc>
          <w:tcPr>
            <w:tcW w:w="2540" w:type="dxa"/>
            <w:vAlign w:val="bottom"/>
            <w:gridSpan w:val="2"/>
          </w:tcPr>
          <w:p>
            <w:pPr>
              <w:spacing w:after="0"/>
              <w:rPr>
                <w:sz w:val="20"/>
                <w:szCs w:val="20"/>
                <w:color w:val="auto"/>
              </w:rPr>
            </w:pPr>
            <w:r>
              <w:rPr>
                <w:rFonts w:ascii="Arial" w:cs="Arial" w:eastAsia="Arial" w:hAnsi="Arial"/>
                <w:sz w:val="18"/>
                <w:szCs w:val="18"/>
                <w:color w:val="auto"/>
              </w:rPr>
              <w:t>2015</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54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$4.32</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5.21</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4.50</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254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900" w:type="dxa"/>
            <w:vAlign w:val="bottom"/>
            <w:gridSpan w:val="4"/>
          </w:tcPr>
          <w:p>
            <w:pPr>
              <w:jc w:val="right"/>
              <w:ind w:right="60"/>
              <w:spacing w:after="0"/>
              <w:rPr>
                <w:sz w:val="20"/>
                <w:szCs w:val="20"/>
                <w:color w:val="auto"/>
              </w:rPr>
            </w:pPr>
            <w:r>
              <w:rPr>
                <w:rFonts w:ascii="Arial" w:cs="Arial" w:eastAsia="Arial" w:hAnsi="Arial"/>
                <w:sz w:val="18"/>
                <w:szCs w:val="18"/>
                <w:color w:val="auto"/>
              </w:rPr>
              <w:t>4.25</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100"/>
        <w:spacing w:after="0" w:line="268" w:lineRule="auto"/>
        <w:rPr>
          <w:sz w:val="20"/>
          <w:szCs w:val="20"/>
          <w:color w:val="auto"/>
        </w:rPr>
      </w:pPr>
      <w:r>
        <w:rPr>
          <w:rFonts w:ascii="Arial" w:cs="Arial" w:eastAsia="Arial" w:hAnsi="Arial"/>
          <w:sz w:val="18"/>
          <w:szCs w:val="18"/>
          <w:color w:val="auto"/>
        </w:rPr>
        <w:t>On March 17, 2017, the closing price for our common stock as reported on the NYSE MKT was $6.40. As of March 17, 2017, we had 10,402,058 shares outstanding that were held by approximately 750 beneficial and record holders.</w:t>
      </w:r>
    </w:p>
    <w:p>
      <w:pPr>
        <w:spacing w:after="0" w:line="186" w:lineRule="exact"/>
        <w:rPr>
          <w:sz w:val="20"/>
          <w:szCs w:val="20"/>
          <w:color w:val="auto"/>
        </w:rPr>
      </w:pPr>
    </w:p>
    <w:p>
      <w:pPr>
        <w:ind w:left="540" w:right="220"/>
        <w:spacing w:after="0" w:line="256" w:lineRule="auto"/>
        <w:rPr>
          <w:sz w:val="20"/>
          <w:szCs w:val="20"/>
          <w:color w:val="auto"/>
        </w:rPr>
      </w:pPr>
      <w:r>
        <w:rPr>
          <w:rFonts w:ascii="Arial" w:cs="Arial" w:eastAsia="Arial" w:hAnsi="Arial"/>
          <w:sz w:val="18"/>
          <w:szCs w:val="18"/>
          <w:color w:val="auto"/>
        </w:rPr>
        <w:t>No dividends were paid on our common stock in the years ended December 31, 2016 or 2015. We do not currently plan to pay cash dividends in the foreseeable future. Our current policy is to use any future earnings for stock repurchases under the 2015 Stock Repurchase Plan and for reinvestment in the operation and expansion of our business, including possible acquisitions of other businesses, technologies or products. Payment of any future dividends will be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color w:val="auto"/>
        </w:rPr>
        <w:t>(Continued)</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31" w:lineRule="exact"/>
        <w:rPr>
          <w:sz w:val="20"/>
          <w:szCs w:val="20"/>
          <w:color w:val="auto"/>
        </w:rPr>
      </w:pPr>
    </w:p>
    <w:p>
      <w:pPr>
        <w:ind w:left="540" w:right="40"/>
        <w:spacing w:after="0" w:line="268" w:lineRule="auto"/>
        <w:rPr>
          <w:sz w:val="20"/>
          <w:szCs w:val="20"/>
          <w:color w:val="auto"/>
        </w:rPr>
      </w:pPr>
      <w:r>
        <w:rPr>
          <w:rFonts w:ascii="Arial" w:cs="Arial" w:eastAsia="Arial" w:hAnsi="Arial"/>
          <w:sz w:val="18"/>
          <w:szCs w:val="18"/>
          <w:color w:val="auto"/>
        </w:rPr>
        <w:t>The following table provides information with respect to purchases made by us or on our behalf of our common stock during the quarter ended December 31, 2016:</w:t>
      </w:r>
    </w:p>
    <w:p>
      <w:pPr>
        <w:spacing w:after="0" w:line="185"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5"/>
              </w:rPr>
              <w:t>Total Number of</w:t>
            </w:r>
          </w:p>
        </w:tc>
        <w:tc>
          <w:tcPr>
            <w:tcW w:w="5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Approximate Dollar</w:t>
            </w:r>
          </w:p>
        </w:tc>
      </w:tr>
      <w:tr>
        <w:trPr>
          <w:trHeight w:val="149"/>
        </w:trPr>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1"/>
              </w:rPr>
              <w:t>Shares Purchased</w:t>
            </w: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Value of Shares</w:t>
            </w:r>
          </w:p>
        </w:tc>
      </w:tr>
      <w:tr>
        <w:trPr>
          <w:trHeight w:val="149"/>
        </w:trPr>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40" w:type="dxa"/>
            <w:vAlign w:val="bottom"/>
            <w:gridSpan w:val="5"/>
          </w:tcPr>
          <w:p>
            <w:pPr>
              <w:jc w:val="center"/>
              <w:ind w:left="439"/>
              <w:spacing w:after="0" w:line="149" w:lineRule="exact"/>
              <w:rPr>
                <w:sz w:val="20"/>
                <w:szCs w:val="20"/>
                <w:color w:val="auto"/>
              </w:rPr>
            </w:pPr>
            <w:r>
              <w:rPr>
                <w:rFonts w:ascii="Arial" w:cs="Arial" w:eastAsia="Arial" w:hAnsi="Arial"/>
                <w:sz w:val="14"/>
                <w:szCs w:val="14"/>
                <w:b w:val="1"/>
                <w:bCs w:val="1"/>
                <w:i w:val="1"/>
                <w:iCs w:val="1"/>
                <w:color w:val="auto"/>
                <w:w w:val="86"/>
              </w:rPr>
              <w:t>Total Number</w:t>
            </w:r>
          </w:p>
        </w:tc>
        <w:tc>
          <w:tcPr>
            <w:tcW w:w="1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as Part of Publicly</w:t>
            </w: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5"/>
              </w:rPr>
              <w:t>That May Yet Be</w:t>
            </w:r>
          </w:p>
        </w:tc>
      </w:tr>
      <w:tr>
        <w:trPr>
          <w:trHeight w:val="149"/>
        </w:trPr>
        <w:tc>
          <w:tcPr>
            <w:tcW w:w="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i w:val="1"/>
                <w:iCs w:val="1"/>
                <w:color w:val="auto"/>
                <w:w w:val="84"/>
              </w:rPr>
              <w:t>of Shares</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i w:val="1"/>
                <w:iCs w:val="1"/>
                <w:color w:val="auto"/>
                <w:w w:val="85"/>
              </w:rPr>
              <w:t>Price Paid</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Announced Plans</w:t>
            </w:r>
          </w:p>
        </w:tc>
        <w:tc>
          <w:tcPr>
            <w:tcW w:w="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Purchased Under</w:t>
            </w:r>
          </w:p>
        </w:tc>
      </w:tr>
      <w:tr>
        <w:trPr>
          <w:trHeight w:val="146"/>
        </w:trPr>
        <w:tc>
          <w:tcPr>
            <w:tcW w:w="38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Period</w:t>
            </w:r>
          </w:p>
        </w:tc>
        <w:tc>
          <w:tcPr>
            <w:tcW w:w="1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3"/>
              </w:rPr>
              <w:t>Repurchased</w:t>
            </w:r>
          </w:p>
        </w:tc>
        <w:tc>
          <w:tcPr>
            <w:tcW w:w="140" w:type="dxa"/>
            <w:vAlign w:val="bottom"/>
          </w:tcPr>
          <w:p>
            <w:pPr>
              <w:spacing w:after="0"/>
              <w:rPr>
                <w:sz w:val="12"/>
                <w:szCs w:val="12"/>
                <w:color w:val="auto"/>
              </w:rPr>
            </w:pPr>
          </w:p>
        </w:tc>
        <w:tc>
          <w:tcPr>
            <w:tcW w:w="1200" w:type="dxa"/>
            <w:vAlign w:val="bottom"/>
            <w:gridSpan w:val="3"/>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Per Share</w:t>
            </w:r>
          </w:p>
        </w:tc>
        <w:tc>
          <w:tcPr>
            <w:tcW w:w="1040" w:type="dxa"/>
            <w:vAlign w:val="bottom"/>
            <w:gridSpan w:val="3"/>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4"/>
              </w:rPr>
              <w:t>or Programs</w:t>
            </w:r>
          </w:p>
        </w:tc>
        <w:tc>
          <w:tcPr>
            <w:tcW w:w="54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the Plans or Programs</w:t>
            </w:r>
          </w:p>
        </w:tc>
      </w:tr>
      <w:tr>
        <w:trPr>
          <w:trHeight w:val="20"/>
        </w:trPr>
        <w:tc>
          <w:tcPr>
            <w:tcW w:w="3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35"/>
        </w:trPr>
        <w:tc>
          <w:tcPr>
            <w:tcW w:w="1740" w:type="dxa"/>
            <w:vAlign w:val="bottom"/>
            <w:gridSpan w:val="2"/>
          </w:tcPr>
          <w:p>
            <w:pPr>
              <w:spacing w:after="0"/>
              <w:rPr>
                <w:sz w:val="20"/>
                <w:szCs w:val="20"/>
                <w:color w:val="auto"/>
              </w:rPr>
            </w:pPr>
            <w:r>
              <w:rPr>
                <w:rFonts w:ascii="Arial" w:cs="Arial" w:eastAsia="Arial" w:hAnsi="Arial"/>
                <w:sz w:val="18"/>
                <w:szCs w:val="18"/>
                <w:color w:val="auto"/>
              </w:rPr>
              <w:t>October 1-31</w:t>
            </w:r>
          </w:p>
        </w:tc>
        <w:tc>
          <w:tcPr>
            <w:tcW w:w="1260" w:type="dxa"/>
            <w:vAlign w:val="bottom"/>
            <w:gridSpan w:val="3"/>
          </w:tcPr>
          <w:p>
            <w:pPr>
              <w:jc w:val="center"/>
              <w:ind w:left="699"/>
              <w:spacing w:after="0"/>
              <w:rPr>
                <w:sz w:val="20"/>
                <w:szCs w:val="20"/>
                <w:color w:val="auto"/>
              </w:rPr>
            </w:pPr>
            <w:r>
              <w:rPr>
                <w:rFonts w:ascii="Arial" w:cs="Arial" w:eastAsia="Arial" w:hAnsi="Arial"/>
                <w:sz w:val="18"/>
                <w:szCs w:val="18"/>
                <w:color w:val="auto"/>
                <w:w w:val="87"/>
              </w:rPr>
              <w:t>16,705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$3.98</w:t>
            </w:r>
          </w:p>
        </w:tc>
        <w:tc>
          <w:tcPr>
            <w:tcW w:w="480" w:type="dxa"/>
            <w:vAlign w:val="bottom"/>
          </w:tcPr>
          <w:p>
            <w:pPr>
              <w:spacing w:after="0"/>
              <w:rPr>
                <w:sz w:val="20"/>
                <w:szCs w:val="20"/>
                <w:color w:val="auto"/>
              </w:rPr>
            </w:pPr>
          </w:p>
        </w:tc>
        <w:tc>
          <w:tcPr>
            <w:tcW w:w="760" w:type="dxa"/>
            <w:vAlign w:val="bottom"/>
            <w:gridSpan w:val="2"/>
          </w:tcPr>
          <w:p>
            <w:pPr>
              <w:jc w:val="center"/>
              <w:ind w:left="203"/>
              <w:spacing w:after="0"/>
              <w:rPr>
                <w:sz w:val="20"/>
                <w:szCs w:val="20"/>
                <w:color w:val="auto"/>
              </w:rPr>
            </w:pPr>
            <w:r>
              <w:rPr>
                <w:rFonts w:ascii="Arial" w:cs="Arial" w:eastAsia="Arial" w:hAnsi="Arial"/>
                <w:sz w:val="18"/>
                <w:szCs w:val="18"/>
                <w:color w:val="auto"/>
                <w:w w:val="87"/>
              </w:rPr>
              <w:t>16,705</w:t>
            </w:r>
          </w:p>
        </w:tc>
        <w:tc>
          <w:tcPr>
            <w:tcW w:w="280" w:type="dxa"/>
            <w:vAlign w:val="bottom"/>
          </w:tcPr>
          <w:p>
            <w:pPr>
              <w:spacing w:after="0"/>
              <w:rPr>
                <w:sz w:val="20"/>
                <w:szCs w:val="20"/>
                <w:color w:val="auto"/>
              </w:rPr>
            </w:pPr>
          </w:p>
        </w:tc>
        <w:tc>
          <w:tcPr>
            <w:tcW w:w="180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$3,943,000</w:t>
            </w:r>
          </w:p>
        </w:tc>
      </w:tr>
      <w:tr>
        <w:trPr>
          <w:trHeight w:val="243"/>
        </w:trPr>
        <w:tc>
          <w:tcPr>
            <w:tcW w:w="1740" w:type="dxa"/>
            <w:vAlign w:val="bottom"/>
            <w:gridSpan w:val="2"/>
          </w:tcPr>
          <w:p>
            <w:pPr>
              <w:spacing w:after="0"/>
              <w:rPr>
                <w:sz w:val="20"/>
                <w:szCs w:val="20"/>
                <w:color w:val="auto"/>
              </w:rPr>
            </w:pPr>
            <w:r>
              <w:rPr>
                <w:rFonts w:ascii="Arial" w:cs="Arial" w:eastAsia="Arial" w:hAnsi="Arial"/>
                <w:sz w:val="18"/>
                <w:szCs w:val="18"/>
                <w:color w:val="auto"/>
              </w:rPr>
              <w:t>November 1-30</w:t>
            </w:r>
          </w:p>
        </w:tc>
        <w:tc>
          <w:tcPr>
            <w:tcW w:w="1260" w:type="dxa"/>
            <w:vAlign w:val="bottom"/>
            <w:gridSpan w:val="3"/>
          </w:tcPr>
          <w:p>
            <w:pPr>
              <w:jc w:val="center"/>
              <w:ind w:left="719"/>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1"/>
                <w:szCs w:val="21"/>
                <w:color w:val="auto"/>
              </w:rPr>
            </w:pPr>
          </w:p>
        </w:tc>
        <w:tc>
          <w:tcPr>
            <w:tcW w:w="760" w:type="dxa"/>
            <w:vAlign w:val="bottom"/>
            <w:gridSpan w:val="2"/>
          </w:tcPr>
          <w:p>
            <w:pPr>
              <w:jc w:val="center"/>
              <w:ind w:left="18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80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$3,943,000</w:t>
            </w:r>
          </w:p>
        </w:tc>
      </w:tr>
      <w:tr>
        <w:trPr>
          <w:trHeight w:val="205"/>
        </w:trPr>
        <w:tc>
          <w:tcPr>
            <w:tcW w:w="1740" w:type="dxa"/>
            <w:vAlign w:val="bottom"/>
            <w:gridSpan w:val="2"/>
          </w:tcPr>
          <w:p>
            <w:pPr>
              <w:spacing w:after="0" w:line="205" w:lineRule="exact"/>
              <w:rPr>
                <w:sz w:val="20"/>
                <w:szCs w:val="20"/>
                <w:color w:val="auto"/>
              </w:rPr>
            </w:pPr>
            <w:r>
              <w:rPr>
                <w:rFonts w:ascii="Arial" w:cs="Arial" w:eastAsia="Arial" w:hAnsi="Arial"/>
                <w:sz w:val="18"/>
                <w:szCs w:val="18"/>
                <w:color w:val="auto"/>
              </w:rPr>
              <w:t>December 1-31</w:t>
            </w:r>
          </w:p>
        </w:tc>
        <w:tc>
          <w:tcPr>
            <w:tcW w:w="780" w:type="dxa"/>
            <w:vAlign w:val="bottom"/>
            <w:gridSpan w:val="2"/>
          </w:tcPr>
          <w:p>
            <w:pPr>
              <w:spacing w:after="0"/>
              <w:rPr>
                <w:sz w:val="17"/>
                <w:szCs w:val="17"/>
                <w:color w:val="auto"/>
              </w:rPr>
            </w:pPr>
          </w:p>
        </w:tc>
        <w:tc>
          <w:tcPr>
            <w:tcW w:w="480" w:type="dxa"/>
            <w:vAlign w:val="bottom"/>
          </w:tcPr>
          <w:p>
            <w:pPr>
              <w:jc w:val="center"/>
              <w:spacing w:after="0" w:line="205" w:lineRule="exact"/>
              <w:rPr>
                <w:sz w:val="20"/>
                <w:szCs w:val="20"/>
                <w:color w:val="auto"/>
              </w:rPr>
            </w:pPr>
            <w:r>
              <w:rPr>
                <w:rFonts w:ascii="Arial" w:cs="Arial" w:eastAsia="Arial" w:hAnsi="Arial"/>
                <w:sz w:val="18"/>
                <w:szCs w:val="18"/>
                <w:color w:val="auto"/>
                <w:w w:val="87"/>
              </w:rPr>
              <w:t>15,829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center"/>
              <w:ind w:left="79"/>
              <w:spacing w:after="0" w:line="205" w:lineRule="exact"/>
              <w:rPr>
                <w:sz w:val="20"/>
                <w:szCs w:val="20"/>
                <w:color w:val="auto"/>
              </w:rPr>
            </w:pPr>
            <w:r>
              <w:rPr>
                <w:rFonts w:ascii="Arial" w:cs="Arial" w:eastAsia="Arial" w:hAnsi="Arial"/>
                <w:sz w:val="18"/>
                <w:szCs w:val="18"/>
                <w:color w:val="auto"/>
                <w:w w:val="88"/>
              </w:rPr>
              <w:t>$4.33</w:t>
            </w:r>
          </w:p>
        </w:tc>
        <w:tc>
          <w:tcPr>
            <w:tcW w:w="480" w:type="dxa"/>
            <w:vAlign w:val="bottom"/>
          </w:tcPr>
          <w:p>
            <w:pPr>
              <w:spacing w:after="0"/>
              <w:rPr>
                <w:sz w:val="17"/>
                <w:szCs w:val="17"/>
                <w:color w:val="auto"/>
              </w:rPr>
            </w:pPr>
          </w:p>
        </w:tc>
        <w:tc>
          <w:tcPr>
            <w:tcW w:w="760" w:type="dxa"/>
            <w:vAlign w:val="bottom"/>
            <w:gridSpan w:val="2"/>
          </w:tcPr>
          <w:p>
            <w:pPr>
              <w:jc w:val="center"/>
              <w:ind w:left="203"/>
              <w:spacing w:after="0" w:line="205" w:lineRule="exact"/>
              <w:rPr>
                <w:sz w:val="20"/>
                <w:szCs w:val="20"/>
                <w:color w:val="auto"/>
              </w:rPr>
            </w:pPr>
            <w:r>
              <w:rPr>
                <w:rFonts w:ascii="Arial" w:cs="Arial" w:eastAsia="Arial" w:hAnsi="Arial"/>
                <w:sz w:val="18"/>
                <w:szCs w:val="18"/>
                <w:color w:val="auto"/>
                <w:w w:val="87"/>
              </w:rPr>
              <w:t>15,829</w:t>
            </w:r>
          </w:p>
        </w:tc>
        <w:tc>
          <w:tcPr>
            <w:tcW w:w="280" w:type="dxa"/>
            <w:vAlign w:val="bottom"/>
          </w:tcPr>
          <w:p>
            <w:pPr>
              <w:spacing w:after="0"/>
              <w:rPr>
                <w:sz w:val="17"/>
                <w:szCs w:val="17"/>
                <w:color w:val="auto"/>
              </w:rPr>
            </w:pPr>
          </w:p>
        </w:tc>
        <w:tc>
          <w:tcPr>
            <w:tcW w:w="1800" w:type="dxa"/>
            <w:vAlign w:val="bottom"/>
            <w:gridSpan w:val="2"/>
          </w:tcPr>
          <w:p>
            <w:pPr>
              <w:jc w:val="center"/>
              <w:ind w:left="452"/>
              <w:spacing w:after="0" w:line="205" w:lineRule="exact"/>
              <w:rPr>
                <w:sz w:val="20"/>
                <w:szCs w:val="20"/>
                <w:color w:val="auto"/>
              </w:rPr>
            </w:pPr>
            <w:r>
              <w:rPr>
                <w:rFonts w:ascii="Arial" w:cs="Arial" w:eastAsia="Arial" w:hAnsi="Arial"/>
                <w:sz w:val="18"/>
                <w:szCs w:val="18"/>
                <w:color w:val="auto"/>
                <w:w w:val="86"/>
              </w:rPr>
              <w:t>$3,875,000</w:t>
            </w:r>
          </w:p>
        </w:tc>
      </w:tr>
      <w:tr>
        <w:trPr>
          <w:trHeight w:val="20"/>
        </w:trPr>
        <w:tc>
          <w:tcPr>
            <w:tcW w:w="1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23"/>
        </w:trPr>
        <w:tc>
          <w:tcPr>
            <w:tcW w:w="1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32,534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center"/>
              <w:ind w:left="79"/>
              <w:spacing w:after="0"/>
              <w:rPr>
                <w:sz w:val="20"/>
                <w:szCs w:val="20"/>
                <w:color w:val="auto"/>
              </w:rPr>
            </w:pPr>
            <w:r>
              <w:rPr>
                <w:rFonts w:ascii="Arial" w:cs="Arial" w:eastAsia="Arial" w:hAnsi="Arial"/>
                <w:sz w:val="18"/>
                <w:szCs w:val="18"/>
                <w:color w:val="auto"/>
                <w:w w:val="88"/>
              </w:rPr>
              <w:t>$4.15</w:t>
            </w:r>
          </w:p>
        </w:tc>
        <w:tc>
          <w:tcPr>
            <w:tcW w:w="480" w:type="dxa"/>
            <w:vAlign w:val="bottom"/>
          </w:tcPr>
          <w:p>
            <w:pPr>
              <w:spacing w:after="0"/>
              <w:rPr>
                <w:sz w:val="19"/>
                <w:szCs w:val="19"/>
                <w:color w:val="auto"/>
              </w:rPr>
            </w:pPr>
          </w:p>
        </w:tc>
        <w:tc>
          <w:tcPr>
            <w:tcW w:w="760" w:type="dxa"/>
            <w:vAlign w:val="bottom"/>
            <w:gridSpan w:val="2"/>
          </w:tcPr>
          <w:p>
            <w:pPr>
              <w:jc w:val="center"/>
              <w:ind w:left="203"/>
              <w:spacing w:after="0"/>
              <w:rPr>
                <w:sz w:val="20"/>
                <w:szCs w:val="20"/>
                <w:color w:val="auto"/>
              </w:rPr>
            </w:pPr>
            <w:r>
              <w:rPr>
                <w:rFonts w:ascii="Arial" w:cs="Arial" w:eastAsia="Arial" w:hAnsi="Arial"/>
                <w:sz w:val="18"/>
                <w:szCs w:val="18"/>
                <w:color w:val="auto"/>
                <w:w w:val="87"/>
              </w:rPr>
              <w:t>32,534</w:t>
            </w:r>
          </w:p>
        </w:tc>
        <w:tc>
          <w:tcPr>
            <w:tcW w:w="280" w:type="dxa"/>
            <w:vAlign w:val="bottom"/>
          </w:tcPr>
          <w:p>
            <w:pPr>
              <w:spacing w:after="0"/>
              <w:rPr>
                <w:sz w:val="19"/>
                <w:szCs w:val="19"/>
                <w:color w:val="auto"/>
              </w:rPr>
            </w:pPr>
          </w:p>
        </w:tc>
        <w:tc>
          <w:tcPr>
            <w:tcW w:w="1800" w:type="dxa"/>
            <w:vAlign w:val="bottom"/>
            <w:gridSpan w:val="2"/>
          </w:tcPr>
          <w:p>
            <w:pPr>
              <w:jc w:val="center"/>
              <w:ind w:left="452"/>
              <w:spacing w:after="0"/>
              <w:rPr>
                <w:sz w:val="20"/>
                <w:szCs w:val="20"/>
                <w:color w:val="auto"/>
              </w:rPr>
            </w:pPr>
            <w:r>
              <w:rPr>
                <w:rFonts w:ascii="Arial" w:cs="Arial" w:eastAsia="Arial" w:hAnsi="Arial"/>
                <w:sz w:val="18"/>
                <w:szCs w:val="18"/>
                <w:color w:val="auto"/>
                <w:w w:val="86"/>
              </w:rPr>
              <w:t>$3,875,000</w:t>
            </w:r>
          </w:p>
        </w:tc>
      </w:tr>
      <w:tr>
        <w:trPr>
          <w:trHeight w:val="20"/>
        </w:trPr>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 million of our common stock from time to time on the open market, in compliance with Rule 10b-18 under the Securities Exchange Act of 1934, or in privately negotiated transactions (the "2015 Repurchase Plan"). Repurchases may be made under a Rule 10b5-1 plan entered into with RW Baird &amp; Co., which permits shares to be repurchased when we might otherwise be precluded from doing so under insider trading laws. The timing and amount of any shares repurchased under the 2015 Repurchase Plan is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During 2016 and 2015, we repurchased 241,805 and 41,332 shares under the 2015 Repurchase Plan, respectively. The total cost to repurchase these</w:t>
      </w:r>
    </w:p>
    <w:p>
      <w:pPr>
        <w:sectPr>
          <w:pgSz w:w="11900" w:h="16843" w:orient="portrait"/>
          <w:cols w:equalWidth="0" w:num="1">
            <w:col w:w="11400"/>
          </w:cols>
          <w:pgMar w:left="240" w:top="131" w:right="259" w:bottom="0" w:gutter="0" w:footer="0" w:header="0"/>
        </w:sectPr>
      </w:pPr>
    </w:p>
    <w:bookmarkStart w:id="15" w:name="page16"/>
    <w:bookmarkEnd w:id="15"/>
    <w:p>
      <w:pPr>
        <w:spacing w:after="0" w:line="7" w:lineRule="exact"/>
        <w:rPr>
          <w:sz w:val="20"/>
          <w:szCs w:val="20"/>
          <w:color w:val="auto"/>
        </w:rPr>
      </w:pPr>
    </w:p>
    <w:p>
      <w:pPr>
        <w:jc w:val="both"/>
        <w:ind w:left="540" w:right="300"/>
        <w:spacing w:after="0" w:line="306" w:lineRule="auto"/>
        <w:rPr>
          <w:sz w:val="20"/>
          <w:szCs w:val="20"/>
          <w:color w:val="auto"/>
        </w:rPr>
      </w:pPr>
      <w:r>
        <w:rPr>
          <w:rFonts w:ascii="Arial" w:cs="Arial" w:eastAsia="Arial" w:hAnsi="Arial"/>
          <w:sz w:val="16"/>
          <w:szCs w:val="16"/>
          <w:color w:val="auto"/>
        </w:rPr>
        <w:t>shares, including fees paid to our broker, was $978,000 and $155,000, respectively. As of December 31, 2016, we had repurchased a total of 283,137 shares under the 2015 Repurchase Plan at a cost of $1.1 million, which included fees paid to our broker of $8,000. All of the repurchased shares were retired. The 2015 Repurchase Plan was suspended in May 2016 and resumed in September 2016.</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91" w:lineRule="exact"/>
        <w:rPr>
          <w:sz w:val="20"/>
          <w:szCs w:val="20"/>
          <w:color w:val="auto"/>
        </w:rPr>
      </w:pPr>
    </w:p>
    <w:p>
      <w:pPr>
        <w:ind w:left="540" w:right="40"/>
        <w:spacing w:after="0" w:line="335" w:lineRule="auto"/>
        <w:rPr>
          <w:sz w:val="20"/>
          <w:szCs w:val="20"/>
          <w:color w:val="auto"/>
        </w:rPr>
      </w:pPr>
      <w:r>
        <w:rPr>
          <w:rFonts w:ascii="Arial" w:cs="Arial" w:eastAsia="Arial" w:hAnsi="Arial"/>
          <w:sz w:val="15"/>
          <w:szCs w:val="15"/>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138"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i w:val="1"/>
                <w:iCs w:val="1"/>
                <w:color w:val="auto"/>
                <w:w w:val="83"/>
              </w:rPr>
              <w:t>Years Ended December 31,</w:t>
            </w:r>
          </w:p>
        </w:tc>
        <w:tc>
          <w:tcPr>
            <w:tcW w:w="28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w w:val="95"/>
              </w:rPr>
              <w:t>Condensed Consolidated Statement of Operations Data:</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2016</w:t>
            </w:r>
          </w:p>
        </w:tc>
        <w:tc>
          <w:tcPr>
            <w:tcW w:w="240" w:type="dxa"/>
            <w:vAlign w:val="bottom"/>
          </w:tcPr>
          <w:p>
            <w:pPr>
              <w:spacing w:after="0"/>
              <w:rPr>
                <w:sz w:val="13"/>
                <w:szCs w:val="13"/>
                <w:color w:val="auto"/>
              </w:rPr>
            </w:pPr>
          </w:p>
        </w:tc>
        <w:tc>
          <w:tcPr>
            <w:tcW w:w="660" w:type="dxa"/>
            <w:vAlign w:val="bottom"/>
            <w:gridSpan w:val="4"/>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420" w:type="dxa"/>
            <w:vAlign w:val="bottom"/>
            <w:gridSpan w:val="2"/>
          </w:tcPr>
          <w:p>
            <w:pPr>
              <w:jc w:val="center"/>
              <w:ind w:left="74"/>
              <w:spacing w:after="0" w:line="155" w:lineRule="exact"/>
              <w:rPr>
                <w:sz w:val="20"/>
                <w:szCs w:val="20"/>
                <w:color w:val="auto"/>
              </w:rPr>
            </w:pPr>
            <w:r>
              <w:rPr>
                <w:rFonts w:ascii="Arial" w:cs="Arial" w:eastAsia="Arial" w:hAnsi="Arial"/>
                <w:sz w:val="14"/>
                <w:szCs w:val="14"/>
                <w:b w:val="1"/>
                <w:bCs w:val="1"/>
                <w:i w:val="1"/>
                <w:iCs w:val="1"/>
                <w:color w:val="auto"/>
                <w:w w:val="83"/>
              </w:rPr>
              <w:t>2014</w:t>
            </w:r>
          </w:p>
        </w:tc>
        <w:tc>
          <w:tcPr>
            <w:tcW w:w="240" w:type="dxa"/>
            <w:vAlign w:val="bottom"/>
          </w:tcPr>
          <w:p>
            <w:pPr>
              <w:spacing w:after="0"/>
              <w:rPr>
                <w:sz w:val="13"/>
                <w:szCs w:val="13"/>
                <w:color w:val="auto"/>
              </w:rPr>
            </w:pPr>
          </w:p>
        </w:tc>
        <w:tc>
          <w:tcPr>
            <w:tcW w:w="680" w:type="dxa"/>
            <w:vAlign w:val="bottom"/>
            <w:gridSpan w:val="4"/>
          </w:tcPr>
          <w:p>
            <w:pPr>
              <w:jc w:val="right"/>
              <w:ind w:right="240"/>
              <w:spacing w:after="0" w:line="155" w:lineRule="exact"/>
              <w:rPr>
                <w:sz w:val="20"/>
                <w:szCs w:val="20"/>
                <w:color w:val="auto"/>
              </w:rPr>
            </w:pPr>
            <w:r>
              <w:rPr>
                <w:rFonts w:ascii="Arial" w:cs="Arial" w:eastAsia="Arial" w:hAnsi="Arial"/>
                <w:sz w:val="14"/>
                <w:szCs w:val="14"/>
                <w:b w:val="1"/>
                <w:bCs w:val="1"/>
                <w:i w:val="1"/>
                <w:iCs w:val="1"/>
                <w:color w:val="auto"/>
              </w:rPr>
              <w:t>2013</w:t>
            </w:r>
          </w:p>
        </w:tc>
        <w:tc>
          <w:tcPr>
            <w:tcW w:w="4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i w:val="1"/>
                <w:iCs w:val="1"/>
                <w:color w:val="auto"/>
              </w:rPr>
              <w:t>2012</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3120" w:type="dxa"/>
            <w:vAlign w:val="bottom"/>
            <w:gridSpan w:val="16"/>
          </w:tcPr>
          <w:p>
            <w:pPr>
              <w:jc w:val="center"/>
              <w:ind w:right="200"/>
              <w:spacing w:after="0"/>
              <w:rPr>
                <w:sz w:val="20"/>
                <w:szCs w:val="20"/>
                <w:color w:val="auto"/>
              </w:rPr>
            </w:pPr>
            <w:r>
              <w:rPr>
                <w:rFonts w:ascii="Arial" w:cs="Arial" w:eastAsia="Arial" w:hAnsi="Arial"/>
                <w:sz w:val="18"/>
                <w:szCs w:val="18"/>
                <w:color w:val="auto"/>
                <w:w w:val="85"/>
              </w:rPr>
              <w:t>(in thousands, except per share data)</w:t>
            </w:r>
          </w:p>
        </w:tc>
        <w:tc>
          <w:tcPr>
            <w:tcW w:w="0" w:type="dxa"/>
            <w:vAlign w:val="bottom"/>
          </w:tcPr>
          <w:p>
            <w:pPr>
              <w:spacing w:after="0"/>
              <w:rPr>
                <w:sz w:val="1"/>
                <w:szCs w:val="1"/>
                <w:color w:val="auto"/>
              </w:rPr>
            </w:pPr>
          </w:p>
        </w:tc>
      </w:tr>
      <w:tr>
        <w:trPr>
          <w:trHeight w:val="538"/>
        </w:trPr>
        <w:tc>
          <w:tcPr>
            <w:tcW w:w="4620" w:type="dxa"/>
            <w:vAlign w:val="bottom"/>
          </w:tcPr>
          <w:p>
            <w:pPr>
              <w:spacing w:after="0"/>
              <w:rPr>
                <w:sz w:val="20"/>
                <w:szCs w:val="20"/>
                <w:color w:val="auto"/>
              </w:rPr>
            </w:pPr>
            <w:r>
              <w:rPr>
                <w:rFonts w:ascii="Arial" w:cs="Arial" w:eastAsia="Arial" w:hAnsi="Arial"/>
                <w:sz w:val="18"/>
                <w:szCs w:val="18"/>
                <w:color w:val="auto"/>
              </w:rPr>
              <w:t>Net revenues</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$40,227</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$38,889</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$41,796</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w w:val="92"/>
              </w:rPr>
              <w:t>$39,426</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$43,376</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20,378</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18,698</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20,462</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19,015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19,059</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Operating income</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4,146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2,562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4,916</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3,962</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2,658</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1,861</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3,439</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3,077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Net earnings per common share:</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Basic</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$0.18</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$0.33</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$0.30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$0.26</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$0.18</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$0.33</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$0.30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Basic</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10,314</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10,473</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10,432</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10,364</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43"/>
        </w:trPr>
        <w:tc>
          <w:tcPr>
            <w:tcW w:w="4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10,333</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10,494</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10,466</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10,419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10,347</w:t>
            </w:r>
          </w:p>
        </w:tc>
        <w:tc>
          <w:tcPr>
            <w:tcW w:w="0" w:type="dxa"/>
            <w:vAlign w:val="bottom"/>
          </w:tcPr>
          <w:p>
            <w:pPr>
              <w:spacing w:after="0"/>
              <w:rPr>
                <w:sz w:val="1"/>
                <w:szCs w:val="1"/>
                <w:color w:val="auto"/>
              </w:rPr>
            </w:pPr>
          </w:p>
        </w:tc>
      </w:tr>
      <w:tr>
        <w:trPr>
          <w:trHeight w:val="446"/>
        </w:trPr>
        <w:tc>
          <w:tcPr>
            <w:tcW w:w="4620" w:type="dxa"/>
            <w:vAlign w:val="bottom"/>
          </w:tcPr>
          <w:p>
            <w:pPr>
              <w:ind w:left="3900"/>
              <w:spacing w:after="0"/>
              <w:rPr>
                <w:sz w:val="20"/>
                <w:szCs w:val="20"/>
                <w:color w:val="auto"/>
              </w:rPr>
            </w:pPr>
            <w:r>
              <w:rPr>
                <w:rFonts w:ascii="Arial" w:cs="Arial" w:eastAsia="Arial" w:hAnsi="Arial"/>
                <w:sz w:val="18"/>
                <w:szCs w:val="18"/>
                <w:color w:val="auto"/>
              </w:rPr>
              <w:t>- 21 -</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SELECTED FINANCIAL DATA </w:t>
      </w:r>
      <w:r>
        <w:rPr>
          <w:rFonts w:ascii="Arial" w:cs="Arial" w:eastAsia="Arial" w:hAnsi="Arial"/>
          <w:sz w:val="18"/>
          <w:szCs w:val="18"/>
          <w:color w:val="auto"/>
        </w:rPr>
        <w:t>(Continued)</w:t>
      </w:r>
    </w:p>
    <w:p>
      <w:pPr>
        <w:spacing w:after="0" w:line="227"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7"/>
          </w:tcPr>
          <w:p>
            <w:pPr>
              <w:jc w:val="center"/>
              <w:ind w:right="500"/>
              <w:spacing w:after="0"/>
              <w:rPr>
                <w:sz w:val="20"/>
                <w:szCs w:val="20"/>
                <w:color w:val="auto"/>
              </w:rPr>
            </w:pPr>
            <w:r>
              <w:rPr>
                <w:rFonts w:ascii="Arial" w:cs="Arial" w:eastAsia="Arial" w:hAnsi="Arial"/>
                <w:sz w:val="14"/>
                <w:szCs w:val="14"/>
                <w:b w:val="1"/>
                <w:bCs w:val="1"/>
                <w:i w:val="1"/>
                <w:iCs w:val="1"/>
                <w:color w:val="auto"/>
                <w:w w:val="81"/>
              </w:rPr>
              <w:t>As of December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Pr>
          <w:p>
            <w:pPr>
              <w:spacing w:after="0"/>
              <w:rPr>
                <w:sz w:val="21"/>
                <w:szCs w:val="21"/>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i w:val="1"/>
                <w:iCs w:val="1"/>
                <w:color w:val="auto"/>
              </w:rPr>
              <w:t>2016</w:t>
            </w:r>
          </w:p>
        </w:tc>
        <w:tc>
          <w:tcPr>
            <w:tcW w:w="660" w:type="dxa"/>
            <w:vAlign w:val="bottom"/>
            <w:gridSpan w:val="3"/>
          </w:tcPr>
          <w:p>
            <w:pPr>
              <w:jc w:val="right"/>
              <w:ind w:right="172"/>
              <w:spacing w:after="0"/>
              <w:rPr>
                <w:sz w:val="20"/>
                <w:szCs w:val="20"/>
                <w:color w:val="auto"/>
              </w:rPr>
            </w:pPr>
            <w:r>
              <w:rPr>
                <w:rFonts w:ascii="Arial" w:cs="Arial" w:eastAsia="Arial" w:hAnsi="Arial"/>
                <w:sz w:val="14"/>
                <w:szCs w:val="14"/>
                <w:b w:val="1"/>
                <w:bCs w:val="1"/>
                <w:i w:val="1"/>
                <w:iCs w:val="1"/>
                <w:color w:val="auto"/>
              </w:rPr>
              <w:t>2015</w:t>
            </w:r>
          </w:p>
        </w:tc>
        <w:tc>
          <w:tcPr>
            <w:tcW w:w="420" w:type="dxa"/>
            <w:vAlign w:val="bottom"/>
            <w:gridSpan w:val="2"/>
          </w:tcPr>
          <w:p>
            <w:pPr>
              <w:jc w:val="center"/>
              <w:ind w:left="76"/>
              <w:spacing w:after="0"/>
              <w:rPr>
                <w:sz w:val="20"/>
                <w:szCs w:val="20"/>
                <w:color w:val="auto"/>
              </w:rPr>
            </w:pPr>
            <w:r>
              <w:rPr>
                <w:rFonts w:ascii="Arial" w:cs="Arial" w:eastAsia="Arial" w:hAnsi="Arial"/>
                <w:sz w:val="14"/>
                <w:szCs w:val="14"/>
                <w:b w:val="1"/>
                <w:bCs w:val="1"/>
                <w:i w:val="1"/>
                <w:iCs w:val="1"/>
                <w:color w:val="auto"/>
                <w:w w:val="83"/>
              </w:rPr>
              <w:t>2014</w:t>
            </w:r>
          </w:p>
        </w:tc>
        <w:tc>
          <w:tcPr>
            <w:tcW w:w="280" w:type="dxa"/>
            <w:vAlign w:val="bottom"/>
          </w:tcPr>
          <w:p>
            <w:pPr>
              <w:spacing w:after="0"/>
              <w:rPr>
                <w:sz w:val="21"/>
                <w:szCs w:val="21"/>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4"/>
                <w:szCs w:val="14"/>
                <w:b w:val="1"/>
                <w:bCs w:val="1"/>
                <w:i w:val="1"/>
                <w:iCs w:val="1"/>
                <w:color w:val="auto"/>
              </w:rPr>
              <w:t>2013</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2012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Condensed Consolidated Balance Sheet Data:</w:t>
            </w:r>
          </w:p>
        </w:tc>
        <w:tc>
          <w:tcPr>
            <w:tcW w:w="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4"/>
          </w:tcPr>
          <w:p>
            <w:pPr>
              <w:jc w:val="center"/>
              <w:ind w:left="52"/>
              <w:spacing w:after="0"/>
              <w:rPr>
                <w:sz w:val="20"/>
                <w:szCs w:val="20"/>
                <w:color w:val="auto"/>
              </w:rPr>
            </w:pPr>
            <w:r>
              <w:rPr>
                <w:rFonts w:ascii="Arial" w:cs="Arial" w:eastAsia="Arial" w:hAnsi="Arial"/>
                <w:sz w:val="14"/>
                <w:szCs w:val="14"/>
                <w:color w:val="auto"/>
                <w:w w:val="85"/>
              </w:rPr>
              <w:t>(in thousands)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$28,611</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89"/>
              </w:rPr>
              <w:t>$25,710</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$23,126</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$19,018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$15,576</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Working capital</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32,950</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30,205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28,032</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24,048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19,996</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42,844</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39,984</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38,738</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35,481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32,399</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37,788</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35,925</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34,368</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31,149</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27,820</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540" w:right="1620" w:hanging="539"/>
        <w:spacing w:after="0" w:line="478"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b w:val="1"/>
          <w:bCs w:val="1"/>
          <w:u w:val="single" w:color="auto"/>
          <w:color w:val="auto"/>
        </w:rPr>
        <w:t>Risk Factors and Forward-Looking Statements</w:t>
      </w:r>
    </w:p>
    <w:p>
      <w:pPr>
        <w:spacing w:after="0" w:line="5"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Overview</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which contribute to our net revenues as our customers adopt these new products.</w:t>
      </w:r>
    </w:p>
    <w:p>
      <w:pPr>
        <w:spacing w:after="0" w:line="174"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w:t>
      </w:r>
    </w:p>
    <w:p>
      <w:pPr>
        <w:sectPr>
          <w:pgSz w:w="11900" w:h="16845" w:orient="portrait"/>
          <w:cols w:equalWidth="0" w:num="1">
            <w:col w:w="11360"/>
          </w:cols>
          <w:pgMar w:left="240" w:top="131" w:right="299" w:bottom="0" w:gutter="0" w:footer="0" w:header="0"/>
        </w:sectPr>
      </w:pPr>
    </w:p>
    <w:bookmarkStart w:id="16" w:name="page17"/>
    <w:bookmarkEnd w:id="16"/>
    <w:p>
      <w:pPr>
        <w:spacing w:after="0" w:line="84"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306" w:lineRule="auto"/>
        <w:rPr>
          <w:sz w:val="20"/>
          <w:szCs w:val="20"/>
          <w:color w:val="auto"/>
        </w:rPr>
      </w:pPr>
      <w:r>
        <w:rPr>
          <w:rFonts w:ascii="Arial" w:cs="Arial" w:eastAsia="Arial" w:hAnsi="Arial"/>
          <w:sz w:val="16"/>
          <w:szCs w:val="16"/>
          <w:color w:val="auto"/>
        </w:rPr>
        <w:t>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161"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Third-party market share statistics are not available for the products we manufacture and sell into the ATE market; therefore, comparisons of period over period changes in our market share are not easily determined. As a result, it is difficult to ascertain if ATE market volatility in any period is the result of macro-economic or customer-specific factors impacting ATE market demand, or if we have gained or lost market share to a competitor during the period.</w:t>
      </w:r>
    </w:p>
    <w:p>
      <w:pPr>
        <w:spacing w:after="0" w:line="142" w:lineRule="exact"/>
        <w:rPr>
          <w:sz w:val="20"/>
          <w:szCs w:val="20"/>
          <w:color w:val="auto"/>
        </w:rPr>
      </w:pPr>
    </w:p>
    <w:p>
      <w:pPr>
        <w:ind w:left="540"/>
        <w:spacing w:after="0" w:line="309" w:lineRule="auto"/>
        <w:rPr>
          <w:sz w:val="20"/>
          <w:szCs w:val="20"/>
          <w:color w:val="auto"/>
        </w:rPr>
      </w:pPr>
      <w:r>
        <w:rPr>
          <w:rFonts w:ascii="Arial" w:cs="Arial" w:eastAsia="Arial" w:hAnsi="Arial"/>
          <w:sz w:val="15"/>
          <w:szCs w:val="15"/>
          <w:color w:val="auto"/>
        </w:rPr>
        <w:t>As part of our strategy to reduce the impact of ATE market volatility on our business operations, in 2009, we began to diversify our served markets to address the thermal test requirements of several other markets outside the ATE market. These include the automotive, consumer electronics, defense/aerospace, energy, industrial and telecommunications markets. We believe that these markets usually are less cyclical than the ATE market. While market share statistics exist for some of the markets we serve outside the ATE market, due to the nature of our highly specialized product offerings in these non-ATE markets, we do not expect broad market penetration in many of these markets and, therefore, do not anticipate developing meaningful market shares in these non-ATE markets. In addition, our orders and net revenues in any given period in these markets do not necessarily reflect the overall trends in these non-ATE markets due to our limited market shares. Consequently, we are continuing to evaluate buying patterns and opportunities for growth in these non-ATE markets that may affect our performance. The level of our orders and net revenues from these non-ATE markets has varied in the past, and we expect will vary significantly in the future, as we work to build our presence in these markets and establish new markets for our products.</w:t>
      </w:r>
    </w:p>
    <w:p>
      <w:pPr>
        <w:spacing w:after="0" w:line="162"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factors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OEMs specifying other suppliers as primary vendors, with less frequent opportunities to compete for such designations, (iii) the in-house manufacturing activities of OEMs building certain products we have historically sold to them, including manipulators and docking hardware, which has had the impact of significantly reducing the size of the available market for those certain products (iv) the role of third-party test and assembly houses in the ATE market and their requirement of products with a greater range of use at the lowest cost, (v) customer supply chain management groups demanding lower prices and spreading purchases across multiple vendors, and (vi) certain competitors aggressively reducing their products' sales prices (causing us to either reduce our products' sales price to be successful in obtaining the sale or causing loss of the sale).</w:t>
      </w:r>
    </w:p>
    <w:p>
      <w:pPr>
        <w:spacing w:after="0" w:line="17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that the primary reason is unique customer-specific changes in demand for certain products driven by the needs of their customers or markets served.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orders received both by product segment and market.</w:t>
      </w:r>
    </w:p>
    <w:p>
      <w:pPr>
        <w:spacing w:after="0" w:line="224" w:lineRule="exact"/>
        <w:rPr>
          <w:sz w:val="20"/>
          <w:szCs w:val="20"/>
          <w:color w:val="auto"/>
        </w:rPr>
      </w:pPr>
    </w:p>
    <w:tbl>
      <w:tblPr>
        <w:tblLayout w:type="fixed"/>
        <w:tblInd w:w="232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6"/>
          </w:tcPr>
          <w:p>
            <w:pPr>
              <w:jc w:val="right"/>
              <w:ind w:right="560"/>
              <w:spacing w:after="0"/>
              <w:rPr>
                <w:sz w:val="20"/>
                <w:szCs w:val="20"/>
                <w:color w:val="auto"/>
              </w:rPr>
            </w:pPr>
            <w:r>
              <w:rPr>
                <w:rFonts w:ascii="Arial" w:cs="Arial" w:eastAsia="Arial" w:hAnsi="Arial"/>
                <w:sz w:val="14"/>
                <w:szCs w:val="14"/>
                <w:b w:val="1"/>
                <w:bCs w:val="1"/>
                <w:i w:val="1"/>
                <w:iCs w:val="1"/>
                <w:color w:val="auto"/>
                <w:w w:val="84"/>
              </w:rPr>
              <w:t>Years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6"/>
          </w:tcPr>
          <w:p>
            <w:pPr>
              <w:jc w:val="right"/>
              <w:ind w:right="540"/>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w w:val="93"/>
              </w:rPr>
              <w:t>Change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Orders:</w:t>
            </w:r>
          </w:p>
        </w:tc>
        <w:tc>
          <w:tcPr>
            <w:tcW w:w="138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2016</w:t>
            </w:r>
          </w:p>
        </w:tc>
        <w:tc>
          <w:tcPr>
            <w:tcW w:w="360" w:type="dxa"/>
            <w:vAlign w:val="bottom"/>
          </w:tcPr>
          <w:p>
            <w:pPr>
              <w:spacing w:after="0"/>
              <w:rPr>
                <w:sz w:val="13"/>
                <w:szCs w:val="13"/>
                <w:color w:val="auto"/>
              </w:rPr>
            </w:pPr>
          </w:p>
        </w:tc>
        <w:tc>
          <w:tcPr>
            <w:tcW w:w="200" w:type="dxa"/>
            <w:vAlign w:val="bottom"/>
            <w:vMerge w:val="restart"/>
          </w:tcPr>
          <w:p>
            <w:pPr>
              <w:spacing w:after="0"/>
              <w:rPr>
                <w:sz w:val="13"/>
                <w:szCs w:val="13"/>
                <w:color w:val="auto"/>
              </w:rPr>
            </w:pP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2015</w:t>
            </w:r>
          </w:p>
        </w:tc>
        <w:tc>
          <w:tcPr>
            <w:tcW w:w="36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i w:val="1"/>
                <w:iCs w:val="1"/>
                <w:color w:val="auto"/>
              </w:rPr>
              <w:t>$</w:t>
            </w:r>
          </w:p>
        </w:tc>
        <w:tc>
          <w:tcPr>
            <w:tcW w:w="4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rPr>
              <w:t>%</w:t>
            </w: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278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36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4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Thermal Products</w:t>
            </w:r>
          </w:p>
        </w:tc>
        <w:tc>
          <w:tcPr>
            <w:tcW w:w="2000" w:type="dxa"/>
            <w:vAlign w:val="bottom"/>
            <w:gridSpan w:val="4"/>
          </w:tcPr>
          <w:p>
            <w:pPr>
              <w:jc w:val="right"/>
              <w:ind w:right="140"/>
              <w:spacing w:after="0"/>
              <w:rPr>
                <w:sz w:val="20"/>
                <w:szCs w:val="20"/>
                <w:color w:val="auto"/>
              </w:rPr>
            </w:pPr>
            <w:r>
              <w:rPr>
                <w:rFonts w:ascii="Arial" w:cs="Arial" w:eastAsia="Arial" w:hAnsi="Arial"/>
                <w:sz w:val="18"/>
                <w:szCs w:val="18"/>
                <w:color w:val="auto"/>
              </w:rPr>
              <w:t>$27,287</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$23,296</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$3,991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43"/>
        </w:trPr>
        <w:tc>
          <w:tcPr>
            <w:tcW w:w="2780" w:type="dxa"/>
            <w:vAlign w:val="bottom"/>
          </w:tcPr>
          <w:p>
            <w:pPr>
              <w:spacing w:after="0"/>
              <w:rPr>
                <w:sz w:val="20"/>
                <w:szCs w:val="20"/>
                <w:color w:val="auto"/>
              </w:rPr>
            </w:pPr>
            <w:r>
              <w:rPr>
                <w:rFonts w:ascii="Arial" w:cs="Arial" w:eastAsia="Arial" w:hAnsi="Arial"/>
                <w:sz w:val="18"/>
                <w:szCs w:val="18"/>
                <w:color w:val="auto"/>
              </w:rPr>
              <w:t>Mechanical Products</w:t>
            </w:r>
          </w:p>
        </w:tc>
        <w:tc>
          <w:tcPr>
            <w:tcW w:w="2000" w:type="dxa"/>
            <w:vAlign w:val="bottom"/>
            <w:gridSpan w:val="4"/>
          </w:tcPr>
          <w:p>
            <w:pPr>
              <w:jc w:val="right"/>
              <w:ind w:right="140"/>
              <w:spacing w:after="0"/>
              <w:rPr>
                <w:sz w:val="20"/>
                <w:szCs w:val="20"/>
                <w:color w:val="auto"/>
              </w:rPr>
            </w:pPr>
            <w:r>
              <w:rPr>
                <w:rFonts w:ascii="Arial" w:cs="Arial" w:eastAsia="Arial" w:hAnsi="Arial"/>
                <w:sz w:val="18"/>
                <w:szCs w:val="18"/>
                <w:color w:val="auto"/>
              </w:rPr>
              <w:t>9,161</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7,065</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color w:val="auto"/>
              </w:rPr>
              <w:t>2,096</w:t>
            </w:r>
          </w:p>
        </w:tc>
        <w:tc>
          <w:tcPr>
            <w:tcW w:w="34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bl>
    <w:p>
      <w:pPr>
        <w:sectPr>
          <w:pgSz w:w="11900" w:h="16922" w:orient="portrait"/>
          <w:cols w:equalWidth="0" w:num="1">
            <w:col w:w="11400"/>
          </w:cols>
          <w:pgMar w:left="240" w:top="131" w:right="259" w:bottom="0" w:gutter="0" w:footer="0" w:header="0"/>
        </w:sectPr>
      </w:pPr>
    </w:p>
    <w:bookmarkStart w:id="17" w:name="page18"/>
    <w:bookmarkEnd w:id="17"/>
    <w:p>
      <w:pPr>
        <w:spacing w:after="0" w:line="17" w:lineRule="exact"/>
        <w:rPr>
          <w:sz w:val="20"/>
          <w:szCs w:val="20"/>
          <w:color w:val="auto"/>
        </w:rPr>
      </w:pPr>
    </w:p>
    <w:tbl>
      <w:tblPr>
        <w:tblLayout w:type="fixed"/>
        <w:tblInd w:w="2320" w:type="dxa"/>
        <w:tblCellMar>
          <w:top w:w="0" w:type="dxa"/>
          <w:left w:w="0" w:type="dxa"/>
          <w:bottom w:w="0" w:type="dxa"/>
          <w:right w:w="0" w:type="dxa"/>
        </w:tblCellMar>
      </w:tblPr>
      <w:tr>
        <w:trPr>
          <w:trHeight w:val="207"/>
        </w:trPr>
        <w:tc>
          <w:tcPr>
            <w:tcW w:w="4120" w:type="dxa"/>
            <w:vAlign w:val="bottom"/>
          </w:tcPr>
          <w:p>
            <w:pPr>
              <w:spacing w:after="0"/>
              <w:rPr>
                <w:sz w:val="20"/>
                <w:szCs w:val="20"/>
                <w:color w:val="auto"/>
              </w:rPr>
            </w:pPr>
            <w:r>
              <w:rPr>
                <w:rFonts w:ascii="Arial" w:cs="Arial" w:eastAsia="Arial" w:hAnsi="Arial"/>
                <w:sz w:val="18"/>
                <w:szCs w:val="18"/>
                <w:color w:val="auto"/>
              </w:rPr>
              <w:t>Electrical Products</w:t>
            </w:r>
          </w:p>
        </w:tc>
        <w:tc>
          <w:tcPr>
            <w:tcW w:w="520" w:type="dxa"/>
            <w:vAlign w:val="bottom"/>
          </w:tcPr>
          <w:p>
            <w:pPr>
              <w:jc w:val="right"/>
              <w:spacing w:after="0"/>
              <w:rPr>
                <w:sz w:val="20"/>
                <w:szCs w:val="20"/>
                <w:color w:val="auto"/>
              </w:rPr>
            </w:pPr>
            <w:r>
              <w:rPr>
                <w:rFonts w:ascii="Arial" w:cs="Arial" w:eastAsia="Arial" w:hAnsi="Arial"/>
                <w:sz w:val="18"/>
                <w:szCs w:val="18"/>
                <w:color w:val="auto"/>
              </w:rPr>
              <w:t>8,824</w:t>
            </w:r>
          </w:p>
        </w:tc>
        <w:tc>
          <w:tcPr>
            <w:tcW w:w="3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7,087</w:t>
            </w:r>
          </w:p>
        </w:tc>
        <w:tc>
          <w:tcPr>
            <w:tcW w:w="3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1,737</w:t>
            </w:r>
          </w:p>
        </w:tc>
        <w:tc>
          <w:tcPr>
            <w:tcW w:w="420" w:type="dxa"/>
            <w:vAlign w:val="bottom"/>
            <w:gridSpan w:val="2"/>
          </w:tcPr>
          <w:p>
            <w:pPr>
              <w:ind w:left="260"/>
              <w:spacing w:after="0"/>
              <w:rPr>
                <w:sz w:val="20"/>
                <w:szCs w:val="20"/>
                <w:color w:val="auto"/>
              </w:rPr>
            </w:pPr>
            <w:r>
              <w:rPr>
                <w:rFonts w:ascii="Arial" w:cs="Arial" w:eastAsia="Arial" w:hAnsi="Arial"/>
                <w:sz w:val="15"/>
                <w:szCs w:val="15"/>
                <w:color w:val="auto"/>
                <w:w w:val="71"/>
              </w:rPr>
              <w:t>25</w:t>
            </w:r>
          </w:p>
        </w:tc>
        <w:tc>
          <w:tcPr>
            <w:tcW w:w="140" w:type="dxa"/>
            <w:vAlign w:val="bottom"/>
          </w:tcPr>
          <w:p>
            <w:pPr>
              <w:spacing w:after="0"/>
              <w:rPr>
                <w:sz w:val="17"/>
                <w:szCs w:val="17"/>
                <w:color w:val="auto"/>
              </w:rPr>
            </w:pPr>
          </w:p>
        </w:tc>
      </w:tr>
      <w:tr>
        <w:trPr>
          <w:trHeight w:val="20"/>
        </w:trPr>
        <w:tc>
          <w:tcPr>
            <w:tcW w:w="4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45,272</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37,448</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7,824</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w w:val="83"/>
              </w:rPr>
              <w:t>21%</w:t>
            </w:r>
          </w:p>
        </w:tc>
      </w:tr>
      <w:tr>
        <w:trPr>
          <w:trHeight w:val="20"/>
        </w:trPr>
        <w:tc>
          <w:tcPr>
            <w:tcW w:w="4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32"/>
        </w:trPr>
        <w:tc>
          <w:tcPr>
            <w:tcW w:w="4120" w:type="dxa"/>
            <w:vAlign w:val="bottom"/>
          </w:tcPr>
          <w:p>
            <w:pPr>
              <w:spacing w:after="0"/>
              <w:rPr>
                <w:sz w:val="20"/>
                <w:szCs w:val="20"/>
                <w:color w:val="auto"/>
              </w:rPr>
            </w:pPr>
            <w:r>
              <w:rPr>
                <w:rFonts w:ascii="Arial" w:cs="Arial" w:eastAsia="Arial" w:hAnsi="Arial"/>
                <w:sz w:val="18"/>
                <w:szCs w:val="18"/>
                <w:color w:val="auto"/>
              </w:rPr>
              <w:t>ATE market</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$31,491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$27,048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$4,443</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w w:val="83"/>
              </w:rPr>
              <w:t>16%</w:t>
            </w: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20" w:type="dxa"/>
            <w:vAlign w:val="bottom"/>
          </w:tcPr>
          <w:p>
            <w:pPr>
              <w:jc w:val="right"/>
              <w:spacing w:after="0" w:line="205" w:lineRule="exact"/>
              <w:rPr>
                <w:sz w:val="20"/>
                <w:szCs w:val="20"/>
                <w:color w:val="auto"/>
              </w:rPr>
            </w:pPr>
            <w:r>
              <w:rPr>
                <w:rFonts w:ascii="Arial" w:cs="Arial" w:eastAsia="Arial" w:hAnsi="Arial"/>
                <w:sz w:val="18"/>
                <w:szCs w:val="18"/>
                <w:color w:val="auto"/>
                <w:w w:val="90"/>
              </w:rPr>
              <w:t>13,781</w:t>
            </w:r>
          </w:p>
        </w:tc>
        <w:tc>
          <w:tcPr>
            <w:tcW w:w="300" w:type="dxa"/>
            <w:vAlign w:val="bottom"/>
          </w:tcPr>
          <w:p>
            <w:pPr>
              <w:spacing w:after="0"/>
              <w:rPr>
                <w:sz w:val="17"/>
                <w:szCs w:val="17"/>
                <w:color w:val="auto"/>
              </w:rPr>
            </w:pPr>
          </w:p>
        </w:tc>
        <w:tc>
          <w:tcPr>
            <w:tcW w:w="540" w:type="dxa"/>
            <w:vAlign w:val="bottom"/>
          </w:tcPr>
          <w:p>
            <w:pPr>
              <w:jc w:val="right"/>
              <w:spacing w:after="0" w:line="205" w:lineRule="exact"/>
              <w:rPr>
                <w:sz w:val="20"/>
                <w:szCs w:val="20"/>
                <w:color w:val="auto"/>
              </w:rPr>
            </w:pPr>
            <w:r>
              <w:rPr>
                <w:rFonts w:ascii="Arial" w:cs="Arial" w:eastAsia="Arial" w:hAnsi="Arial"/>
                <w:sz w:val="18"/>
                <w:szCs w:val="18"/>
                <w:color w:val="auto"/>
                <w:w w:val="94"/>
              </w:rPr>
              <w:t>10,400</w:t>
            </w:r>
          </w:p>
        </w:tc>
        <w:tc>
          <w:tcPr>
            <w:tcW w:w="32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Arial" w:cs="Arial" w:eastAsia="Arial" w:hAnsi="Arial"/>
                <w:sz w:val="18"/>
                <w:szCs w:val="18"/>
                <w:color w:val="auto"/>
                <w:w w:val="93"/>
              </w:rPr>
              <w:t>3,381</w:t>
            </w:r>
          </w:p>
        </w:tc>
        <w:tc>
          <w:tcPr>
            <w:tcW w:w="420" w:type="dxa"/>
            <w:vAlign w:val="bottom"/>
            <w:gridSpan w:val="2"/>
          </w:tcPr>
          <w:p>
            <w:pPr>
              <w:ind w:left="260"/>
              <w:spacing w:after="0"/>
              <w:rPr>
                <w:sz w:val="20"/>
                <w:szCs w:val="20"/>
                <w:color w:val="auto"/>
              </w:rPr>
            </w:pPr>
            <w:r>
              <w:rPr>
                <w:rFonts w:ascii="Arial" w:cs="Arial" w:eastAsia="Arial" w:hAnsi="Arial"/>
                <w:sz w:val="15"/>
                <w:szCs w:val="15"/>
                <w:color w:val="auto"/>
                <w:w w:val="71"/>
              </w:rPr>
              <w:t>33</w:t>
            </w:r>
          </w:p>
        </w:tc>
        <w:tc>
          <w:tcPr>
            <w:tcW w:w="140" w:type="dxa"/>
            <w:vAlign w:val="bottom"/>
          </w:tcPr>
          <w:p>
            <w:pPr>
              <w:spacing w:after="0"/>
              <w:rPr>
                <w:sz w:val="17"/>
                <w:szCs w:val="17"/>
                <w:color w:val="auto"/>
              </w:rPr>
            </w:pPr>
          </w:p>
        </w:tc>
      </w:tr>
      <w:tr>
        <w:trPr>
          <w:trHeight w:val="20"/>
        </w:trPr>
        <w:tc>
          <w:tcPr>
            <w:tcW w:w="4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45,272</w:t>
            </w: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37,448</w:t>
            </w:r>
          </w:p>
        </w:tc>
        <w:tc>
          <w:tcPr>
            <w:tcW w:w="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7,824</w:t>
            </w:r>
          </w:p>
        </w:tc>
        <w:tc>
          <w:tcPr>
            <w:tcW w:w="560" w:type="dxa"/>
            <w:vAlign w:val="bottom"/>
            <w:gridSpan w:val="3"/>
          </w:tcPr>
          <w:p>
            <w:pPr>
              <w:ind w:left="240"/>
              <w:spacing w:after="0"/>
              <w:rPr>
                <w:sz w:val="20"/>
                <w:szCs w:val="20"/>
                <w:color w:val="auto"/>
              </w:rPr>
            </w:pPr>
            <w:r>
              <w:rPr>
                <w:rFonts w:ascii="Arial" w:cs="Arial" w:eastAsia="Arial" w:hAnsi="Arial"/>
                <w:sz w:val="18"/>
                <w:szCs w:val="18"/>
                <w:color w:val="auto"/>
                <w:w w:val="83"/>
              </w:rPr>
              <w:t>21%</w:t>
            </w:r>
          </w:p>
        </w:tc>
      </w:tr>
      <w:tr>
        <w:trPr>
          <w:trHeight w:val="20"/>
        </w:trPr>
        <w:tc>
          <w:tcPr>
            <w:tcW w:w="4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80"/>
        <w:spacing w:after="0" w:line="314" w:lineRule="auto"/>
        <w:rPr>
          <w:sz w:val="20"/>
          <w:szCs w:val="20"/>
          <w:color w:val="auto"/>
        </w:rPr>
      </w:pPr>
      <w:r>
        <w:rPr>
          <w:rFonts w:ascii="Arial" w:cs="Arial" w:eastAsia="Arial" w:hAnsi="Arial"/>
          <w:sz w:val="15"/>
          <w:szCs w:val="15"/>
          <w:color w:val="auto"/>
        </w:rPr>
        <w:t>Total consolidated orders for the year ended December 31, 2016 were $45.3 million compared to $37.4 million for 2015. This increase reflects higher levels of demand from both ATE and non-ATE market customers. The increased demand from the ATE market reflects cyclical strengthening within this market, primarily for our Mechanical and Electrical Products segments. In addition, we believe the higher level of increase for our Mechanical Products segment also reflects that certain of this segment's customers were on reduced capital spending budgets for much of 2015, which decreased the amount of new equipment purchases they made last year. We believe one major factor influencing the reduced capital spending in the ATE market during 2015 was the large number of customer consolidations which occurred in our semiconductor manufacturer customer base between late 2014 and early 2016.</w:t>
      </w:r>
    </w:p>
    <w:p>
      <w:pPr>
        <w:spacing w:after="0" w:line="159" w:lineRule="exact"/>
        <w:rPr>
          <w:sz w:val="20"/>
          <w:szCs w:val="20"/>
          <w:color w:val="auto"/>
        </w:rPr>
      </w:pPr>
    </w:p>
    <w:p>
      <w:pPr>
        <w:ind w:left="540" w:right="40"/>
        <w:spacing w:after="0" w:line="253" w:lineRule="auto"/>
        <w:rPr>
          <w:sz w:val="20"/>
          <w:szCs w:val="20"/>
          <w:color w:val="auto"/>
        </w:rPr>
      </w:pPr>
      <w:r>
        <w:rPr>
          <w:rFonts w:ascii="Arial" w:cs="Arial" w:eastAsia="Arial" w:hAnsi="Arial"/>
          <w:sz w:val="18"/>
          <w:szCs w:val="18"/>
          <w:color w:val="auto"/>
        </w:rPr>
        <w:t>The increase in demand from non-ATE markets primarily reflects higher levels of orders from certain of our customers in the telecommunications and defense/aerospace markets, which were partially offset by a reduction in orders from certain customers in the automotive and industrial markets. Our orders from the telecommunications market increased 106% in 2016 as compared to 2015 and were 16% of consolidated 2016 orders as compared to 10% of consolidated 2015 orders and primarily reflected increased demand from the manufacturers of optical transceiver products. As a percent of our total consolidated orders, orders from non-ATE markets were 30% in 2016 compared to 28% in 2015. The level of our orders in these non-ATE markets has varied in the past, and we expect it will vary significantly in the future as we build our presence in these markets and establish new markets for our products.</w:t>
      </w:r>
    </w:p>
    <w:p>
      <w:pPr>
        <w:spacing w:after="0" w:line="201"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At December 31, 2016, our backlog of unfilled orders for all products was approximately $7.4 million compared with approximately $2.4 million at December 31, 2015. Our backlog includes customer orders which we have accepted, substantially all of which we expect to deliver in 2017.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for the periods indicated, a breakdown of the net revenues both by product segment and market.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7"/>
          </w:tcPr>
          <w:p>
            <w:pPr>
              <w:jc w:val="center"/>
              <w:ind w:right="540"/>
              <w:spacing w:after="0"/>
              <w:rPr>
                <w:sz w:val="20"/>
                <w:szCs w:val="20"/>
                <w:color w:val="auto"/>
              </w:rPr>
            </w:pPr>
            <w:r>
              <w:rPr>
                <w:rFonts w:ascii="Arial" w:cs="Arial" w:eastAsia="Arial" w:hAnsi="Arial"/>
                <w:sz w:val="14"/>
                <w:szCs w:val="14"/>
                <w:b w:val="1"/>
                <w:bCs w:val="1"/>
                <w:i w:val="1"/>
                <w:iCs w:val="1"/>
                <w:color w:val="auto"/>
                <w:w w:val="82"/>
              </w:rPr>
              <w:t>Years Ended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bottom w:val="single" w:sz="8" w:color="auto"/>
            </w:tcBorders>
            <w:gridSpan w:val="4"/>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December 31,</w:t>
            </w:r>
          </w:p>
        </w:tc>
        <w:tc>
          <w:tcPr>
            <w:tcW w:w="54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gridSpan w:val="3"/>
          </w:tcPr>
          <w:p>
            <w:pPr>
              <w:jc w:val="right"/>
              <w:ind w:right="80"/>
              <w:spacing w:after="0" w:line="146" w:lineRule="exact"/>
              <w:rPr>
                <w:sz w:val="20"/>
                <w:szCs w:val="20"/>
                <w:color w:val="auto"/>
              </w:rPr>
            </w:pPr>
            <w:r>
              <w:rPr>
                <w:rFonts w:ascii="Arial" w:cs="Arial" w:eastAsia="Arial" w:hAnsi="Arial"/>
                <w:sz w:val="14"/>
                <w:szCs w:val="14"/>
                <w:b w:val="1"/>
                <w:bCs w:val="1"/>
                <w:i w:val="1"/>
                <w:iCs w:val="1"/>
                <w:color w:val="auto"/>
                <w:w w:val="93"/>
              </w:rPr>
              <w:t>Change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2016</w:t>
            </w:r>
          </w:p>
        </w:tc>
        <w:tc>
          <w:tcPr>
            <w:tcW w:w="220" w:type="dxa"/>
            <w:vAlign w:val="bottom"/>
          </w:tcPr>
          <w:p>
            <w:pPr>
              <w:spacing w:after="0"/>
              <w:rPr>
                <w:sz w:val="13"/>
                <w:szCs w:val="13"/>
                <w:color w:val="auto"/>
              </w:rPr>
            </w:pPr>
          </w:p>
        </w:tc>
        <w:tc>
          <w:tcPr>
            <w:tcW w:w="34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76"/>
              </w:rPr>
              <w:t>2015</w:t>
            </w:r>
          </w:p>
        </w:tc>
        <w:tc>
          <w:tcPr>
            <w:tcW w:w="22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260" w:type="dxa"/>
            <w:vAlign w:val="bottom"/>
            <w:tcBorders>
              <w:bottom w:val="single" w:sz="8" w:color="auto"/>
            </w:tcBorders>
            <w:gridSpan w:val="3"/>
          </w:tcPr>
          <w:p>
            <w:pPr>
              <w:jc w:val="right"/>
              <w:ind w:right="32"/>
              <w:spacing w:after="0" w:line="142" w:lineRule="exact"/>
              <w:rPr>
                <w:sz w:val="20"/>
                <w:szCs w:val="20"/>
                <w:color w:val="auto"/>
              </w:rPr>
            </w:pPr>
            <w:r>
              <w:rPr>
                <w:rFonts w:ascii="Arial" w:cs="Arial" w:eastAsia="Arial" w:hAnsi="Arial"/>
                <w:sz w:val="14"/>
                <w:szCs w:val="14"/>
                <w:b w:val="1"/>
                <w:bCs w:val="1"/>
                <w:i w:val="1"/>
                <w:iCs w:val="1"/>
                <w:color w:val="auto"/>
              </w:rPr>
              <w:t>$</w:t>
            </w:r>
          </w:p>
        </w:tc>
        <w:tc>
          <w:tcPr>
            <w:tcW w:w="220" w:type="dxa"/>
            <w:vAlign w:val="bottom"/>
            <w:vMerge w:val="restart"/>
          </w:tcPr>
          <w:p>
            <w:pPr>
              <w:spacing w:after="0"/>
              <w:rPr>
                <w:sz w:val="13"/>
                <w:szCs w:val="13"/>
                <w:color w:val="auto"/>
              </w:rPr>
            </w:pPr>
          </w:p>
        </w:tc>
        <w:tc>
          <w:tcPr>
            <w:tcW w:w="22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9"/>
              </w:rPr>
              <w:t>%</w:t>
            </w:r>
          </w:p>
        </w:tc>
        <w:tc>
          <w:tcPr>
            <w:tcW w:w="40" w:type="dxa"/>
            <w:vAlign w:val="bottom"/>
            <w:tcBorders>
              <w:bottom w:val="single" w:sz="8" w:color="auto"/>
            </w:tcBorders>
          </w:tcPr>
          <w:p>
            <w:pPr>
              <w:spacing w:after="0"/>
              <w:rPr>
                <w:sz w:val="13"/>
                <w:szCs w:val="13"/>
                <w:color w:val="auto"/>
              </w:rPr>
            </w:pPr>
          </w:p>
        </w:tc>
        <w:tc>
          <w:tcPr>
            <w:tcW w:w="1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416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22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gridSpan w:val="2"/>
          </w:tcPr>
          <w:p>
            <w:pPr>
              <w:spacing w:after="0"/>
              <w:rPr>
                <w:sz w:val="5"/>
                <w:szCs w:val="5"/>
                <w:color w:val="auto"/>
              </w:rPr>
            </w:pPr>
          </w:p>
        </w:tc>
        <w:tc>
          <w:tcPr>
            <w:tcW w:w="2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Thermal Products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73"/>
              </w:rPr>
              <w:t>$24,033</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$24,084</w:t>
            </w:r>
          </w:p>
        </w:tc>
        <w:tc>
          <w:tcPr>
            <w:tcW w:w="880" w:type="dxa"/>
            <w:vAlign w:val="bottom"/>
            <w:gridSpan w:val="6"/>
          </w:tcPr>
          <w:p>
            <w:pPr>
              <w:jc w:val="right"/>
              <w:ind w:right="160"/>
              <w:spacing w:after="0"/>
              <w:rPr>
                <w:sz w:val="20"/>
                <w:szCs w:val="20"/>
                <w:color w:val="auto"/>
              </w:rPr>
            </w:pPr>
            <w:r>
              <w:rPr>
                <w:rFonts w:ascii="Arial" w:cs="Arial" w:eastAsia="Arial" w:hAnsi="Arial"/>
                <w:sz w:val="18"/>
                <w:szCs w:val="18"/>
                <w:color w:val="auto"/>
              </w:rPr>
              <w:t>$  (51)</w:t>
            </w: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0"/>
                <w:szCs w:val="20"/>
                <w:color w:val="auto"/>
              </w:rPr>
            </w:pPr>
            <w:r>
              <w:rPr>
                <w:rFonts w:ascii="Arial" w:cs="Arial" w:eastAsia="Arial" w:hAnsi="Arial"/>
                <w:sz w:val="18"/>
                <w:szCs w:val="18"/>
                <w:color w:val="auto"/>
              </w:rPr>
              <w:t>Mechanical Products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8,309</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7,539</w:t>
            </w:r>
          </w:p>
        </w:tc>
        <w:tc>
          <w:tcPr>
            <w:tcW w:w="880" w:type="dxa"/>
            <w:vAlign w:val="bottom"/>
            <w:gridSpan w:val="6"/>
          </w:tcPr>
          <w:p>
            <w:pPr>
              <w:jc w:val="right"/>
              <w:ind w:right="220"/>
              <w:spacing w:after="0"/>
              <w:rPr>
                <w:sz w:val="20"/>
                <w:szCs w:val="20"/>
                <w:color w:val="auto"/>
              </w:rPr>
            </w:pPr>
            <w:r>
              <w:rPr>
                <w:rFonts w:ascii="Arial" w:cs="Arial" w:eastAsia="Arial" w:hAnsi="Arial"/>
                <w:sz w:val="18"/>
                <w:szCs w:val="18"/>
                <w:color w:val="auto"/>
              </w:rPr>
              <w:t>770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89"/>
              </w:rPr>
              <w:t>10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7,885</w:t>
            </w:r>
          </w:p>
        </w:tc>
        <w:tc>
          <w:tcPr>
            <w:tcW w:w="340" w:type="dxa"/>
            <w:vAlign w:val="bottom"/>
          </w:tcPr>
          <w:p>
            <w:pPr>
              <w:spacing w:after="0"/>
              <w:rPr>
                <w:sz w:val="17"/>
                <w:szCs w:val="17"/>
                <w:color w:val="auto"/>
              </w:rPr>
            </w:pPr>
          </w:p>
        </w:tc>
        <w:tc>
          <w:tcPr>
            <w:tcW w:w="64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rPr>
              <w:t>7,266</w:t>
            </w:r>
          </w:p>
        </w:tc>
        <w:tc>
          <w:tcPr>
            <w:tcW w:w="880" w:type="dxa"/>
            <w:vAlign w:val="bottom"/>
            <w:gridSpan w:val="6"/>
          </w:tcPr>
          <w:p>
            <w:pPr>
              <w:jc w:val="right"/>
              <w:ind w:right="220"/>
              <w:spacing w:after="0" w:line="205" w:lineRule="exact"/>
              <w:rPr>
                <w:sz w:val="20"/>
                <w:szCs w:val="20"/>
                <w:color w:val="auto"/>
              </w:rPr>
            </w:pPr>
            <w:r>
              <w:rPr>
                <w:rFonts w:ascii="Arial" w:cs="Arial" w:eastAsia="Arial" w:hAnsi="Arial"/>
                <w:sz w:val="18"/>
                <w:szCs w:val="18"/>
                <w:color w:val="auto"/>
              </w:rPr>
              <w:t>619</w:t>
            </w: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40,227</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38,889</w:t>
            </w:r>
          </w:p>
        </w:tc>
        <w:tc>
          <w:tcPr>
            <w:tcW w:w="880" w:type="dxa"/>
            <w:vAlign w:val="bottom"/>
            <w:gridSpan w:val="6"/>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1,338</w:t>
            </w: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6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4160" w:type="dxa"/>
            <w:vAlign w:val="bottom"/>
          </w:tcPr>
          <w:p>
            <w:pPr>
              <w:spacing w:after="0"/>
              <w:rPr>
                <w:sz w:val="20"/>
                <w:szCs w:val="20"/>
                <w:color w:val="auto"/>
              </w:rPr>
            </w:pPr>
            <w:r>
              <w:rPr>
                <w:rFonts w:ascii="Arial" w:cs="Arial" w:eastAsia="Arial" w:hAnsi="Arial"/>
                <w:sz w:val="18"/>
                <w:szCs w:val="18"/>
                <w:color w:val="auto"/>
              </w:rPr>
              <w:t>ATE market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73"/>
              </w:rPr>
              <w:t>$28,045</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color w:val="auto"/>
              </w:rPr>
              <w:t>$28,238</w:t>
            </w:r>
          </w:p>
        </w:tc>
        <w:tc>
          <w:tcPr>
            <w:tcW w:w="880" w:type="dxa"/>
            <w:vAlign w:val="bottom"/>
            <w:gridSpan w:val="6"/>
          </w:tcPr>
          <w:p>
            <w:pPr>
              <w:jc w:val="right"/>
              <w:ind w:right="160"/>
              <w:spacing w:after="0"/>
              <w:rPr>
                <w:sz w:val="20"/>
                <w:szCs w:val="20"/>
                <w:color w:val="auto"/>
              </w:rPr>
            </w:pPr>
            <w:r>
              <w:rPr>
                <w:rFonts w:ascii="Arial" w:cs="Arial" w:eastAsia="Arial" w:hAnsi="Arial"/>
                <w:sz w:val="18"/>
                <w:szCs w:val="18"/>
                <w:color w:val="auto"/>
              </w:rPr>
              <w:t>$ (193)</w:t>
            </w:r>
          </w:p>
        </w:tc>
        <w:tc>
          <w:tcPr>
            <w:tcW w:w="380" w:type="dxa"/>
            <w:vAlign w:val="bottom"/>
            <w:gridSpan w:val="4"/>
          </w:tcPr>
          <w:p>
            <w:pPr>
              <w:jc w:val="right"/>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8"/>
                <w:szCs w:val="18"/>
                <w:color w:val="auto"/>
              </w:rPr>
              <w:t>Non-ATE market</w:t>
            </w:r>
          </w:p>
        </w:tc>
        <w:tc>
          <w:tcPr>
            <w:tcW w:w="50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87"/>
              </w:rPr>
              <w:t>12,182</w:t>
            </w:r>
          </w:p>
        </w:tc>
        <w:tc>
          <w:tcPr>
            <w:tcW w:w="340" w:type="dxa"/>
            <w:vAlign w:val="bottom"/>
          </w:tcPr>
          <w:p>
            <w:pPr>
              <w:spacing w:after="0"/>
              <w:rPr>
                <w:sz w:val="17"/>
                <w:szCs w:val="17"/>
                <w:color w:val="auto"/>
              </w:rPr>
            </w:pPr>
          </w:p>
        </w:tc>
        <w:tc>
          <w:tcPr>
            <w:tcW w:w="640" w:type="dxa"/>
            <w:vAlign w:val="bottom"/>
            <w:gridSpan w:val="4"/>
          </w:tcPr>
          <w:p>
            <w:pPr>
              <w:jc w:val="right"/>
              <w:ind w:right="160"/>
              <w:spacing w:after="0" w:line="205" w:lineRule="exact"/>
              <w:rPr>
                <w:sz w:val="20"/>
                <w:szCs w:val="20"/>
                <w:color w:val="auto"/>
              </w:rPr>
            </w:pPr>
            <w:r>
              <w:rPr>
                <w:rFonts w:ascii="Arial" w:cs="Arial" w:eastAsia="Arial" w:hAnsi="Arial"/>
                <w:sz w:val="18"/>
                <w:szCs w:val="18"/>
                <w:color w:val="auto"/>
                <w:w w:val="83"/>
              </w:rPr>
              <w:t>10,651</w:t>
            </w:r>
          </w:p>
        </w:tc>
        <w:tc>
          <w:tcPr>
            <w:tcW w:w="880" w:type="dxa"/>
            <w:vAlign w:val="bottom"/>
            <w:gridSpan w:val="6"/>
          </w:tcPr>
          <w:p>
            <w:pPr>
              <w:jc w:val="right"/>
              <w:ind w:right="220"/>
              <w:spacing w:after="0" w:line="205" w:lineRule="exact"/>
              <w:rPr>
                <w:sz w:val="20"/>
                <w:szCs w:val="20"/>
                <w:color w:val="auto"/>
              </w:rPr>
            </w:pPr>
            <w:r>
              <w:rPr>
                <w:rFonts w:ascii="Arial" w:cs="Arial" w:eastAsia="Arial" w:hAnsi="Arial"/>
                <w:sz w:val="18"/>
                <w:szCs w:val="18"/>
                <w:color w:val="auto"/>
              </w:rPr>
              <w:t>1,531</w:t>
            </w:r>
          </w:p>
        </w:tc>
        <w:tc>
          <w:tcPr>
            <w:tcW w:w="20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89"/>
              </w:rPr>
              <w:t>14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Borders>
              <w:right w:val="single" w:sz="8" w:color="auto"/>
            </w:tcBorders>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3"/>
              </w:rPr>
              <w:t>$</w:t>
            </w:r>
            <w:r>
              <w:rPr>
                <w:rFonts w:ascii="Arial" w:cs="Arial" w:eastAsia="Arial" w:hAnsi="Arial"/>
                <w:sz w:val="18"/>
                <w:szCs w:val="18"/>
                <w:color w:val="auto"/>
                <w:w w:val="73"/>
              </w:rPr>
              <w:t>40,227</w:t>
            </w:r>
          </w:p>
        </w:tc>
        <w:tc>
          <w:tcPr>
            <w:tcW w:w="980" w:type="dxa"/>
            <w:vAlign w:val="bottom"/>
            <w:gridSpan w:val="5"/>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38,889</w:t>
            </w:r>
          </w:p>
        </w:tc>
        <w:tc>
          <w:tcPr>
            <w:tcW w:w="880" w:type="dxa"/>
            <w:vAlign w:val="bottom"/>
            <w:gridSpan w:val="6"/>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1,338</w:t>
            </w:r>
          </w:p>
        </w:tc>
        <w:tc>
          <w:tcPr>
            <w:tcW w:w="38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Total consolidated net revenues for the year ended December 31, 2016 were $40.2 million compared to $38.9 million for 2015, reflecting the aforementioned strengthening in demand within the ATE market, primarily for our Mechanical and Electrical Products segments. While our Thermal Products segment experienced an increase in demand from its non-ATE market customers during 2016 as compared to 2015, this increase was offset by declines in demand from this segment's customers in the ATE market. Historically, the impact of shifts in demand within the ATE market for our Thermal Products segment have frequently lagged the impact of such shifts in demand on our Mechanical and Electrical Products segments. We believe this is the case at present and that the decline in the net revenues of our Thermal Products segment from the ATE market during 2016 reflects the seasonal decline in demand that impacted our other two products segments during most of 2015 and into the first half of 2016.</w:t>
      </w:r>
    </w:p>
    <w:p>
      <w:pPr>
        <w:spacing w:after="0" w:line="172" w:lineRule="exact"/>
        <w:rPr>
          <w:sz w:val="20"/>
          <w:szCs w:val="20"/>
          <w:color w:val="auto"/>
        </w:rPr>
      </w:pPr>
    </w:p>
    <w:p>
      <w:pPr>
        <w:ind w:left="540" w:right="120"/>
        <w:spacing w:after="0" w:line="306" w:lineRule="auto"/>
        <w:rPr>
          <w:sz w:val="20"/>
          <w:szCs w:val="20"/>
          <w:color w:val="auto"/>
        </w:rPr>
      </w:pPr>
      <w:r>
        <w:rPr>
          <w:rFonts w:ascii="Arial" w:cs="Arial" w:eastAsia="Arial" w:hAnsi="Arial"/>
          <w:sz w:val="16"/>
          <w:szCs w:val="16"/>
          <w:color w:val="auto"/>
        </w:rPr>
        <w:t>The increased demand from non-ATE market customers during 2016 as compared to 2015 was primarily from certain customers in the telecommunications market and was partially offset by declines in demand from certain customers in the automotive and industrial markets. As a percent of our total consolidated net revenues, net revenues from customers in non-ATE markets were 30% in 2016 compared to 27% in 2015.</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Product/Customer Mix</w:t>
      </w:r>
    </w:p>
    <w:p>
      <w:pPr>
        <w:spacing w:after="0" w:line="225" w:lineRule="exact"/>
        <w:rPr>
          <w:sz w:val="20"/>
          <w:szCs w:val="20"/>
          <w:color w:val="auto"/>
        </w:rPr>
      </w:pPr>
    </w:p>
    <w:p>
      <w:pPr>
        <w:ind w:left="540" w:right="140"/>
        <w:spacing w:after="0" w:line="335" w:lineRule="auto"/>
        <w:rPr>
          <w:sz w:val="20"/>
          <w:szCs w:val="20"/>
          <w:color w:val="auto"/>
        </w:rPr>
      </w:pPr>
      <w:r>
        <w:rPr>
          <w:rFonts w:ascii="Arial" w:cs="Arial" w:eastAsia="Arial" w:hAnsi="Arial"/>
          <w:sz w:val="15"/>
          <w:szCs w:val="15"/>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w:t>
      </w:r>
    </w:p>
    <w:p>
      <w:pPr>
        <w:sectPr>
          <w:pgSz w:w="11900" w:h="16855" w:orient="portrait"/>
          <w:cols w:equalWidth="0" w:num="1">
            <w:col w:w="11420"/>
          </w:cols>
          <w:pgMar w:left="240" w:top="351" w:right="239" w:bottom="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color w:val="auto"/>
        </w:rPr>
        <w:t>impacted in any given period by a change in the mix of products sold in that period.</w:t>
      </w:r>
    </w:p>
    <w:p>
      <w:pPr>
        <w:spacing w:after="0" w:line="225" w:lineRule="exact"/>
        <w:rPr>
          <w:sz w:val="20"/>
          <w:szCs w:val="20"/>
          <w:color w:val="auto"/>
        </w:rPr>
      </w:pPr>
    </w:p>
    <w:p>
      <w:pPr>
        <w:ind w:left="540" w:right="140"/>
        <w:spacing w:after="0" w:line="294" w:lineRule="auto"/>
        <w:rPr>
          <w:sz w:val="20"/>
          <w:szCs w:val="20"/>
          <w:color w:val="auto"/>
        </w:rPr>
      </w:pPr>
      <w:r>
        <w:rPr>
          <w:rFonts w:ascii="Arial" w:cs="Arial" w:eastAsia="Arial" w:hAnsi="Arial"/>
          <w:sz w:val="16"/>
          <w:szCs w:val="16"/>
          <w:color w:val="auto"/>
        </w:rPr>
        <w:t>We sell most of our products to semiconductor manufacturers and third-party test and assembly houses (end user sales) and to ATE manufacturers (OEM sales) who ultimately resell our equipment with theirs to both semiconductor manufacturers and third-party test and assembly houses.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both of the years ended December 31, 2016 and 2015, our OEM sales as a percentage of net revenues were 6%.</w:t>
      </w:r>
    </w:p>
    <w:p>
      <w:pPr>
        <w:spacing w:after="0" w:line="170"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1"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Year Ended December 31, 2016 Compared to Year Ended December 31, 2015</w:t>
      </w:r>
    </w:p>
    <w:p>
      <w:pPr>
        <w:spacing w:after="0" w:line="225" w:lineRule="exact"/>
        <w:rPr>
          <w:sz w:val="20"/>
          <w:szCs w:val="20"/>
          <w:color w:val="auto"/>
        </w:rPr>
      </w:pPr>
    </w:p>
    <w:p>
      <w:pPr>
        <w:jc w:val="both"/>
        <w:ind w:left="540"/>
        <w:spacing w:after="0" w:line="298"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Net revenues were $40.2 million for the year ended December 31, 2016 compared to $38.9 million for the same period in 2015,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$1.3 million or 3%. For the year ended December 31, 2016, the net revenues of our Mechanical and Electrical Products segments increased $770,000 or 10% and $619,000 or 9%, respectively, while the net revenues of our Thermal Products segment were relatively unchanged. We believe the increase in our consolidated net revenues during 2016 primarily reflects the factors previously discussed in the Overview.</w:t>
      </w:r>
    </w:p>
    <w:p>
      <w:pPr>
        <w:spacing w:after="0" w:line="167" w:lineRule="exact"/>
        <w:rPr>
          <w:sz w:val="20"/>
          <w:szCs w:val="20"/>
          <w:color w:val="auto"/>
        </w:rPr>
      </w:pPr>
    </w:p>
    <w:p>
      <w:pPr>
        <w:ind w:left="540" w:right="20"/>
        <w:spacing w:after="0" w:line="28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51% for the year ended December 31, 2016 compared to 48% for the same period in 2015. The improvement in gross</w:t>
      </w:r>
      <w:r>
        <w:rPr>
          <w:rFonts w:ascii="Arial" w:cs="Arial" w:eastAsia="Arial" w:hAnsi="Arial"/>
          <w:sz w:val="16"/>
          <w:szCs w:val="16"/>
          <w:i w:val="1"/>
          <w:iCs w:val="1"/>
          <w:color w:val="auto"/>
        </w:rPr>
        <w:t xml:space="preserve"> </w:t>
      </w:r>
      <w:r>
        <w:rPr>
          <w:rFonts w:ascii="Arial" w:cs="Arial" w:eastAsia="Arial" w:hAnsi="Arial"/>
          <w:sz w:val="16"/>
          <w:szCs w:val="16"/>
          <w:color w:val="auto"/>
        </w:rPr>
        <w:t>margin was primarily the result of a $559,000 reduction in our fixed operating costs in 2016 as compared to 2015. This decrease reflects a reduction in staff in our Mechanical Products segment and lower facilities related costs in our Thermal and Mechanical Products segments. The headcount reduction in our Mechanical Products segment was the result of the workforce reduction that we implemented on January 4, 2016, as discussed further in Note 3 to our consolidated financial statements. To a lesser extent, there was also a decrease in depreciation expense as a result of fewer equipment rental units on hand during 2016. In addition to the decrease in the absolute dollar value of our fixed operating costs, these costs were also more fully absorbed due to the higher net revenue levels in 2016 as compared to 2015. As a percentage of net revenues, our fixed operating costs decreased from 15% in 2015 to 13% in 2016. To a lesser extent, the improvement in gross margin during 2016 as compared to 2015 also reflects a reduction in our charges for obsolete and excess inventory and lower direct labor costs, reflecting headcount reductions in our Mechanical Products segment.</w:t>
      </w:r>
    </w:p>
    <w:p>
      <w:pPr>
        <w:spacing w:after="0" w:line="174"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$5.6 million for the year ended December 31, 2016 compared to $5.8 million for the same period in 2015,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of $230,000 or 4%. The decrease in selling expense primarily reflects a reduction in staff in our Mechanical Products segment and lower levels of commissions as a result of changes in customer mix in our Thermal Products segment. These decreases were partially offset by an increase in warranty expense.</w:t>
      </w:r>
    </w:p>
    <w:p>
      <w:pPr>
        <w:spacing w:after="0" w:line="197" w:lineRule="exact"/>
        <w:rPr>
          <w:sz w:val="20"/>
          <w:szCs w:val="20"/>
          <w:color w:val="auto"/>
        </w:rPr>
      </w:pPr>
    </w:p>
    <w:p>
      <w:pPr>
        <w:ind w:left="540" w:right="160"/>
        <w:spacing w:after="0" w:line="256"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$3.7 million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$3.9 million for the same period in 2015, a decrease of $275,000 or 7%. The decrease in engineering and product development expense primarily reflects a reduction in staff in our Mechanical Products segment and lower spending on materials used in our research and development activities in all of our product segments.</w:t>
      </w:r>
    </w:p>
    <w:p>
      <w:pPr>
        <w:spacing w:after="0" w:line="197"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$7.0 million for the year ended December 31, 2016 compared to $6.4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same period in 2015, an increase of $601,000 or 9%. Our expenses for 2016 included $510,000 for due diligence and transaction-related costs associated with a potential acquisition which we are no longer pursuing and $99,000 of restructuring charges as a result of the aforementioned workforce reduction implemented on January 4, 2016. Our expenses for 2015 included $329,000 for due diligence and transaction-related costs associated with a potential acquisition which did not close. Adjusted to exclude these costs, our general and administrative expense would have increased $321,000, or 5%, for 2016 as compared to 2015. The $321,000 increase primarily reflects higher salary and benefits expense as a result of changes in compensation structure for our executive management team, an increase in stock-based compensation expense as a result of the vesting of restricted stock awards for our independent directors which occurred upon their re-election at our annual meeting of stockholders in June 2016, and a higher level of profit-based bonuses accrued on our results for 2016. These increases were partially offset by a reduction in the use of certain third-party professionals that assist us with various compliance related matters.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ectPr>
          <w:pgSz w:w="11900" w:h="16838" w:orient="portrait"/>
          <w:cols w:equalWidth="0" w:num="1">
            <w:col w:w="11420"/>
          </w:cols>
          <w:pgMar w:left="240" w:top="131" w:right="239" w:bottom="0" w:gutter="0" w:footer="0" w:header="0"/>
        </w:sectPr>
      </w:pPr>
    </w:p>
    <w:bookmarkStart w:id="19" w:name="page20"/>
    <w:bookmarkEnd w:id="19"/>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year ended December 31, 2016, we recorded income tax expense of $1.5 million compared to $722,000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in 2015. Our effective tax rate was 37% for 2016 compared to 28% for 2015. On a quarterly basis, we record income tax expense or benefit based on the expected annualized effective tax rate for the various taxing jurisdictions in which we operate our businesses. The increase in our effective tax rate in 2016 as compared to 2015 primarily reflects the federal tax implications of higher actual and deemed dividends from foreign affiliates during 2016.</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54" w:lineRule="exact"/>
        <w:rPr>
          <w:sz w:val="20"/>
          <w:szCs w:val="20"/>
          <w:color w:val="auto"/>
        </w:rPr>
      </w:pPr>
    </w:p>
    <w:p>
      <w:pPr>
        <w:ind w:left="540" w:right="500"/>
        <w:spacing w:after="0" w:line="259"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for acquisitions and for stock repurchases.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Liquidity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cash and cash equivalents and working capital were as follows:</w:t>
      </w:r>
    </w:p>
    <w:p>
      <w:pPr>
        <w:spacing w:after="0" w:line="262"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1"/>
              </w:rPr>
              <w:t>December 31,</w:t>
            </w:r>
          </w:p>
        </w:tc>
        <w:tc>
          <w:tcPr>
            <w:tcW w:w="340" w:type="dxa"/>
            <w:vAlign w:val="bottom"/>
            <w:gridSpan w:val="2"/>
          </w:tcPr>
          <w:p>
            <w:pPr>
              <w:spacing w:after="0"/>
              <w:rPr>
                <w:sz w:val="14"/>
                <w:szCs w:val="14"/>
                <w:color w:val="auto"/>
              </w:rPr>
            </w:pPr>
          </w:p>
        </w:tc>
      </w:tr>
      <w:tr>
        <w:trPr>
          <w:trHeight w:val="210"/>
        </w:trPr>
        <w:tc>
          <w:tcPr>
            <w:tcW w:w="3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4"/>
                <w:szCs w:val="14"/>
                <w:b w:val="1"/>
                <w:bCs w:val="1"/>
                <w:i w:val="1"/>
                <w:iCs w:val="1"/>
                <w:color w:val="auto"/>
                <w:w w:val="89"/>
              </w:rPr>
              <w:t>2016</w:t>
            </w:r>
          </w:p>
        </w:tc>
        <w:tc>
          <w:tcPr>
            <w:tcW w:w="300" w:type="dxa"/>
            <w:vAlign w:val="bottom"/>
          </w:tcPr>
          <w:p>
            <w:pPr>
              <w:spacing w:after="0"/>
              <w:rPr>
                <w:sz w:val="18"/>
                <w:szCs w:val="18"/>
                <w:color w:val="auto"/>
              </w:rPr>
            </w:pPr>
          </w:p>
        </w:tc>
        <w:tc>
          <w:tcPr>
            <w:tcW w:w="560" w:type="dxa"/>
            <w:vAlign w:val="bottom"/>
            <w:gridSpan w:val="3"/>
          </w:tcPr>
          <w:p>
            <w:pPr>
              <w:jc w:val="center"/>
              <w:ind w:left="219"/>
              <w:spacing w:after="0"/>
              <w:rPr>
                <w:sz w:val="20"/>
                <w:szCs w:val="20"/>
                <w:color w:val="auto"/>
              </w:rPr>
            </w:pPr>
            <w:r>
              <w:rPr>
                <w:rFonts w:ascii="Arial" w:cs="Arial" w:eastAsia="Arial" w:hAnsi="Arial"/>
                <w:sz w:val="14"/>
                <w:szCs w:val="14"/>
                <w:b w:val="1"/>
                <w:bCs w:val="1"/>
                <w:i w:val="1"/>
                <w:iCs w:val="1"/>
                <w:color w:val="auto"/>
                <w:w w:val="83"/>
              </w:rPr>
              <w:t>2015</w:t>
            </w:r>
          </w:p>
        </w:tc>
        <w:tc>
          <w:tcPr>
            <w:tcW w:w="16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5"/>
        </w:trPr>
        <w:tc>
          <w:tcPr>
            <w:tcW w:w="3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00" w:type="dxa"/>
            <w:vAlign w:val="bottom"/>
            <w:gridSpan w:val="4"/>
          </w:tcPr>
          <w:p>
            <w:pPr>
              <w:jc w:val="center"/>
              <w:ind w:left="1152"/>
              <w:spacing w:after="0"/>
              <w:rPr>
                <w:sz w:val="20"/>
                <w:szCs w:val="20"/>
                <w:color w:val="auto"/>
              </w:rPr>
            </w:pPr>
            <w:r>
              <w:rPr>
                <w:rFonts w:ascii="Arial" w:cs="Arial" w:eastAsia="Arial" w:hAnsi="Arial"/>
                <w:sz w:val="18"/>
                <w:szCs w:val="18"/>
                <w:color w:val="auto"/>
                <w:w w:val="89"/>
              </w:rPr>
              <w:t>$28,611</w:t>
            </w:r>
          </w:p>
        </w:tc>
        <w:tc>
          <w:tcPr>
            <w:tcW w:w="720" w:type="dxa"/>
            <w:vAlign w:val="bottom"/>
            <w:gridSpan w:val="4"/>
          </w:tcPr>
          <w:p>
            <w:pPr>
              <w:jc w:val="center"/>
              <w:ind w:left="59"/>
              <w:spacing w:after="0"/>
              <w:rPr>
                <w:sz w:val="20"/>
                <w:szCs w:val="20"/>
                <w:color w:val="auto"/>
              </w:rPr>
            </w:pPr>
            <w:r>
              <w:rPr>
                <w:rFonts w:ascii="Arial" w:cs="Arial" w:eastAsia="Arial" w:hAnsi="Arial"/>
                <w:sz w:val="18"/>
                <w:szCs w:val="18"/>
                <w:color w:val="auto"/>
                <w:w w:val="89"/>
              </w:rPr>
              <w:t>$25,710</w:t>
            </w: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Working capital</w:t>
            </w:r>
          </w:p>
        </w:tc>
        <w:tc>
          <w:tcPr>
            <w:tcW w:w="2100" w:type="dxa"/>
            <w:vAlign w:val="bottom"/>
            <w:gridSpan w:val="4"/>
          </w:tcPr>
          <w:p>
            <w:pPr>
              <w:jc w:val="center"/>
              <w:ind w:left="1152"/>
              <w:spacing w:after="0"/>
              <w:rPr>
                <w:sz w:val="20"/>
                <w:szCs w:val="20"/>
                <w:color w:val="auto"/>
              </w:rPr>
            </w:pPr>
            <w:r>
              <w:rPr>
                <w:rFonts w:ascii="Arial" w:cs="Arial" w:eastAsia="Arial" w:hAnsi="Arial"/>
                <w:sz w:val="18"/>
                <w:szCs w:val="18"/>
                <w:color w:val="auto"/>
                <w:w w:val="89"/>
              </w:rPr>
              <w:t>$32,950</w:t>
            </w:r>
          </w:p>
        </w:tc>
        <w:tc>
          <w:tcPr>
            <w:tcW w:w="720" w:type="dxa"/>
            <w:vAlign w:val="bottom"/>
            <w:gridSpan w:val="4"/>
          </w:tcPr>
          <w:p>
            <w:pPr>
              <w:jc w:val="center"/>
              <w:ind w:left="59"/>
              <w:spacing w:after="0"/>
              <w:rPr>
                <w:sz w:val="20"/>
                <w:szCs w:val="20"/>
                <w:color w:val="auto"/>
              </w:rPr>
            </w:pPr>
            <w:r>
              <w:rPr>
                <w:rFonts w:ascii="Arial" w:cs="Arial" w:eastAsia="Arial" w:hAnsi="Arial"/>
                <w:sz w:val="18"/>
                <w:szCs w:val="18"/>
                <w:color w:val="auto"/>
                <w:w w:val="89"/>
              </w:rPr>
              <w:t>$30,205</w:t>
            </w:r>
          </w:p>
        </w:tc>
      </w:tr>
    </w:tbl>
    <w:p>
      <w:pPr>
        <w:spacing w:after="0" w:line="223" w:lineRule="exact"/>
        <w:rPr>
          <w:sz w:val="20"/>
          <w:szCs w:val="20"/>
          <w:color w:val="auto"/>
        </w:rPr>
      </w:pPr>
    </w:p>
    <w:p>
      <w:pPr>
        <w:ind w:left="540" w:right="80"/>
        <w:spacing w:after="0" w:line="335" w:lineRule="auto"/>
        <w:rPr>
          <w:sz w:val="20"/>
          <w:szCs w:val="20"/>
          <w:color w:val="auto"/>
        </w:rPr>
      </w:pPr>
      <w:r>
        <w:rPr>
          <w:rFonts w:ascii="Arial" w:cs="Arial" w:eastAsia="Arial" w:hAnsi="Arial"/>
          <w:sz w:val="15"/>
          <w:szCs w:val="15"/>
          <w:color w:val="auto"/>
        </w:rPr>
        <w:t>As of December 31, 2016, $1.7 million of our cash and cash equivalents was held by our foreign subsidiaries. When these funds are needed for our operations in the U.S., we may be required to accrue and pay U.S. taxes if we repatriate certain of these funds. On July 26, 2016, we repatriated $921,000 from our German subsidiary. Our effective tax rate for 2016 includes the effect of the additional taxes we expect to incur on these repatriated funds.</w:t>
      </w:r>
    </w:p>
    <w:p>
      <w:pPr>
        <w:spacing w:after="0" w:line="142" w:lineRule="exact"/>
        <w:rPr>
          <w:sz w:val="20"/>
          <w:szCs w:val="20"/>
          <w:color w:val="auto"/>
        </w:rPr>
      </w:pPr>
    </w:p>
    <w:p>
      <w:pPr>
        <w:jc w:val="both"/>
        <w:ind w:left="540" w:right="80"/>
        <w:spacing w:after="0" w:line="294" w:lineRule="auto"/>
        <w:rPr>
          <w:sz w:val="20"/>
          <w:szCs w:val="20"/>
          <w:color w:val="auto"/>
        </w:rPr>
      </w:pPr>
      <w:r>
        <w:rPr>
          <w:rFonts w:ascii="Arial" w:cs="Arial" w:eastAsia="Arial" w:hAnsi="Arial"/>
          <w:sz w:val="16"/>
          <w:szCs w:val="16"/>
          <w:color w:val="auto"/>
        </w:rPr>
        <w:t>We currently expect our cash and cash equivalents and projected future cash flow to be sufficient to support our short-term working capital requirements and any future repurchases of shares under the 2015 Repurchase Plan (which is discussed more fully in Note 13 to our consolidated financial statements). However, we may need additional financial resources to consummate a significant acquisition if the consideration in such a transaction would require us to utilize a substantial portion of, or an amount equal to or in excess of, our available cash. We do not currently have any credit facilities under which we can borrow to help fund our working capital or other requirements.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ind w:left="540" w:right="20"/>
        <w:spacing w:after="0" w:line="28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operations for the year ended December 31, 2016 was $4.3 million. During 2016, we recorded net earnings of</w:t>
      </w:r>
      <w:r>
        <w:rPr>
          <w:rFonts w:ascii="Arial" w:cs="Arial" w:eastAsia="Arial" w:hAnsi="Arial"/>
          <w:sz w:val="16"/>
          <w:szCs w:val="16"/>
          <w:i w:val="1"/>
          <w:iCs w:val="1"/>
          <w:color w:val="auto"/>
        </w:rPr>
        <w:t xml:space="preserve"> </w:t>
      </w:r>
      <w:r>
        <w:rPr>
          <w:rFonts w:ascii="Arial" w:cs="Arial" w:eastAsia="Arial" w:hAnsi="Arial"/>
          <w:sz w:val="16"/>
          <w:szCs w:val="16"/>
          <w:color w:val="auto"/>
        </w:rPr>
        <w:t>$2.7 million, which included non-cash charges of $599,000 for depreciation and amortization, $269,000 for amortization of deferred compensation related to stock-based awards and $226,000 for excess and obsolete inventory charges. During 2016, accounts receivable, accounts payable and inventories increased $1.0 million, $459,000 and $384,000, respectively, compared to the levels at the end of 2015, primarily reflecting the increased level of business activity in 2016. Domestic and foreign income taxes payable increased $549,000 during 2016 reflecting the increase in our profits and reduced net operating loss carryforwards to offset the taxes due on these profits than were available to utilize during 2015. Prepaid expenses and other current assets decreased $295,000 during 2016 primarily reflecting the application of a $242,000 overpayment of federal income taxes during 2015 against our federal income taxes payable for 2016.</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right="360"/>
        <w:spacing w:after="0" w:line="256"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During 2016, purchases of property and equipment were $339,000 which primarily represent additions to leased systems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Thermal Products segment and computer hardware and software purchases related to a system upgrade for our domestic operations. We have no significant commitments for capital expenditures for 2017; however, depending upon changes in market demand, we may make such purchases as we deem necessary and appropriate.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During 2016, we utilized $978,000 to repurchase 241,805 shares of our common stock under the 2015 Repurchase Plan.</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31"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31" w:lineRule="exact"/>
        <w:rPr>
          <w:sz w:val="20"/>
          <w:szCs w:val="20"/>
          <w:color w:val="auto"/>
        </w:rPr>
      </w:pPr>
    </w:p>
    <w:p>
      <w:pPr>
        <w:ind w:left="540" w:right="20"/>
        <w:spacing w:after="0" w:line="323" w:lineRule="auto"/>
        <w:rPr>
          <w:sz w:val="20"/>
          <w:szCs w:val="20"/>
          <w:color w:val="auto"/>
        </w:rPr>
      </w:pPr>
      <w:r>
        <w:rPr>
          <w:rFonts w:ascii="Arial" w:cs="Arial" w:eastAsia="Arial" w:hAnsi="Arial"/>
          <w:sz w:val="15"/>
          <w:szCs w:val="15"/>
          <w:color w:val="auto"/>
        </w:rPr>
        <w:t>The preparation of consolidated financial statements in conformity with accounting principles generally accepted in the United States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w:t>
      </w:r>
    </w:p>
    <w:p>
      <w:pPr>
        <w:sectPr>
          <w:pgSz w:w="11900" w:h="16899" w:orient="portrait"/>
          <w:cols w:equalWidth="0" w:num="1">
            <w:col w:w="11420"/>
          </w:cols>
          <w:pgMar w:left="240" w:top="341" w:right="239" w:bottom="0" w:gutter="0" w:footer="0" w:header="0"/>
        </w:sectPr>
      </w:pPr>
    </w:p>
    <w:bookmarkStart w:id="20" w:name="page21"/>
    <w:bookmarkEnd w:id="20"/>
    <w:p>
      <w:pPr>
        <w:ind w:left="540"/>
        <w:spacing w:after="0" w:line="256" w:lineRule="auto"/>
        <w:rPr>
          <w:sz w:val="20"/>
          <w:szCs w:val="20"/>
          <w:color w:val="auto"/>
        </w:rPr>
      </w:pPr>
      <w:r>
        <w:rPr>
          <w:rFonts w:ascii="Arial" w:cs="Arial" w:eastAsia="Arial" w:hAnsi="Arial"/>
          <w:sz w:val="18"/>
          <w:szCs w:val="18"/>
          <w:color w:val="auto"/>
        </w:rPr>
        <w:t>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25"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2016 and 2015, we recorded inventory obsolescence charges for excess and obsolete inventory of $226,000 and $342,000,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306" w:lineRule="auto"/>
        <w:rPr>
          <w:sz w:val="20"/>
          <w:szCs w:val="20"/>
          <w:color w:val="auto"/>
        </w:rPr>
      </w:pPr>
      <w:r>
        <w:rPr>
          <w:rFonts w:ascii="Arial" w:cs="Arial" w:eastAsia="Arial" w:hAnsi="Arial"/>
          <w:sz w:val="15"/>
          <w:szCs w:val="15"/>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As of December 31, 2016 and 2015, goodwill was $1.7 million. We did not record any impairment charges related to our goodwill during 2016 or 2015.</w:t>
      </w:r>
    </w:p>
    <w:p>
      <w:pPr>
        <w:spacing w:after="0" w:line="170"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As of December 31, 2016 and 2015, our indefinite-lived intangible asset was a trademark carried at $510,000. We did not record any impairment charges related to our indefinite-lived intangible asset during 2016 or 2015.</w:t>
      </w:r>
    </w:p>
    <w:p>
      <w:pPr>
        <w:spacing w:after="0" w:line="172" w:lineRule="exact"/>
        <w:rPr>
          <w:sz w:val="20"/>
          <w:szCs w:val="20"/>
          <w:color w:val="auto"/>
        </w:rPr>
      </w:pPr>
    </w:p>
    <w:p>
      <w:pPr>
        <w:ind w:left="540" w:right="100"/>
        <w:spacing w:after="0" w:line="314" w:lineRule="auto"/>
        <w:rPr>
          <w:sz w:val="20"/>
          <w:szCs w:val="20"/>
          <w:color w:val="auto"/>
        </w:rPr>
      </w:pPr>
      <w:r>
        <w:rPr>
          <w:rFonts w:ascii="Arial" w:cs="Arial" w:eastAsia="Arial" w:hAnsi="Arial"/>
          <w:sz w:val="15"/>
          <w:szCs w:val="15"/>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2016 and 2015, finite-lived intangibles and long-lived assets were $1.3 million and $1.7 million, respectively. We did not record any impairment charges related to our long-lived assets during 2016 or 2015.</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2016 and 2015, we had a net deferred tax asset of $1.1 million and $1.2 million, respectively, and a deferred tax valuation allowance of $0 and $15,000, respectively.</w:t>
      </w:r>
    </w:p>
    <w:p>
      <w:pPr>
        <w:sectPr>
          <w:pgSz w:w="11900" w:h="16838" w:orient="portrait"/>
          <w:cols w:equalWidth="0" w:num="1">
            <w:col w:w="11400"/>
          </w:cols>
          <w:pgMar w:left="240" w:top="131" w:right="259" w:bottom="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31" w:lineRule="exact"/>
        <w:rPr>
          <w:sz w:val="20"/>
          <w:szCs w:val="20"/>
          <w:color w:val="auto"/>
        </w:rPr>
      </w:pPr>
    </w:p>
    <w:p>
      <w:pPr>
        <w:ind w:left="540" w:right="340"/>
        <w:spacing w:after="0" w:line="259" w:lineRule="auto"/>
        <w:rPr>
          <w:sz w:val="20"/>
          <w:szCs w:val="20"/>
          <w:color w:val="auto"/>
        </w:rPr>
      </w:pPr>
      <w:r>
        <w:rPr>
          <w:rFonts w:ascii="Arial" w:cs="Arial" w:eastAsia="Arial" w:hAnsi="Arial"/>
          <w:sz w:val="18"/>
          <w:szCs w:val="18"/>
          <w:color w:val="auto"/>
        </w:rPr>
        <w:t>There were no off-balance sheet arrangements during the year ended December 31, 2016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31" w:lineRule="exact"/>
        <w:rPr>
          <w:sz w:val="20"/>
          <w:szCs w:val="20"/>
          <w:color w:val="auto"/>
        </w:rPr>
      </w:pPr>
    </w:p>
    <w:p>
      <w:pPr>
        <w:ind w:left="54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CEO and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8" w:lineRule="exact"/>
        <w:rPr>
          <w:sz w:val="20"/>
          <w:szCs w:val="20"/>
          <w:color w:val="auto"/>
        </w:rPr>
      </w:pPr>
    </w:p>
    <w:p>
      <w:pPr>
        <w:jc w:val="both"/>
        <w:ind w:left="540" w:right="26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inTEST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31"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31"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CONTROLS AND PROCEDURES </w:t>
      </w:r>
      <w:r>
        <w:rPr>
          <w:rFonts w:ascii="Arial" w:cs="Arial" w:eastAsia="Arial" w:hAnsi="Arial"/>
          <w:sz w:val="18"/>
          <w:szCs w:val="18"/>
          <w:color w:val="auto"/>
        </w:rPr>
        <w:t>(Continued)</w:t>
      </w:r>
    </w:p>
    <w:p>
      <w:pPr>
        <w:spacing w:after="0" w:line="191" w:lineRule="exact"/>
        <w:rPr>
          <w:sz w:val="20"/>
          <w:szCs w:val="20"/>
          <w:color w:val="auto"/>
        </w:rPr>
      </w:pPr>
    </w:p>
    <w:p>
      <w:pPr>
        <w:ind w:left="1080" w:hanging="167"/>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38" w:lineRule="exact"/>
        <w:rPr>
          <w:rFonts w:ascii="Arial" w:cs="Arial" w:eastAsia="Arial" w:hAnsi="Arial"/>
          <w:sz w:val="16"/>
          <w:szCs w:val="16"/>
          <w:color w:val="auto"/>
        </w:rPr>
      </w:pPr>
    </w:p>
    <w:p>
      <w:pPr>
        <w:ind w:left="1080" w:right="20" w:hanging="167"/>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080" w:hanging="167"/>
        <w:spacing w:after="0" w:line="261"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ectPr>
          <w:pgSz w:w="11900" w:h="16838" w:orient="portrait"/>
          <w:cols w:equalWidth="0" w:num="1">
            <w:col w:w="11420"/>
          </w:cols>
          <w:pgMar w:left="240" w:top="125" w:right="239" w:bottom="0" w:gutter="0" w:footer="0" w:header="0"/>
        </w:sectPr>
      </w:pPr>
    </w:p>
    <w:bookmarkStart w:id="22" w:name="page23"/>
    <w:bookmarkEnd w:id="22"/>
    <w:p>
      <w:pPr>
        <w:jc w:val="both"/>
        <w:ind w:left="540" w:right="600"/>
        <w:spacing w:after="0" w:line="259"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540" w:right="20"/>
        <w:spacing w:after="0" w:line="256"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2016.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2016, our internal control over financial reporting is effective at a reasonable assurance level.</w:t>
      </w:r>
    </w:p>
    <w:p>
      <w:pPr>
        <w:spacing w:after="0" w:line="197" w:lineRule="exact"/>
        <w:rPr>
          <w:sz w:val="20"/>
          <w:szCs w:val="20"/>
          <w:color w:val="auto"/>
        </w:rPr>
      </w:pPr>
    </w:p>
    <w:p>
      <w:pPr>
        <w:ind w:left="540" w:right="200"/>
        <w:spacing w:after="0" w:line="370" w:lineRule="auto"/>
        <w:rPr>
          <w:sz w:val="20"/>
          <w:szCs w:val="20"/>
          <w:color w:val="auto"/>
        </w:rPr>
      </w:pPr>
      <w:r>
        <w:rPr>
          <w:rFonts w:ascii="Arial" w:cs="Arial" w:eastAsia="Arial" w:hAnsi="Arial"/>
          <w:sz w:val="15"/>
          <w:szCs w:val="15"/>
          <w:color w:val="auto"/>
        </w:rPr>
        <w:t>This annual report does not include an attestation report of our independent registered public accounting firm regarding internal control over financial reporting, as such an attestation is not required pursuant to rules of the Securities and Exchange Commission applicable to smaller reporting companies.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39595"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395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2017 Annual Meeting of Stockholders to be filed with the SEC on or before May 1, 2017, or, if our proxy statement is not filed on or before May 1, 2017,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2017 Annual Meeting of Stockholders to be filed with the SEC on or before May 1, 2017, or, if our proxy statement is not filed on or before May 1, 2017, will be filed by that date by an amendment to this Form 10-K.</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214" w:lineRule="exact"/>
        <w:rPr>
          <w:sz w:val="20"/>
          <w:szCs w:val="20"/>
          <w:color w:val="auto"/>
        </w:rPr>
      </w:pPr>
    </w:p>
    <w:p>
      <w:pPr>
        <w:jc w:val="both"/>
        <w:ind w:left="540" w:right="160"/>
        <w:spacing w:after="0" w:line="306" w:lineRule="auto"/>
        <w:rPr>
          <w:sz w:val="20"/>
          <w:szCs w:val="20"/>
          <w:color w:val="auto"/>
        </w:rPr>
      </w:pPr>
      <w:r>
        <w:rPr>
          <w:rFonts w:ascii="Arial" w:cs="Arial" w:eastAsia="Arial" w:hAnsi="Arial"/>
          <w:sz w:val="16"/>
          <w:szCs w:val="16"/>
          <w:color w:val="auto"/>
        </w:rPr>
        <w:t>The information required by Item 201(d) of Regulation S-K is set forth below. The remainder of the information required by this Item 12 is incorporated by reference from our definitive proxy statement for our 2017 Annual Meeting of Stockholders to be filed with the SEC on or before May 1, 2017, or, if our proxy statement is not filed on or before May 1, 2017, will be filed by that date by an amendment to this Form 10-K.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 ENDED DECEMBER 31, 2016</w:t>
      </w:r>
    </w:p>
    <w:p>
      <w:pPr>
        <w:spacing w:after="0" w:line="38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Item 12. SECURITY OWNERSHIP OF CERTAIN BENEFICIAL OWNERS AND MANAGEMENT AND RELATED STOCKHOLDER MATTERS </w:t>
      </w:r>
      <w:r>
        <w:rPr>
          <w:rFonts w:ascii="Arial" w:cs="Arial" w:eastAsia="Arial" w:hAnsi="Arial"/>
          <w:sz w:val="18"/>
          <w:szCs w:val="18"/>
          <w:color w:val="auto"/>
        </w:rPr>
        <w:t>(Continued)</w:t>
      </w:r>
    </w:p>
    <w:p>
      <w:pPr>
        <w:spacing w:after="0" w:line="139"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2016:</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5"/>
          </w:tcPr>
          <w:p>
            <w:pPr>
              <w:jc w:val="center"/>
              <w:ind w:right="80"/>
              <w:spacing w:after="0"/>
              <w:rPr>
                <w:sz w:val="20"/>
                <w:szCs w:val="20"/>
                <w:color w:val="auto"/>
              </w:rPr>
            </w:pPr>
            <w:r>
              <w:rPr>
                <w:rFonts w:ascii="Arial" w:cs="Arial" w:eastAsia="Arial" w:hAnsi="Arial"/>
                <w:sz w:val="14"/>
                <w:szCs w:val="14"/>
                <w:b w:val="1"/>
                <w:bCs w:val="1"/>
                <w:i w:val="1"/>
                <w:iCs w:val="1"/>
                <w:color w:val="auto"/>
                <w:w w:val="83"/>
              </w:rPr>
              <w:t>Number of securities</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83"/>
              </w:rPr>
              <w:t>Number of securities</w:t>
            </w:r>
          </w:p>
        </w:tc>
      </w:tr>
      <w:tr>
        <w:trPr>
          <w:trHeight w:val="149"/>
        </w:trPr>
        <w:tc>
          <w:tcPr>
            <w:tcW w:w="8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80"/>
              </w:rPr>
              <w:t>to be issued upon</w:t>
            </w:r>
          </w:p>
        </w:tc>
        <w:tc>
          <w:tcPr>
            <w:tcW w:w="140" w:type="dxa"/>
            <w:vAlign w:val="bottom"/>
          </w:tcPr>
          <w:p>
            <w:pPr>
              <w:spacing w:after="0"/>
              <w:rPr>
                <w:sz w:val="12"/>
                <w:szCs w:val="12"/>
                <w:color w:val="auto"/>
              </w:rPr>
            </w:pP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2"/>
              </w:rPr>
              <w:t>Weighted-average</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remaining available</w:t>
            </w:r>
          </w:p>
        </w:tc>
      </w:tr>
      <w:tr>
        <w:trPr>
          <w:trHeight w:val="149"/>
        </w:trPr>
        <w:tc>
          <w:tcPr>
            <w:tcW w:w="8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1"/>
              </w:rPr>
              <w:t>exercise of</w:t>
            </w:r>
          </w:p>
        </w:tc>
        <w:tc>
          <w:tcPr>
            <w:tcW w:w="140" w:type="dxa"/>
            <w:vAlign w:val="bottom"/>
          </w:tcPr>
          <w:p>
            <w:pPr>
              <w:spacing w:after="0"/>
              <w:rPr>
                <w:sz w:val="12"/>
                <w:szCs w:val="12"/>
                <w:color w:val="auto"/>
              </w:rPr>
            </w:pPr>
          </w:p>
        </w:tc>
        <w:tc>
          <w:tcPr>
            <w:tcW w:w="124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i w:val="1"/>
                <w:iCs w:val="1"/>
                <w:color w:val="auto"/>
                <w:w w:val="83"/>
              </w:rPr>
              <w:t>exercise price of</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4"/>
              </w:rPr>
              <w:t>for future issuance</w:t>
            </w:r>
          </w:p>
        </w:tc>
      </w:tr>
      <w:tr>
        <w:trPr>
          <w:trHeight w:val="149"/>
        </w:trPr>
        <w:tc>
          <w:tcPr>
            <w:tcW w:w="8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2"/>
              </w:rPr>
              <w:t>outstanding options,</w:t>
            </w:r>
          </w:p>
        </w:tc>
        <w:tc>
          <w:tcPr>
            <w:tcW w:w="138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0"/>
              </w:rPr>
              <w:t>outstanding options,</w:t>
            </w:r>
          </w:p>
        </w:tc>
        <w:tc>
          <w:tcPr>
            <w:tcW w:w="12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under equity</w:t>
            </w:r>
          </w:p>
        </w:tc>
      </w:tr>
      <w:tr>
        <w:trPr>
          <w:trHeight w:val="146"/>
        </w:trPr>
        <w:tc>
          <w:tcPr>
            <w:tcW w:w="800" w:type="dxa"/>
            <w:vAlign w:val="bottom"/>
          </w:tcPr>
          <w:p>
            <w:pPr>
              <w:spacing w:after="0" w:line="146" w:lineRule="exact"/>
              <w:rPr>
                <w:sz w:val="20"/>
                <w:szCs w:val="20"/>
                <w:color w:val="auto"/>
              </w:rPr>
            </w:pPr>
            <w:r>
              <w:rPr>
                <w:rFonts w:ascii="Arial" w:cs="Arial" w:eastAsia="Arial" w:hAnsi="Arial"/>
                <w:sz w:val="14"/>
                <w:szCs w:val="14"/>
                <w:b w:val="1"/>
                <w:bCs w:val="1"/>
                <w:i w:val="1"/>
                <w:iCs w:val="1"/>
                <w:color w:val="auto"/>
                <w:w w:val="82"/>
              </w:rPr>
              <w:t>Plan Category</w:t>
            </w: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5"/>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5"/>
              </w:rPr>
              <w:t>warrants and rights(1)</w:t>
            </w:r>
          </w:p>
        </w:tc>
        <w:tc>
          <w:tcPr>
            <w:tcW w:w="1380" w:type="dxa"/>
            <w:vAlign w:val="bottom"/>
            <w:gridSpan w:val="5"/>
          </w:tcPr>
          <w:p>
            <w:pPr>
              <w:jc w:val="center"/>
              <w:ind w:right="20"/>
              <w:spacing w:after="0" w:line="146" w:lineRule="exact"/>
              <w:rPr>
                <w:sz w:val="20"/>
                <w:szCs w:val="20"/>
                <w:color w:val="auto"/>
              </w:rPr>
            </w:pPr>
            <w:r>
              <w:rPr>
                <w:rFonts w:ascii="Arial" w:cs="Arial" w:eastAsia="Arial" w:hAnsi="Arial"/>
                <w:sz w:val="14"/>
                <w:szCs w:val="14"/>
                <w:b w:val="1"/>
                <w:bCs w:val="1"/>
                <w:i w:val="1"/>
                <w:iCs w:val="1"/>
                <w:color w:val="auto"/>
                <w:w w:val="83"/>
              </w:rPr>
              <w:t>warrants and rights</w:t>
            </w:r>
          </w:p>
        </w:tc>
        <w:tc>
          <w:tcPr>
            <w:tcW w:w="1380" w:type="dxa"/>
            <w:vAlign w:val="bottom"/>
            <w:gridSpan w:val="4"/>
          </w:tcPr>
          <w:p>
            <w:pPr>
              <w:jc w:val="center"/>
              <w:ind w:left="37"/>
              <w:spacing w:after="0" w:line="146" w:lineRule="exact"/>
              <w:rPr>
                <w:sz w:val="20"/>
                <w:szCs w:val="20"/>
                <w:color w:val="auto"/>
              </w:rPr>
            </w:pPr>
            <w:r>
              <w:rPr>
                <w:rFonts w:ascii="Arial" w:cs="Arial" w:eastAsia="Arial" w:hAnsi="Arial"/>
                <w:sz w:val="14"/>
                <w:szCs w:val="14"/>
                <w:b w:val="1"/>
                <w:bCs w:val="1"/>
                <w:i w:val="1"/>
                <w:iCs w:val="1"/>
                <w:color w:val="auto"/>
                <w:w w:val="82"/>
              </w:rPr>
              <w:t>compensation plans(2)</w:t>
            </w:r>
          </w:p>
        </w:tc>
      </w:tr>
      <w:tr>
        <w:trPr>
          <w:trHeight w:val="20"/>
        </w:trPr>
        <w:tc>
          <w:tcPr>
            <w:tcW w:w="8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r>
      <w:tr>
        <w:trPr>
          <w:trHeight w:val="235"/>
        </w:trPr>
        <w:tc>
          <w:tcPr>
            <w:tcW w:w="4140" w:type="dxa"/>
            <w:vAlign w:val="bottom"/>
            <w:gridSpan w:val="2"/>
          </w:tcPr>
          <w:p>
            <w:pPr>
              <w:spacing w:after="0"/>
              <w:rPr>
                <w:sz w:val="20"/>
                <w:szCs w:val="20"/>
                <w:color w:val="auto"/>
              </w:rPr>
            </w:pPr>
            <w:r>
              <w:rPr>
                <w:rFonts w:ascii="Arial" w:cs="Arial" w:eastAsia="Arial" w:hAnsi="Arial"/>
                <w:sz w:val="18"/>
                <w:szCs w:val="18"/>
                <w:color w:val="auto"/>
                <w:w w:val="91"/>
              </w:rPr>
              <w:t>Equity compensation plans approved by security holders</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19,800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center"/>
              <w:ind w:left="40"/>
              <w:spacing w:after="0"/>
              <w:rPr>
                <w:sz w:val="20"/>
                <w:szCs w:val="20"/>
                <w:color w:val="auto"/>
              </w:rPr>
            </w:pPr>
            <w:r>
              <w:rPr>
                <w:rFonts w:ascii="Arial" w:cs="Arial" w:eastAsia="Arial" w:hAnsi="Arial"/>
                <w:sz w:val="18"/>
                <w:szCs w:val="18"/>
                <w:color w:val="auto"/>
                <w:w w:val="84"/>
              </w:rPr>
              <w:t>$4.37</w:t>
            </w:r>
          </w:p>
        </w:tc>
        <w:tc>
          <w:tcPr>
            <w:tcW w:w="16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456,300</w:t>
            </w:r>
          </w:p>
        </w:tc>
        <w:tc>
          <w:tcPr>
            <w:tcW w:w="220" w:type="dxa"/>
            <w:vAlign w:val="bottom"/>
          </w:tcPr>
          <w:p>
            <w:pPr>
              <w:spacing w:after="0"/>
              <w:rPr>
                <w:sz w:val="20"/>
                <w:szCs w:val="20"/>
                <w:color w:val="auto"/>
              </w:rPr>
            </w:pPr>
          </w:p>
        </w:tc>
      </w:tr>
      <w:tr>
        <w:trPr>
          <w:trHeight w:val="205"/>
        </w:trPr>
        <w:tc>
          <w:tcPr>
            <w:tcW w:w="4140" w:type="dxa"/>
            <w:vAlign w:val="bottom"/>
            <w:gridSpan w:val="2"/>
          </w:tcPr>
          <w:p>
            <w:pPr>
              <w:spacing w:after="0" w:line="205" w:lineRule="exact"/>
              <w:rPr>
                <w:sz w:val="20"/>
                <w:szCs w:val="20"/>
                <w:color w:val="auto"/>
              </w:rPr>
            </w:pPr>
            <w:r>
              <w:rPr>
                <w:rFonts w:ascii="Arial" w:cs="Arial" w:eastAsia="Arial" w:hAnsi="Arial"/>
                <w:sz w:val="18"/>
                <w:szCs w:val="18"/>
                <w:color w:val="auto"/>
                <w:w w:val="98"/>
              </w:rPr>
              <w:t>Equity compensation plans not approved by security</w:t>
            </w:r>
          </w:p>
        </w:tc>
        <w:tc>
          <w:tcPr>
            <w:tcW w:w="12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jc w:val="right"/>
              <w:ind w:right="400"/>
              <w:spacing w:after="0" w:line="20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r>
      <w:tr>
        <w:trPr>
          <w:trHeight w:val="235"/>
        </w:trPr>
        <w:tc>
          <w:tcPr>
            <w:tcW w:w="4140" w:type="dxa"/>
            <w:vAlign w:val="bottom"/>
            <w:gridSpan w:val="2"/>
          </w:tcPr>
          <w:p>
            <w:pPr>
              <w:spacing w:after="0"/>
              <w:rPr>
                <w:sz w:val="20"/>
                <w:szCs w:val="20"/>
                <w:color w:val="auto"/>
              </w:rPr>
            </w:pPr>
            <w:r>
              <w:rPr>
                <w:rFonts w:ascii="Arial" w:cs="Arial" w:eastAsia="Arial" w:hAnsi="Arial"/>
                <w:sz w:val="18"/>
                <w:szCs w:val="18"/>
                <w:color w:val="auto"/>
              </w:rPr>
              <w:t>holders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5"/>
        </w:trPr>
        <w:tc>
          <w:tcPr>
            <w:tcW w:w="4140" w:type="dxa"/>
            <w:vAlign w:val="bottom"/>
            <w:gridSpan w:val="2"/>
          </w:tcPr>
          <w:p>
            <w:pPr>
              <w:spacing w:after="0" w:line="205" w:lineRule="exact"/>
              <w:rPr>
                <w:sz w:val="20"/>
                <w:szCs w:val="20"/>
                <w:color w:val="auto"/>
              </w:rPr>
            </w:pPr>
            <w:r>
              <w:rPr>
                <w:rFonts w:ascii="Arial" w:cs="Arial" w:eastAsia="Arial" w:hAnsi="Arial"/>
                <w:sz w:val="18"/>
                <w:szCs w:val="18"/>
                <w:color w:val="auto"/>
              </w:rPr>
              <w:t>Total</w:t>
            </w:r>
          </w:p>
        </w:tc>
        <w:tc>
          <w:tcPr>
            <w:tcW w:w="120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19,800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4"/>
          </w:tcPr>
          <w:p>
            <w:pPr>
              <w:jc w:val="right"/>
              <w:ind w:right="400"/>
              <w:spacing w:after="0" w:line="205"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w:t>
            </w:r>
          </w:p>
        </w:tc>
        <w:tc>
          <w:tcPr>
            <w:tcW w:w="160" w:type="dxa"/>
            <w:vAlign w:val="bottom"/>
          </w:tcPr>
          <w:p>
            <w:pPr>
              <w:spacing w:after="0"/>
              <w:rPr>
                <w:sz w:val="17"/>
                <w:szCs w:val="17"/>
                <w:color w:val="auto"/>
              </w:rPr>
            </w:pPr>
          </w:p>
        </w:tc>
        <w:tc>
          <w:tcPr>
            <w:tcW w:w="1160" w:type="dxa"/>
            <w:vAlign w:val="bottom"/>
            <w:gridSpan w:val="3"/>
          </w:tcPr>
          <w:p>
            <w:pPr>
              <w:jc w:val="right"/>
              <w:spacing w:after="0" w:line="205" w:lineRule="exact"/>
              <w:rPr>
                <w:sz w:val="20"/>
                <w:szCs w:val="20"/>
                <w:color w:val="auto"/>
              </w:rPr>
            </w:pPr>
            <w:r>
              <w:rPr>
                <w:rFonts w:ascii="Arial" w:cs="Arial" w:eastAsia="Arial" w:hAnsi="Arial"/>
                <w:sz w:val="18"/>
                <w:szCs w:val="18"/>
                <w:color w:val="auto"/>
              </w:rPr>
              <w:t>456,300</w:t>
            </w:r>
          </w:p>
        </w:tc>
        <w:tc>
          <w:tcPr>
            <w:tcW w:w="2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16" w:lineRule="exact"/>
        <w:rPr>
          <w:sz w:val="20"/>
          <w:szCs w:val="20"/>
          <w:color w:val="auto"/>
        </w:rPr>
      </w:pPr>
    </w:p>
    <w:p>
      <w:pPr>
        <w:ind w:left="1700" w:right="1440" w:hanging="260"/>
        <w:spacing w:after="0" w:line="266"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ind w:left="1700" w:hanging="260"/>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securities that remain available for future issuance are issuable pursuant to the 2014 Stock Plan.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2017 Annual Meeting of Stockholders to be filed with the SEC on or before May 1, 2017, or, if our proxy statement is not filed on or before May 1, 2017, will be filed by that date by an amendment to this Form 10-K.</w:t>
      </w:r>
    </w:p>
    <w:p>
      <w:pPr>
        <w:sectPr>
          <w:pgSz w:w="11900" w:h="16838" w:orient="portrait"/>
          <w:cols w:equalWidth="0" w:num="1">
            <w:col w:w="11420"/>
          </w:cols>
          <w:pgMar w:left="240" w:top="131" w:right="23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2017 Annual Meeting of Stockholders to be filed with the SEC on or before May 1, 2017, or, if our proxy statement is not filed on or before May 1, 2017,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7891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7891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1" w:lineRule="exact"/>
        <w:rPr>
          <w:sz w:val="20"/>
          <w:szCs w:val="20"/>
          <w:color w:val="auto"/>
        </w:rPr>
      </w:pPr>
    </w:p>
    <w:p>
      <w:pPr>
        <w:ind w:left="960" w:hanging="41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184" w:lineRule="exact"/>
        <w:rPr>
          <w:rFonts w:ascii="Arial" w:cs="Arial" w:eastAsia="Arial" w:hAnsi="Arial"/>
          <w:sz w:val="18"/>
          <w:szCs w:val="18"/>
          <w:color w:val="auto"/>
        </w:rPr>
      </w:pPr>
    </w:p>
    <w:p>
      <w:pPr>
        <w:ind w:left="1080" w:right="100" w:firstLine="8"/>
        <w:spacing w:after="0" w:line="254" w:lineRule="auto"/>
        <w:tabs>
          <w:tab w:leader="none" w:pos="1465" w:val="left"/>
        </w:tabs>
        <w:numPr>
          <w:ilvl w:val="1"/>
          <w:numId w:val="5"/>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ind w:left="1480" w:hanging="392"/>
        <w:spacing w:after="0"/>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3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9" w:lineRule="exact"/>
        <w:rPr>
          <w:rFonts w:ascii="Arial" w:cs="Arial" w:eastAsia="Arial" w:hAnsi="Arial"/>
          <w:sz w:val="16"/>
          <w:szCs w:val="16"/>
          <w:color w:val="auto"/>
        </w:rPr>
      </w:pPr>
    </w:p>
    <w:p>
      <w:pPr>
        <w:ind w:left="180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9" w:lineRule="exact"/>
        <w:rPr>
          <w:rFonts w:ascii="Arial" w:cs="Arial" w:eastAsia="Arial" w:hAnsi="Arial"/>
          <w:sz w:val="16"/>
          <w:szCs w:val="16"/>
          <w:color w:val="auto"/>
        </w:rPr>
      </w:pPr>
    </w:p>
    <w:p>
      <w:pPr>
        <w:ind w:left="1480" w:hanging="392"/>
        <w:spacing w:after="0"/>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178" w:lineRule="exact"/>
        <w:rPr>
          <w:rFonts w:ascii="Arial" w:cs="Arial" w:eastAsia="Arial" w:hAnsi="Arial"/>
          <w:sz w:val="18"/>
          <w:szCs w:val="18"/>
          <w:color w:val="auto"/>
        </w:rPr>
      </w:pPr>
    </w:p>
    <w:p>
      <w:pPr>
        <w:ind w:left="980" w:hanging="43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185" w:lineRule="exact"/>
        <w:rPr>
          <w:sz w:val="20"/>
          <w:szCs w:val="20"/>
          <w:color w:val="auto"/>
        </w:rPr>
      </w:pPr>
    </w:p>
    <w:p>
      <w:pPr>
        <w:ind w:left="1080" w:right="300"/>
        <w:spacing w:after="0" w:line="268"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322"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March 27, 2017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8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 Robert E. Matthiessen</w:t>
            </w:r>
          </w:p>
        </w:tc>
        <w:tc>
          <w:tcPr>
            <w:tcW w:w="398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March 27, 2017</w:t>
            </w:r>
          </w:p>
        </w:tc>
      </w:tr>
      <w:tr>
        <w:trPr>
          <w:trHeight w:val="228"/>
        </w:trPr>
        <w:tc>
          <w:tcPr>
            <w:tcW w:w="5760" w:type="dxa"/>
            <w:vAlign w:val="bottom"/>
            <w:gridSpan w:val="5"/>
          </w:tcPr>
          <w:p>
            <w:pPr>
              <w:spacing w:after="0"/>
              <w:rPr>
                <w:sz w:val="20"/>
                <w:szCs w:val="20"/>
                <w:color w:val="auto"/>
              </w:rPr>
            </w:pPr>
            <w:r>
              <w:rPr>
                <w:rFonts w:ascii="Arial" w:cs="Arial" w:eastAsia="Arial" w:hAnsi="Arial"/>
                <w:sz w:val="18"/>
                <w:szCs w:val="18"/>
                <w:color w:val="auto"/>
              </w:rPr>
              <w:t>Robert E. Matthiessen, President,</w:t>
            </w:r>
          </w:p>
        </w:tc>
        <w:tc>
          <w:tcPr>
            <w:tcW w:w="1120" w:type="dxa"/>
            <w:vAlign w:val="bottom"/>
          </w:tcPr>
          <w:p>
            <w:pPr>
              <w:spacing w:after="0"/>
              <w:rPr>
                <w:sz w:val="19"/>
                <w:szCs w:val="19"/>
                <w:color w:val="auto"/>
              </w:rPr>
            </w:pPr>
          </w:p>
        </w:tc>
      </w:tr>
      <w:tr>
        <w:trPr>
          <w:trHeight w:val="216"/>
        </w:trPr>
        <w:tc>
          <w:tcPr>
            <w:tcW w:w="5760" w:type="dxa"/>
            <w:vAlign w:val="bottom"/>
            <w:gridSpan w:val="5"/>
          </w:tcPr>
          <w:p>
            <w:pPr>
              <w:spacing w:after="0"/>
              <w:rPr>
                <w:sz w:val="20"/>
                <w:szCs w:val="20"/>
                <w:color w:val="auto"/>
              </w:rPr>
            </w:pPr>
            <w:r>
              <w:rPr>
                <w:rFonts w:ascii="Arial" w:cs="Arial" w:eastAsia="Arial" w:hAnsi="Arial"/>
                <w:sz w:val="18"/>
                <w:szCs w:val="18"/>
                <w:color w:val="auto"/>
              </w:rPr>
              <w:t>Chief Executive Officer and Director</w:t>
            </w:r>
          </w:p>
        </w:tc>
        <w:tc>
          <w:tcPr>
            <w:tcW w:w="1120" w:type="dxa"/>
            <w:vAlign w:val="bottom"/>
          </w:tcPr>
          <w:p>
            <w:pPr>
              <w:spacing w:after="0"/>
              <w:rPr>
                <w:sz w:val="18"/>
                <w:szCs w:val="18"/>
                <w:color w:val="auto"/>
              </w:rPr>
            </w:pPr>
          </w:p>
        </w:tc>
      </w:tr>
      <w:tr>
        <w:trPr>
          <w:trHeight w:val="222"/>
        </w:trPr>
        <w:tc>
          <w:tcPr>
            <w:tcW w:w="5760" w:type="dxa"/>
            <w:vAlign w:val="bottom"/>
            <w:gridSpan w:val="5"/>
          </w:tcPr>
          <w:p>
            <w:pPr>
              <w:spacing w:after="0"/>
              <w:rPr>
                <w:sz w:val="20"/>
                <w:szCs w:val="20"/>
                <w:color w:val="auto"/>
              </w:rPr>
            </w:pPr>
            <w:r>
              <w:rPr>
                <w:rFonts w:ascii="Arial" w:cs="Arial" w:eastAsia="Arial" w:hAnsi="Arial"/>
                <w:sz w:val="18"/>
                <w:szCs w:val="18"/>
                <w:color w:val="auto"/>
              </w:rPr>
              <w:t>(Principal Executive Officer)</w:t>
            </w:r>
          </w:p>
        </w:tc>
        <w:tc>
          <w:tcPr>
            <w:tcW w:w="1120" w:type="dxa"/>
            <w:vAlign w:val="bottom"/>
          </w:tcPr>
          <w:p>
            <w:pPr>
              <w:spacing w:after="0"/>
              <w:rPr>
                <w:sz w:val="19"/>
                <w:szCs w:val="19"/>
                <w:color w:val="auto"/>
              </w:rPr>
            </w:pPr>
          </w:p>
        </w:tc>
      </w:tr>
      <w:tr>
        <w:trPr>
          <w:trHeight w:val="745"/>
        </w:trPr>
        <w:tc>
          <w:tcPr>
            <w:tcW w:w="5760" w:type="dxa"/>
            <w:vAlign w:val="bottom"/>
            <w:gridSpan w:val="5"/>
          </w:tcPr>
          <w:p>
            <w:pPr>
              <w:spacing w:after="0"/>
              <w:rPr>
                <w:sz w:val="20"/>
                <w:szCs w:val="20"/>
                <w:color w:val="auto"/>
              </w:rPr>
            </w:pPr>
            <w:r>
              <w:rPr>
                <w:rFonts w:ascii="Arial" w:cs="Arial" w:eastAsia="Arial" w:hAnsi="Arial"/>
                <w:sz w:val="18"/>
                <w:szCs w:val="18"/>
                <w:color w:val="auto"/>
              </w:rPr>
              <w:t>/s/ Hugh T. Regan, Jr.</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2017</w:t>
            </w:r>
          </w:p>
        </w:tc>
      </w:tr>
      <w:tr>
        <w:trPr>
          <w:trHeight w:val="20"/>
        </w:trPr>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8"/>
        </w:trPr>
        <w:tc>
          <w:tcPr>
            <w:tcW w:w="5760" w:type="dxa"/>
            <w:vAlign w:val="bottom"/>
            <w:gridSpan w:val="5"/>
          </w:tcPr>
          <w:p>
            <w:pPr>
              <w:spacing w:after="0"/>
              <w:rPr>
                <w:sz w:val="20"/>
                <w:szCs w:val="20"/>
                <w:color w:val="auto"/>
              </w:rPr>
            </w:pPr>
            <w:r>
              <w:rPr>
                <w:rFonts w:ascii="Arial" w:cs="Arial" w:eastAsia="Arial" w:hAnsi="Arial"/>
                <w:sz w:val="18"/>
                <w:szCs w:val="18"/>
                <w:color w:val="auto"/>
              </w:rPr>
              <w:t>Hugh T. Regan, Jr., Treasurer, Chief</w:t>
            </w:r>
          </w:p>
        </w:tc>
        <w:tc>
          <w:tcPr>
            <w:tcW w:w="1120" w:type="dxa"/>
            <w:vAlign w:val="bottom"/>
          </w:tcPr>
          <w:p>
            <w:pPr>
              <w:spacing w:after="0"/>
              <w:rPr>
                <w:sz w:val="19"/>
                <w:szCs w:val="19"/>
                <w:color w:val="auto"/>
              </w:rPr>
            </w:pPr>
          </w:p>
        </w:tc>
      </w:tr>
      <w:tr>
        <w:trPr>
          <w:trHeight w:val="216"/>
        </w:trPr>
        <w:tc>
          <w:tcPr>
            <w:tcW w:w="5760" w:type="dxa"/>
            <w:vAlign w:val="bottom"/>
            <w:gridSpan w:val="5"/>
          </w:tcPr>
          <w:p>
            <w:pPr>
              <w:spacing w:after="0"/>
              <w:rPr>
                <w:sz w:val="20"/>
                <w:szCs w:val="20"/>
                <w:color w:val="auto"/>
              </w:rPr>
            </w:pPr>
            <w:r>
              <w:rPr>
                <w:rFonts w:ascii="Arial" w:cs="Arial" w:eastAsia="Arial" w:hAnsi="Arial"/>
                <w:sz w:val="18"/>
                <w:szCs w:val="18"/>
                <w:color w:val="auto"/>
              </w:rPr>
              <w:t>Financial Officer and Secretary</w:t>
            </w:r>
          </w:p>
        </w:tc>
        <w:tc>
          <w:tcPr>
            <w:tcW w:w="1120" w:type="dxa"/>
            <w:vAlign w:val="bottom"/>
          </w:tcPr>
          <w:p>
            <w:pPr>
              <w:spacing w:after="0"/>
              <w:rPr>
                <w:sz w:val="18"/>
                <w:szCs w:val="18"/>
                <w:color w:val="auto"/>
              </w:rPr>
            </w:pPr>
          </w:p>
        </w:tc>
      </w:tr>
      <w:tr>
        <w:trPr>
          <w:trHeight w:val="222"/>
        </w:trPr>
        <w:tc>
          <w:tcPr>
            <w:tcW w:w="5760" w:type="dxa"/>
            <w:vAlign w:val="bottom"/>
            <w:gridSpan w:val="5"/>
          </w:tcPr>
          <w:p>
            <w:pPr>
              <w:spacing w:after="0"/>
              <w:rPr>
                <w:sz w:val="20"/>
                <w:szCs w:val="20"/>
                <w:color w:val="auto"/>
              </w:rPr>
            </w:pPr>
            <w:r>
              <w:rPr>
                <w:rFonts w:ascii="Arial" w:cs="Arial" w:eastAsia="Arial" w:hAnsi="Arial"/>
                <w:sz w:val="18"/>
                <w:szCs w:val="18"/>
                <w:color w:val="auto"/>
              </w:rPr>
              <w:t>(Principal Financial Officer)</w:t>
            </w:r>
          </w:p>
        </w:tc>
        <w:tc>
          <w:tcPr>
            <w:tcW w:w="1120" w:type="dxa"/>
            <w:vAlign w:val="bottom"/>
          </w:tcPr>
          <w:p>
            <w:pPr>
              <w:spacing w:after="0"/>
              <w:rPr>
                <w:sz w:val="19"/>
                <w:szCs w:val="19"/>
                <w:color w:val="auto"/>
              </w:rPr>
            </w:pPr>
          </w:p>
        </w:tc>
      </w:tr>
      <w:tr>
        <w:trPr>
          <w:trHeight w:val="745"/>
        </w:trPr>
        <w:tc>
          <w:tcPr>
            <w:tcW w:w="5760" w:type="dxa"/>
            <w:vAlign w:val="bottom"/>
            <w:gridSpan w:val="5"/>
          </w:tcPr>
          <w:p>
            <w:pPr>
              <w:spacing w:after="0"/>
              <w:rPr>
                <w:sz w:val="20"/>
                <w:szCs w:val="20"/>
                <w:color w:val="auto"/>
              </w:rPr>
            </w:pPr>
            <w:r>
              <w:rPr>
                <w:rFonts w:ascii="Arial" w:cs="Arial" w:eastAsia="Arial" w:hAnsi="Arial"/>
                <w:sz w:val="18"/>
                <w:szCs w:val="18"/>
                <w:color w:val="auto"/>
              </w:rPr>
              <w:t>/s/ Alyn R. Holt</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2017</w:t>
            </w:r>
          </w:p>
        </w:tc>
      </w:tr>
      <w:tr>
        <w:trPr>
          <w:trHeight w:val="20"/>
        </w:trPr>
        <w:tc>
          <w:tcPr>
            <w:tcW w:w="1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Alyn R. Holt, Executive Chairman</w:t>
            </w:r>
          </w:p>
        </w:tc>
        <w:tc>
          <w:tcPr>
            <w:tcW w:w="1120" w:type="dxa"/>
            <w:vAlign w:val="bottom"/>
          </w:tcPr>
          <w:p>
            <w:pPr>
              <w:spacing w:after="0"/>
              <w:rPr>
                <w:sz w:val="20"/>
                <w:szCs w:val="20"/>
                <w:color w:val="auto"/>
              </w:rPr>
            </w:pPr>
          </w:p>
        </w:tc>
      </w:tr>
      <w:tr>
        <w:trPr>
          <w:trHeight w:val="745"/>
        </w:trPr>
        <w:tc>
          <w:tcPr>
            <w:tcW w:w="5760" w:type="dxa"/>
            <w:vAlign w:val="bottom"/>
            <w:gridSpan w:val="5"/>
          </w:tcPr>
          <w:p>
            <w:pPr>
              <w:spacing w:after="0"/>
              <w:rPr>
                <w:sz w:val="20"/>
                <w:szCs w:val="20"/>
                <w:color w:val="auto"/>
              </w:rPr>
            </w:pPr>
            <w:r>
              <w:rPr>
                <w:rFonts w:ascii="Arial" w:cs="Arial" w:eastAsia="Arial" w:hAnsi="Arial"/>
                <w:sz w:val="18"/>
                <w:szCs w:val="18"/>
                <w:color w:val="auto"/>
              </w:rPr>
              <w:t>/s/ Steven J. Abrams</w:t>
            </w:r>
          </w:p>
        </w:tc>
        <w:tc>
          <w:tcPr>
            <w:tcW w:w="1120" w:type="dxa"/>
            <w:vAlign w:val="bottom"/>
          </w:tcPr>
          <w:p>
            <w:pPr>
              <w:spacing w:after="0"/>
              <w:rPr>
                <w:sz w:val="20"/>
                <w:szCs w:val="20"/>
                <w:color w:val="auto"/>
              </w:rPr>
            </w:pPr>
            <w:r>
              <w:rPr>
                <w:rFonts w:ascii="Arial" w:cs="Arial" w:eastAsia="Arial" w:hAnsi="Arial"/>
                <w:sz w:val="18"/>
                <w:szCs w:val="18"/>
                <w:color w:val="auto"/>
                <w:w w:val="87"/>
              </w:rPr>
              <w:t>March 27, 2017</w:t>
            </w:r>
          </w:p>
        </w:tc>
      </w:tr>
      <w:tr>
        <w:trPr>
          <w:trHeight w:val="20"/>
        </w:trPr>
        <w:tc>
          <w:tcPr>
            <w:tcW w:w="1440" w:type="dxa"/>
            <w:vAlign w:val="bottom"/>
            <w:gridSpan w:val="2"/>
            <w:shd w:val="clear" w:color="auto" w:fill="000000"/>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5"/>
          </w:tcPr>
          <w:p>
            <w:pPr>
              <w:spacing w:after="0"/>
              <w:rPr>
                <w:sz w:val="20"/>
                <w:szCs w:val="20"/>
                <w:color w:val="auto"/>
              </w:rPr>
            </w:pPr>
            <w:r>
              <w:rPr>
                <w:rFonts w:ascii="Arial" w:cs="Arial" w:eastAsia="Arial" w:hAnsi="Arial"/>
                <w:sz w:val="18"/>
                <w:szCs w:val="18"/>
                <w:color w:val="auto"/>
              </w:rPr>
              <w:t>Steven J. Abrams, Esq., Director</w:t>
            </w:r>
          </w:p>
        </w:tc>
        <w:tc>
          <w:tcPr>
            <w:tcW w:w="1120" w:type="dxa"/>
            <w:vAlign w:val="bottom"/>
          </w:tcPr>
          <w:p>
            <w:pPr>
              <w:spacing w:after="0"/>
              <w:rPr>
                <w:sz w:val="20"/>
                <w:szCs w:val="20"/>
                <w:color w:val="auto"/>
              </w:rPr>
            </w:pPr>
          </w:p>
        </w:tc>
      </w:tr>
    </w:tbl>
    <w:p>
      <w:pPr>
        <w:sectPr>
          <w:pgSz w:w="11900" w:h="16838" w:orient="portrait"/>
          <w:cols w:equalWidth="0" w:num="1">
            <w:col w:w="11420"/>
          </w:cols>
          <w:pgMar w:left="240" w:top="341" w:right="239" w:bottom="146"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7"/>
              </w:rPr>
              <w:t>/s/ Joseph W. Dews IV</w:t>
            </w:r>
          </w:p>
        </w:tc>
        <w:tc>
          <w:tcPr>
            <w:tcW w:w="374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March 27, 2017</w:t>
            </w:r>
          </w:p>
        </w:tc>
        <w:tc>
          <w:tcPr>
            <w:tcW w:w="3580" w:type="dxa"/>
            <w:vAlign w:val="bottom"/>
          </w:tcPr>
          <w:p>
            <w:pPr>
              <w:spacing w:after="0"/>
              <w:rPr>
                <w:sz w:val="17"/>
                <w:szCs w:val="17"/>
                <w:color w:val="auto"/>
              </w:rPr>
            </w:pPr>
          </w:p>
        </w:tc>
      </w:tr>
      <w:tr>
        <w:trPr>
          <w:trHeight w:val="235"/>
        </w:trPr>
        <w:tc>
          <w:tcPr>
            <w:tcW w:w="5340" w:type="dxa"/>
            <w:vAlign w:val="bottom"/>
            <w:gridSpan w:val="8"/>
          </w:tcPr>
          <w:p>
            <w:pPr>
              <w:spacing w:after="0"/>
              <w:rPr>
                <w:sz w:val="20"/>
                <w:szCs w:val="20"/>
                <w:color w:val="auto"/>
              </w:rPr>
            </w:pPr>
            <w:r>
              <w:rPr>
                <w:rFonts w:ascii="Arial" w:cs="Arial" w:eastAsia="Arial" w:hAnsi="Arial"/>
                <w:sz w:val="18"/>
                <w:szCs w:val="18"/>
                <w:color w:val="auto"/>
              </w:rPr>
              <w:t>Joseph W. Dews IV, Director</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758"/>
        </w:trPr>
        <w:tc>
          <w:tcPr>
            <w:tcW w:w="1340" w:type="dxa"/>
            <w:vAlign w:val="bottom"/>
            <w:gridSpan w:val="3"/>
          </w:tcPr>
          <w:p>
            <w:pPr>
              <w:spacing w:after="0"/>
              <w:rPr>
                <w:sz w:val="20"/>
                <w:szCs w:val="20"/>
                <w:color w:val="auto"/>
              </w:rPr>
            </w:pPr>
            <w:r>
              <w:rPr>
                <w:rFonts w:ascii="Arial" w:cs="Arial" w:eastAsia="Arial" w:hAnsi="Arial"/>
                <w:sz w:val="18"/>
                <w:szCs w:val="18"/>
                <w:color w:val="auto"/>
              </w:rPr>
              <w:t>/s/ William Kraut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March 27, 2017</w:t>
            </w:r>
          </w:p>
        </w:tc>
      </w:tr>
      <w:tr>
        <w:trPr>
          <w:trHeight w:val="20"/>
        </w:trPr>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35"/>
        </w:trPr>
        <w:tc>
          <w:tcPr>
            <w:tcW w:w="5340" w:type="dxa"/>
            <w:vAlign w:val="bottom"/>
            <w:gridSpan w:val="8"/>
          </w:tcPr>
          <w:p>
            <w:pPr>
              <w:spacing w:after="0"/>
              <w:rPr>
                <w:sz w:val="20"/>
                <w:szCs w:val="20"/>
                <w:color w:val="auto"/>
              </w:rPr>
            </w:pPr>
            <w:r>
              <w:rPr>
                <w:rFonts w:ascii="Arial" w:cs="Arial" w:eastAsia="Arial" w:hAnsi="Arial"/>
                <w:sz w:val="18"/>
                <w:szCs w:val="18"/>
                <w:color w:val="auto"/>
              </w:rPr>
              <w:t>William Kraut, Director</w:t>
            </w: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1188"/>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2"/>
          </w:tcPr>
          <w:p>
            <w:pPr>
              <w:jc w:val="right"/>
              <w:ind w:right="372"/>
              <w:spacing w:after="0"/>
              <w:rPr>
                <w:sz w:val="20"/>
                <w:szCs w:val="20"/>
                <w:color w:val="auto"/>
              </w:rPr>
            </w:pPr>
            <w:r>
              <w:rPr>
                <w:rFonts w:ascii="Arial" w:cs="Arial" w:eastAsia="Arial" w:hAnsi="Arial"/>
                <w:sz w:val="18"/>
                <w:szCs w:val="18"/>
                <w:color w:val="auto"/>
              </w:rPr>
              <w:t>- 33 -</w:t>
            </w: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136"/>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420" w:type="dxa"/>
            <w:vAlign w:val="bottom"/>
            <w:gridSpan w:val="5"/>
          </w:tcPr>
          <w:p>
            <w:pPr>
              <w:jc w:val="center"/>
              <w:ind w:right="4100"/>
              <w:spacing w:after="0"/>
              <w:rPr>
                <w:sz w:val="20"/>
                <w:szCs w:val="20"/>
                <w:color w:val="auto"/>
              </w:rPr>
            </w:pPr>
            <w:r>
              <w:rPr>
                <w:rFonts w:ascii="Arial" w:cs="Arial" w:eastAsia="Arial" w:hAnsi="Arial"/>
                <w:sz w:val="18"/>
                <w:szCs w:val="18"/>
                <w:b w:val="1"/>
                <w:bCs w:val="1"/>
                <w:color w:val="auto"/>
                <w:w w:val="88"/>
              </w:rPr>
              <w:t>Index to Exhibits</w:t>
            </w:r>
          </w:p>
        </w:tc>
      </w:tr>
      <w:tr>
        <w:trPr>
          <w:trHeight w:val="820"/>
        </w:trPr>
        <w:tc>
          <w:tcPr>
            <w:tcW w:w="880" w:type="dxa"/>
            <w:vAlign w:val="bottom"/>
          </w:tcPr>
          <w:p>
            <w:pPr>
              <w:spacing w:after="0"/>
              <w:rPr>
                <w:sz w:val="24"/>
                <w:szCs w:val="2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b w:val="1"/>
                <w:bCs w:val="1"/>
                <w:i w:val="1"/>
                <w:iCs w:val="1"/>
                <w:color w:val="auto"/>
                <w:w w:val="89"/>
              </w:rPr>
              <w:t>Exhibit</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146"/>
        </w:trPr>
        <w:tc>
          <w:tcPr>
            <w:tcW w:w="880" w:type="dxa"/>
            <w:vAlign w:val="bottom"/>
          </w:tcPr>
          <w:p>
            <w:pPr>
              <w:spacing w:after="0"/>
              <w:rPr>
                <w:sz w:val="12"/>
                <w:szCs w:val="12"/>
                <w:color w:val="auto"/>
              </w:rPr>
            </w:pPr>
          </w:p>
        </w:tc>
        <w:tc>
          <w:tcPr>
            <w:tcW w:w="460" w:type="dxa"/>
            <w:vAlign w:val="bottom"/>
            <w:tcBorders>
              <w:bottom w:val="single" w:sz="8" w:color="auto"/>
            </w:tcBorders>
            <w:gridSpan w:val="2"/>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Number</w:t>
            </w:r>
          </w:p>
        </w:tc>
        <w:tc>
          <w:tcPr>
            <w:tcW w:w="240" w:type="dxa"/>
            <w:vAlign w:val="bottom"/>
          </w:tcPr>
          <w:p>
            <w:pPr>
              <w:spacing w:after="0"/>
              <w:rPr>
                <w:sz w:val="12"/>
                <w:szCs w:val="12"/>
                <w:color w:val="auto"/>
              </w:rPr>
            </w:pPr>
          </w:p>
        </w:tc>
        <w:tc>
          <w:tcPr>
            <w:tcW w:w="124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b w:val="1"/>
                <w:bCs w:val="1"/>
                <w:i w:val="1"/>
                <w:iCs w:val="1"/>
                <w:color w:val="auto"/>
                <w:w w:val="84"/>
              </w:rPr>
              <w:t>Description of Exhibit</w:t>
            </w:r>
          </w:p>
        </w:tc>
        <w:tc>
          <w:tcPr>
            <w:tcW w:w="25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580" w:type="dxa"/>
            <w:vAlign w:val="bottom"/>
          </w:tcPr>
          <w:p>
            <w:pPr>
              <w:spacing w:after="0"/>
              <w:rPr>
                <w:sz w:val="12"/>
                <w:szCs w:val="12"/>
                <w:color w:val="auto"/>
              </w:rPr>
            </w:pPr>
          </w:p>
        </w:tc>
      </w:tr>
      <w:tr>
        <w:trPr>
          <w:trHeight w:val="316"/>
        </w:trPr>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Certificate of Incorporation. (1)</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4"/>
        </w:trPr>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Bylaws as amended on June 23, 2014. (2)</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4"/>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rPr>
              <w:t>Lease Agreement between Exeter 804 East Gate, LLC and the Company dated May 10, 2010. (3)</w:t>
            </w:r>
          </w:p>
        </w:tc>
      </w:tr>
      <w:tr>
        <w:trPr>
          <w:trHeight w:val="318"/>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88"/>
              </w:rPr>
              <w:t>Lease Agreement between AMB-SGP Seattle/Boston, LLC and Temptronic Corporation (a subsidiary of the Company), dated</w:t>
            </w:r>
          </w:p>
        </w:tc>
      </w:tr>
      <w:tr>
        <w:trPr>
          <w:trHeight w:val="222"/>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October 25, 2010. (4)</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18"/>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89"/>
              </w:rPr>
              <w:t>Lease Agreements between Columbia California Warm Springs Industrial, LLC and inTEST Silicon Valley Corporation dated</w:t>
            </w:r>
          </w:p>
        </w:tc>
      </w:tr>
      <w:tr>
        <w:trPr>
          <w:trHeight w:val="222"/>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January 9, 2012. (5)</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18"/>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94"/>
              </w:rPr>
              <w:t>First Amendment to Lease Agreement between Columbia California Warm Springs Industrial, LLC and inTEST Silicon</w:t>
            </w:r>
          </w:p>
        </w:tc>
      </w:tr>
      <w:tr>
        <w:trPr>
          <w:trHeight w:val="222"/>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w w:val="95"/>
              </w:rPr>
              <w:t>Valley Corporation dated November 18, 2016. (6)</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18"/>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89"/>
              </w:rPr>
              <w:t>Guaranty Agreements between Columbia California Warm Springs Industrial, LLC and inTEST Corporation dated January 9,</w:t>
            </w:r>
          </w:p>
        </w:tc>
      </w:tr>
      <w:tr>
        <w:trPr>
          <w:trHeight w:val="222"/>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rPr>
              <w:t>2012. (5)</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24"/>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inTEST Corporation 2014 Stock Plan (7)(*)</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4"/>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inTEST Corporation 2007 Stock Plan. (8)(*)</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4"/>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w w:val="93"/>
              </w:rPr>
              <w:t>Form of Restricted Stock Award Agreement. (9)(*)</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4"/>
        </w:trPr>
        <w:tc>
          <w:tcPr>
            <w:tcW w:w="1220" w:type="dxa"/>
            <w:vAlign w:val="bottom"/>
            <w:gridSpan w:val="2"/>
          </w:tcPr>
          <w:p>
            <w:pPr>
              <w:ind w:left="880"/>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rPr>
              <w:t>Form of Non-Qualified Stock Option Agreement. (9)(*)</w:t>
            </w: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10.10</w:t>
            </w: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w w:val="95"/>
              </w:rPr>
              <w:t>Form of Incentive Stock Option Agreement. (9)(*)</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10.11</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99"/>
              </w:rPr>
              <w:t>Change of Control Agreement dated August 27, 2007 between the Company and Robert E. Matthiessen. (10)(*)</w:t>
            </w: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10.12</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rPr>
              <w:t>Change of Control Agreement dated August 27, 2007 between the Company and Hugh T. Regan, Jr. (10)(*)</w:t>
            </w: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10.13</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rPr>
              <w:t>Change of Control Agreement dated May 5, 2008 between the Company and James Pelrin. (11)(*)</w:t>
            </w:r>
          </w:p>
        </w:tc>
      </w:tr>
      <w:tr>
        <w:trPr>
          <w:trHeight w:val="318"/>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10.14</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90"/>
              </w:rPr>
              <w:t>Amendment to Change of Control Agreement dated December 31, 2008 between the Company and Robert E. Matthiessen.</w:t>
            </w:r>
          </w:p>
        </w:tc>
      </w:tr>
      <w:tr>
        <w:trPr>
          <w:trHeight w:val="222"/>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ind w:left="240"/>
              <w:spacing w:after="0"/>
              <w:rPr>
                <w:sz w:val="20"/>
                <w:szCs w:val="20"/>
                <w:color w:val="auto"/>
              </w:rPr>
            </w:pPr>
            <w:r>
              <w:rPr>
                <w:rFonts w:ascii="Arial" w:cs="Arial" w:eastAsia="Arial" w:hAnsi="Arial"/>
                <w:sz w:val="18"/>
                <w:szCs w:val="18"/>
                <w:color w:val="auto"/>
              </w:rPr>
              <w:t>(12)(*)</w:t>
            </w:r>
          </w:p>
        </w:tc>
        <w:tc>
          <w:tcPr>
            <w:tcW w:w="2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10.15</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87"/>
              </w:rPr>
              <w:t>Amendment to Change of Control Agreement dated December 31, 2008 between the Company and Hugh T. Regan, Jr. (12)(*)</w:t>
            </w: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10.16</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w w:val="91"/>
              </w:rPr>
              <w:t>Amendment to Change of Control Agreement dated December 31, 2008 between the Company and James Pelrin. (12)(*)</w:t>
            </w:r>
          </w:p>
        </w:tc>
      </w:tr>
      <w:tr>
        <w:trPr>
          <w:trHeight w:val="324"/>
        </w:trPr>
        <w:tc>
          <w:tcPr>
            <w:tcW w:w="1340" w:type="dxa"/>
            <w:vAlign w:val="bottom"/>
            <w:gridSpan w:val="3"/>
          </w:tcPr>
          <w:p>
            <w:pPr>
              <w:ind w:left="880"/>
              <w:spacing w:after="0"/>
              <w:rPr>
                <w:sz w:val="20"/>
                <w:szCs w:val="20"/>
                <w:color w:val="auto"/>
              </w:rPr>
            </w:pPr>
            <w:r>
              <w:rPr>
                <w:rFonts w:ascii="Arial" w:cs="Arial" w:eastAsia="Arial" w:hAnsi="Arial"/>
                <w:sz w:val="18"/>
                <w:szCs w:val="18"/>
                <w:color w:val="auto"/>
                <w:w w:val="97"/>
              </w:rPr>
              <w:t>10.17</w:t>
            </w:r>
          </w:p>
        </w:tc>
        <w:tc>
          <w:tcPr>
            <w:tcW w:w="24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Arial" w:cs="Arial" w:eastAsia="Arial" w:hAnsi="Arial"/>
                <w:sz w:val="18"/>
                <w:szCs w:val="18"/>
                <w:color w:val="auto"/>
              </w:rPr>
              <w:t>Compensatory Arrangements of Executive Officers and Directors. (*)(13)</w:t>
            </w:r>
          </w:p>
        </w:tc>
      </w:tr>
      <w:tr>
        <w:trPr>
          <w:trHeight w:val="324"/>
        </w:trPr>
        <w:tc>
          <w:tcPr>
            <w:tcW w:w="1220" w:type="dxa"/>
            <w:vAlign w:val="bottom"/>
            <w:gridSpan w:val="2"/>
          </w:tcPr>
          <w:p>
            <w:pPr>
              <w:ind w:left="8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4"/>
          </w:tcPr>
          <w:p>
            <w:pPr>
              <w:spacing w:after="0"/>
              <w:rPr>
                <w:sz w:val="20"/>
                <w:szCs w:val="20"/>
                <w:color w:val="auto"/>
              </w:rPr>
            </w:pPr>
            <w:r>
              <w:rPr>
                <w:rFonts w:ascii="Arial" w:cs="Arial" w:eastAsia="Arial" w:hAnsi="Arial"/>
                <w:sz w:val="18"/>
                <w:szCs w:val="18"/>
                <w:color w:val="auto"/>
              </w:rPr>
              <w:t>Code of Ethics. (14)</w:t>
            </w: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pacing w:after="0" w:line="102" w:lineRule="exact"/>
        <w:rPr>
          <w:sz w:val="20"/>
          <w:szCs w:val="20"/>
          <w:color w:val="auto"/>
        </w:rPr>
      </w:pPr>
    </w:p>
    <w:p>
      <w:pPr>
        <w:ind w:left="1580" w:hanging="694"/>
        <w:spacing w:after="0"/>
        <w:tabs>
          <w:tab w:leader="none" w:pos="1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Subsidiaries of the Company.</w:t>
      </w:r>
    </w:p>
    <w:p>
      <w:pPr>
        <w:spacing w:after="0" w:line="117" w:lineRule="exact"/>
        <w:rPr>
          <w:rFonts w:ascii="Arial" w:cs="Arial" w:eastAsia="Arial" w:hAnsi="Arial"/>
          <w:sz w:val="18"/>
          <w:szCs w:val="18"/>
          <w:color w:val="auto"/>
        </w:rPr>
      </w:pPr>
    </w:p>
    <w:p>
      <w:pPr>
        <w:ind w:left="1580" w:hanging="694"/>
        <w:spacing w:after="0"/>
        <w:tabs>
          <w:tab w:leader="none" w:pos="1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Consent of RSM US LLP.</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31.1</w:t>
      </w:r>
      <w:r>
        <w:rPr>
          <w:rFonts w:ascii="Arial" w:cs="Arial" w:eastAsia="Arial" w:hAnsi="Arial"/>
          <w:sz w:val="16"/>
          <w:szCs w:val="16"/>
          <w:color w:val="auto"/>
        </w:rPr>
        <w:t>Certification of Chief Executive Officer pursuant to Rule 13a-14(a).</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31.2</w:t>
      </w:r>
      <w:r>
        <w:rPr>
          <w:rFonts w:ascii="Arial" w:cs="Arial" w:eastAsia="Arial" w:hAnsi="Arial"/>
          <w:sz w:val="16"/>
          <w:szCs w:val="16"/>
          <w:color w:val="auto"/>
        </w:rPr>
        <w:t>Certification of Chief Financial Officer pursuant to Rule 13a-14(a).</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32.1</w:t>
      </w:r>
      <w:r>
        <w:rPr>
          <w:rFonts w:ascii="Arial" w:cs="Arial" w:eastAsia="Arial" w:hAnsi="Arial"/>
          <w:sz w:val="16"/>
          <w:szCs w:val="16"/>
          <w:color w:val="auto"/>
        </w:rPr>
        <w:t>Certification of Chief Executive Officer pursuant to Section 906 of the Sarbanes-Oxley Act of 2002.</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32.2</w:t>
      </w:r>
      <w:r>
        <w:rPr>
          <w:rFonts w:ascii="Arial" w:cs="Arial" w:eastAsia="Arial" w:hAnsi="Arial"/>
          <w:sz w:val="16"/>
          <w:szCs w:val="16"/>
          <w:color w:val="auto"/>
        </w:rPr>
        <w:t>Certification of Chief Financial Officer pursuant to Section 906 of the Sarbanes-Oxley Act of 2002.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600" w:hanging="96"/>
        <w:spacing w:after="0"/>
        <w:tabs>
          <w:tab w:leader="none" w:pos="5600" w:val="left"/>
        </w:tabs>
        <w:numPr>
          <w:ilvl w:val="1"/>
          <w:numId w:val="7"/>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460"/>
          </w:cols>
          <w:pgMar w:left="260" w:top="95" w:right="1179" w:bottom="229" w:gutter="0" w:footer="0" w:header="0"/>
        </w:sectPr>
      </w:pPr>
    </w:p>
    <w:bookmarkStart w:id="25" w:name="page26"/>
    <w:bookmarkEnd w:id="25"/>
    <w:p>
      <w:pPr>
        <w:jc w:val="center"/>
        <w:ind w:right="-13"/>
        <w:spacing w:after="0"/>
        <w:rPr>
          <w:sz w:val="20"/>
          <w:szCs w:val="20"/>
          <w:color w:val="auto"/>
        </w:rPr>
      </w:pPr>
      <w:r>
        <w:rPr>
          <w:rFonts w:ascii="Arial" w:cs="Arial" w:eastAsia="Arial" w:hAnsi="Arial"/>
          <w:sz w:val="18"/>
          <w:szCs w:val="18"/>
          <w:b w:val="1"/>
          <w:bCs w:val="1"/>
          <w:u w:val="single" w:color="auto"/>
          <w:color w:val="auto"/>
        </w:rPr>
        <w:t>Index to Exhibits</w:t>
      </w:r>
    </w:p>
    <w:p>
      <w:pPr>
        <w:spacing w:after="0" w:line="21"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94" w:right="34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Registration Statement on Form S-1, File No. 333-26457 filed May 2, 1997, and incorporated herein by reference.</w:t>
      </w:r>
    </w:p>
    <w:p>
      <w:pPr>
        <w:spacing w:after="0" w:line="77" w:lineRule="exact"/>
        <w:rPr>
          <w:rFonts w:ascii="Arial" w:cs="Arial" w:eastAsia="Arial" w:hAnsi="Arial"/>
          <w:sz w:val="18"/>
          <w:szCs w:val="18"/>
          <w:color w:val="auto"/>
        </w:rPr>
      </w:pPr>
    </w:p>
    <w:p>
      <w:pPr>
        <w:ind w:left="694" w:right="3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June 23, 2014, File No. 001-36117, filed June 25, 2014, and incorporated herein by reference.</w:t>
      </w:r>
    </w:p>
    <w:p>
      <w:pPr>
        <w:spacing w:after="0" w:line="77" w:lineRule="exact"/>
        <w:rPr>
          <w:rFonts w:ascii="Arial" w:cs="Arial" w:eastAsia="Arial" w:hAnsi="Arial"/>
          <w:sz w:val="18"/>
          <w:szCs w:val="18"/>
          <w:color w:val="auto"/>
        </w:rPr>
      </w:pPr>
    </w:p>
    <w:p>
      <w:pPr>
        <w:ind w:left="694" w:right="3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May 10, 2010, File No. 000-22529, filed May 13, 2010, and incorporated herein by reference.</w:t>
      </w:r>
    </w:p>
    <w:p>
      <w:pPr>
        <w:spacing w:after="0" w:line="77" w:lineRule="exact"/>
        <w:rPr>
          <w:rFonts w:ascii="Arial" w:cs="Arial" w:eastAsia="Arial" w:hAnsi="Arial"/>
          <w:sz w:val="18"/>
          <w:szCs w:val="18"/>
          <w:color w:val="auto"/>
        </w:rPr>
      </w:pPr>
    </w:p>
    <w:p>
      <w:pPr>
        <w:ind w:left="694" w:right="8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October 27, 2010, File No. 000-22529, filed October 29, 2010, and incorporated herein by reference.</w:t>
      </w:r>
    </w:p>
    <w:p>
      <w:pPr>
        <w:spacing w:after="0" w:line="77" w:lineRule="exact"/>
        <w:rPr>
          <w:rFonts w:ascii="Arial" w:cs="Arial" w:eastAsia="Arial" w:hAnsi="Arial"/>
          <w:sz w:val="18"/>
          <w:szCs w:val="18"/>
          <w:color w:val="auto"/>
        </w:rPr>
      </w:pPr>
    </w:p>
    <w:p>
      <w:pPr>
        <w:ind w:left="694" w:right="2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2012, File No. 000-22529, filed May 15, 2012, and incorporated herein by reference.</w:t>
      </w:r>
    </w:p>
    <w:p>
      <w:pPr>
        <w:spacing w:after="0" w:line="77" w:lineRule="exact"/>
        <w:rPr>
          <w:rFonts w:ascii="Arial" w:cs="Arial" w:eastAsia="Arial" w:hAnsi="Arial"/>
          <w:sz w:val="18"/>
          <w:szCs w:val="18"/>
          <w:color w:val="auto"/>
        </w:rPr>
      </w:pPr>
    </w:p>
    <w:p>
      <w:pPr>
        <w:ind w:left="694" w:right="28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8-K dated November 18, 2016, File No. 001-36117, filed November 22, 2016, and incorporated herein by reference.</w:t>
      </w:r>
    </w:p>
    <w:p>
      <w:pPr>
        <w:spacing w:after="0" w:line="77" w:lineRule="exact"/>
        <w:rPr>
          <w:rFonts w:ascii="Arial" w:cs="Arial" w:eastAsia="Arial" w:hAnsi="Arial"/>
          <w:sz w:val="18"/>
          <w:szCs w:val="18"/>
          <w:color w:val="auto"/>
        </w:rPr>
      </w:pPr>
    </w:p>
    <w:p>
      <w:pPr>
        <w:ind w:left="694" w:hanging="694"/>
        <w:spacing w:after="0"/>
        <w:tabs>
          <w:tab w:leader="none" w:pos="694"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30, 2014, and incorporated herein by reference.</w:t>
      </w:r>
    </w:p>
    <w:p>
      <w:pPr>
        <w:spacing w:after="0" w:line="140" w:lineRule="exact"/>
        <w:rPr>
          <w:rFonts w:ascii="Arial" w:cs="Arial" w:eastAsia="Arial" w:hAnsi="Arial"/>
          <w:sz w:val="16"/>
          <w:szCs w:val="16"/>
          <w:color w:val="auto"/>
        </w:rPr>
      </w:pPr>
    </w:p>
    <w:p>
      <w:pPr>
        <w:ind w:left="694" w:hanging="694"/>
        <w:spacing w:after="0"/>
        <w:tabs>
          <w:tab w:leader="none" w:pos="694"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Previously filed as an appendix to the Company's Proxy Statement filed April 27, 2007, and incorporated herein by reference.</w:t>
      </w:r>
    </w:p>
    <w:p>
      <w:pPr>
        <w:spacing w:after="0" w:line="140" w:lineRule="exact"/>
        <w:rPr>
          <w:rFonts w:ascii="Arial" w:cs="Arial" w:eastAsia="Arial" w:hAnsi="Arial"/>
          <w:sz w:val="16"/>
          <w:szCs w:val="16"/>
          <w:color w:val="auto"/>
        </w:rPr>
      </w:pPr>
    </w:p>
    <w:p>
      <w:pPr>
        <w:ind w:left="694" w:right="22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March 31, 2016, File No. 001-36117, filed May 13, 2016, and incorporated herein by reference.</w:t>
      </w:r>
    </w:p>
    <w:p>
      <w:pPr>
        <w:spacing w:after="0" w:line="77" w:lineRule="exact"/>
        <w:rPr>
          <w:rFonts w:ascii="Arial" w:cs="Arial" w:eastAsia="Arial" w:hAnsi="Arial"/>
          <w:sz w:val="18"/>
          <w:szCs w:val="18"/>
          <w:color w:val="auto"/>
        </w:rPr>
      </w:pPr>
    </w:p>
    <w:p>
      <w:pPr>
        <w:ind w:left="694" w:right="16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2007, File No. 000-22529, filed March 31, 2008,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2008, File No. 000-22529, filed August 14, 2008,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2009, File No. 000-22529, filed August 14, 2009, and incorporated herein by reference.</w:t>
      </w:r>
    </w:p>
    <w:p>
      <w:pPr>
        <w:spacing w:after="0" w:line="77" w:lineRule="exact"/>
        <w:rPr>
          <w:rFonts w:ascii="Arial" w:cs="Arial" w:eastAsia="Arial" w:hAnsi="Arial"/>
          <w:sz w:val="18"/>
          <w:szCs w:val="18"/>
          <w:color w:val="auto"/>
        </w:rPr>
      </w:pPr>
    </w:p>
    <w:p>
      <w:pPr>
        <w:ind w:left="694" w:right="140"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were previously filed on the Company's Current Report on Form 8-K dated March 15, 2017, File No. 001-36117, filed March 20, 2017, and incorporated herein by reference.</w:t>
      </w:r>
    </w:p>
    <w:p>
      <w:pPr>
        <w:spacing w:after="0" w:line="77" w:lineRule="exact"/>
        <w:rPr>
          <w:rFonts w:ascii="Arial" w:cs="Arial" w:eastAsia="Arial" w:hAnsi="Arial"/>
          <w:sz w:val="18"/>
          <w:szCs w:val="18"/>
          <w:color w:val="auto"/>
        </w:rPr>
      </w:pPr>
    </w:p>
    <w:p>
      <w:pPr>
        <w:ind w:left="694" w:hanging="694"/>
        <w:spacing w:after="0" w:line="268" w:lineRule="auto"/>
        <w:tabs>
          <w:tab w:leader="none" w:pos="69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2016, File No. 001-36117, filed August 12, 2016, and incorporated herein by reference.</w:t>
      </w:r>
    </w:p>
    <w:p>
      <w:pPr>
        <w:spacing w:after="0" w:line="78" w:lineRule="exact"/>
        <w:rPr>
          <w:sz w:val="20"/>
          <w:szCs w:val="20"/>
          <w:color w:val="auto"/>
        </w:rPr>
      </w:pPr>
    </w:p>
    <w:p>
      <w:pPr>
        <w:ind w:left="694" w:right="420" w:hanging="694"/>
        <w:spacing w:after="0" w:line="268" w:lineRule="auto"/>
        <w:tabs>
          <w:tab w:leader="none" w:pos="69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a director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inTEST CORPORATION</w:t>
      </w:r>
    </w:p>
    <w:p>
      <w:pPr>
        <w:spacing w:after="0" w:line="225"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INDEX TO CONSOLIDATED FINANCIAL STATEMENTS AND</w:t>
      </w:r>
    </w:p>
    <w:p>
      <w:pPr>
        <w:spacing w:after="0" w:line="21" w:lineRule="exact"/>
        <w:rPr>
          <w:sz w:val="20"/>
          <w:szCs w:val="20"/>
          <w:color w:val="auto"/>
        </w:rPr>
      </w:pPr>
    </w:p>
    <w:p>
      <w:pPr>
        <w:jc w:val="center"/>
        <w:ind w:right="-13"/>
        <w:spacing w:after="0"/>
        <w:rPr>
          <w:sz w:val="20"/>
          <w:szCs w:val="20"/>
          <w:color w:val="auto"/>
        </w:rPr>
      </w:pPr>
      <w:r>
        <w:rPr>
          <w:rFonts w:ascii="Arial" w:cs="Arial" w:eastAsia="Arial" w:hAnsi="Arial"/>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14" w:type="dxa"/>
        <w:tblCellMar>
          <w:top w:w="0" w:type="dxa"/>
          <w:left w:w="0" w:type="dxa"/>
          <w:bottom w:w="0" w:type="dxa"/>
          <w:right w:w="0" w:type="dxa"/>
        </w:tblCellMar>
      </w:tblPr>
      <w:tr>
        <w:trPr>
          <w:trHeight w:val="207"/>
        </w:trPr>
        <w:tc>
          <w:tcPr>
            <w:tcW w:w="70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w w:val="78"/>
              </w:rPr>
              <w:t>Page</w:t>
            </w:r>
          </w:p>
        </w:tc>
      </w:tr>
      <w:tr>
        <w:trPr>
          <w:trHeight w:val="451"/>
        </w:trPr>
        <w:tc>
          <w:tcPr>
            <w:tcW w:w="70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60" w:type="dxa"/>
            <w:vAlign w:val="bottom"/>
          </w:tcPr>
          <w:p>
            <w:pPr>
              <w:spacing w:after="0"/>
              <w:rPr>
                <w:sz w:val="20"/>
                <w:szCs w:val="20"/>
                <w:color w:val="auto"/>
              </w:rPr>
            </w:pPr>
            <w:r>
              <w:rPr>
                <w:rFonts w:ascii="Arial" w:cs="Arial" w:eastAsia="Arial" w:hAnsi="Arial"/>
                <w:sz w:val="18"/>
                <w:szCs w:val="18"/>
                <w:color w:val="auto"/>
                <w:w w:val="91"/>
              </w:rPr>
              <w:t>F - 1</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14"/>
        <w:spacing w:after="0"/>
        <w:rPr>
          <w:sz w:val="20"/>
          <w:szCs w:val="20"/>
          <w:color w:val="auto"/>
        </w:rPr>
      </w:pPr>
      <w:r>
        <w:rPr>
          <w:rFonts w:ascii="Arial" w:cs="Arial" w:eastAsia="Arial" w:hAnsi="Arial"/>
          <w:sz w:val="18"/>
          <w:szCs w:val="18"/>
          <w:color w:val="auto"/>
        </w:rPr>
        <w:t>CONSOLIDATED FINANCIAL STATEMENTS</w:t>
      </w:r>
    </w:p>
    <w:p>
      <w:pPr>
        <w:sectPr>
          <w:pgSz w:w="11900" w:h="16838" w:orient="portrait"/>
          <w:cols w:equalWidth="0" w:num="1">
            <w:col w:w="9594"/>
          </w:cols>
          <w:pgMar w:left="1146" w:top="125" w:right="1159" w:bottom="0" w:gutter="0" w:footer="0" w:header="0"/>
        </w:sectPr>
      </w:pPr>
    </w:p>
    <w:bookmarkStart w:id="26" w:name="page27"/>
    <w:bookmarkEnd w:id="26"/>
    <w:tbl>
      <w:tblPr>
        <w:tblLayout w:type="fixed"/>
        <w:tblInd w:w="1920" w:type="dxa"/>
        <w:tblCellMar>
          <w:top w:w="0" w:type="dxa"/>
          <w:left w:w="0" w:type="dxa"/>
          <w:bottom w:w="0" w:type="dxa"/>
          <w:right w:w="0" w:type="dxa"/>
        </w:tblCellMar>
      </w:tblPr>
      <w:tr>
        <w:trPr>
          <w:trHeight w:val="223"/>
        </w:trPr>
        <w:tc>
          <w:tcPr>
            <w:tcW w:w="5920" w:type="dxa"/>
            <w:vAlign w:val="bottom"/>
          </w:tcPr>
          <w:p>
            <w:pPr>
              <w:ind w:left="180"/>
              <w:spacing w:after="0"/>
              <w:rPr>
                <w:sz w:val="20"/>
                <w:szCs w:val="20"/>
                <w:color w:val="auto"/>
              </w:rPr>
            </w:pPr>
            <w:r>
              <w:rPr>
                <w:rFonts w:ascii="Arial" w:cs="Arial" w:eastAsia="Arial" w:hAnsi="Arial"/>
                <w:sz w:val="18"/>
                <w:szCs w:val="18"/>
                <w:color w:val="auto"/>
              </w:rPr>
              <w:t>Consolidated Balance Sheets as of December 31, 2016 and 2015</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91"/>
              </w:rPr>
              <w:t>F - 2</w:t>
            </w:r>
          </w:p>
        </w:tc>
      </w:tr>
      <w:tr>
        <w:trPr>
          <w:trHeight w:val="466"/>
        </w:trPr>
        <w:tc>
          <w:tcPr>
            <w:tcW w:w="5920" w:type="dxa"/>
            <w:vAlign w:val="bottom"/>
          </w:tcPr>
          <w:p>
            <w:pPr>
              <w:ind w:left="180"/>
              <w:spacing w:after="0"/>
              <w:rPr>
                <w:sz w:val="20"/>
                <w:szCs w:val="20"/>
                <w:color w:val="auto"/>
              </w:rPr>
            </w:pPr>
            <w:r>
              <w:rPr>
                <w:rFonts w:ascii="Arial" w:cs="Arial" w:eastAsia="Arial" w:hAnsi="Arial"/>
                <w:sz w:val="18"/>
                <w:szCs w:val="18"/>
                <w:color w:val="auto"/>
              </w:rPr>
              <w:t>Consolidated Statements of Operations for the years ended</w:t>
            </w:r>
          </w:p>
        </w:tc>
        <w:tc>
          <w:tcPr>
            <w:tcW w:w="1500" w:type="dxa"/>
            <w:vAlign w:val="bottom"/>
          </w:tcPr>
          <w:p>
            <w:pPr>
              <w:spacing w:after="0"/>
              <w:rPr>
                <w:sz w:val="24"/>
                <w:szCs w:val="24"/>
                <w:color w:val="auto"/>
              </w:rPr>
            </w:pPr>
          </w:p>
        </w:tc>
      </w:tr>
      <w:tr>
        <w:trPr>
          <w:trHeight w:val="222"/>
        </w:trPr>
        <w:tc>
          <w:tcPr>
            <w:tcW w:w="5920" w:type="dxa"/>
            <w:vAlign w:val="bottom"/>
          </w:tcPr>
          <w:p>
            <w:pPr>
              <w:ind w:left="320"/>
              <w:spacing w:after="0"/>
              <w:rPr>
                <w:sz w:val="20"/>
                <w:szCs w:val="20"/>
                <w:color w:val="auto"/>
              </w:rPr>
            </w:pPr>
            <w:r>
              <w:rPr>
                <w:rFonts w:ascii="Arial" w:cs="Arial" w:eastAsia="Arial" w:hAnsi="Arial"/>
                <w:sz w:val="18"/>
                <w:szCs w:val="18"/>
                <w:color w:val="auto"/>
              </w:rPr>
              <w:t>December 31, 2016 and 2015</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91"/>
              </w:rPr>
              <w:t>F - 3</w:t>
            </w:r>
          </w:p>
        </w:tc>
      </w:tr>
      <w:tr>
        <w:trPr>
          <w:trHeight w:val="399"/>
        </w:trPr>
        <w:tc>
          <w:tcPr>
            <w:tcW w:w="5920" w:type="dxa"/>
            <w:vAlign w:val="bottom"/>
          </w:tcPr>
          <w:p>
            <w:pPr>
              <w:ind w:left="180"/>
              <w:spacing w:after="0"/>
              <w:rPr>
                <w:sz w:val="20"/>
                <w:szCs w:val="20"/>
                <w:color w:val="auto"/>
              </w:rPr>
            </w:pPr>
            <w:r>
              <w:rPr>
                <w:rFonts w:ascii="Arial" w:cs="Arial" w:eastAsia="Arial" w:hAnsi="Arial"/>
                <w:sz w:val="18"/>
                <w:szCs w:val="18"/>
                <w:color w:val="auto"/>
              </w:rPr>
              <w:t>Consolidated Statements of Comprehensive Earnings for the years</w:t>
            </w:r>
          </w:p>
        </w:tc>
        <w:tc>
          <w:tcPr>
            <w:tcW w:w="1500" w:type="dxa"/>
            <w:vAlign w:val="bottom"/>
          </w:tcPr>
          <w:p>
            <w:pPr>
              <w:spacing w:after="0"/>
              <w:rPr>
                <w:sz w:val="24"/>
                <w:szCs w:val="24"/>
                <w:color w:val="auto"/>
              </w:rPr>
            </w:pPr>
          </w:p>
        </w:tc>
      </w:tr>
      <w:tr>
        <w:trPr>
          <w:trHeight w:val="222"/>
        </w:trPr>
        <w:tc>
          <w:tcPr>
            <w:tcW w:w="5920" w:type="dxa"/>
            <w:vAlign w:val="bottom"/>
          </w:tcPr>
          <w:p>
            <w:pPr>
              <w:ind w:left="320"/>
              <w:spacing w:after="0"/>
              <w:rPr>
                <w:sz w:val="20"/>
                <w:szCs w:val="20"/>
                <w:color w:val="auto"/>
              </w:rPr>
            </w:pPr>
            <w:r>
              <w:rPr>
                <w:rFonts w:ascii="Arial" w:cs="Arial" w:eastAsia="Arial" w:hAnsi="Arial"/>
                <w:sz w:val="18"/>
                <w:szCs w:val="18"/>
                <w:color w:val="auto"/>
              </w:rPr>
              <w:t>ended December 31, 2016 and 2015</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91"/>
              </w:rPr>
              <w:t>F - 3</w:t>
            </w:r>
          </w:p>
        </w:tc>
      </w:tr>
      <w:tr>
        <w:trPr>
          <w:trHeight w:val="399"/>
        </w:trPr>
        <w:tc>
          <w:tcPr>
            <w:tcW w:w="5920" w:type="dxa"/>
            <w:vAlign w:val="bottom"/>
          </w:tcPr>
          <w:p>
            <w:pPr>
              <w:ind w:left="180"/>
              <w:spacing w:after="0"/>
              <w:rPr>
                <w:sz w:val="20"/>
                <w:szCs w:val="20"/>
                <w:color w:val="auto"/>
              </w:rPr>
            </w:pPr>
            <w:r>
              <w:rPr>
                <w:rFonts w:ascii="Arial" w:cs="Arial" w:eastAsia="Arial" w:hAnsi="Arial"/>
                <w:sz w:val="18"/>
                <w:szCs w:val="18"/>
                <w:color w:val="auto"/>
              </w:rPr>
              <w:t>Consolidated Statements of Stockholders' Equity for the years</w:t>
            </w:r>
          </w:p>
        </w:tc>
        <w:tc>
          <w:tcPr>
            <w:tcW w:w="1500" w:type="dxa"/>
            <w:vAlign w:val="bottom"/>
          </w:tcPr>
          <w:p>
            <w:pPr>
              <w:spacing w:after="0"/>
              <w:rPr>
                <w:sz w:val="24"/>
                <w:szCs w:val="24"/>
                <w:color w:val="auto"/>
              </w:rPr>
            </w:pPr>
          </w:p>
        </w:tc>
      </w:tr>
      <w:tr>
        <w:trPr>
          <w:trHeight w:val="222"/>
        </w:trPr>
        <w:tc>
          <w:tcPr>
            <w:tcW w:w="5920" w:type="dxa"/>
            <w:vAlign w:val="bottom"/>
          </w:tcPr>
          <w:p>
            <w:pPr>
              <w:ind w:left="320"/>
              <w:spacing w:after="0"/>
              <w:rPr>
                <w:sz w:val="20"/>
                <w:szCs w:val="20"/>
                <w:color w:val="auto"/>
              </w:rPr>
            </w:pPr>
            <w:r>
              <w:rPr>
                <w:rFonts w:ascii="Arial" w:cs="Arial" w:eastAsia="Arial" w:hAnsi="Arial"/>
                <w:sz w:val="18"/>
                <w:szCs w:val="18"/>
                <w:color w:val="auto"/>
              </w:rPr>
              <w:t>ended December 31, 2016 and 2015</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91"/>
              </w:rPr>
              <w:t>F - 4</w:t>
            </w:r>
          </w:p>
        </w:tc>
      </w:tr>
      <w:tr>
        <w:trPr>
          <w:trHeight w:val="399"/>
        </w:trPr>
        <w:tc>
          <w:tcPr>
            <w:tcW w:w="5920" w:type="dxa"/>
            <w:vAlign w:val="bottom"/>
          </w:tcPr>
          <w:p>
            <w:pPr>
              <w:ind w:left="180"/>
              <w:spacing w:after="0"/>
              <w:rPr>
                <w:sz w:val="20"/>
                <w:szCs w:val="20"/>
                <w:color w:val="auto"/>
              </w:rPr>
            </w:pPr>
            <w:r>
              <w:rPr>
                <w:rFonts w:ascii="Arial" w:cs="Arial" w:eastAsia="Arial" w:hAnsi="Arial"/>
                <w:sz w:val="18"/>
                <w:szCs w:val="18"/>
                <w:color w:val="auto"/>
              </w:rPr>
              <w:t>Consolidated Statements of Cash Flows for the years ended</w:t>
            </w:r>
          </w:p>
        </w:tc>
        <w:tc>
          <w:tcPr>
            <w:tcW w:w="1500" w:type="dxa"/>
            <w:vAlign w:val="bottom"/>
          </w:tcPr>
          <w:p>
            <w:pPr>
              <w:spacing w:after="0"/>
              <w:rPr>
                <w:sz w:val="24"/>
                <w:szCs w:val="24"/>
                <w:color w:val="auto"/>
              </w:rPr>
            </w:pPr>
          </w:p>
        </w:tc>
      </w:tr>
      <w:tr>
        <w:trPr>
          <w:trHeight w:val="222"/>
        </w:trPr>
        <w:tc>
          <w:tcPr>
            <w:tcW w:w="5920" w:type="dxa"/>
            <w:vAlign w:val="bottom"/>
          </w:tcPr>
          <w:p>
            <w:pPr>
              <w:ind w:left="320"/>
              <w:spacing w:after="0"/>
              <w:rPr>
                <w:sz w:val="20"/>
                <w:szCs w:val="20"/>
                <w:color w:val="auto"/>
              </w:rPr>
            </w:pPr>
            <w:r>
              <w:rPr>
                <w:rFonts w:ascii="Arial" w:cs="Arial" w:eastAsia="Arial" w:hAnsi="Arial"/>
                <w:sz w:val="18"/>
                <w:szCs w:val="18"/>
                <w:color w:val="auto"/>
              </w:rPr>
              <w:t>December 31, 2016 and 2015</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91"/>
              </w:rPr>
              <w:t>F - 5</w:t>
            </w:r>
          </w:p>
        </w:tc>
      </w:tr>
      <w:tr>
        <w:trPr>
          <w:trHeight w:val="405"/>
        </w:trPr>
        <w:tc>
          <w:tcPr>
            <w:tcW w:w="5920" w:type="dxa"/>
            <w:vAlign w:val="bottom"/>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91"/>
              </w:rPr>
              <w:t>F - 6</w:t>
            </w:r>
          </w:p>
        </w:tc>
      </w:tr>
      <w:tr>
        <w:trPr>
          <w:trHeight w:val="405"/>
        </w:trPr>
        <w:tc>
          <w:tcPr>
            <w:tcW w:w="5920" w:type="dxa"/>
            <w:vAlign w:val="bottom"/>
          </w:tcPr>
          <w:p>
            <w:pPr>
              <w:spacing w:after="0"/>
              <w:rPr>
                <w:sz w:val="20"/>
                <w:szCs w:val="20"/>
                <w:color w:val="auto"/>
              </w:rPr>
            </w:pPr>
            <w:r>
              <w:rPr>
                <w:rFonts w:ascii="Arial" w:cs="Arial" w:eastAsia="Arial" w:hAnsi="Arial"/>
                <w:sz w:val="18"/>
                <w:szCs w:val="18"/>
                <w:color w:val="auto"/>
              </w:rPr>
              <w:t>FINANCIAL STATEMENT SCHEDULE</w:t>
            </w:r>
          </w:p>
        </w:tc>
        <w:tc>
          <w:tcPr>
            <w:tcW w:w="1500" w:type="dxa"/>
            <w:vAlign w:val="bottom"/>
          </w:tcPr>
          <w:p>
            <w:pPr>
              <w:spacing w:after="0"/>
              <w:rPr>
                <w:sz w:val="24"/>
                <w:szCs w:val="24"/>
                <w:color w:val="auto"/>
              </w:rPr>
            </w:pPr>
          </w:p>
        </w:tc>
      </w:tr>
      <w:tr>
        <w:trPr>
          <w:trHeight w:val="432"/>
        </w:trPr>
        <w:tc>
          <w:tcPr>
            <w:tcW w:w="5920" w:type="dxa"/>
            <w:vAlign w:val="bottom"/>
          </w:tcPr>
          <w:p>
            <w:pPr>
              <w:ind w:left="180"/>
              <w:spacing w:after="0"/>
              <w:rPr>
                <w:sz w:val="20"/>
                <w:szCs w:val="20"/>
                <w:color w:val="auto"/>
              </w:rPr>
            </w:pPr>
            <w:r>
              <w:rPr>
                <w:rFonts w:ascii="Arial" w:cs="Arial" w:eastAsia="Arial" w:hAnsi="Arial"/>
                <w:sz w:val="18"/>
                <w:szCs w:val="18"/>
                <w:color w:val="auto"/>
              </w:rPr>
              <w:t>Schedule II - Valuation and Qualifying Accounts</w:t>
            </w:r>
          </w:p>
        </w:tc>
        <w:tc>
          <w:tcPr>
            <w:tcW w:w="1500" w:type="dxa"/>
            <w:vAlign w:val="bottom"/>
          </w:tcPr>
          <w:p>
            <w:pPr>
              <w:jc w:val="center"/>
              <w:ind w:left="992"/>
              <w:spacing w:after="0"/>
              <w:rPr>
                <w:sz w:val="20"/>
                <w:szCs w:val="20"/>
                <w:color w:val="auto"/>
              </w:rPr>
            </w:pPr>
            <w:r>
              <w:rPr>
                <w:rFonts w:ascii="Arial" w:cs="Arial" w:eastAsia="Arial" w:hAnsi="Arial"/>
                <w:sz w:val="18"/>
                <w:szCs w:val="18"/>
                <w:color w:val="auto"/>
                <w:w w:val="89"/>
              </w:rPr>
              <w:t>F - 23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have audited the accompanying consolidated balance sheets of inTEST Corporation and subsidiaries as of December 31, 2016 and 2015, and the related consolidated statements of operations, comprehensive earnings,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inTEST Corporation and subsidiaries as of December 31, 2016 and 2015,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ectPr>
          <w:pgSz w:w="11900" w:h="16838" w:orient="portrait"/>
          <w:cols w:equalWidth="0" w:num="1">
            <w:col w:w="11360"/>
          </w:cols>
          <w:pgMar w:left="240" w:top="64"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ectPr>
          <w:pgSz w:w="11900" w:h="16838" w:orient="portrait"/>
          <w:cols w:equalWidth="0" w:num="1">
            <w:col w:w="11360"/>
          </w:cols>
          <w:pgMar w:left="240" w:top="64" w:right="29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right"/>
              <w:ind w:right="420"/>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960" w:type="dxa"/>
            <w:vAlign w:val="bottom"/>
          </w:tcPr>
          <w:p>
            <w:pPr>
              <w:spacing w:after="0"/>
              <w:rPr>
                <w:sz w:val="17"/>
                <w:szCs w:val="17"/>
                <w:color w:val="auto"/>
              </w:rPr>
            </w:pPr>
          </w:p>
        </w:tc>
        <w:tc>
          <w:tcPr>
            <w:tcW w:w="222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2016</w:t>
            </w:r>
          </w:p>
        </w:tc>
        <w:tc>
          <w:tcPr>
            <w:tcW w:w="28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220" w:type="dxa"/>
            <w:vAlign w:val="bottom"/>
            <w:gridSpan w:val="3"/>
          </w:tcPr>
          <w:p>
            <w:pPr>
              <w:jc w:val="right"/>
              <w:ind w:righ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$28,611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$25,710</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$146 and $146, respectively</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5,377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4,395</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3,520</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Prepaid expenses and other current assets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342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639</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38,006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34,264</w:t>
            </w:r>
          </w:p>
        </w:tc>
      </w:tr>
      <w:tr>
        <w:trPr>
          <w:trHeight w:val="221"/>
        </w:trPr>
        <w:tc>
          <w:tcPr>
            <w:tcW w:w="6960" w:type="dxa"/>
            <w:vAlign w:val="bottom"/>
          </w:tcPr>
          <w:p>
            <w:pPr>
              <w:spacing w:after="0"/>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4,383</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4,377</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Leasehold improvements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603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603</w:t>
            </w:r>
          </w:p>
        </w:tc>
      </w:tr>
      <w:tr>
        <w:trPr>
          <w:trHeight w:val="221"/>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Gross property and equipment</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4,980</w:t>
            </w:r>
          </w:p>
        </w:tc>
        <w:tc>
          <w:tcPr>
            <w:tcW w:w="120" w:type="dxa"/>
            <w:vAlign w:val="bottom"/>
          </w:tcPr>
          <w:p>
            <w:pPr>
              <w:spacing w:after="0"/>
              <w:rPr>
                <w:sz w:val="19"/>
                <w:szCs w:val="19"/>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Less: accumulated depreciation</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(4,042)</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(3,868)</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944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1,112</w:t>
            </w:r>
          </w:p>
        </w:tc>
      </w:tr>
      <w:tr>
        <w:trPr>
          <w:trHeight w:val="424"/>
        </w:trPr>
        <w:tc>
          <w:tcPr>
            <w:tcW w:w="69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22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1,110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1,245</w:t>
            </w:r>
          </w:p>
        </w:tc>
        <w:tc>
          <w:tcPr>
            <w:tcW w:w="120" w:type="dxa"/>
            <w:vAlign w:val="bottom"/>
          </w:tcPr>
          <w:p>
            <w:pPr>
              <w:spacing w:after="0"/>
              <w:rPr>
                <w:sz w:val="24"/>
                <w:szCs w:val="24"/>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1,104</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120" w:type="dxa"/>
            <w:vAlign w:val="bottom"/>
          </w:tcPr>
          <w:p>
            <w:pPr>
              <w:spacing w:after="0"/>
              <w:rPr>
                <w:sz w:val="17"/>
                <w:szCs w:val="17"/>
                <w:color w:val="auto"/>
              </w:rPr>
            </w:pPr>
          </w:p>
        </w:tc>
      </w:tr>
      <w:tr>
        <w:trPr>
          <w:trHeight w:val="164"/>
        </w:trPr>
        <w:tc>
          <w:tcPr>
            <w:tcW w:w="696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28</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203</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Total assets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$42,844</w:t>
            </w:r>
          </w:p>
        </w:tc>
        <w:tc>
          <w:tcPr>
            <w:tcW w:w="2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20" w:type="dxa"/>
            <w:vAlign w:val="bottom"/>
          </w:tcPr>
          <w:p>
            <w:pPr>
              <w:spacing w:after="0"/>
              <w:rPr>
                <w:sz w:val="19"/>
                <w:szCs w:val="19"/>
                <w:color w:val="auto"/>
              </w:rPr>
            </w:pP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$ 1,368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909</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1,588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1,466</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572</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657</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363</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287</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297</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575</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rPr>
              <w:t>Other current liabilities</w:t>
            </w:r>
          </w:p>
        </w:tc>
        <w:tc>
          <w:tcPr>
            <w:tcW w:w="220" w:type="dxa"/>
            <w:vAlign w:val="bottom"/>
          </w:tcPr>
          <w:p>
            <w:pPr>
              <w:spacing w:after="0"/>
              <w:rPr>
                <w:sz w:val="14"/>
                <w:szCs w:val="14"/>
                <w:color w:val="auto"/>
              </w:rPr>
            </w:pPr>
          </w:p>
        </w:tc>
        <w:tc>
          <w:tcPr>
            <w:tcW w:w="72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247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341</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5,056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4,059</w:t>
            </w:r>
          </w:p>
        </w:tc>
      </w:tr>
      <w:tr>
        <w:trPr>
          <w:trHeight w:val="424"/>
        </w:trPr>
        <w:tc>
          <w:tcPr>
            <w:tcW w:w="69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405"/>
        </w:trPr>
        <w:tc>
          <w:tcPr>
            <w:tcW w:w="6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10,394,018 and 10,549,423 shares issued, respectively</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25,578</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26,286</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11,671</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9,013</w:t>
            </w:r>
          </w:p>
        </w:tc>
        <w:tc>
          <w:tcPr>
            <w:tcW w:w="120" w:type="dxa"/>
            <w:vAlign w:val="bottom"/>
          </w:tcPr>
          <w:p>
            <w:pPr>
              <w:spacing w:after="0"/>
              <w:rPr>
                <w:sz w:val="17"/>
                <w:szCs w:val="17"/>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639</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725</w:t>
            </w:r>
          </w:p>
        </w:tc>
        <w:tc>
          <w:tcPr>
            <w:tcW w:w="120" w:type="dxa"/>
            <w:vAlign w:val="bottom"/>
          </w:tcPr>
          <w:p>
            <w:pPr>
              <w:spacing w:after="0"/>
              <w:rPr>
                <w:sz w:val="17"/>
                <w:szCs w:val="17"/>
                <w:color w:val="auto"/>
              </w:rPr>
            </w:pPr>
          </w:p>
        </w:tc>
      </w:tr>
      <w:tr>
        <w:trPr>
          <w:trHeight w:val="164"/>
        </w:trPr>
        <w:tc>
          <w:tcPr>
            <w:tcW w:w="6960" w:type="dxa"/>
            <w:vAlign w:val="bottom"/>
          </w:tcPr>
          <w:p>
            <w:pPr>
              <w:ind w:left="220"/>
              <w:spacing w:after="0" w:line="164" w:lineRule="exact"/>
              <w:rPr>
                <w:sz w:val="20"/>
                <w:szCs w:val="20"/>
                <w:color w:val="auto"/>
              </w:rPr>
            </w:pPr>
            <w:r>
              <w:rPr>
                <w:rFonts w:ascii="Courier New" w:cs="Courier New" w:eastAsia="Courier New" w:hAnsi="Courier New"/>
                <w:sz w:val="18"/>
                <w:szCs w:val="18"/>
                <w:color w:val="auto"/>
                <w:w w:val="98"/>
              </w:rPr>
              <w:t>Treasury stock, at cost; 33,077 and 33,077 shares, respectively</w:t>
            </w:r>
          </w:p>
        </w:tc>
        <w:tc>
          <w:tcPr>
            <w:tcW w:w="220" w:type="dxa"/>
            <w:vAlign w:val="bottom"/>
          </w:tcPr>
          <w:p>
            <w:pPr>
              <w:spacing w:after="0"/>
              <w:rPr>
                <w:sz w:val="14"/>
                <w:szCs w:val="14"/>
                <w:color w:val="auto"/>
              </w:rPr>
            </w:pPr>
          </w:p>
        </w:tc>
        <w:tc>
          <w:tcPr>
            <w:tcW w:w="1000" w:type="dxa"/>
            <w:vAlign w:val="bottom"/>
            <w:gridSpan w:val="2"/>
          </w:tcPr>
          <w:p>
            <w:pPr>
              <w:jc w:val="right"/>
              <w:ind w:right="160"/>
              <w:spacing w:after="0" w:line="164"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64" w:lineRule="exact"/>
              <w:rPr>
                <w:sz w:val="20"/>
                <w:szCs w:val="20"/>
                <w:color w:val="auto"/>
              </w:rPr>
            </w:pPr>
            <w:r>
              <w:rPr>
                <w:rFonts w:ascii="Courier New" w:cs="Courier New" w:eastAsia="Courier New" w:hAnsi="Courier New"/>
                <w:sz w:val="18"/>
                <w:szCs w:val="18"/>
                <w:color w:val="auto"/>
              </w:rPr>
              <w:t>(204)</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rPr>
              <w:t>37,788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35,925</w:t>
            </w:r>
          </w:p>
        </w:tc>
      </w:tr>
      <w:tr>
        <w:trPr>
          <w:trHeight w:val="20"/>
        </w:trPr>
        <w:tc>
          <w:tcPr>
            <w:tcW w:w="6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$42,844</w:t>
            </w:r>
          </w:p>
        </w:tc>
        <w:tc>
          <w:tcPr>
            <w:tcW w:w="28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$39,984</w:t>
            </w:r>
          </w:p>
        </w:tc>
        <w:tc>
          <w:tcPr>
            <w:tcW w:w="120" w:type="dxa"/>
            <w:vAlign w:val="bottom"/>
          </w:tcPr>
          <w:p>
            <w:pPr>
              <w:spacing w:after="0"/>
              <w:rPr>
                <w:sz w:val="24"/>
                <w:szCs w:val="24"/>
                <w:color w:val="auto"/>
              </w:rPr>
            </w:pPr>
          </w:p>
        </w:tc>
      </w:tr>
      <w:tr>
        <w:trPr>
          <w:trHeight w:val="203"/>
        </w:trPr>
        <w:tc>
          <w:tcPr>
            <w:tcW w:w="696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38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219"/>
          </w:cols>
          <w:pgMar w:left="240" w:top="914" w:right="1440" w:bottom="0" w:gutter="0" w:footer="0" w:header="0"/>
        </w:sectPr>
      </w:pPr>
    </w:p>
    <w:bookmarkStart w:id="28" w:name="page29"/>
    <w:bookmarkEnd w:id="28"/>
    <w:p>
      <w:pPr>
        <w:spacing w:after="0" w:line="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and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3160" w:type="dxa"/>
            <w:vAlign w:val="bottom"/>
            <w:gridSpan w:val="7"/>
          </w:tcPr>
          <w:p>
            <w:pPr>
              <w:ind w:left="5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600" w:type="dxa"/>
            <w:vAlign w:val="bottom"/>
          </w:tcPr>
          <w:p>
            <w:pPr>
              <w:spacing w:after="0"/>
              <w:rPr>
                <w:sz w:val="17"/>
                <w:szCs w:val="17"/>
                <w:color w:val="auto"/>
              </w:rPr>
            </w:pPr>
          </w:p>
        </w:tc>
        <w:tc>
          <w:tcPr>
            <w:tcW w:w="30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c>
          <w:tcPr>
            <w:tcW w:w="12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revenues</w:t>
            </w: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$40,227</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$38,889</w:t>
            </w:r>
          </w:p>
        </w:tc>
        <w:tc>
          <w:tcPr>
            <w:tcW w:w="120" w:type="dxa"/>
            <w:vAlign w:val="bottom"/>
          </w:tcPr>
          <w:p>
            <w:pPr>
              <w:spacing w:after="0"/>
              <w:rPr>
                <w:sz w:val="17"/>
                <w:szCs w:val="17"/>
                <w:color w:val="auto"/>
              </w:rPr>
            </w:pPr>
          </w:p>
        </w:tc>
      </w:tr>
      <w:tr>
        <w:trPr>
          <w:trHeight w:val="164"/>
        </w:trPr>
        <w:tc>
          <w:tcPr>
            <w:tcW w:w="5600" w:type="dxa"/>
            <w:vAlign w:val="bottom"/>
          </w:tcPr>
          <w:p>
            <w:pPr>
              <w:spacing w:after="0" w:line="164" w:lineRule="exact"/>
              <w:rPr>
                <w:sz w:val="20"/>
                <w:szCs w:val="20"/>
                <w:color w:val="auto"/>
              </w:rPr>
            </w:pPr>
            <w:r>
              <w:rPr>
                <w:rFonts w:ascii="Courier New" w:cs="Courier New" w:eastAsia="Courier New" w:hAnsi="Courier New"/>
                <w:sz w:val="18"/>
                <w:szCs w:val="18"/>
                <w:color w:val="auto"/>
              </w:rPr>
              <w:t>Cost of revenues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w w:val="95"/>
              </w:rPr>
              <w:t>19,849</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20,191</w:t>
            </w:r>
          </w:p>
        </w:tc>
      </w:tr>
      <w:tr>
        <w:trPr>
          <w:trHeight w:val="20"/>
        </w:trPr>
        <w:tc>
          <w:tcPr>
            <w:tcW w:w="5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60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w w:val="95"/>
              </w:rPr>
              <w:t>20,378</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18,698</w:t>
            </w:r>
          </w:p>
        </w:tc>
      </w:tr>
      <w:tr>
        <w:trPr>
          <w:trHeight w:val="424"/>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5,567</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5,797</w:t>
            </w:r>
          </w:p>
        </w:tc>
        <w:tc>
          <w:tcPr>
            <w:tcW w:w="12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3,660</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3,935</w:t>
            </w:r>
          </w:p>
        </w:tc>
        <w:tc>
          <w:tcPr>
            <w:tcW w:w="120" w:type="dxa"/>
            <w:vAlign w:val="bottom"/>
          </w:tcPr>
          <w:p>
            <w:pPr>
              <w:spacing w:after="0"/>
              <w:rPr>
                <w:sz w:val="17"/>
                <w:szCs w:val="17"/>
                <w:color w:val="auto"/>
              </w:rPr>
            </w:pPr>
          </w:p>
        </w:tc>
      </w:tr>
      <w:tr>
        <w:trPr>
          <w:trHeight w:val="164"/>
        </w:trPr>
        <w:tc>
          <w:tcPr>
            <w:tcW w:w="5600" w:type="dxa"/>
            <w:vAlign w:val="bottom"/>
          </w:tcPr>
          <w:p>
            <w:pPr>
              <w:ind w:left="320"/>
              <w:spacing w:after="0" w:line="164" w:lineRule="exact"/>
              <w:rPr>
                <w:sz w:val="20"/>
                <w:szCs w:val="20"/>
                <w:color w:val="auto"/>
              </w:rPr>
            </w:pPr>
            <w:r>
              <w:rPr>
                <w:rFonts w:ascii="Courier New" w:cs="Courier New" w:eastAsia="Courier New" w:hAnsi="Courier New"/>
                <w:sz w:val="18"/>
                <w:szCs w:val="18"/>
                <w:color w:val="auto"/>
              </w:rPr>
              <w:t>General and administrative expense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7,005</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6,404</w:t>
            </w:r>
          </w:p>
        </w:tc>
      </w:tr>
      <w:tr>
        <w:trPr>
          <w:trHeight w:val="20"/>
        </w:trPr>
        <w:tc>
          <w:tcPr>
            <w:tcW w:w="5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560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Courier New" w:cs="Courier New" w:eastAsia="Courier New" w:hAnsi="Courier New"/>
                <w:sz w:val="18"/>
                <w:szCs w:val="18"/>
                <w:color w:val="auto"/>
                <w:w w:val="95"/>
              </w:rPr>
              <w:t>16,232</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gridSpan w:val="2"/>
          </w:tcPr>
          <w:p>
            <w:pPr>
              <w:jc w:val="right"/>
              <w:ind w:right="120"/>
              <w:spacing w:after="0" w:line="182" w:lineRule="exact"/>
              <w:rPr>
                <w:sz w:val="20"/>
                <w:szCs w:val="20"/>
                <w:color w:val="auto"/>
              </w:rPr>
            </w:pPr>
            <w:r>
              <w:rPr>
                <w:rFonts w:ascii="Courier New" w:cs="Courier New" w:eastAsia="Courier New" w:hAnsi="Courier New"/>
                <w:sz w:val="18"/>
                <w:szCs w:val="18"/>
                <w:color w:val="auto"/>
              </w:rPr>
              <w:t>16,136</w:t>
            </w:r>
          </w:p>
        </w:tc>
      </w:tr>
      <w:tr>
        <w:trPr>
          <w:trHeight w:val="424"/>
        </w:trPr>
        <w:tc>
          <w:tcPr>
            <w:tcW w:w="56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4,146</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2,562</w:t>
            </w:r>
          </w:p>
        </w:tc>
        <w:tc>
          <w:tcPr>
            <w:tcW w:w="120" w:type="dxa"/>
            <w:vAlign w:val="bottom"/>
          </w:tcPr>
          <w:p>
            <w:pPr>
              <w:spacing w:after="0"/>
              <w:rPr>
                <w:sz w:val="24"/>
                <w:szCs w:val="24"/>
                <w:color w:val="auto"/>
              </w:rPr>
            </w:pPr>
          </w:p>
        </w:tc>
      </w:tr>
      <w:tr>
        <w:trPr>
          <w:trHeight w:val="164"/>
        </w:trPr>
        <w:tc>
          <w:tcPr>
            <w:tcW w:w="5600" w:type="dxa"/>
            <w:vAlign w:val="bottom"/>
          </w:tcPr>
          <w:p>
            <w:pPr>
              <w:spacing w:after="0" w:line="164" w:lineRule="exact"/>
              <w:rPr>
                <w:sz w:val="20"/>
                <w:szCs w:val="20"/>
                <w:color w:val="auto"/>
              </w:rPr>
            </w:pPr>
            <w:r>
              <w:rPr>
                <w:rFonts w:ascii="Courier New" w:cs="Courier New" w:eastAsia="Courier New" w:hAnsi="Courier New"/>
                <w:sz w:val="18"/>
                <w:szCs w:val="18"/>
                <w:color w:val="auto"/>
              </w:rPr>
              <w:t>Other income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61</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21</w:t>
            </w:r>
          </w:p>
        </w:tc>
      </w:tr>
      <w:tr>
        <w:trPr>
          <w:trHeight w:val="424"/>
        </w:trPr>
        <w:tc>
          <w:tcPr>
            <w:tcW w:w="560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4,207</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2,583</w:t>
            </w:r>
          </w:p>
        </w:tc>
        <w:tc>
          <w:tcPr>
            <w:tcW w:w="120" w:type="dxa"/>
            <w:vAlign w:val="bottom"/>
          </w:tcPr>
          <w:p>
            <w:pPr>
              <w:spacing w:after="0"/>
              <w:rPr>
                <w:sz w:val="24"/>
                <w:szCs w:val="24"/>
                <w:color w:val="auto"/>
              </w:rPr>
            </w:pPr>
          </w:p>
        </w:tc>
      </w:tr>
      <w:tr>
        <w:trPr>
          <w:trHeight w:val="164"/>
        </w:trPr>
        <w:tc>
          <w:tcPr>
            <w:tcW w:w="5600" w:type="dxa"/>
            <w:vAlign w:val="bottom"/>
          </w:tcPr>
          <w:p>
            <w:pPr>
              <w:spacing w:after="0" w:line="164" w:lineRule="exact"/>
              <w:rPr>
                <w:sz w:val="20"/>
                <w:szCs w:val="20"/>
                <w:color w:val="auto"/>
              </w:rPr>
            </w:pPr>
            <w:r>
              <w:rPr>
                <w:rFonts w:ascii="Courier New" w:cs="Courier New" w:eastAsia="Courier New" w:hAnsi="Courier New"/>
                <w:sz w:val="18"/>
                <w:szCs w:val="18"/>
                <w:color w:val="auto"/>
              </w:rPr>
              <w:t>Income tax expense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4" w:lineRule="exact"/>
              <w:rPr>
                <w:sz w:val="20"/>
                <w:szCs w:val="20"/>
                <w:color w:val="auto"/>
              </w:rPr>
            </w:pPr>
            <w:r>
              <w:rPr>
                <w:rFonts w:ascii="Courier New" w:cs="Courier New" w:eastAsia="Courier New" w:hAnsi="Courier New"/>
                <w:sz w:val="18"/>
                <w:szCs w:val="18"/>
                <w:color w:val="auto"/>
              </w:rPr>
              <w:t>1,549</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gridSpan w:val="2"/>
          </w:tcPr>
          <w:p>
            <w:pPr>
              <w:jc w:val="right"/>
              <w:ind w:right="120"/>
              <w:spacing w:after="0" w:line="164" w:lineRule="exact"/>
              <w:rPr>
                <w:sz w:val="20"/>
                <w:szCs w:val="20"/>
                <w:color w:val="auto"/>
              </w:rPr>
            </w:pPr>
            <w:r>
              <w:rPr>
                <w:rFonts w:ascii="Courier New" w:cs="Courier New" w:eastAsia="Courier New" w:hAnsi="Courier New"/>
                <w:sz w:val="18"/>
                <w:szCs w:val="18"/>
                <w:color w:val="auto"/>
              </w:rPr>
              <w:t>722</w:t>
            </w:r>
          </w:p>
        </w:tc>
      </w:tr>
      <w:tr>
        <w:trPr>
          <w:trHeight w:val="20"/>
        </w:trPr>
        <w:tc>
          <w:tcPr>
            <w:tcW w:w="5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600" w:type="dxa"/>
            <w:vAlign w:val="bottom"/>
          </w:tcPr>
          <w:p>
            <w:pPr>
              <w:ind w:left="640"/>
              <w:spacing w:after="0"/>
              <w:rPr>
                <w:sz w:val="20"/>
                <w:szCs w:val="20"/>
                <w:color w:val="auto"/>
              </w:rPr>
            </w:pPr>
            <w:r>
              <w:rPr>
                <w:rFonts w:ascii="Courier New" w:cs="Courier New" w:eastAsia="Courier New" w:hAnsi="Courier New"/>
                <w:sz w:val="18"/>
                <w:szCs w:val="18"/>
                <w:color w:val="auto"/>
              </w:rPr>
              <w:t>Net earnings</w:t>
            </w:r>
          </w:p>
        </w:tc>
        <w:tc>
          <w:tcPr>
            <w:tcW w:w="62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2,658</w:t>
            </w:r>
          </w:p>
        </w:tc>
        <w:tc>
          <w:tcPr>
            <w:tcW w:w="4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$ 1,861</w:t>
            </w:r>
          </w:p>
        </w:tc>
        <w:tc>
          <w:tcPr>
            <w:tcW w:w="120" w:type="dxa"/>
            <w:vAlign w:val="bottom"/>
          </w:tcPr>
          <w:p>
            <w:pPr>
              <w:spacing w:after="0"/>
              <w:rPr>
                <w:sz w:val="24"/>
                <w:szCs w:val="24"/>
                <w:color w:val="auto"/>
              </w:rPr>
            </w:pPr>
          </w:p>
        </w:tc>
      </w:tr>
      <w:tr>
        <w:trPr>
          <w:trHeight w:val="203"/>
        </w:trPr>
        <w:tc>
          <w:tcPr>
            <w:tcW w:w="5600" w:type="dxa"/>
            <w:vAlign w:val="bottom"/>
          </w:tcPr>
          <w:p>
            <w:pPr>
              <w:spacing w:after="0"/>
              <w:rPr>
                <w:sz w:val="17"/>
                <w:szCs w:val="17"/>
                <w:color w:val="auto"/>
              </w:rPr>
            </w:pP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basic</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$0.26</w:t>
            </w:r>
          </w:p>
        </w:tc>
        <w:tc>
          <w:tcPr>
            <w:tcW w:w="460" w:type="dxa"/>
            <w:vAlign w:val="bottom"/>
          </w:tcPr>
          <w:p>
            <w:pPr>
              <w:spacing w:after="0"/>
              <w:rPr>
                <w:sz w:val="24"/>
                <w:szCs w:val="24"/>
                <w:color w:val="auto"/>
              </w:rPr>
            </w:pP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$0.18</w:t>
            </w:r>
          </w:p>
        </w:tc>
        <w:tc>
          <w:tcPr>
            <w:tcW w:w="120" w:type="dxa"/>
            <w:vAlign w:val="bottom"/>
          </w:tcPr>
          <w:p>
            <w:pPr>
              <w:spacing w:after="0"/>
              <w:rPr>
                <w:sz w:val="24"/>
                <w:szCs w:val="24"/>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1720" w:type="dxa"/>
            <w:vAlign w:val="bottom"/>
            <w:gridSpan w:val="4"/>
          </w:tcPr>
          <w:p>
            <w:pPr>
              <w:ind w:left="300"/>
              <w:spacing w:after="0"/>
              <w:rPr>
                <w:sz w:val="20"/>
                <w:szCs w:val="20"/>
                <w:color w:val="auto"/>
              </w:rPr>
            </w:pPr>
            <w:r>
              <w:rPr>
                <w:rFonts w:ascii="Courier New" w:cs="Courier New" w:eastAsia="Courier New" w:hAnsi="Courier New"/>
                <w:sz w:val="18"/>
                <w:szCs w:val="18"/>
                <w:color w:val="auto"/>
              </w:rPr>
              <w:t>10,313,747</w:t>
            </w:r>
          </w:p>
        </w:tc>
        <w:tc>
          <w:tcPr>
            <w:tcW w:w="1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10,473,210</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earnings per common share - diluted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$0.26</w:t>
            </w:r>
          </w:p>
        </w:tc>
        <w:tc>
          <w:tcPr>
            <w:tcW w:w="460" w:type="dxa"/>
            <w:vAlign w:val="bottom"/>
          </w:tcPr>
          <w:p>
            <w:pPr>
              <w:spacing w:after="0"/>
              <w:rPr>
                <w:sz w:val="24"/>
                <w:szCs w:val="24"/>
                <w:color w:val="auto"/>
              </w:rPr>
            </w:pPr>
          </w:p>
        </w:tc>
        <w:tc>
          <w:tcPr>
            <w:tcW w:w="13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$0.18</w:t>
            </w:r>
          </w:p>
        </w:tc>
        <w:tc>
          <w:tcPr>
            <w:tcW w:w="120" w:type="dxa"/>
            <w:vAlign w:val="bottom"/>
          </w:tcPr>
          <w:p>
            <w:pPr>
              <w:spacing w:after="0"/>
              <w:rPr>
                <w:sz w:val="24"/>
                <w:szCs w:val="24"/>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and common share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 outstanding - diluted</w:t>
            </w:r>
          </w:p>
        </w:tc>
        <w:tc>
          <w:tcPr>
            <w:tcW w:w="1720" w:type="dxa"/>
            <w:vAlign w:val="bottom"/>
            <w:gridSpan w:val="4"/>
          </w:tcPr>
          <w:p>
            <w:pPr>
              <w:ind w:left="300"/>
              <w:spacing w:after="0" w:line="203" w:lineRule="exact"/>
              <w:rPr>
                <w:sz w:val="20"/>
                <w:szCs w:val="20"/>
                <w:color w:val="auto"/>
              </w:rPr>
            </w:pPr>
            <w:r>
              <w:rPr>
                <w:rFonts w:ascii="Courier New" w:cs="Courier New" w:eastAsia="Courier New" w:hAnsi="Courier New"/>
                <w:sz w:val="18"/>
                <w:szCs w:val="18"/>
                <w:color w:val="auto"/>
              </w:rPr>
              <w:t>10,332,920</w:t>
            </w:r>
          </w:p>
        </w:tc>
        <w:tc>
          <w:tcPr>
            <w:tcW w:w="1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10,493,830</w:t>
            </w:r>
          </w:p>
        </w:tc>
      </w:tr>
      <w:tr>
        <w:trPr>
          <w:trHeight w:val="608"/>
        </w:trPr>
        <w:tc>
          <w:tcPr>
            <w:tcW w:w="8760" w:type="dxa"/>
            <w:vAlign w:val="bottom"/>
            <w:gridSpan w:val="8"/>
          </w:tcPr>
          <w:p>
            <w:pPr>
              <w:jc w:val="center"/>
              <w:ind w:left="2592"/>
              <w:spacing w:after="0"/>
              <w:rPr>
                <w:sz w:val="20"/>
                <w:szCs w:val="20"/>
                <w:color w:val="auto"/>
              </w:rPr>
            </w:pPr>
            <w:r>
              <w:rPr>
                <w:rFonts w:ascii="Arial" w:cs="Arial" w:eastAsia="Arial" w:hAnsi="Arial"/>
                <w:sz w:val="18"/>
                <w:szCs w:val="18"/>
                <w:color w:val="auto"/>
                <w:w w:val="87"/>
              </w:rPr>
              <w:t>See accompanying Notes to Consolidated Financial Statements.</w:t>
            </w:r>
          </w:p>
        </w:tc>
      </w:tr>
      <w:tr>
        <w:trPr>
          <w:trHeight w:val="771"/>
        </w:trPr>
        <w:tc>
          <w:tcPr>
            <w:tcW w:w="7320" w:type="dxa"/>
            <w:vAlign w:val="bottom"/>
            <w:gridSpan w:val="5"/>
          </w:tcPr>
          <w:p>
            <w:pPr>
              <w:jc w:val="center"/>
              <w:ind w:left="4032"/>
              <w:spacing w:after="0"/>
              <w:rPr>
                <w:sz w:val="20"/>
                <w:szCs w:val="20"/>
                <w:color w:val="auto"/>
              </w:rPr>
            </w:pPr>
            <w:r>
              <w:rPr>
                <w:rFonts w:ascii="Arial" w:cs="Arial" w:eastAsia="Arial" w:hAnsi="Arial"/>
                <w:sz w:val="18"/>
                <w:szCs w:val="18"/>
                <w:b w:val="1"/>
                <w:bCs w:val="1"/>
                <w:color w:val="auto"/>
                <w:w w:val="96"/>
              </w:rPr>
              <w:t>inTEST CORPORATION</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2"/>
        </w:trPr>
        <w:tc>
          <w:tcPr>
            <w:tcW w:w="8760" w:type="dxa"/>
            <w:vAlign w:val="bottom"/>
            <w:gridSpan w:val="8"/>
          </w:tcPr>
          <w:p>
            <w:pPr>
              <w:jc w:val="center"/>
              <w:ind w:left="2572"/>
              <w:spacing w:after="0"/>
              <w:rPr>
                <w:sz w:val="20"/>
                <w:szCs w:val="20"/>
                <w:color w:val="auto"/>
              </w:rPr>
            </w:pPr>
            <w:r>
              <w:rPr>
                <w:rFonts w:ascii="Arial" w:cs="Arial" w:eastAsia="Arial" w:hAnsi="Arial"/>
                <w:sz w:val="18"/>
                <w:szCs w:val="18"/>
                <w:b w:val="1"/>
                <w:bCs w:val="1"/>
                <w:color w:val="auto"/>
                <w:w w:val="97"/>
              </w:rPr>
              <w:t>CONSOLIDATED STATEMENTS OF COMPREHENSIVE EARNINGS</w:t>
            </w:r>
          </w:p>
        </w:tc>
      </w:tr>
      <w:tr>
        <w:trPr>
          <w:trHeight w:val="222"/>
        </w:trPr>
        <w:tc>
          <w:tcPr>
            <w:tcW w:w="6220" w:type="dxa"/>
            <w:vAlign w:val="bottom"/>
            <w:gridSpan w:val="3"/>
          </w:tcPr>
          <w:p>
            <w:pPr>
              <w:jc w:val="center"/>
              <w:ind w:left="5112"/>
              <w:spacing w:after="0"/>
              <w:rPr>
                <w:sz w:val="20"/>
                <w:szCs w:val="20"/>
                <w:color w:val="auto"/>
              </w:rPr>
            </w:pPr>
            <w:r>
              <w:rPr>
                <w:rFonts w:ascii="Arial" w:cs="Arial" w:eastAsia="Arial" w:hAnsi="Arial"/>
                <w:sz w:val="18"/>
                <w:szCs w:val="18"/>
                <w:color w:val="auto"/>
                <w:w w:val="88"/>
              </w:rPr>
              <w:t>(In thousands)</w:t>
            </w: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8"/>
        </w:trPr>
        <w:tc>
          <w:tcPr>
            <w:tcW w:w="5600" w:type="dxa"/>
            <w:vAlign w:val="bottom"/>
          </w:tcPr>
          <w:p>
            <w:pPr>
              <w:spacing w:after="0"/>
              <w:rPr>
                <w:sz w:val="24"/>
                <w:szCs w:val="24"/>
                <w:color w:val="auto"/>
              </w:rPr>
            </w:pPr>
          </w:p>
        </w:tc>
        <w:tc>
          <w:tcPr>
            <w:tcW w:w="3160" w:type="dxa"/>
            <w:vAlign w:val="bottom"/>
            <w:gridSpan w:val="7"/>
          </w:tcPr>
          <w:p>
            <w:pPr>
              <w:ind w:left="520"/>
              <w:spacing w:after="0"/>
              <w:rPr>
                <w:sz w:val="20"/>
                <w:szCs w:val="20"/>
                <w:color w:val="auto"/>
              </w:rPr>
            </w:pPr>
            <w:r>
              <w:rPr>
                <w:rFonts w:ascii="Courier New" w:cs="Courier New" w:eastAsia="Courier New" w:hAnsi="Courier New"/>
                <w:sz w:val="18"/>
                <w:szCs w:val="18"/>
                <w:color w:val="auto"/>
              </w:rPr>
              <w:t>Years Ended December 31,</w:t>
            </w:r>
          </w:p>
        </w:tc>
      </w:tr>
      <w:tr>
        <w:trPr>
          <w:trHeight w:val="203"/>
        </w:trPr>
        <w:tc>
          <w:tcPr>
            <w:tcW w:w="5600" w:type="dxa"/>
            <w:vAlign w:val="bottom"/>
          </w:tcPr>
          <w:p>
            <w:pPr>
              <w:spacing w:after="0"/>
              <w:rPr>
                <w:sz w:val="17"/>
                <w:szCs w:val="17"/>
                <w:color w:val="auto"/>
              </w:rPr>
            </w:pPr>
          </w:p>
        </w:tc>
        <w:tc>
          <w:tcPr>
            <w:tcW w:w="30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2016</w:t>
            </w:r>
          </w:p>
        </w:tc>
        <w:tc>
          <w:tcPr>
            <w:tcW w:w="460" w:type="dxa"/>
            <w:vAlign w:val="bottom"/>
          </w:tcPr>
          <w:p>
            <w:pPr>
              <w:spacing w:after="0"/>
              <w:rPr>
                <w:sz w:val="17"/>
                <w:szCs w:val="17"/>
                <w:color w:val="auto"/>
              </w:rPr>
            </w:pPr>
          </w:p>
        </w:tc>
        <w:tc>
          <w:tcPr>
            <w:tcW w:w="13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c>
          <w:tcPr>
            <w:tcW w:w="120" w:type="dxa"/>
            <w:vAlign w:val="bottom"/>
          </w:tcPr>
          <w:p>
            <w:pPr>
              <w:spacing w:after="0"/>
              <w:rPr>
                <w:sz w:val="17"/>
                <w:szCs w:val="17"/>
                <w:color w:val="auto"/>
              </w:rPr>
            </w:pPr>
          </w:p>
        </w:tc>
      </w:tr>
      <w:tr>
        <w:trPr>
          <w:trHeight w:val="203"/>
        </w:trPr>
        <w:tc>
          <w:tcPr>
            <w:tcW w:w="5600" w:type="dxa"/>
            <w:vAlign w:val="bottom"/>
          </w:tcPr>
          <w:p>
            <w:pPr>
              <w:spacing w:after="0"/>
              <w:rPr>
                <w:sz w:val="17"/>
                <w:szCs w:val="17"/>
                <w:color w:val="auto"/>
              </w:rPr>
            </w:pP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w:t>
            </w:r>
          </w:p>
        </w:tc>
        <w:tc>
          <w:tcPr>
            <w:tcW w:w="62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2,658</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$ 1,861</w:t>
            </w:r>
          </w:p>
        </w:tc>
        <w:tc>
          <w:tcPr>
            <w:tcW w:w="120" w:type="dxa"/>
            <w:vAlign w:val="bottom"/>
          </w:tcPr>
          <w:p>
            <w:pPr>
              <w:spacing w:after="0"/>
              <w:rPr>
                <w:sz w:val="17"/>
                <w:szCs w:val="17"/>
                <w:color w:val="auto"/>
              </w:rPr>
            </w:pPr>
          </w:p>
        </w:tc>
      </w:tr>
      <w:tr>
        <w:trPr>
          <w:trHeight w:val="367"/>
        </w:trPr>
        <w:tc>
          <w:tcPr>
            <w:tcW w:w="5600" w:type="dxa"/>
            <w:vAlign w:val="bottom"/>
          </w:tcPr>
          <w:p>
            <w:pPr>
              <w:spacing w:after="0"/>
              <w:rPr>
                <w:sz w:val="20"/>
                <w:szCs w:val="20"/>
                <w:color w:val="auto"/>
              </w:rPr>
            </w:pPr>
            <w:r>
              <w:rPr>
                <w:rFonts w:ascii="Courier New" w:cs="Courier New" w:eastAsia="Courier New" w:hAnsi="Courier New"/>
                <w:sz w:val="18"/>
                <w:szCs w:val="18"/>
                <w:color w:val="auto"/>
              </w:rPr>
              <w:t>Foreign currency translation adjustments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Courier New" w:cs="Courier New" w:eastAsia="Courier New" w:hAnsi="Courier New"/>
                <w:sz w:val="18"/>
                <w:szCs w:val="18"/>
                <w:color w:val="auto"/>
              </w:rPr>
              <w:t>(86)</w:t>
            </w:r>
          </w:p>
        </w:tc>
        <w:tc>
          <w:tcPr>
            <w:tcW w:w="14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(268)</w:t>
            </w:r>
          </w:p>
        </w:tc>
      </w:tr>
      <w:tr>
        <w:trPr>
          <w:trHeight w:val="20"/>
        </w:trPr>
        <w:tc>
          <w:tcPr>
            <w:tcW w:w="5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4"/>
        </w:trPr>
        <w:tc>
          <w:tcPr>
            <w:tcW w:w="560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62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2,572</w:t>
            </w:r>
          </w:p>
        </w:tc>
        <w:tc>
          <w:tcPr>
            <w:tcW w:w="4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$ 1,593</w:t>
            </w:r>
          </w:p>
        </w:tc>
        <w:tc>
          <w:tcPr>
            <w:tcW w:w="120" w:type="dxa"/>
            <w:vAlign w:val="bottom"/>
          </w:tcPr>
          <w:p>
            <w:pPr>
              <w:spacing w:after="0"/>
              <w:rPr>
                <w:sz w:val="24"/>
                <w:szCs w:val="24"/>
                <w:color w:val="auto"/>
              </w:rPr>
            </w:pPr>
          </w:p>
        </w:tc>
      </w:tr>
      <w:tr>
        <w:trPr>
          <w:trHeight w:val="203"/>
        </w:trPr>
        <w:tc>
          <w:tcPr>
            <w:tcW w:w="5600" w:type="dxa"/>
            <w:vAlign w:val="bottom"/>
          </w:tcPr>
          <w:p>
            <w:pPr>
              <w:spacing w:after="0"/>
              <w:rPr>
                <w:sz w:val="17"/>
                <w:szCs w:val="17"/>
                <w:color w:val="auto"/>
              </w:rPr>
            </w:pPr>
          </w:p>
        </w:tc>
        <w:tc>
          <w:tcPr>
            <w:tcW w:w="1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r>
    </w:tbl>
    <w:p>
      <w:pPr>
        <w:spacing w:after="0" w:line="38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- 3</w:t>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data)</w:t>
      </w:r>
    </w:p>
    <w:p>
      <w:pPr>
        <w:sectPr>
          <w:pgSz w:w="11900" w:h="16865" w:orient="portrait"/>
          <w:cols w:equalWidth="0" w:num="1">
            <w:col w:w="10219"/>
          </w:cols>
          <w:pgMar w:left="240" w:top="34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80"/>
        <w:spacing w:after="0"/>
        <w:rPr>
          <w:sz w:val="20"/>
          <w:szCs w:val="20"/>
          <w:color w:val="auto"/>
        </w:rPr>
      </w:pPr>
      <w:r>
        <w:rPr>
          <w:rFonts w:ascii="Courier New" w:cs="Courier New" w:eastAsia="Courier New" w:hAnsi="Courier New"/>
          <w:sz w:val="12"/>
          <w:szCs w:val="12"/>
          <w:color w:val="auto"/>
        </w:rPr>
        <w:t>Accumulated</w:t>
      </w:r>
    </w:p>
    <w:p>
      <w:pPr>
        <w:ind w:left="2480"/>
        <w:spacing w:after="0"/>
        <w:tabs>
          <w:tab w:leader="none" w:pos="3560" w:val="left"/>
          <w:tab w:leader="none" w:pos="5680" w:val="left"/>
          <w:tab w:leader="none" w:pos="7360" w:val="left"/>
        </w:tabs>
        <w:rPr>
          <w:sz w:val="20"/>
          <w:szCs w:val="20"/>
          <w:color w:val="auto"/>
        </w:rPr>
      </w:pPr>
      <w:r>
        <w:rPr>
          <w:rFonts w:ascii="Courier New" w:cs="Courier New" w:eastAsia="Courier New" w:hAnsi="Courier New"/>
          <w:sz w:val="12"/>
          <w:szCs w:val="12"/>
          <w:color w:val="auto"/>
        </w:rPr>
        <w:t>Common Stock</w:t>
      </w:r>
      <w:r>
        <w:rPr>
          <w:sz w:val="20"/>
          <w:szCs w:val="20"/>
          <w:color w:val="auto"/>
        </w:rPr>
        <w:tab/>
      </w:r>
      <w:r>
        <w:rPr>
          <w:rFonts w:ascii="Courier New" w:cs="Courier New" w:eastAsia="Courier New" w:hAnsi="Courier New"/>
          <w:sz w:val="12"/>
          <w:szCs w:val="12"/>
          <w:color w:val="auto"/>
        </w:rPr>
        <w:t>Additional</w:t>
      </w:r>
      <w:r>
        <w:rPr>
          <w:sz w:val="20"/>
          <w:szCs w:val="20"/>
          <w:color w:val="auto"/>
        </w:rPr>
        <w:tab/>
      </w:r>
      <w:r>
        <w:rPr>
          <w:rFonts w:ascii="Courier New" w:cs="Courier New" w:eastAsia="Courier New" w:hAnsi="Courier New"/>
          <w:sz w:val="12"/>
          <w:szCs w:val="12"/>
          <w:color w:val="auto"/>
        </w:rPr>
        <w:t>Other</w:t>
      </w:r>
      <w:r>
        <w:rPr>
          <w:sz w:val="20"/>
          <w:szCs w:val="20"/>
          <w:color w:val="auto"/>
        </w:rPr>
        <w:tab/>
      </w:r>
      <w:r>
        <w:rPr>
          <w:rFonts w:ascii="Courier New" w:cs="Courier New" w:eastAsia="Courier New" w:hAnsi="Courier New"/>
          <w:sz w:val="11"/>
          <w:szCs w:val="11"/>
          <w:color w:val="auto"/>
        </w:rPr>
        <w:t>Total</w:t>
      </w:r>
    </w:p>
    <w:p>
      <w:pPr>
        <w:ind w:left="2260"/>
        <w:spacing w:after="0"/>
        <w:tabs>
          <w:tab w:leader="none" w:pos="3640" w:val="left"/>
          <w:tab w:leader="none" w:pos="4500" w:val="left"/>
          <w:tab w:leader="none" w:pos="5380" w:val="left"/>
          <w:tab w:leader="none" w:pos="6480" w:val="left"/>
        </w:tabs>
        <w:rPr>
          <w:sz w:val="20"/>
          <w:szCs w:val="20"/>
          <w:color w:val="auto"/>
        </w:rPr>
      </w:pPr>
      <w:r>
        <w:rPr>
          <w:rFonts w:ascii="Courier New" w:cs="Courier New" w:eastAsia="Courier New" w:hAnsi="Courier New"/>
          <w:sz w:val="12"/>
          <w:szCs w:val="12"/>
          <w:color w:val="auto"/>
        </w:rPr>
        <w:t>-----------------</w:t>
        <w:tab/>
        <w:t>Paid-In</w:t>
      </w:r>
      <w:r>
        <w:rPr>
          <w:sz w:val="20"/>
          <w:szCs w:val="20"/>
          <w:color w:val="auto"/>
        </w:rPr>
        <w:tab/>
      </w:r>
      <w:r>
        <w:rPr>
          <w:rFonts w:ascii="Courier New" w:cs="Courier New" w:eastAsia="Courier New" w:hAnsi="Courier New"/>
          <w:sz w:val="12"/>
          <w:szCs w:val="12"/>
          <w:color w:val="auto"/>
        </w:rPr>
        <w:t>Retained</w:t>
      </w:r>
      <w:r>
        <w:rPr>
          <w:sz w:val="20"/>
          <w:szCs w:val="20"/>
          <w:color w:val="auto"/>
        </w:rPr>
        <w:tab/>
      </w:r>
      <w:r>
        <w:rPr>
          <w:rFonts w:ascii="Courier New" w:cs="Courier New" w:eastAsia="Courier New" w:hAnsi="Courier New"/>
          <w:sz w:val="12"/>
          <w:szCs w:val="12"/>
          <w:color w:val="auto"/>
        </w:rPr>
        <w:t>Comprehensive</w:t>
        <w:tab/>
        <w:t>Treasury Stockholders'</w:t>
      </w:r>
    </w:p>
    <w:p>
      <w:pPr>
        <w:sectPr>
          <w:pgSz w:w="11900" w:h="16865" w:orient="portrait"/>
          <w:cols w:equalWidth="0" w:num="1">
            <w:col w:w="10219"/>
          </w:cols>
          <w:pgMar w:left="240" w:top="347" w:right="144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36"/>
        </w:trPr>
        <w:tc>
          <w:tcPr>
            <w:tcW w:w="2200" w:type="dxa"/>
            <w:vAlign w:val="bottom"/>
          </w:tcPr>
          <w:p>
            <w:pPr>
              <w:spacing w:after="0"/>
              <w:rPr>
                <w:sz w:val="11"/>
                <w:szCs w:val="11"/>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Shares</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w w:val="92"/>
              </w:rPr>
              <w:t>Amount</w:t>
            </w:r>
          </w:p>
        </w:tc>
        <w:tc>
          <w:tcPr>
            <w:tcW w:w="80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Capital</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1080" w:type="dxa"/>
            <w:vAlign w:val="bottom"/>
            <w:gridSpan w:val="2"/>
          </w:tcPr>
          <w:p>
            <w:pPr>
              <w:ind w:left="280"/>
              <w:spacing w:after="0"/>
              <w:rPr>
                <w:sz w:val="20"/>
                <w:szCs w:val="20"/>
                <w:color w:val="auto"/>
              </w:rPr>
            </w:pPr>
            <w:r>
              <w:rPr>
                <w:rFonts w:ascii="Courier New" w:cs="Courier New" w:eastAsia="Courier New" w:hAnsi="Courier New"/>
                <w:sz w:val="12"/>
                <w:szCs w:val="12"/>
                <w:color w:val="auto"/>
              </w:rPr>
              <w:t>Earnings</w:t>
            </w:r>
          </w:p>
        </w:tc>
        <w:tc>
          <w:tcPr>
            <w:tcW w:w="160" w:type="dxa"/>
            <w:vAlign w:val="bottom"/>
          </w:tcPr>
          <w:p>
            <w:pPr>
              <w:spacing w:after="0"/>
              <w:rPr>
                <w:sz w:val="11"/>
                <w:szCs w:val="11"/>
                <w:color w:val="auto"/>
              </w:rPr>
            </w:pPr>
          </w:p>
        </w:tc>
        <w:tc>
          <w:tcPr>
            <w:tcW w:w="640" w:type="dxa"/>
            <w:vAlign w:val="bottom"/>
          </w:tcPr>
          <w:p>
            <w:pPr>
              <w:jc w:val="right"/>
              <w:ind w:right="219"/>
              <w:spacing w:after="0"/>
              <w:rPr>
                <w:sz w:val="20"/>
                <w:szCs w:val="20"/>
                <w:color w:val="auto"/>
              </w:rPr>
            </w:pPr>
            <w:r>
              <w:rPr>
                <w:rFonts w:ascii="Courier New" w:cs="Courier New" w:eastAsia="Courier New" w:hAnsi="Courier New"/>
                <w:sz w:val="12"/>
                <w:szCs w:val="12"/>
                <w:color w:val="auto"/>
                <w:w w:val="94"/>
              </w:rPr>
              <w:t>Stock</w:t>
            </w:r>
          </w:p>
        </w:tc>
        <w:tc>
          <w:tcPr>
            <w:tcW w:w="8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Equity</w:t>
            </w:r>
          </w:p>
        </w:tc>
      </w:tr>
      <w:tr>
        <w:trPr>
          <w:trHeight w:val="135"/>
        </w:trPr>
        <w:tc>
          <w:tcPr>
            <w:tcW w:w="2200" w:type="dxa"/>
            <w:vAlign w:val="bottom"/>
          </w:tcPr>
          <w:p>
            <w:pPr>
              <w:spacing w:after="0"/>
              <w:rPr>
                <w:sz w:val="11"/>
                <w:szCs w:val="11"/>
                <w:color w:val="auto"/>
              </w:rPr>
            </w:pPr>
          </w:p>
        </w:tc>
        <w:tc>
          <w:tcPr>
            <w:tcW w:w="3140" w:type="dxa"/>
            <w:vAlign w:val="bottom"/>
            <w:gridSpan w:val="4"/>
          </w:tcPr>
          <w:p>
            <w:pPr>
              <w:jc w:val="right"/>
              <w:ind w:right="19"/>
              <w:spacing w:after="0"/>
              <w:rPr>
                <w:sz w:val="20"/>
                <w:szCs w:val="20"/>
                <w:color w:val="auto"/>
              </w:rPr>
            </w:pPr>
            <w:r>
              <w:rPr>
                <w:rFonts w:ascii="Courier New" w:cs="Courier New" w:eastAsia="Courier New" w:hAnsi="Courier New"/>
                <w:sz w:val="12"/>
                <w:szCs w:val="12"/>
                <w:color w:val="auto"/>
              </w:rPr>
              <w:t>---------- ------ ---------- ------------</w:t>
            </w:r>
          </w:p>
        </w:tc>
        <w:tc>
          <w:tcPr>
            <w:tcW w:w="10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3"/>
          </w:tcPr>
          <w:p>
            <w:pPr>
              <w:ind w:left="80"/>
              <w:spacing w:after="0"/>
              <w:rPr>
                <w:sz w:val="20"/>
                <w:szCs w:val="20"/>
                <w:color w:val="auto"/>
              </w:rPr>
            </w:pPr>
            <w:r>
              <w:rPr>
                <w:rFonts w:ascii="Courier New" w:cs="Courier New" w:eastAsia="Courier New" w:hAnsi="Courier New"/>
                <w:sz w:val="12"/>
                <w:szCs w:val="12"/>
                <w:color w:val="auto"/>
                <w:w w:val="99"/>
              </w:rPr>
              <w:t>-------- -------------</w:t>
            </w:r>
          </w:p>
        </w:tc>
      </w:tr>
      <w:tr>
        <w:trPr>
          <w:trHeight w:val="137"/>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January 1, 2015</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10,595,755</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$ 106</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$26,321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$ 7,152</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993</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$34,368</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1,861</w:t>
            </w:r>
          </w:p>
        </w:tc>
        <w:tc>
          <w:tcPr>
            <w:tcW w:w="400" w:type="dxa"/>
            <w:vAlign w:val="bottom"/>
          </w:tcPr>
          <w:p>
            <w:pPr>
              <w:spacing w:after="0"/>
              <w:rPr>
                <w:sz w:val="23"/>
                <w:szCs w:val="23"/>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23"/>
                <w:szCs w:val="23"/>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1,861</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(268)</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(268)</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stock-based awards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119</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119</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(5,000)</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Repurchase and retirement of</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(41,332)</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(154)</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(155)</w:t>
            </w:r>
          </w:p>
        </w:tc>
      </w:tr>
      <w:tr>
        <w:trPr>
          <w:trHeight w:val="137"/>
        </w:trPr>
        <w:tc>
          <w:tcPr>
            <w:tcW w:w="2200" w:type="dxa"/>
            <w:vAlign w:val="bottom"/>
          </w:tcPr>
          <w:p>
            <w:pPr>
              <w:spacing w:after="0"/>
              <w:rPr>
                <w:sz w:val="11"/>
                <w:szCs w:val="11"/>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70"/>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2015</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10,549,423</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105</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26,286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9,013</w:t>
            </w:r>
          </w:p>
        </w:tc>
        <w:tc>
          <w:tcPr>
            <w:tcW w:w="400" w:type="dxa"/>
            <w:vAlign w:val="bottom"/>
          </w:tcPr>
          <w:p>
            <w:pPr>
              <w:spacing w:after="0"/>
              <w:rPr>
                <w:sz w:val="23"/>
                <w:szCs w:val="23"/>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725</w:t>
            </w:r>
          </w:p>
        </w:tc>
        <w:tc>
          <w:tcPr>
            <w:tcW w:w="160" w:type="dxa"/>
            <w:vAlign w:val="bottom"/>
          </w:tcPr>
          <w:p>
            <w:pPr>
              <w:spacing w:after="0"/>
              <w:rPr>
                <w:sz w:val="23"/>
                <w:szCs w:val="23"/>
                <w:color w:val="auto"/>
              </w:rPr>
            </w:pPr>
          </w:p>
        </w:tc>
        <w:tc>
          <w:tcPr>
            <w:tcW w:w="6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35,925</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2,658</w:t>
            </w:r>
          </w:p>
        </w:tc>
        <w:tc>
          <w:tcPr>
            <w:tcW w:w="400" w:type="dxa"/>
            <w:vAlign w:val="bottom"/>
          </w:tcPr>
          <w:p>
            <w:pPr>
              <w:spacing w:after="0"/>
              <w:rPr>
                <w:sz w:val="23"/>
                <w:szCs w:val="23"/>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23"/>
                <w:szCs w:val="23"/>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2,658</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(86)</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(86)</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stock-based awards</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269</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269</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Issuance of unvested shares</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of restricted stock</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86,400</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1</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135"/>
        </w:trPr>
        <w:tc>
          <w:tcPr>
            <w:tcW w:w="2200" w:type="dxa"/>
            <w:vAlign w:val="bottom"/>
          </w:tcPr>
          <w:p>
            <w:pPr>
              <w:spacing w:after="0"/>
              <w:rPr>
                <w:sz w:val="20"/>
                <w:szCs w:val="20"/>
                <w:color w:val="auto"/>
              </w:rPr>
            </w:pPr>
            <w:r>
              <w:rPr>
                <w:rFonts w:ascii="Courier New" w:cs="Courier New" w:eastAsia="Courier New" w:hAnsi="Courier New"/>
                <w:sz w:val="12"/>
                <w:szCs w:val="12"/>
                <w:color w:val="auto"/>
              </w:rPr>
              <w:t>Repurchase and retirement of</w:t>
            </w: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200" w:type="dxa"/>
            <w:vAlign w:val="bottom"/>
          </w:tcPr>
          <w:p>
            <w:pPr>
              <w:ind w:left="160"/>
              <w:spacing w:after="0"/>
              <w:rPr>
                <w:sz w:val="20"/>
                <w:szCs w:val="20"/>
                <w:color w:val="auto"/>
              </w:rPr>
            </w:pPr>
            <w:r>
              <w:rPr>
                <w:rFonts w:ascii="Courier New" w:cs="Courier New" w:eastAsia="Courier New" w:hAnsi="Courier New"/>
                <w:sz w:val="12"/>
                <w:szCs w:val="12"/>
                <w:color w:val="auto"/>
              </w:rPr>
              <w:t>common stock</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(241,805)</w:t>
            </w:r>
          </w:p>
        </w:tc>
        <w:tc>
          <w:tcPr>
            <w:tcW w:w="540" w:type="dxa"/>
            <w:vAlign w:val="bottom"/>
          </w:tcPr>
          <w:p>
            <w:pPr>
              <w:jc w:val="right"/>
              <w:spacing w:after="0"/>
              <w:rPr>
                <w:sz w:val="20"/>
                <w:szCs w:val="20"/>
                <w:color w:val="auto"/>
              </w:rPr>
            </w:pPr>
            <w:r>
              <w:rPr>
                <w:rFonts w:ascii="Courier New" w:cs="Courier New" w:eastAsia="Courier New" w:hAnsi="Courier New"/>
                <w:sz w:val="12"/>
                <w:szCs w:val="12"/>
                <w:color w:val="auto"/>
              </w:rPr>
              <w:t>(2)</w:t>
            </w:r>
          </w:p>
        </w:tc>
        <w:tc>
          <w:tcPr>
            <w:tcW w:w="800" w:type="dxa"/>
            <w:vAlign w:val="bottom"/>
          </w:tcPr>
          <w:p>
            <w:pPr>
              <w:jc w:val="right"/>
              <w:ind w:right="39"/>
              <w:spacing w:after="0"/>
              <w:rPr>
                <w:sz w:val="20"/>
                <w:szCs w:val="20"/>
                <w:color w:val="auto"/>
              </w:rPr>
            </w:pPr>
            <w:r>
              <w:rPr>
                <w:rFonts w:ascii="Courier New" w:cs="Courier New" w:eastAsia="Courier New" w:hAnsi="Courier New"/>
                <w:sz w:val="12"/>
                <w:szCs w:val="12"/>
                <w:color w:val="auto"/>
              </w:rPr>
              <w:t>(976)</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160" w:type="dxa"/>
            <w:vAlign w:val="bottom"/>
          </w:tcPr>
          <w:p>
            <w:pPr>
              <w:spacing w:after="0"/>
              <w:rPr>
                <w:sz w:val="11"/>
                <w:szCs w:val="11"/>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(978)</w:t>
            </w:r>
          </w:p>
        </w:tc>
      </w:tr>
      <w:tr>
        <w:trPr>
          <w:trHeight w:val="137"/>
        </w:trPr>
        <w:tc>
          <w:tcPr>
            <w:tcW w:w="2200" w:type="dxa"/>
            <w:vAlign w:val="bottom"/>
          </w:tcPr>
          <w:p>
            <w:pPr>
              <w:spacing w:after="0"/>
              <w:rPr>
                <w:sz w:val="11"/>
                <w:szCs w:val="11"/>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r>
        <w:trPr>
          <w:trHeight w:val="268"/>
        </w:trPr>
        <w:tc>
          <w:tcPr>
            <w:tcW w:w="2200" w:type="dxa"/>
            <w:vAlign w:val="bottom"/>
          </w:tcPr>
          <w:p>
            <w:pPr>
              <w:spacing w:after="0"/>
              <w:rPr>
                <w:sz w:val="20"/>
                <w:szCs w:val="20"/>
                <w:color w:val="auto"/>
              </w:rPr>
            </w:pPr>
            <w:r>
              <w:rPr>
                <w:rFonts w:ascii="Courier New" w:cs="Courier New" w:eastAsia="Courier New" w:hAnsi="Courier New"/>
                <w:sz w:val="12"/>
                <w:szCs w:val="12"/>
                <w:color w:val="auto"/>
              </w:rPr>
              <w:t>Balance, December 31, 2016</w:t>
            </w: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10,394,018</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$ 104</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$25,578</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$11,671</w:t>
            </w:r>
          </w:p>
        </w:tc>
        <w:tc>
          <w:tcPr>
            <w:tcW w:w="400" w:type="dxa"/>
            <w:vAlign w:val="bottom"/>
          </w:tcPr>
          <w:p>
            <w:pPr>
              <w:ind w:left="280"/>
              <w:spacing w:after="0"/>
              <w:rPr>
                <w:sz w:val="20"/>
                <w:szCs w:val="20"/>
                <w:color w:val="auto"/>
              </w:rPr>
            </w:pPr>
            <w:r>
              <w:rPr>
                <w:rFonts w:ascii="Courier New" w:cs="Courier New" w:eastAsia="Courier New" w:hAnsi="Courier New"/>
                <w:sz w:val="12"/>
                <w:szCs w:val="12"/>
                <w:color w:val="auto"/>
              </w:rPr>
              <w:t>$</w:t>
            </w:r>
          </w:p>
        </w:tc>
        <w:tc>
          <w:tcPr>
            <w:tcW w:w="68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639</w:t>
            </w:r>
          </w:p>
        </w:tc>
        <w:tc>
          <w:tcPr>
            <w:tcW w:w="160" w:type="dxa"/>
            <w:vAlign w:val="bottom"/>
          </w:tcPr>
          <w:p>
            <w:pPr>
              <w:ind w:left="80"/>
              <w:spacing w:after="0"/>
              <w:rPr>
                <w:sz w:val="20"/>
                <w:szCs w:val="20"/>
                <w:color w:val="auto"/>
              </w:rPr>
            </w:pPr>
            <w:r>
              <w:rPr>
                <w:rFonts w:ascii="Courier New" w:cs="Courier New" w:eastAsia="Courier New" w:hAnsi="Courier New"/>
                <w:sz w:val="12"/>
                <w:szCs w:val="12"/>
                <w:color w:val="auto"/>
                <w:w w:val="82"/>
              </w:rPr>
              <w:t>$</w:t>
            </w:r>
          </w:p>
        </w:tc>
        <w:tc>
          <w:tcPr>
            <w:tcW w:w="64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$37,788</w:t>
            </w:r>
          </w:p>
        </w:tc>
      </w:tr>
      <w:tr>
        <w:trPr>
          <w:trHeight w:val="137"/>
        </w:trPr>
        <w:tc>
          <w:tcPr>
            <w:tcW w:w="2200" w:type="dxa"/>
            <w:vAlign w:val="bottom"/>
          </w:tcPr>
          <w:p>
            <w:pPr>
              <w:spacing w:after="0"/>
              <w:rPr>
                <w:sz w:val="11"/>
                <w:szCs w:val="11"/>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54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1080" w:type="dxa"/>
            <w:vAlign w:val="bottom"/>
            <w:gridSpan w:val="2"/>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00" w:type="dxa"/>
            <w:vAlign w:val="bottom"/>
          </w:tcPr>
          <w:p>
            <w:pPr>
              <w:spacing w:after="0"/>
              <w:rPr>
                <w:sz w:val="11"/>
                <w:szCs w:val="11"/>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tcPr>
          <w:p>
            <w:pPr>
              <w:jc w:val="right"/>
              <w:ind w:right="419"/>
              <w:spacing w:after="0"/>
              <w:rPr>
                <w:sz w:val="20"/>
                <w:szCs w:val="20"/>
                <w:color w:val="auto"/>
              </w:rPr>
            </w:pPr>
            <w:r>
              <w:rPr>
                <w:rFonts w:ascii="Courier New" w:cs="Courier New" w:eastAsia="Courier New" w:hAnsi="Courier New"/>
                <w:sz w:val="12"/>
                <w:szCs w:val="12"/>
                <w:color w:val="auto"/>
              </w:rPr>
              <w:t>2016</w:t>
            </w:r>
          </w:p>
        </w:tc>
        <w:tc>
          <w:tcPr>
            <w:tcW w:w="9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2015</w:t>
            </w: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$ 2,658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$ 1,861</w:t>
            </w: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599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754</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226</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342</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loss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16</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33</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stock-based awards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269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119</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Loss on sale of property and equipment</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129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214</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135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168</w:t>
            </w:r>
          </w:p>
        </w:tc>
        <w:tc>
          <w:tcPr>
            <w:tcW w:w="0" w:type="dxa"/>
            <w:vAlign w:val="bottom"/>
          </w:tcPr>
          <w:p>
            <w:pPr>
              <w:spacing w:after="0"/>
              <w:rPr>
                <w:sz w:val="1"/>
                <w:szCs w:val="1"/>
                <w:color w:val="auto"/>
              </w:rPr>
            </w:pPr>
          </w:p>
        </w:tc>
      </w:tr>
      <w:tr>
        <w:trPr>
          <w:trHeight w:val="135"/>
        </w:trPr>
        <w:tc>
          <w:tcPr>
            <w:tcW w:w="530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(1,009)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570</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(384)</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(113)</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295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(174)</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175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178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459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(324)</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126</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(36)</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(85)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42</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57</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(25)</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(31)</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549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4</w:t>
            </w:r>
          </w:p>
        </w:tc>
        <w:tc>
          <w:tcPr>
            <w:tcW w:w="0" w:type="dxa"/>
            <w:vAlign w:val="bottom"/>
          </w:tcPr>
          <w:p>
            <w:pPr>
              <w:spacing w:after="0"/>
              <w:rPr>
                <w:sz w:val="1"/>
                <w:szCs w:val="1"/>
                <w:color w:val="auto"/>
              </w:rPr>
            </w:pPr>
          </w:p>
        </w:tc>
      </w:tr>
      <w:tr>
        <w:trPr>
          <w:trHeight w:val="135"/>
        </w:trPr>
        <w:tc>
          <w:tcPr>
            <w:tcW w:w="530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(95)</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94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4,288</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3,498</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10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(339)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(599)</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02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(339)</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(599)</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11"/>
                <w:szCs w:val="11"/>
                <w:color w:val="auto"/>
              </w:rPr>
            </w:pPr>
          </w:p>
        </w:tc>
        <w:tc>
          <w:tcPr>
            <w:tcW w:w="102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132" w:right="1440" w:bottom="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Repurchases of common stock</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(978)</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(155)</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used in financing activities</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(978)</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(155)</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80" w:type="dxa"/>
            <w:vAlign w:val="bottom"/>
          </w:tcPr>
          <w:p>
            <w:pPr>
              <w:spacing w:after="0"/>
              <w:rPr>
                <w:sz w:val="11"/>
                <w:szCs w:val="11"/>
                <w:color w:val="auto"/>
              </w:rPr>
            </w:pPr>
          </w:p>
        </w:tc>
        <w:tc>
          <w:tcPr>
            <w:tcW w:w="840" w:type="dxa"/>
            <w:vAlign w:val="bottom"/>
          </w:tcPr>
          <w:p>
            <w:pPr>
              <w:jc w:val="right"/>
              <w:ind w:right="279"/>
              <w:spacing w:after="0"/>
              <w:rPr>
                <w:sz w:val="20"/>
                <w:szCs w:val="20"/>
                <w:color w:val="auto"/>
              </w:rPr>
            </w:pPr>
            <w:r>
              <w:rPr>
                <w:rFonts w:ascii="Courier New" w:cs="Courier New" w:eastAsia="Courier New" w:hAnsi="Courier New"/>
                <w:sz w:val="12"/>
                <w:szCs w:val="12"/>
                <w:color w:val="auto"/>
              </w:rPr>
              <w:t>(70)</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(160)</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2,901</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2,584</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180" w:type="dxa"/>
            <w:vAlign w:val="bottom"/>
          </w:tcPr>
          <w:p>
            <w:pPr>
              <w:spacing w:after="0"/>
              <w:rPr>
                <w:sz w:val="11"/>
                <w:szCs w:val="11"/>
                <w:color w:val="auto"/>
              </w:rPr>
            </w:pP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w w:val="97"/>
              </w:rPr>
              <w:t>25,710</w:t>
            </w:r>
          </w:p>
        </w:tc>
        <w:tc>
          <w:tcPr>
            <w:tcW w:w="4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7"/>
              </w:rPr>
              <w:t>23,126</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11"/>
                <w:szCs w:val="11"/>
                <w:color w:val="auto"/>
              </w:rPr>
            </w:pP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$28,611</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$25,710</w:t>
            </w:r>
          </w:p>
        </w:tc>
        <w:tc>
          <w:tcPr>
            <w:tcW w:w="0" w:type="dxa"/>
            <w:vAlign w:val="bottom"/>
          </w:tcPr>
          <w:p>
            <w:pPr>
              <w:spacing w:after="0"/>
              <w:rPr>
                <w:sz w:val="1"/>
                <w:szCs w:val="1"/>
                <w:color w:val="auto"/>
              </w:rPr>
            </w:pPr>
          </w:p>
        </w:tc>
      </w:tr>
      <w:tr>
        <w:trPr>
          <w:trHeight w:val="137"/>
        </w:trPr>
        <w:tc>
          <w:tcPr>
            <w:tcW w:w="530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020" w:type="dxa"/>
            <w:vAlign w:val="bottom"/>
            <w:gridSpan w:val="2"/>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3"/>
        </w:trPr>
        <w:tc>
          <w:tcPr>
            <w:tcW w:w="53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635</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792</w:t>
            </w:r>
          </w:p>
        </w:tc>
        <w:tc>
          <w:tcPr>
            <w:tcW w:w="0" w:type="dxa"/>
            <w:vAlign w:val="bottom"/>
          </w:tcPr>
          <w:p>
            <w:pPr>
              <w:spacing w:after="0"/>
              <w:rPr>
                <w:sz w:val="1"/>
                <w:szCs w:val="1"/>
                <w:color w:val="auto"/>
              </w:rPr>
            </w:pPr>
          </w:p>
        </w:tc>
      </w:tr>
      <w:tr>
        <w:trPr>
          <w:trHeight w:val="268"/>
        </w:trPr>
        <w:tc>
          <w:tcPr>
            <w:tcW w:w="53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300" w:type="dxa"/>
            <w:vAlign w:val="bottom"/>
          </w:tcPr>
          <w:p>
            <w:pPr>
              <w:spacing w:after="0"/>
              <w:rPr>
                <w:sz w:val="20"/>
                <w:szCs w:val="20"/>
                <w:color w:val="auto"/>
              </w:rPr>
            </w:pPr>
            <w:r>
              <w:rPr>
                <w:rFonts w:ascii="Courier New" w:cs="Courier New" w:eastAsia="Courier New" w:hAnsi="Courier New"/>
                <w:sz w:val="12"/>
                <w:szCs w:val="12"/>
                <w:color w:val="auto"/>
              </w:rPr>
              <w:t>Issuance of unvested shares of restricted stock</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369</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7"/>
        </w:trPr>
        <w:tc>
          <w:tcPr>
            <w:tcW w:w="5300" w:type="dxa"/>
            <w:vAlign w:val="bottom"/>
          </w:tcPr>
          <w:p>
            <w:pPr>
              <w:spacing w:after="0"/>
              <w:rPr>
                <w:sz w:val="20"/>
                <w:szCs w:val="20"/>
                <w:color w:val="auto"/>
              </w:rPr>
            </w:pPr>
            <w:r>
              <w:rPr>
                <w:rFonts w:ascii="Courier New" w:cs="Courier New" w:eastAsia="Courier New" w:hAnsi="Courier New"/>
                <w:sz w:val="12"/>
                <w:szCs w:val="12"/>
                <w:color w:val="auto"/>
              </w:rPr>
              <w:t>Forfeiture of unvested shares of restricted stock</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339"/>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91"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We also market our thermal products in markets outside the ATE market, such as the automotive, consumer electronics, defense/aerospace, energy, industrial and telecommunications markets.</w:t>
      </w:r>
    </w:p>
    <w:p>
      <w:pPr>
        <w:spacing w:after="0" w:line="197"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94" w:lineRule="exact"/>
        <w:rPr>
          <w:sz w:val="20"/>
          <w:szCs w:val="20"/>
          <w:color w:val="auto"/>
        </w:rPr>
      </w:pPr>
    </w:p>
    <w:p>
      <w:pPr>
        <w:ind w:left="540"/>
        <w:spacing w:after="0" w:line="286" w:lineRule="auto"/>
        <w:rPr>
          <w:sz w:val="20"/>
          <w:szCs w:val="20"/>
          <w:color w:val="auto"/>
        </w:rPr>
      </w:pPr>
      <w:r>
        <w:rPr>
          <w:rFonts w:ascii="Arial" w:cs="Arial" w:eastAsia="Arial" w:hAnsi="Arial"/>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In January 2016, we implemented a workforce reduction, as discussed further in Note 3, which was a key element in restructuring our Mechanical Products segment with the goal of returning this segment to profitability. These efforts were substantially completed during 2016 and we did not incur any further significant costs associated with these efforts. We also continue to implement an acquisition strategy that may cause us to incur substantial expense in reviewing and evaluating potential transactions. We may or may not be successful in locating suitable businesses to acquire. In addition, if we are able to complete an acquisition, we may not be able to successfully integrate the acquired business with our existing business and we may not be able to operate the acquired business profitably. As a result of these or other factors, we may experience significant period-to-period fluctuations in future operating results.</w:t>
      </w:r>
    </w:p>
    <w:p>
      <w:pPr>
        <w:spacing w:after="0" w:line="344" w:lineRule="exact"/>
        <w:rPr>
          <w:sz w:val="20"/>
          <w:szCs w:val="20"/>
          <w:color w:val="auto"/>
        </w:rPr>
      </w:pPr>
    </w:p>
    <w:p>
      <w:pPr>
        <w:ind w:left="540" w:right="6480" w:hanging="532"/>
        <w:spacing w:after="0" w:line="541" w:lineRule="auto"/>
        <w:tabs>
          <w:tab w:leader="none" w:pos="33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jc w:val="both"/>
        <w:ind w:left="540" w:right="240"/>
        <w:spacing w:after="0" w:line="314" w:lineRule="auto"/>
        <w:rPr>
          <w:sz w:val="20"/>
          <w:szCs w:val="20"/>
          <w:color w:val="auto"/>
        </w:rPr>
      </w:pPr>
      <w:r>
        <w:rPr>
          <w:rFonts w:ascii="Arial" w:cs="Arial" w:eastAsia="Arial" w:hAnsi="Arial"/>
          <w:sz w:val="15"/>
          <w:szCs w:val="15"/>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225" w:lineRule="exact"/>
        <w:rPr>
          <w:sz w:val="20"/>
          <w:szCs w:val="20"/>
          <w:color w:val="auto"/>
        </w:rPr>
      </w:pPr>
    </w:p>
    <w:p>
      <w:pPr>
        <w:ind w:left="540" w:right="60"/>
        <w:spacing w:after="0" w:line="306" w:lineRule="auto"/>
        <w:rPr>
          <w:sz w:val="20"/>
          <w:szCs w:val="20"/>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market value. Our cash balances, which are deposited with highly reputable financial institutions, at times may exceed the federally insured limits. We have not experienced any losses related to these cash balances and believe the credit risk to be minimal.</w:t>
      </w:r>
    </w:p>
    <w:p>
      <w:pPr>
        <w:sectPr>
          <w:pgSz w:w="11900" w:h="16838" w:orient="portrait"/>
          <w:cols w:equalWidth="0" w:num="1">
            <w:col w:w="11400"/>
          </w:cols>
          <w:pgMar w:left="240" w:top="132" w:right="259" w:bottom="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F - 6</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25" w:lineRule="exact"/>
        <w:rPr>
          <w:sz w:val="20"/>
          <w:szCs w:val="20"/>
          <w:color w:val="auto"/>
        </w:rPr>
      </w:pPr>
    </w:p>
    <w:p>
      <w:pPr>
        <w:ind w:left="540" w:right="120"/>
        <w:spacing w:after="0" w:line="253" w:lineRule="auto"/>
        <w:rPr>
          <w:sz w:val="20"/>
          <w:szCs w:val="20"/>
          <w:color w:val="auto"/>
        </w:rPr>
      </w:pPr>
      <w:r>
        <w:rPr>
          <w:rFonts w:ascii="Arial" w:cs="Arial" w:eastAsia="Arial" w:hAnsi="Arial"/>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There was no bad debt expense recorded in either of the years ended December 31, 2016 or 2015. Cash flows from accounts receivable are recorded in operating cash flows.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25" w:lineRule="exact"/>
        <w:rPr>
          <w:sz w:val="20"/>
          <w:szCs w:val="20"/>
          <w:color w:val="auto"/>
        </w:rPr>
      </w:pPr>
    </w:p>
    <w:p>
      <w:pPr>
        <w:ind w:left="540" w:right="580"/>
        <w:spacing w:after="0" w:line="268" w:lineRule="auto"/>
        <w:rPr>
          <w:sz w:val="20"/>
          <w:szCs w:val="20"/>
          <w:color w:val="auto"/>
        </w:rPr>
      </w:pPr>
      <w:r>
        <w:rPr>
          <w:rFonts w:ascii="Arial" w:cs="Arial" w:eastAsia="Arial" w:hAnsi="Arial"/>
          <w:sz w:val="18"/>
          <w:szCs w:val="18"/>
          <w:color w:val="auto"/>
        </w:rPr>
        <w:t>Our financial instruments, principally accounts receivable and accounts payable, are carried at cost which approximates fair value, due to the short maturities of the accounts.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$226 and $342 for the years ended December 31, 2016 and 2015, respectively.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25"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$370 and $465 for the years ended December 31, 2016 and 2015,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ind w:left="540"/>
        <w:spacing w:after="0" w:line="289"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20"/>
        <w:spacing w:after="0" w:line="307" w:lineRule="auto"/>
        <w:rPr>
          <w:sz w:val="20"/>
          <w:szCs w:val="20"/>
          <w:color w:val="auto"/>
        </w:rPr>
      </w:pPr>
      <w:r>
        <w:rPr>
          <w:rFonts w:ascii="Arial" w:cs="Arial" w:eastAsia="Arial" w:hAnsi="Arial"/>
          <w:sz w:val="15"/>
          <w:szCs w:val="15"/>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ectPr>
          <w:pgSz w:w="11900" w:h="16838" w:orient="portrait"/>
          <w:cols w:equalWidth="0" w:num="1">
            <w:col w:w="11420"/>
          </w:cols>
          <w:pgMar w:left="240" w:top="131" w:right="239" w:bottom="0" w:gutter="0" w:footer="0" w:header="0"/>
        </w:sectPr>
      </w:pPr>
    </w:p>
    <w:bookmarkStart w:id="32" w:name="page33"/>
    <w:bookmarkEnd w:id="32"/>
    <w:p>
      <w:pPr>
        <w:ind w:left="540" w:right="60"/>
        <w:spacing w:after="0" w:line="314" w:lineRule="auto"/>
        <w:rPr>
          <w:sz w:val="20"/>
          <w:szCs w:val="20"/>
          <w:color w:val="auto"/>
        </w:rPr>
      </w:pPr>
      <w:r>
        <w:rPr>
          <w:rFonts w:ascii="Arial" w:cs="Arial" w:eastAsia="Arial" w:hAnsi="Arial"/>
          <w:sz w:val="15"/>
          <w:szCs w:val="15"/>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59" w:lineRule="exact"/>
        <w:rPr>
          <w:sz w:val="20"/>
          <w:szCs w:val="20"/>
          <w:color w:val="auto"/>
        </w:rPr>
      </w:pPr>
    </w:p>
    <w:p>
      <w:pPr>
        <w:ind w:left="540" w:right="120"/>
        <w:spacing w:after="0" w:line="294" w:lineRule="auto"/>
        <w:rPr>
          <w:sz w:val="20"/>
          <w:szCs w:val="20"/>
          <w:color w:val="auto"/>
        </w:rPr>
      </w:pPr>
      <w:r>
        <w:rPr>
          <w:rFonts w:ascii="Arial" w:cs="Arial" w:eastAsia="Arial" w:hAnsi="Arial"/>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jc w:val="both"/>
        <w:ind w:left="540" w:right="40"/>
        <w:spacing w:after="0" w:line="306" w:lineRule="auto"/>
        <w:rPr>
          <w:sz w:val="20"/>
          <w:szCs w:val="20"/>
          <w:color w:val="auto"/>
        </w:rPr>
      </w:pPr>
      <w:r>
        <w:rPr>
          <w:rFonts w:ascii="Arial" w:cs="Arial" w:eastAsia="Arial" w:hAnsi="Arial"/>
          <w:sz w:val="16"/>
          <w:szCs w:val="16"/>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plans in Note 12.</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ind w:left="540" w:right="80"/>
        <w:spacing w:after="0" w:line="290" w:lineRule="auto"/>
        <w:rPr>
          <w:sz w:val="20"/>
          <w:szCs w:val="20"/>
          <w:color w:val="auto"/>
        </w:rPr>
      </w:pPr>
      <w:r>
        <w:rPr>
          <w:rFonts w:ascii="Arial" w:cs="Arial" w:eastAsia="Arial" w:hAnsi="Arial"/>
          <w:sz w:val="16"/>
          <w:szCs w:val="16"/>
          <w:color w:val="auto"/>
        </w:rPr>
        <w:t>We recognize revenue when persuasive evidence of an arrangement exists, delivery has occurred or services have been rendered, the price is fixed or 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191" w:lineRule="exact"/>
        <w:rPr>
          <w:sz w:val="20"/>
          <w:szCs w:val="20"/>
          <w:color w:val="auto"/>
        </w:rPr>
      </w:pPr>
    </w:p>
    <w:p>
      <w:pPr>
        <w:ind w:left="540" w:right="540"/>
        <w:spacing w:after="0" w:line="332" w:lineRule="auto"/>
        <w:rPr>
          <w:sz w:val="20"/>
          <w:szCs w:val="20"/>
          <w:color w:val="auto"/>
        </w:rPr>
      </w:pPr>
      <w:r>
        <w:rPr>
          <w:rFonts w:ascii="Arial" w:cs="Arial" w:eastAsia="Arial" w:hAnsi="Arial"/>
          <w:sz w:val="16"/>
          <w:szCs w:val="16"/>
          <w:color w:val="auto"/>
        </w:rPr>
        <w:t>In addition, in our Thermal Products segment, we lease certain of our equipment to customers under non-cancellable operating leases. These leases generally have an initial term of six months. We recognize revenue for these leases on a straight-line basis over the term of the lease.</w:t>
      </w:r>
    </w:p>
    <w:p>
      <w:pPr>
        <w:spacing w:after="0" w:line="139" w:lineRule="exact"/>
        <w:rPr>
          <w:sz w:val="20"/>
          <w:szCs w:val="20"/>
          <w:color w:val="auto"/>
        </w:rPr>
      </w:pPr>
    </w:p>
    <w:p>
      <w:pPr>
        <w:ind w:left="540" w:right="300"/>
        <w:spacing w:after="0" w:line="332" w:lineRule="auto"/>
        <w:rPr>
          <w:sz w:val="20"/>
          <w:szCs w:val="20"/>
          <w:color w:val="auto"/>
        </w:rPr>
      </w:pPr>
      <w:r>
        <w:rPr>
          <w:rFonts w:ascii="Arial" w:cs="Arial" w:eastAsia="Arial" w:hAnsi="Arial"/>
          <w:sz w:val="16"/>
          <w:szCs w:val="16"/>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Product Warranties</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25" w:lineRule="exact"/>
        <w:rPr>
          <w:sz w:val="20"/>
          <w:szCs w:val="20"/>
          <w:color w:val="auto"/>
        </w:rPr>
      </w:pPr>
    </w:p>
    <w:p>
      <w:pPr>
        <w:ind w:left="540" w:right="280"/>
        <w:spacing w:after="0" w:line="268"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25"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For our foreign subsidiary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2016 and 2015, foreign currency transaction losses were $16 and $33, respectively.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Net Earnings Per Common Share</w:t>
      </w:r>
    </w:p>
    <w:p>
      <w:pPr>
        <w:sectPr>
          <w:pgSz w:w="11900" w:h="16838" w:orient="portrait"/>
          <w:cols w:equalWidth="0" w:num="1">
            <w:col w:w="11420"/>
          </w:cols>
          <w:pgMar w:left="240" w:top="131" w:right="239" w:bottom="0" w:gutter="0" w:footer="0" w:header="0"/>
          <w:type w:val="continuous"/>
        </w:sectPr>
      </w:pPr>
    </w:p>
    <w:bookmarkStart w:id="33" w:name="page34"/>
    <w:bookmarkEnd w:id="33"/>
    <w:p>
      <w:pPr>
        <w:ind w:left="540" w:right="80"/>
        <w:spacing w:after="0" w:line="298" w:lineRule="auto"/>
        <w:rPr>
          <w:sz w:val="20"/>
          <w:szCs w:val="20"/>
          <w:color w:val="auto"/>
        </w:rPr>
      </w:pPr>
      <w:r>
        <w:rPr>
          <w:rFonts w:ascii="Arial" w:cs="Arial" w:eastAsia="Arial" w:hAnsi="Arial"/>
          <w:sz w:val="16"/>
          <w:szCs w:val="16"/>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67"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- 9</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SUMMARY OF SIGNIFICANT ACCOUNTING POLICIES </w:t>
      </w:r>
      <w:r>
        <w:rPr>
          <w:rFonts w:ascii="Arial" w:cs="Arial" w:eastAsia="Arial" w:hAnsi="Arial"/>
          <w:sz w:val="18"/>
          <w:szCs w:val="18"/>
          <w:color w:val="auto"/>
        </w:rPr>
        <w:t>(Continued)</w:t>
      </w:r>
    </w:p>
    <w:p>
      <w:pPr>
        <w:spacing w:after="0" w:line="22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8"/>
          </w:tcPr>
          <w:p>
            <w:pPr>
              <w:jc w:val="right"/>
              <w:ind w:right="260"/>
              <w:spacing w:after="0"/>
              <w:rPr>
                <w:sz w:val="20"/>
                <w:szCs w:val="20"/>
                <w:color w:val="auto"/>
              </w:rPr>
            </w:pPr>
            <w:r>
              <w:rPr>
                <w:rFonts w:ascii="Arial" w:cs="Arial" w:eastAsia="Arial" w:hAnsi="Arial"/>
                <w:sz w:val="14"/>
                <w:szCs w:val="14"/>
                <w:b w:val="1"/>
                <w:bCs w:val="1"/>
                <w:i w:val="1"/>
                <w:iCs w:val="1"/>
                <w:color w:val="auto"/>
                <w:w w:val="81"/>
              </w:rPr>
              <w:t>Years Ended December 31,</w:t>
            </w:r>
          </w:p>
        </w:tc>
      </w:tr>
      <w:tr>
        <w:trPr>
          <w:trHeight w:val="223"/>
        </w:trPr>
        <w:tc>
          <w:tcPr>
            <w:tcW w:w="536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rPr>
              <w:t>2016</w:t>
            </w: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4"/>
          </w:tcPr>
          <w:p>
            <w:pPr>
              <w:jc w:val="right"/>
              <w:ind w:right="100"/>
              <w:spacing w:after="0"/>
              <w:rPr>
                <w:sz w:val="20"/>
                <w:szCs w:val="20"/>
                <w:color w:val="auto"/>
              </w:rPr>
            </w:pPr>
            <w:r>
              <w:rPr>
                <w:rFonts w:ascii="Arial" w:cs="Arial" w:eastAsia="Arial" w:hAnsi="Arial"/>
                <w:sz w:val="14"/>
                <w:szCs w:val="14"/>
                <w:b w:val="1"/>
                <w:bCs w:val="1"/>
                <w:i w:val="1"/>
                <w:iCs w:val="1"/>
                <w:color w:val="auto"/>
              </w:rPr>
              <w:t>2015</w:t>
            </w:r>
          </w:p>
        </w:tc>
        <w:tc>
          <w:tcPr>
            <w:tcW w:w="26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478"/>
        </w:trPr>
        <w:tc>
          <w:tcPr>
            <w:tcW w:w="53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10,313,747</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10,473,210</w:t>
            </w:r>
          </w:p>
        </w:tc>
      </w:tr>
      <w:tr>
        <w:trPr>
          <w:trHeight w:val="243"/>
        </w:trPr>
        <w:tc>
          <w:tcPr>
            <w:tcW w:w="53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05"/>
        </w:trPr>
        <w:tc>
          <w:tcPr>
            <w:tcW w:w="5360" w:type="dxa"/>
            <w:vAlign w:val="bottom"/>
          </w:tcPr>
          <w:p>
            <w:pPr>
              <w:ind w:left="220"/>
              <w:spacing w:after="0" w:line="205" w:lineRule="exact"/>
              <w:rPr>
                <w:sz w:val="20"/>
                <w:szCs w:val="20"/>
                <w:color w:val="auto"/>
              </w:rPr>
            </w:pPr>
            <w:r>
              <w:rPr>
                <w:rFonts w:ascii="Arial" w:cs="Arial" w:eastAsia="Arial" w:hAnsi="Arial"/>
                <w:sz w:val="18"/>
                <w:szCs w:val="18"/>
                <w:color w:val="auto"/>
              </w:rPr>
              <w:t>Unvested shares of restricted stock and employee stock options</w:t>
            </w:r>
          </w:p>
        </w:tc>
        <w:tc>
          <w:tcPr>
            <w:tcW w:w="700" w:type="dxa"/>
            <w:vAlign w:val="bottom"/>
          </w:tcPr>
          <w:p>
            <w:pPr>
              <w:spacing w:after="0"/>
              <w:rPr>
                <w:sz w:val="17"/>
                <w:szCs w:val="17"/>
                <w:color w:val="auto"/>
              </w:rPr>
            </w:pPr>
          </w:p>
        </w:tc>
        <w:tc>
          <w:tcPr>
            <w:tcW w:w="80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19,173</w:t>
            </w:r>
          </w:p>
        </w:tc>
        <w:tc>
          <w:tcPr>
            <w:tcW w:w="220" w:type="dxa"/>
            <w:vAlign w:val="bottom"/>
          </w:tcPr>
          <w:p>
            <w:pPr>
              <w:spacing w:after="0"/>
              <w:rPr>
                <w:sz w:val="17"/>
                <w:szCs w:val="17"/>
                <w:color w:val="auto"/>
              </w:rPr>
            </w:pPr>
          </w:p>
        </w:tc>
        <w:tc>
          <w:tcPr>
            <w:tcW w:w="78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20,620</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10,332,920</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10,493,830</w:t>
            </w:r>
          </w:p>
        </w:tc>
      </w:tr>
      <w:tr>
        <w:trPr>
          <w:trHeight w:val="255"/>
        </w:trPr>
        <w:tc>
          <w:tcPr>
            <w:tcW w:w="5360" w:type="dxa"/>
            <w:vAlign w:val="bottom"/>
          </w:tcPr>
          <w:p>
            <w:pPr>
              <w:spacing w:after="0"/>
              <w:rPr>
                <w:sz w:val="20"/>
                <w:szCs w:val="20"/>
                <w:color w:val="auto"/>
              </w:rPr>
            </w:pPr>
            <w:r>
              <w:rPr>
                <w:rFonts w:ascii="Arial" w:cs="Arial" w:eastAsia="Arial" w:hAnsi="Arial"/>
                <w:sz w:val="18"/>
                <w:szCs w:val="18"/>
                <w:color w:val="auto"/>
              </w:rPr>
              <w:t>Average number of potentially dilutive securities excluded from</w:t>
            </w:r>
          </w:p>
        </w:tc>
        <w:tc>
          <w:tcPr>
            <w:tcW w:w="7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r>
      <w:tr>
        <w:trPr>
          <w:trHeight w:val="222"/>
        </w:trPr>
        <w:tc>
          <w:tcPr>
            <w:tcW w:w="5360" w:type="dxa"/>
            <w:vAlign w:val="bottom"/>
          </w:tcPr>
          <w:p>
            <w:pPr>
              <w:ind w:left="100"/>
              <w:spacing w:after="0"/>
              <w:rPr>
                <w:sz w:val="20"/>
                <w:szCs w:val="20"/>
                <w:color w:val="auto"/>
              </w:rPr>
            </w:pPr>
            <w:r>
              <w:rPr>
                <w:rFonts w:ascii="Arial" w:cs="Arial" w:eastAsia="Arial" w:hAnsi="Arial"/>
                <w:sz w:val="18"/>
                <w:szCs w:val="18"/>
                <w:color w:val="auto"/>
              </w:rPr>
              <w:t>calculation</w:t>
            </w:r>
          </w:p>
        </w:tc>
        <w:tc>
          <w:tcPr>
            <w:tcW w:w="1500" w:type="dxa"/>
            <w:vAlign w:val="bottom"/>
            <w:gridSpan w:val="5"/>
          </w:tcPr>
          <w:p>
            <w:pPr>
              <w:jc w:val="right"/>
              <w:spacing w:after="0"/>
              <w:rPr>
                <w:sz w:val="20"/>
                <w:szCs w:val="20"/>
                <w:color w:val="auto"/>
              </w:rPr>
            </w:pPr>
            <w:r>
              <w:rPr>
                <w:rFonts w:ascii="Arial" w:cs="Arial" w:eastAsia="Arial" w:hAnsi="Arial"/>
                <w:sz w:val="18"/>
                <w:szCs w:val="18"/>
                <w:color w:val="auto"/>
              </w:rPr>
              <w:t>18,658</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w:t>
            </w:r>
          </w:p>
        </w:tc>
      </w:tr>
    </w:tbl>
    <w:p>
      <w:pPr>
        <w:spacing w:after="0" w:line="223"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Adopted Amendments to Authoritative Accounting Guidance</w:t>
      </w:r>
    </w:p>
    <w:p>
      <w:pPr>
        <w:spacing w:after="0" w:line="225" w:lineRule="exact"/>
        <w:rPr>
          <w:sz w:val="20"/>
          <w:szCs w:val="20"/>
          <w:color w:val="auto"/>
        </w:rPr>
      </w:pPr>
    </w:p>
    <w:p>
      <w:pPr>
        <w:ind w:left="540" w:right="40"/>
        <w:spacing w:after="0" w:line="289" w:lineRule="auto"/>
        <w:rPr>
          <w:sz w:val="20"/>
          <w:szCs w:val="20"/>
          <w:color w:val="auto"/>
        </w:rPr>
      </w:pPr>
      <w:r>
        <w:rPr>
          <w:rFonts w:ascii="Arial" w:cs="Arial" w:eastAsia="Arial" w:hAnsi="Arial"/>
          <w:sz w:val="16"/>
          <w:szCs w:val="16"/>
          <w:color w:val="auto"/>
        </w:rPr>
        <w:t>In November 2015, the Financial Accounting Standards Board (the "FASB") issued amendments to update the current guidance on the balance sheet classification of deferred taxes which is presented in ASC Topic 740 (Income Taxes). The purpose of the amendments is to simplify the presentation of deferred tax assets. This guidance requires deferred tax assets and liabilities, along with related valuation allowances, to be classified as noncurrent on the balance sheet. As a result, each tax jurisdiction will now only have one net noncurrent deferred tax asset or liability. The new guidance does not change the existing requirement that prohibits offsetting deferred tax liabilities from one jurisdiction against deferred tax assets of another jurisdiction. The amendments are effective for us as of January 1, 2017. Early application is permitted. We elected early application of this guidance effective January 1, 2016. The implementation of these amendments did not have a material impact on our consolidated financial statements. Prior year amounts have been reclassified to be consistent with the current year presentation.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left="540" w:right="160"/>
        <w:spacing w:after="0" w:line="318" w:lineRule="auto"/>
        <w:rPr>
          <w:sz w:val="20"/>
          <w:szCs w:val="20"/>
          <w:color w:val="auto"/>
        </w:rPr>
      </w:pPr>
      <w:r>
        <w:rPr>
          <w:rFonts w:ascii="Arial" w:cs="Arial" w:eastAsia="Arial" w:hAnsi="Arial"/>
          <w:sz w:val="15"/>
          <w:szCs w:val="15"/>
          <w:color w:val="auto"/>
        </w:rPr>
        <w:t>In January 2017, the FASB issued amendments to the guidance on accounting for goodwill impairment. The amendments simplify the accounting for goodwill impairment by removing Step II of the goodwill impairment test, which requires a hypothetical purchase price allocation. Under the amendments, a goodwill impairment will now be the amount by which a reporting unit's carrying value exceeds its fair value, not to exceed the carrying amount of goodwill. The amendments will be applied prospectively and are effective for us as of January 1, 2020, with early application permitted beginning January 1, 2017. We do not expect the implementation of the amendments to have a material impact on our consolidated financial statements.</w:t>
      </w:r>
    </w:p>
    <w:p>
      <w:pPr>
        <w:spacing w:after="0" w:line="154" w:lineRule="exact"/>
        <w:rPr>
          <w:sz w:val="20"/>
          <w:szCs w:val="20"/>
          <w:color w:val="auto"/>
        </w:rPr>
      </w:pPr>
    </w:p>
    <w:p>
      <w:pPr>
        <w:jc w:val="both"/>
        <w:ind w:left="540" w:right="20"/>
        <w:spacing w:after="0" w:line="256" w:lineRule="auto"/>
        <w:rPr>
          <w:sz w:val="20"/>
          <w:szCs w:val="20"/>
          <w:color w:val="auto"/>
        </w:rPr>
      </w:pPr>
      <w:r>
        <w:rPr>
          <w:rFonts w:ascii="Arial" w:cs="Arial" w:eastAsia="Arial" w:hAnsi="Arial"/>
          <w:sz w:val="18"/>
          <w:szCs w:val="18"/>
          <w:color w:val="auto"/>
        </w:rPr>
        <w:t>In January 2017, the FASB issued amendments to clarify the current guidance on the definition of a business. The objective of the amendments is to assist entities with evaluating whether transactions should be accounted for as acquisitions (or disposals) of assets or businesses. The amendments are effective for us as of January 1, 2018 with early application permitted. We do not expect the implementation of these amendments to have a material impact on our consolidated financial statements.</w:t>
      </w:r>
    </w:p>
    <w:p>
      <w:pPr>
        <w:spacing w:after="0" w:line="197"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In November 2016, the FASB issued amendments to the guidance on presentation of restricted cash within the statement of cash flows. The amendments require that restricted cash be included within cash and cash equivalents on the statement of cash flows. The amendments are effective for us as of January 1, 2018, and are to be applied retrospectively. Early application is permitted. We do not expect the implementation of these amendments to have a material impact on our consolidated financial statements.</w:t>
      </w:r>
    </w:p>
    <w:p>
      <w:pPr>
        <w:spacing w:after="0" w:line="197"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In March 2016, the FASB issued amendments to the current guidance on accounting for stock-based compensation issued to employees which is contained in ASC Topic 718 (Compensation - Stock Compensation). The new guidance simplifies several aspects of the accounting for share-based payment transactions, including the income tax consequences, classification of awards as either equity or liabilities, and classification on the statement of cash flows. The amendments are effective for us as of January 1, 2017. Early application is permitted. We do not expect the implementation of these amendments to have a material impact on our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00"/>
          </w:cols>
          <w:pgMar w:left="240" w:top="347" w:right="259" w:bottom="0" w:gutter="0" w:footer="0" w:header="0"/>
        </w:sect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SUMMARY OF SIGNIFICANT ACCOUNTING POLICIES </w:t>
      </w:r>
      <w:r>
        <w:rPr>
          <w:rFonts w:ascii="Arial" w:cs="Arial" w:eastAsia="Arial" w:hAnsi="Arial"/>
          <w:sz w:val="16"/>
          <w:szCs w:val="16"/>
          <w:color w:val="auto"/>
        </w:rPr>
        <w:t>(Continued)</w:t>
      </w:r>
    </w:p>
    <w:p>
      <w:pPr>
        <w:sectPr>
          <w:pgSz w:w="11900" w:h="16838" w:orient="portrait"/>
          <w:cols w:equalWidth="0" w:num="1">
            <w:col w:w="11400"/>
          </w:cols>
          <w:pgMar w:left="240" w:top="347" w:right="259" w:bottom="0" w:gutter="0" w:footer="0" w:header="0"/>
          <w:type w:val="continuous"/>
        </w:sectPr>
      </w:pPr>
    </w:p>
    <w:bookmarkStart w:id="34" w:name="page35"/>
    <w:bookmarkEnd w:id="34"/>
    <w:p>
      <w:pPr>
        <w:spacing w:after="0" w:line="98" w:lineRule="exact"/>
        <w:rPr>
          <w:sz w:val="20"/>
          <w:szCs w:val="20"/>
          <w:color w:val="auto"/>
        </w:rPr>
      </w:pPr>
    </w:p>
    <w:p>
      <w:pPr>
        <w:ind w:left="540" w:right="140"/>
        <w:spacing w:after="0" w:line="310" w:lineRule="auto"/>
        <w:rPr>
          <w:sz w:val="20"/>
          <w:szCs w:val="20"/>
          <w:color w:val="auto"/>
        </w:rPr>
      </w:pPr>
      <w:r>
        <w:rPr>
          <w:rFonts w:ascii="Arial" w:cs="Arial" w:eastAsia="Arial" w:hAnsi="Arial"/>
          <w:sz w:val="15"/>
          <w:szCs w:val="15"/>
          <w:color w:val="auto"/>
        </w:rPr>
        <w:t>In February 2016, the FASB issued amendments to the current guidance on accounting for lease transactions, which is presented in ASC Topic 842 (Leases). The intent of the updated guidance is to increase transparency and comparability among organizations by requiring lessees to recognize assets and liabilities on the balance sheet for the rights and obligations created by leases and to disclose key information about leasing arrangements. Under the new guidance, a lessee will be required to record a right-of-use asset and a lease liability on the balance sheet for all leases with terms longer than 12 months. Leases will be classified as either finance or operating, with classification affecting the pattern of expense recognition in the income statement. The amendments are effective for us as of January 1, 2019. A modified retrospective transition approach is required for lessees for capital and operating leases existing at, or entered into after, the beginning of the earliest comparative period presented in the financial statements, with certain practical expedients available. We are currently evaluating the impact of the implementation of these amendments on our consolidated financial statements.</w:t>
      </w:r>
    </w:p>
    <w:p>
      <w:pPr>
        <w:spacing w:after="0" w:line="162" w:lineRule="exact"/>
        <w:rPr>
          <w:sz w:val="20"/>
          <w:szCs w:val="20"/>
          <w:color w:val="auto"/>
        </w:rPr>
      </w:pPr>
    </w:p>
    <w:p>
      <w:pPr>
        <w:ind w:left="540" w:right="60"/>
        <w:spacing w:after="0" w:line="289" w:lineRule="auto"/>
        <w:rPr>
          <w:sz w:val="20"/>
          <w:szCs w:val="20"/>
          <w:color w:val="auto"/>
        </w:rPr>
      </w:pPr>
      <w:r>
        <w:rPr>
          <w:rFonts w:ascii="Arial" w:cs="Arial" w:eastAsia="Arial" w:hAnsi="Arial"/>
          <w:sz w:val="16"/>
          <w:szCs w:val="16"/>
          <w:color w:val="auto"/>
        </w:rPr>
        <w:t>In July 2015, the FASB issued amendments to update the current guidance on the subsequent measurement of inventory, which is presented in ASC Topic 330 (Inventory). The purpose of the amendments is to simplify the subsequent measurement of inventory and reduce the number of potential outcomes. It applies to all inventory other than inventory measured using last-in, first-out or the retail inventory method. Current guidance requires an entity to measure inventory at the lower of cost or market. Market could be replacement cost, net realizable value, or net realizable value less a normal profit margin. The updated guidance amends this to require that an entity measure inventory within the scope of the updated guidance at the lower of cost and net realizable value. Net realizable value is the estimated selling price in the ordinary course of business, less reasonably predictable costs of completion, disposal, and transportation. The amendments are effective for us as of January 1, 2017. We do not expect the implementation of these amendments to have a material impact on our consolidated financial statements.</w:t>
      </w:r>
    </w:p>
    <w:p>
      <w:pPr>
        <w:spacing w:after="0" w:line="172" w:lineRule="exact"/>
        <w:rPr>
          <w:sz w:val="20"/>
          <w:szCs w:val="20"/>
          <w:color w:val="auto"/>
        </w:rPr>
      </w:pPr>
    </w:p>
    <w:p>
      <w:pPr>
        <w:ind w:left="540"/>
        <w:spacing w:after="0" w:line="287" w:lineRule="auto"/>
        <w:rPr>
          <w:sz w:val="20"/>
          <w:szCs w:val="20"/>
          <w:color w:val="auto"/>
        </w:rPr>
      </w:pPr>
      <w:r>
        <w:rPr>
          <w:rFonts w:ascii="Arial" w:cs="Arial" w:eastAsia="Arial" w:hAnsi="Arial"/>
          <w:sz w:val="16"/>
          <w:szCs w:val="16"/>
          <w:color w:val="auto"/>
        </w:rPr>
        <w:t>In May 2014, the FASB issued new guidance on the recognition of revenue from contracts with customers. Subsequent to May, 2014, the FASB has issued additional clarifying guidance on certain aspects of this new guidance. This guidance is presented in ASC Topic 606 (Revenue from Contracts with Customers). This new guidance will replace most existing revenue recognition guidance in U.S. GAAP when it becomes effective. Companies can use either the retrospective or cumulative effect transition method. In August 2015, the FASB deferred the effective date of this new guidance for one additional year. As a result, this new guidance is effective for us as of January 1, 2018. Early application is only permitted as of the prior effective date, which in our case would be as of January 1, 2017. We currently plan to implement this new guidance on January 1, 2018 with a cumulative adjustment to retained earnings as opposed to retrospectively adjusting prior periods. During the fourth quarter of 2016, we completed a preliminary review of all our revenue streams to identify any differences in timing, measurement or presentation of revenue recognition. Our implementation process is ongoing; however, based on the results of our assessment to date, we currently do not expect the implementation of this new guidance to have a significant impact on the timing or amount of revenue we recognize in any given period in comparison to the amount recognized under current guidance.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191" w:lineRule="exact"/>
        <w:rPr>
          <w:sz w:val="20"/>
          <w:szCs w:val="20"/>
          <w:color w:val="auto"/>
        </w:rPr>
      </w:pPr>
    </w:p>
    <w:p>
      <w:pPr>
        <w:ind w:left="540" w:right="120"/>
        <w:spacing w:after="0" w:line="256" w:lineRule="auto"/>
        <w:rPr>
          <w:sz w:val="20"/>
          <w:szCs w:val="20"/>
          <w:color w:val="auto"/>
        </w:rPr>
      </w:pPr>
      <w:r>
        <w:rPr>
          <w:rFonts w:ascii="Arial" w:cs="Arial" w:eastAsia="Arial" w:hAnsi="Arial"/>
          <w:sz w:val="18"/>
          <w:szCs w:val="18"/>
          <w:color w:val="auto"/>
        </w:rPr>
        <w:t>In recent years, our Mechanical Products segment has experienced significant operating losses. We have undertaken actions at various times over the last few years to address these losses. On January 4, 2016, we implemented a workforce reduction which resulted in our recording a restructuring charge of $99 in the first quarter of 2016, which is included in general and administrative expense in our statements of operations. This entire amount was paid out in the first quarter of 2016.</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INTANGIBLE AND LONG-LIVED ASSETS</w:t>
      </w:r>
    </w:p>
    <w:p>
      <w:pPr>
        <w:spacing w:after="0" w:line="191" w:lineRule="exact"/>
        <w:rPr>
          <w:sz w:val="20"/>
          <w:szCs w:val="20"/>
          <w:color w:val="auto"/>
        </w:rPr>
      </w:pPr>
    </w:p>
    <w:p>
      <w:pPr>
        <w:ind w:left="540" w:right="880"/>
        <w:spacing w:after="0" w:line="268" w:lineRule="auto"/>
        <w:rPr>
          <w:sz w:val="20"/>
          <w:szCs w:val="20"/>
          <w:color w:val="auto"/>
        </w:rPr>
      </w:pPr>
      <w:r>
        <w:rPr>
          <w:rFonts w:ascii="Arial" w:cs="Arial" w:eastAsia="Arial" w:hAnsi="Arial"/>
          <w:sz w:val="18"/>
          <w:szCs w:val="18"/>
          <w:color w:val="auto"/>
        </w:rPr>
        <w:t>Goodwill and intangible assets on our balance sheets are the result of our acquisitions of Sigma Systems Corp. ("Sigma") in October 2008 and Thermonics, Inc. ("Thermonics") in January 2012.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540" w:right="360"/>
        <w:spacing w:after="0" w:line="268" w:lineRule="auto"/>
        <w:rPr>
          <w:sz w:val="20"/>
          <w:szCs w:val="20"/>
          <w:color w:val="auto"/>
        </w:rPr>
      </w:pPr>
      <w:r>
        <w:rPr>
          <w:rFonts w:ascii="Arial" w:cs="Arial" w:eastAsia="Arial" w:hAnsi="Arial"/>
          <w:sz w:val="18"/>
          <w:szCs w:val="18"/>
          <w:color w:val="auto"/>
        </w:rPr>
        <w:t>All of our goodwill is allocated to our Thermal Products segment. There were no changes in the amount of the carrying value of goodwill for the year ended December 31, 2016.</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INTANGIBLE AND LONG-LIVED ASSETS </w:t>
      </w:r>
      <w:r>
        <w:rPr>
          <w:rFonts w:ascii="Arial" w:cs="Arial" w:eastAsia="Arial" w:hAnsi="Arial"/>
          <w:sz w:val="18"/>
          <w:szCs w:val="18"/>
          <w:color w:val="auto"/>
        </w:rPr>
        <w:t>(Continued)</w:t>
      </w:r>
    </w:p>
    <w:p>
      <w:pPr>
        <w:spacing w:after="0" w:line="190"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further detail about our intangible assets as of December 31, 2016 and 2015:</w:t>
      </w:r>
    </w:p>
    <w:p>
      <w:pPr>
        <w:spacing w:after="0" w:line="221"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i w:val="1"/>
                <w:iCs w:val="1"/>
                <w:color w:val="auto"/>
                <w:w w:val="87"/>
              </w:rPr>
              <w:t>December 31, 2016</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3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gridSpan w:val="4"/>
          </w:tcPr>
          <w:p>
            <w:pPr>
              <w:jc w:val="center"/>
              <w:ind w:right="112"/>
              <w:spacing w:after="0" w:line="158" w:lineRule="exact"/>
              <w:rPr>
                <w:sz w:val="20"/>
                <w:szCs w:val="20"/>
                <w:color w:val="auto"/>
              </w:rPr>
            </w:pPr>
            <w:r>
              <w:rPr>
                <w:rFonts w:ascii="Arial" w:cs="Arial" w:eastAsia="Arial" w:hAnsi="Arial"/>
                <w:sz w:val="14"/>
                <w:szCs w:val="14"/>
                <w:b w:val="1"/>
                <w:bCs w:val="1"/>
                <w:i w:val="1"/>
                <w:iCs w:val="1"/>
                <w:color w:val="auto"/>
                <w:w w:val="83"/>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4"/>
          </w:tcPr>
          <w:p>
            <w:pPr>
              <w:jc w:val="center"/>
              <w:ind w:right="200"/>
              <w:spacing w:after="0" w:line="158" w:lineRule="exact"/>
              <w:rPr>
                <w:sz w:val="20"/>
                <w:szCs w:val="20"/>
                <w:color w:val="auto"/>
              </w:rPr>
            </w:pPr>
            <w:r>
              <w:rPr>
                <w:rFonts w:ascii="Arial" w:cs="Arial" w:eastAsia="Arial" w:hAnsi="Arial"/>
                <w:sz w:val="14"/>
                <w:szCs w:val="14"/>
                <w:b w:val="1"/>
                <w:bCs w:val="1"/>
                <w:i w:val="1"/>
                <w:iCs w:val="1"/>
                <w:color w:val="auto"/>
                <w:w w:val="88"/>
              </w:rPr>
              <w:t>Net</w:t>
            </w:r>
          </w:p>
        </w:tc>
      </w:tr>
      <w:tr>
        <w:trPr>
          <w:trHeight w:val="149"/>
        </w:trPr>
        <w:tc>
          <w:tcPr>
            <w:tcW w:w="3320" w:type="dxa"/>
            <w:vAlign w:val="bottom"/>
          </w:tcPr>
          <w:p>
            <w:pPr>
              <w:spacing w:after="0"/>
              <w:rPr>
                <w:sz w:val="12"/>
                <w:szCs w:val="12"/>
                <w:color w:val="auto"/>
              </w:rPr>
            </w:pPr>
          </w:p>
        </w:tc>
        <w:tc>
          <w:tcPr>
            <w:tcW w:w="1620" w:type="dxa"/>
            <w:vAlign w:val="bottom"/>
            <w:gridSpan w:val="5"/>
          </w:tcPr>
          <w:p>
            <w:pPr>
              <w:jc w:val="center"/>
              <w:ind w:left="71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120" w:type="dxa"/>
            <w:vAlign w:val="bottom"/>
          </w:tcPr>
          <w:p>
            <w:pPr>
              <w:spacing w:after="0"/>
              <w:rPr>
                <w:sz w:val="12"/>
                <w:szCs w:val="12"/>
                <w:color w:val="auto"/>
              </w:rPr>
            </w:pPr>
          </w:p>
        </w:tc>
        <w:tc>
          <w:tcPr>
            <w:tcW w:w="8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81"/>
              </w:rPr>
              <w:t>Accumulated</w:t>
            </w:r>
          </w:p>
        </w:tc>
        <w:tc>
          <w:tcPr>
            <w:tcW w:w="100" w:type="dxa"/>
            <w:vAlign w:val="bottom"/>
          </w:tcPr>
          <w:p>
            <w:pPr>
              <w:spacing w:after="0"/>
              <w:rPr>
                <w:sz w:val="12"/>
                <w:szCs w:val="12"/>
                <w:color w:val="auto"/>
              </w:rPr>
            </w:pPr>
          </w:p>
        </w:tc>
        <w:tc>
          <w:tcPr>
            <w:tcW w:w="52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79"/>
              </w:rPr>
              <w:t>Carrying</w:t>
            </w:r>
          </w:p>
        </w:tc>
      </w:tr>
      <w:tr>
        <w:trPr>
          <w:trHeight w:val="146"/>
        </w:trPr>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4"/>
          </w:tcPr>
          <w:p>
            <w:pPr>
              <w:jc w:val="center"/>
              <w:ind w:right="112"/>
              <w:spacing w:after="0" w:line="146" w:lineRule="exact"/>
              <w:rPr>
                <w:sz w:val="20"/>
                <w:szCs w:val="20"/>
                <w:color w:val="auto"/>
              </w:rPr>
            </w:pPr>
            <w:r>
              <w:rPr>
                <w:rFonts w:ascii="Arial" w:cs="Arial" w:eastAsia="Arial" w:hAnsi="Arial"/>
                <w:sz w:val="14"/>
                <w:szCs w:val="14"/>
                <w:b w:val="1"/>
                <w:bCs w:val="1"/>
                <w:i w:val="1"/>
                <w:iCs w:val="1"/>
                <w:color w:val="auto"/>
                <w:w w:val="86"/>
              </w:rPr>
              <w:t>Amount</w:t>
            </w:r>
          </w:p>
        </w:tc>
        <w:tc>
          <w:tcPr>
            <w:tcW w:w="120" w:type="dxa"/>
            <w:vAlign w:val="bottom"/>
          </w:tcPr>
          <w:p>
            <w:pPr>
              <w:spacing w:after="0"/>
              <w:rPr>
                <w:sz w:val="12"/>
                <w:szCs w:val="12"/>
                <w:color w:val="auto"/>
              </w:rPr>
            </w:pPr>
          </w:p>
        </w:tc>
        <w:tc>
          <w:tcPr>
            <w:tcW w:w="820" w:type="dxa"/>
            <w:vAlign w:val="bottom"/>
            <w:gridSpan w:val="6"/>
          </w:tcPr>
          <w:p>
            <w:pPr>
              <w:jc w:val="center"/>
              <w:ind w:right="100"/>
              <w:spacing w:after="0" w:line="146" w:lineRule="exact"/>
              <w:rPr>
                <w:sz w:val="20"/>
                <w:szCs w:val="20"/>
                <w:color w:val="auto"/>
              </w:rPr>
            </w:pPr>
            <w:r>
              <w:rPr>
                <w:rFonts w:ascii="Arial" w:cs="Arial" w:eastAsia="Arial" w:hAnsi="Arial"/>
                <w:sz w:val="14"/>
                <w:szCs w:val="14"/>
                <w:b w:val="1"/>
                <w:bCs w:val="1"/>
                <w:i w:val="1"/>
                <w:iCs w:val="1"/>
                <w:color w:val="auto"/>
                <w:w w:val="84"/>
              </w:rPr>
              <w:t>Amortization</w:t>
            </w:r>
          </w:p>
        </w:tc>
        <w:tc>
          <w:tcPr>
            <w:tcW w:w="100" w:type="dxa"/>
            <w:vAlign w:val="bottom"/>
          </w:tcPr>
          <w:p>
            <w:pPr>
              <w:spacing w:after="0"/>
              <w:rPr>
                <w:sz w:val="12"/>
                <w:szCs w:val="12"/>
                <w:color w:val="auto"/>
              </w:rPr>
            </w:pPr>
          </w:p>
        </w:tc>
        <w:tc>
          <w:tcPr>
            <w:tcW w:w="520" w:type="dxa"/>
            <w:vAlign w:val="bottom"/>
            <w:gridSpan w:val="5"/>
          </w:tcPr>
          <w:p>
            <w:pPr>
              <w:jc w:val="center"/>
              <w:ind w:right="80"/>
              <w:spacing w:after="0" w:line="146" w:lineRule="exact"/>
              <w:rPr>
                <w:sz w:val="20"/>
                <w:szCs w:val="20"/>
                <w:color w:val="auto"/>
              </w:rPr>
            </w:pPr>
            <w:r>
              <w:rPr>
                <w:rFonts w:ascii="Arial" w:cs="Arial" w:eastAsia="Arial" w:hAnsi="Arial"/>
                <w:sz w:val="14"/>
                <w:szCs w:val="14"/>
                <w:b w:val="1"/>
                <w:bCs w:val="1"/>
                <w:i w:val="1"/>
                <w:iCs w:val="1"/>
                <w:color w:val="auto"/>
                <w:w w:val="83"/>
              </w:rPr>
              <w:t>Amount</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32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$1,480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$1,328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152</w:t>
            </w:r>
          </w:p>
        </w:tc>
      </w:tr>
      <w:tr>
        <w:trPr>
          <w:trHeight w:val="243"/>
        </w:trPr>
        <w:tc>
          <w:tcPr>
            <w:tcW w:w="332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590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424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166</w:t>
            </w:r>
          </w:p>
        </w:tc>
      </w:tr>
      <w:tr>
        <w:trPr>
          <w:trHeight w:val="243"/>
        </w:trPr>
        <w:tc>
          <w:tcPr>
            <w:tcW w:w="332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270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47</w:t>
            </w:r>
          </w:p>
        </w:tc>
      </w:tr>
      <w:tr>
        <w:trPr>
          <w:trHeight w:val="205"/>
        </w:trPr>
        <w:tc>
          <w:tcPr>
            <w:tcW w:w="3320" w:type="dxa"/>
            <w:vAlign w:val="bottom"/>
          </w:tcPr>
          <w:p>
            <w:pPr>
              <w:ind w:left="120"/>
              <w:spacing w:after="0" w:line="205" w:lineRule="exact"/>
              <w:rPr>
                <w:sz w:val="20"/>
                <w:szCs w:val="20"/>
                <w:color w:val="auto"/>
              </w:rPr>
            </w:pPr>
            <w:r>
              <w:rPr>
                <w:rFonts w:ascii="Arial" w:cs="Arial" w:eastAsia="Arial" w:hAnsi="Arial"/>
                <w:sz w:val="18"/>
                <w:szCs w:val="18"/>
                <w:color w:val="auto"/>
              </w:rPr>
              <w:t>Trade name</w:t>
            </w:r>
          </w:p>
        </w:tc>
        <w:tc>
          <w:tcPr>
            <w:tcW w:w="1240" w:type="dxa"/>
            <w:vAlign w:val="bottom"/>
            <w:gridSpan w:val="2"/>
          </w:tcPr>
          <w:p>
            <w:pPr>
              <w:spacing w:after="0"/>
              <w:rPr>
                <w:sz w:val="17"/>
                <w:szCs w:val="17"/>
                <w:color w:val="auto"/>
              </w:rPr>
            </w:pPr>
          </w:p>
        </w:tc>
        <w:tc>
          <w:tcPr>
            <w:tcW w:w="3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140</w:t>
            </w:r>
          </w:p>
        </w:tc>
        <w:tc>
          <w:tcPr>
            <w:tcW w:w="340" w:type="dxa"/>
            <w:vAlign w:val="bottom"/>
            <w:gridSpan w:val="3"/>
          </w:tcPr>
          <w:p>
            <w:pPr>
              <w:spacing w:after="0"/>
              <w:rPr>
                <w:sz w:val="17"/>
                <w:szCs w:val="17"/>
                <w:color w:val="auto"/>
              </w:rPr>
            </w:pPr>
          </w:p>
        </w:tc>
        <w:tc>
          <w:tcPr>
            <w:tcW w:w="4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140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620" w:type="dxa"/>
            <w:vAlign w:val="bottom"/>
            <w:gridSpan w:val="5"/>
          </w:tcPr>
          <w:p>
            <w:pPr>
              <w:jc w:val="right"/>
              <w:spacing w:after="0"/>
              <w:rPr>
                <w:sz w:val="20"/>
                <w:szCs w:val="20"/>
                <w:color w:val="auto"/>
              </w:rPr>
            </w:pPr>
            <w:r>
              <w:rPr>
                <w:rFonts w:ascii="Arial" w:cs="Arial" w:eastAsia="Arial" w:hAnsi="Arial"/>
                <w:sz w:val="18"/>
                <w:szCs w:val="18"/>
                <w:color w:val="auto"/>
              </w:rPr>
              <w:t>2,480</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2,115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365</w:t>
            </w:r>
          </w:p>
        </w:tc>
      </w:tr>
      <w:tr>
        <w:trPr>
          <w:trHeight w:val="262"/>
        </w:trPr>
        <w:tc>
          <w:tcPr>
            <w:tcW w:w="33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r>
      <w:tr>
        <w:trPr>
          <w:trHeight w:val="205"/>
        </w:trPr>
        <w:tc>
          <w:tcPr>
            <w:tcW w:w="3320" w:type="dxa"/>
            <w:vAlign w:val="bottom"/>
          </w:tcPr>
          <w:p>
            <w:pPr>
              <w:ind w:left="140"/>
              <w:spacing w:after="0" w:line="205" w:lineRule="exact"/>
              <w:rPr>
                <w:sz w:val="20"/>
                <w:szCs w:val="20"/>
                <w:color w:val="auto"/>
              </w:rPr>
            </w:pPr>
            <w:r>
              <w:rPr>
                <w:rFonts w:ascii="Arial" w:cs="Arial" w:eastAsia="Arial" w:hAnsi="Arial"/>
                <w:sz w:val="18"/>
                <w:szCs w:val="18"/>
                <w:color w:val="auto"/>
              </w:rPr>
              <w:t>Sigma trademark</w:t>
            </w:r>
          </w:p>
        </w:tc>
        <w:tc>
          <w:tcPr>
            <w:tcW w:w="1240" w:type="dxa"/>
            <w:vAlign w:val="bottom"/>
            <w:gridSpan w:val="2"/>
          </w:tcPr>
          <w:p>
            <w:pPr>
              <w:spacing w:after="0"/>
              <w:rPr>
                <w:sz w:val="17"/>
                <w:szCs w:val="17"/>
                <w:color w:val="auto"/>
              </w:rPr>
            </w:pPr>
          </w:p>
        </w:tc>
        <w:tc>
          <w:tcPr>
            <w:tcW w:w="3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510</w:t>
            </w:r>
          </w:p>
        </w:tc>
        <w:tc>
          <w:tcPr>
            <w:tcW w:w="340" w:type="dxa"/>
            <w:vAlign w:val="bottom"/>
            <w:gridSpan w:val="3"/>
          </w:tcPr>
          <w:p>
            <w:pPr>
              <w:spacing w:after="0"/>
              <w:rPr>
                <w:sz w:val="17"/>
                <w:szCs w:val="17"/>
                <w:color w:val="auto"/>
              </w:rPr>
            </w:pPr>
          </w:p>
        </w:tc>
        <w:tc>
          <w:tcPr>
            <w:tcW w:w="4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3"/>
              </w:rPr>
              <w:t>510</w:t>
            </w: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6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2,990</w:t>
            </w:r>
          </w:p>
        </w:tc>
        <w:tc>
          <w:tcPr>
            <w:tcW w:w="78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w w:val="93"/>
              </w:rPr>
              <w:t>875</w:t>
            </w:r>
          </w:p>
        </w:tc>
      </w:tr>
      <w:tr>
        <w:trPr>
          <w:trHeight w:val="20"/>
        </w:trPr>
        <w:tc>
          <w:tcPr>
            <w:tcW w:w="3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399"/>
        </w:trPr>
        <w:tc>
          <w:tcPr>
            <w:tcW w:w="3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i w:val="1"/>
                <w:iCs w:val="1"/>
                <w:color w:val="auto"/>
                <w:w w:val="88"/>
              </w:rPr>
              <w:t>December 31, 2015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8"/>
        </w:trPr>
        <w:tc>
          <w:tcPr>
            <w:tcW w:w="3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gridSpan w:val="4"/>
          </w:tcPr>
          <w:p>
            <w:pPr>
              <w:jc w:val="center"/>
              <w:ind w:right="132"/>
              <w:spacing w:after="0" w:line="158" w:lineRule="exact"/>
              <w:rPr>
                <w:sz w:val="20"/>
                <w:szCs w:val="20"/>
                <w:color w:val="auto"/>
              </w:rPr>
            </w:pPr>
            <w:r>
              <w:rPr>
                <w:rFonts w:ascii="Arial" w:cs="Arial" w:eastAsia="Arial" w:hAnsi="Arial"/>
                <w:sz w:val="14"/>
                <w:szCs w:val="14"/>
                <w:b w:val="1"/>
                <w:bCs w:val="1"/>
                <w:i w:val="1"/>
                <w:iCs w:val="1"/>
                <w:color w:val="auto"/>
                <w:w w:val="78"/>
              </w:rPr>
              <w:t>Gross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gridSpan w:val="4"/>
          </w:tcPr>
          <w:p>
            <w:pPr>
              <w:spacing w:after="0" w:line="158" w:lineRule="exact"/>
              <w:rPr>
                <w:sz w:val="20"/>
                <w:szCs w:val="20"/>
                <w:color w:val="auto"/>
              </w:rPr>
            </w:pPr>
            <w:r>
              <w:rPr>
                <w:rFonts w:ascii="Arial" w:cs="Arial" w:eastAsia="Arial" w:hAnsi="Arial"/>
                <w:sz w:val="14"/>
                <w:szCs w:val="14"/>
                <w:b w:val="1"/>
                <w:bCs w:val="1"/>
                <w:i w:val="1"/>
                <w:iCs w:val="1"/>
                <w:color w:val="auto"/>
              </w:rPr>
              <w:t>Net</w:t>
            </w:r>
          </w:p>
        </w:tc>
      </w:tr>
      <w:tr>
        <w:trPr>
          <w:trHeight w:val="149"/>
        </w:trPr>
        <w:tc>
          <w:tcPr>
            <w:tcW w:w="3320" w:type="dxa"/>
            <w:vAlign w:val="bottom"/>
          </w:tcPr>
          <w:p>
            <w:pPr>
              <w:spacing w:after="0"/>
              <w:rPr>
                <w:sz w:val="12"/>
                <w:szCs w:val="12"/>
                <w:color w:val="auto"/>
              </w:rPr>
            </w:pPr>
          </w:p>
        </w:tc>
        <w:tc>
          <w:tcPr>
            <w:tcW w:w="1620" w:type="dxa"/>
            <w:vAlign w:val="bottom"/>
            <w:gridSpan w:val="5"/>
          </w:tcPr>
          <w:p>
            <w:pPr>
              <w:jc w:val="center"/>
              <w:ind w:left="718"/>
              <w:spacing w:after="0" w:line="149" w:lineRule="exact"/>
              <w:rPr>
                <w:sz w:val="20"/>
                <w:szCs w:val="20"/>
                <w:color w:val="auto"/>
              </w:rPr>
            </w:pPr>
            <w:r>
              <w:rPr>
                <w:rFonts w:ascii="Arial" w:cs="Arial" w:eastAsia="Arial" w:hAnsi="Arial"/>
                <w:sz w:val="14"/>
                <w:szCs w:val="14"/>
                <w:b w:val="1"/>
                <w:bCs w:val="1"/>
                <w:i w:val="1"/>
                <w:iCs w:val="1"/>
                <w:color w:val="auto"/>
                <w:w w:val="86"/>
              </w:rPr>
              <w:t>Carrying</w:t>
            </w:r>
          </w:p>
        </w:tc>
        <w:tc>
          <w:tcPr>
            <w:tcW w:w="94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i w:val="1"/>
                <w:iCs w:val="1"/>
                <w:color w:val="auto"/>
                <w:w w:val="84"/>
              </w:rPr>
              <w:t>Accumulated</w:t>
            </w:r>
          </w:p>
        </w:tc>
        <w:tc>
          <w:tcPr>
            <w:tcW w:w="620" w:type="dxa"/>
            <w:vAlign w:val="bottom"/>
            <w:gridSpan w:val="6"/>
          </w:tcPr>
          <w:p>
            <w:pPr>
              <w:jc w:val="right"/>
              <w:ind w:right="80"/>
              <w:spacing w:after="0" w:line="149" w:lineRule="exact"/>
              <w:rPr>
                <w:sz w:val="20"/>
                <w:szCs w:val="20"/>
                <w:color w:val="auto"/>
              </w:rPr>
            </w:pPr>
            <w:r>
              <w:rPr>
                <w:rFonts w:ascii="Arial" w:cs="Arial" w:eastAsia="Arial" w:hAnsi="Arial"/>
                <w:sz w:val="14"/>
                <w:szCs w:val="14"/>
                <w:b w:val="1"/>
                <w:bCs w:val="1"/>
                <w:i w:val="1"/>
                <w:iCs w:val="1"/>
                <w:color w:val="auto"/>
                <w:w w:val="90"/>
              </w:rPr>
              <w:t>Carrying</w:t>
            </w:r>
          </w:p>
        </w:tc>
      </w:tr>
      <w:tr>
        <w:trPr>
          <w:trHeight w:val="146"/>
        </w:trPr>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gridSpan w:val="4"/>
          </w:tcPr>
          <w:p>
            <w:pPr>
              <w:jc w:val="center"/>
              <w:ind w:right="132"/>
              <w:spacing w:after="0" w:line="146" w:lineRule="exact"/>
              <w:rPr>
                <w:sz w:val="20"/>
                <w:szCs w:val="20"/>
                <w:color w:val="auto"/>
              </w:rPr>
            </w:pPr>
            <w:r>
              <w:rPr>
                <w:rFonts w:ascii="Arial" w:cs="Arial" w:eastAsia="Arial" w:hAnsi="Arial"/>
                <w:sz w:val="14"/>
                <w:szCs w:val="14"/>
                <w:b w:val="1"/>
                <w:bCs w:val="1"/>
                <w:i w:val="1"/>
                <w:iCs w:val="1"/>
                <w:color w:val="auto"/>
                <w:w w:val="83"/>
              </w:rPr>
              <w:t>Amount</w:t>
            </w:r>
          </w:p>
        </w:tc>
        <w:tc>
          <w:tcPr>
            <w:tcW w:w="120" w:type="dxa"/>
            <w:vAlign w:val="bottom"/>
          </w:tcPr>
          <w:p>
            <w:pPr>
              <w:spacing w:after="0"/>
              <w:rPr>
                <w:sz w:val="12"/>
                <w:szCs w:val="12"/>
                <w:color w:val="auto"/>
              </w:rPr>
            </w:pPr>
          </w:p>
        </w:tc>
        <w:tc>
          <w:tcPr>
            <w:tcW w:w="820" w:type="dxa"/>
            <w:vAlign w:val="bottom"/>
            <w:gridSpan w:val="6"/>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1"/>
              </w:rPr>
              <w:t>Amortization</w:t>
            </w:r>
          </w:p>
        </w:tc>
        <w:tc>
          <w:tcPr>
            <w:tcW w:w="100" w:type="dxa"/>
            <w:vAlign w:val="bottom"/>
          </w:tcPr>
          <w:p>
            <w:pPr>
              <w:spacing w:after="0"/>
              <w:rPr>
                <w:sz w:val="12"/>
                <w:szCs w:val="12"/>
                <w:color w:val="auto"/>
              </w:rPr>
            </w:pPr>
          </w:p>
        </w:tc>
        <w:tc>
          <w:tcPr>
            <w:tcW w:w="520" w:type="dxa"/>
            <w:vAlign w:val="bottom"/>
            <w:gridSpan w:val="5"/>
          </w:tcPr>
          <w:p>
            <w:pPr>
              <w:jc w:val="right"/>
              <w:ind w:right="100"/>
              <w:spacing w:after="0" w:line="146" w:lineRule="exact"/>
              <w:rPr>
                <w:sz w:val="20"/>
                <w:szCs w:val="20"/>
                <w:color w:val="auto"/>
              </w:rPr>
            </w:pPr>
            <w:r>
              <w:rPr>
                <w:rFonts w:ascii="Arial" w:cs="Arial" w:eastAsia="Arial" w:hAnsi="Arial"/>
                <w:sz w:val="14"/>
                <w:szCs w:val="14"/>
                <w:b w:val="1"/>
                <w:bCs w:val="1"/>
                <w:i w:val="1"/>
                <w:iCs w:val="1"/>
                <w:color w:val="auto"/>
                <w:w w:val="75"/>
              </w:rPr>
              <w:t>Amount</w:t>
            </w:r>
          </w:p>
        </w:tc>
      </w:tr>
      <w:tr>
        <w:trPr>
          <w:trHeight w:val="20"/>
        </w:trPr>
        <w:tc>
          <w:tcPr>
            <w:tcW w:w="3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 w:lineRule="exact"/>
        <w:rPr>
          <w:sz w:val="20"/>
          <w:szCs w:val="20"/>
          <w:color w:val="auto"/>
        </w:rPr>
      </w:pPr>
    </w:p>
    <w:p>
      <w:pPr>
        <w:sectPr>
          <w:pgSz w:w="11900" w:h="16936" w:orient="portrait"/>
          <w:cols w:equalWidth="0" w:num="1">
            <w:col w:w="11420"/>
          </w:cols>
          <w:pgMar w:left="240" w:top="131" w:right="239" w:bottom="0" w:gutter="0" w:footer="0" w:header="0"/>
        </w:sectPr>
      </w:pPr>
    </w:p>
    <w:tbl>
      <w:tblPr>
        <w:tblLayout w:type="fixed"/>
        <w:tblInd w:w="2480" w:type="dxa"/>
        <w:tblCellMar>
          <w:top w:w="0" w:type="dxa"/>
          <w:left w:w="0" w:type="dxa"/>
          <w:bottom w:w="0" w:type="dxa"/>
          <w:right w:w="0" w:type="dxa"/>
        </w:tblCellMar>
      </w:tblPr>
      <w:tr>
        <w:trPr>
          <w:trHeight w:val="222"/>
        </w:trPr>
        <w:tc>
          <w:tcPr>
            <w:tcW w:w="324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43"/>
        </w:trPr>
        <w:tc>
          <w:tcPr>
            <w:tcW w:w="324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1820" w:type="dxa"/>
            <w:vAlign w:val="bottom"/>
          </w:tcPr>
          <w:p>
            <w:pPr>
              <w:jc w:val="right"/>
              <w:ind w:right="72"/>
              <w:spacing w:after="0"/>
              <w:rPr>
                <w:sz w:val="20"/>
                <w:szCs w:val="20"/>
                <w:color w:val="auto"/>
              </w:rPr>
            </w:pPr>
            <w:r>
              <w:rPr>
                <w:rFonts w:ascii="Arial" w:cs="Arial" w:eastAsia="Arial" w:hAnsi="Arial"/>
                <w:sz w:val="18"/>
                <w:szCs w:val="18"/>
                <w:color w:val="auto"/>
              </w:rPr>
              <w:t>$1,480</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$1,166</w:t>
            </w:r>
          </w:p>
        </w:tc>
        <w:tc>
          <w:tcPr>
            <w:tcW w:w="620" w:type="dxa"/>
            <w:vAlign w:val="bottom"/>
          </w:tcPr>
          <w:p>
            <w:pPr>
              <w:jc w:val="right"/>
              <w:spacing w:after="0"/>
              <w:rPr>
                <w:sz w:val="20"/>
                <w:szCs w:val="20"/>
                <w:color w:val="auto"/>
              </w:rPr>
            </w:pPr>
            <w:r>
              <w:rPr>
                <w:rFonts w:ascii="Arial" w:cs="Arial" w:eastAsia="Arial" w:hAnsi="Arial"/>
                <w:sz w:val="18"/>
                <w:szCs w:val="18"/>
                <w:color w:val="auto"/>
              </w:rPr>
              <w:t>$  314</w:t>
            </w:r>
          </w:p>
        </w:tc>
      </w:tr>
    </w:tbl>
    <w:p>
      <w:pPr>
        <w:sectPr>
          <w:pgSz w:w="11900" w:h="16936" w:orient="portrait"/>
          <w:cols w:equalWidth="0" w:num="1">
            <w:col w:w="11420"/>
          </w:cols>
          <w:pgMar w:left="240" w:top="131" w:right="239" w:bottom="0" w:gutter="0" w:footer="0" w:header="0"/>
          <w:type w:val="continuous"/>
        </w:sectPr>
      </w:pPr>
    </w:p>
    <w:bookmarkStart w:id="35" w:name="page36"/>
    <w:bookmarkEnd w:id="35"/>
    <w:p>
      <w:pPr>
        <w:spacing w:after="0" w:line="1" w:lineRule="exact"/>
        <w:rPr>
          <w:sz w:val="20"/>
          <w:szCs w:val="20"/>
          <w:color w:val="auto"/>
        </w:rPr>
      </w:pPr>
    </w:p>
    <w:tbl>
      <w:tblPr>
        <w:tblLayout w:type="fixed"/>
        <w:tblInd w:w="2480" w:type="dxa"/>
        <w:tblCellMar>
          <w:top w:w="0" w:type="dxa"/>
          <w:left w:w="0" w:type="dxa"/>
          <w:bottom w:w="0" w:type="dxa"/>
          <w:right w:w="0" w:type="dxa"/>
        </w:tblCellMar>
      </w:tblPr>
      <w:tr>
        <w:trPr>
          <w:trHeight w:val="222"/>
        </w:trPr>
        <w:tc>
          <w:tcPr>
            <w:tcW w:w="4460" w:type="dxa"/>
            <w:vAlign w:val="bottom"/>
          </w:tcPr>
          <w:p>
            <w:pPr>
              <w:ind w:left="140"/>
              <w:spacing w:after="0"/>
              <w:rPr>
                <w:sz w:val="20"/>
                <w:szCs w:val="20"/>
                <w:color w:val="auto"/>
              </w:rPr>
            </w:pPr>
            <w:r>
              <w:rPr>
                <w:rFonts w:ascii="Arial" w:cs="Arial" w:eastAsia="Arial" w:hAnsi="Arial"/>
                <w:sz w:val="18"/>
                <w:szCs w:val="18"/>
                <w:color w:val="auto"/>
              </w:rPr>
              <w:t>Patented technology</w:t>
            </w:r>
          </w:p>
        </w:tc>
        <w:tc>
          <w:tcPr>
            <w:tcW w:w="440" w:type="dxa"/>
            <w:vAlign w:val="bottom"/>
          </w:tcPr>
          <w:p>
            <w:pPr>
              <w:jc w:val="right"/>
              <w:spacing w:after="0"/>
              <w:rPr>
                <w:sz w:val="20"/>
                <w:szCs w:val="20"/>
                <w:color w:val="auto"/>
              </w:rPr>
            </w:pPr>
            <w:r>
              <w:rPr>
                <w:rFonts w:ascii="Arial" w:cs="Arial" w:eastAsia="Arial" w:hAnsi="Arial"/>
                <w:sz w:val="18"/>
                <w:szCs w:val="18"/>
                <w:color w:val="auto"/>
              </w:rPr>
              <w:t>590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4460" w:type="dxa"/>
            <w:vAlign w:val="bottom"/>
          </w:tcPr>
          <w:p>
            <w:pPr>
              <w:ind w:left="140"/>
              <w:spacing w:after="0"/>
              <w:rPr>
                <w:sz w:val="20"/>
                <w:szCs w:val="20"/>
                <w:color w:val="auto"/>
              </w:rPr>
            </w:pPr>
            <w:r>
              <w:rPr>
                <w:rFonts w:ascii="Arial" w:cs="Arial" w:eastAsia="Arial" w:hAnsi="Arial"/>
                <w:sz w:val="18"/>
                <w:szCs w:val="18"/>
                <w:color w:val="auto"/>
              </w:rPr>
              <w:t>Software</w:t>
            </w:r>
          </w:p>
        </w:tc>
        <w:tc>
          <w:tcPr>
            <w:tcW w:w="440" w:type="dxa"/>
            <w:vAlign w:val="bottom"/>
          </w:tcPr>
          <w:p>
            <w:pPr>
              <w:jc w:val="right"/>
              <w:spacing w:after="0"/>
              <w:rPr>
                <w:sz w:val="20"/>
                <w:szCs w:val="20"/>
                <w:color w:val="auto"/>
              </w:rPr>
            </w:pPr>
            <w:r>
              <w:rPr>
                <w:rFonts w:ascii="Arial" w:cs="Arial" w:eastAsia="Arial" w:hAnsi="Arial"/>
                <w:sz w:val="18"/>
                <w:szCs w:val="18"/>
                <w:color w:val="auto"/>
              </w:rPr>
              <w:t>270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05"/>
        </w:trPr>
        <w:tc>
          <w:tcPr>
            <w:tcW w:w="4460" w:type="dxa"/>
            <w:vAlign w:val="bottom"/>
          </w:tcPr>
          <w:p>
            <w:pPr>
              <w:ind w:left="140"/>
              <w:spacing w:after="0" w:line="205" w:lineRule="exact"/>
              <w:rPr>
                <w:sz w:val="20"/>
                <w:szCs w:val="20"/>
                <w:color w:val="auto"/>
              </w:rPr>
            </w:pPr>
            <w:r>
              <w:rPr>
                <w:rFonts w:ascii="Arial" w:cs="Arial" w:eastAsia="Arial" w:hAnsi="Arial"/>
                <w:sz w:val="18"/>
                <w:szCs w:val="18"/>
                <w:color w:val="auto"/>
              </w:rPr>
              <w:t>Trade name</w:t>
            </w: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140</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138</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2</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2,480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1,886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594</w:t>
            </w:r>
          </w:p>
        </w:tc>
      </w:tr>
      <w:tr>
        <w:trPr>
          <w:trHeight w:val="262"/>
        </w:trPr>
        <w:tc>
          <w:tcPr>
            <w:tcW w:w="44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r>
      <w:tr>
        <w:trPr>
          <w:trHeight w:val="205"/>
        </w:trPr>
        <w:tc>
          <w:tcPr>
            <w:tcW w:w="4460" w:type="dxa"/>
            <w:vAlign w:val="bottom"/>
          </w:tcPr>
          <w:p>
            <w:pPr>
              <w:ind w:left="140"/>
              <w:spacing w:after="0" w:line="205" w:lineRule="exact"/>
              <w:rPr>
                <w:sz w:val="20"/>
                <w:szCs w:val="20"/>
                <w:color w:val="auto"/>
              </w:rPr>
            </w:pPr>
            <w:r>
              <w:rPr>
                <w:rFonts w:ascii="Arial" w:cs="Arial" w:eastAsia="Arial" w:hAnsi="Arial"/>
                <w:sz w:val="18"/>
                <w:szCs w:val="18"/>
                <w:color w:val="auto"/>
              </w:rPr>
              <w:t>Sigma trademark</w:t>
            </w: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510</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44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510</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440" w:type="dxa"/>
            <w:vAlign w:val="bottom"/>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2,990</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1,886</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w:t>
            </w:r>
          </w:p>
        </w:tc>
      </w:tr>
      <w:tr>
        <w:trPr>
          <w:trHeight w:val="20"/>
        </w:trPr>
        <w:tc>
          <w:tcPr>
            <w:tcW w:w="44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finite-lived assets have any residual value. The following table provides further information about the estimated useful lives of our finite-lived intangible assets as of December 31, 2016:</w:t>
      </w:r>
    </w:p>
    <w:p>
      <w:pPr>
        <w:spacing w:after="0" w:line="19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Remaining</w:t>
            </w:r>
          </w:p>
        </w:tc>
      </w:tr>
      <w:tr>
        <w:trPr>
          <w:trHeight w:val="149"/>
        </w:trPr>
        <w:tc>
          <w:tcPr>
            <w:tcW w:w="6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3"/>
              </w:rPr>
              <w:t>Estimated</w:t>
            </w:r>
          </w:p>
        </w:tc>
      </w:tr>
      <w:tr>
        <w:trPr>
          <w:trHeight w:val="149"/>
        </w:trPr>
        <w:tc>
          <w:tcPr>
            <w:tcW w:w="60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i w:val="1"/>
                <w:iCs w:val="1"/>
                <w:color w:val="auto"/>
                <w:w w:val="86"/>
              </w:rPr>
              <w:t>Estimated</w:t>
            </w:r>
          </w:p>
        </w:tc>
        <w:tc>
          <w:tcPr>
            <w:tcW w:w="960" w:type="dxa"/>
            <w:vAlign w:val="bottom"/>
            <w:gridSpan w:val="2"/>
          </w:tcPr>
          <w:p>
            <w:pPr>
              <w:jc w:val="center"/>
              <w:ind w:left="115"/>
              <w:spacing w:after="0" w:line="149" w:lineRule="exact"/>
              <w:rPr>
                <w:sz w:val="20"/>
                <w:szCs w:val="20"/>
                <w:color w:val="auto"/>
              </w:rPr>
            </w:pPr>
            <w:r>
              <w:rPr>
                <w:rFonts w:ascii="Arial" w:cs="Arial" w:eastAsia="Arial" w:hAnsi="Arial"/>
                <w:sz w:val="14"/>
                <w:szCs w:val="14"/>
                <w:b w:val="1"/>
                <w:bCs w:val="1"/>
                <w:i w:val="1"/>
                <w:iCs w:val="1"/>
                <w:color w:val="auto"/>
                <w:w w:val="86"/>
              </w:rPr>
              <w:t>Useful Life at</w:t>
            </w:r>
          </w:p>
        </w:tc>
      </w:tr>
      <w:tr>
        <w:trPr>
          <w:trHeight w:val="146"/>
        </w:trPr>
        <w:tc>
          <w:tcPr>
            <w:tcW w:w="60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4"/>
                <w:szCs w:val="14"/>
                <w:b w:val="1"/>
                <w:bCs w:val="1"/>
                <w:i w:val="1"/>
                <w:iCs w:val="1"/>
                <w:color w:val="auto"/>
                <w:w w:val="83"/>
              </w:rPr>
              <w:t>Useful Life</w:t>
            </w:r>
          </w:p>
        </w:tc>
        <w:tc>
          <w:tcPr>
            <w:tcW w:w="20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6"/>
              </w:rPr>
              <w:t>Dec. 31, 2016</w:t>
            </w:r>
          </w:p>
        </w:tc>
      </w:tr>
      <w:tr>
        <w:trPr>
          <w:trHeight w:val="182"/>
        </w:trPr>
        <w:tc>
          <w:tcPr>
            <w:tcW w:w="6060" w:type="dxa"/>
            <w:vAlign w:val="bottom"/>
          </w:tcPr>
          <w:p>
            <w:pPr>
              <w:spacing w:after="0"/>
              <w:rPr>
                <w:sz w:val="15"/>
                <w:szCs w:val="15"/>
                <w:color w:val="auto"/>
              </w:rPr>
            </w:pPr>
          </w:p>
        </w:tc>
        <w:tc>
          <w:tcPr>
            <w:tcW w:w="1580" w:type="dxa"/>
            <w:vAlign w:val="bottom"/>
            <w:gridSpan w:val="3"/>
          </w:tcPr>
          <w:p>
            <w:pPr>
              <w:jc w:val="right"/>
              <w:ind w:right="72"/>
              <w:spacing w:after="0"/>
              <w:rPr>
                <w:sz w:val="20"/>
                <w:szCs w:val="20"/>
                <w:color w:val="auto"/>
              </w:rPr>
            </w:pPr>
            <w:r>
              <w:rPr>
                <w:rFonts w:ascii="Arial" w:cs="Arial" w:eastAsia="Arial" w:hAnsi="Arial"/>
                <w:sz w:val="14"/>
                <w:szCs w:val="14"/>
                <w:color w:val="auto"/>
              </w:rPr>
              <w:t>- - - - (in months) - - - -</w:t>
            </w:r>
          </w:p>
        </w:tc>
      </w:tr>
      <w:tr>
        <w:trPr>
          <w:trHeight w:val="228"/>
        </w:trPr>
        <w:tc>
          <w:tcPr>
            <w:tcW w:w="606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Sigma:</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Software</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120</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21.0</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60</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spacing w:after="0"/>
              <w:rPr>
                <w:sz w:val="20"/>
                <w:szCs w:val="20"/>
                <w:color w:val="auto"/>
              </w:rPr>
            </w:pPr>
            <w:r>
              <w:rPr>
                <w:rFonts w:ascii="Arial" w:cs="Arial" w:eastAsia="Arial" w:hAnsi="Arial"/>
                <w:sz w:val="18"/>
                <w:szCs w:val="18"/>
                <w:color w:val="auto"/>
              </w:rPr>
              <w:t>Finite-lived intangible assets resulting from the acquisition of Thermonics:</w:t>
            </w: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Customer relationships</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72</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12.5</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Trade name</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48</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120"/>
              <w:spacing w:after="0"/>
              <w:rPr>
                <w:sz w:val="20"/>
                <w:szCs w:val="20"/>
                <w:color w:val="auto"/>
              </w:rPr>
            </w:pPr>
            <w:r>
              <w:rPr>
                <w:rFonts w:ascii="Arial" w:cs="Arial" w:eastAsia="Arial" w:hAnsi="Arial"/>
                <w:sz w:val="18"/>
                <w:szCs w:val="18"/>
                <w:color w:val="auto"/>
              </w:rPr>
              <w:t>Patented technology</w:t>
            </w:r>
          </w:p>
        </w:tc>
        <w:tc>
          <w:tcPr>
            <w:tcW w:w="620" w:type="dxa"/>
            <w:vAlign w:val="bottom"/>
          </w:tcPr>
          <w:p>
            <w:pPr>
              <w:jc w:val="right"/>
              <w:ind w:right="19"/>
              <w:spacing w:after="0"/>
              <w:rPr>
                <w:sz w:val="20"/>
                <w:szCs w:val="20"/>
                <w:color w:val="auto"/>
              </w:rPr>
            </w:pPr>
            <w:r>
              <w:rPr>
                <w:rFonts w:ascii="Arial" w:cs="Arial" w:eastAsia="Arial" w:hAnsi="Arial"/>
                <w:sz w:val="18"/>
                <w:szCs w:val="18"/>
                <w:color w:val="auto"/>
              </w:rPr>
              <w:t>132</w:t>
            </w:r>
          </w:p>
        </w:tc>
        <w:tc>
          <w:tcPr>
            <w:tcW w:w="960" w:type="dxa"/>
            <w:vAlign w:val="bottom"/>
            <w:gridSpan w:val="2"/>
          </w:tcPr>
          <w:p>
            <w:pPr>
              <w:jc w:val="right"/>
              <w:ind w:right="92"/>
              <w:spacing w:after="0"/>
              <w:rPr>
                <w:sz w:val="20"/>
                <w:szCs w:val="20"/>
                <w:color w:val="auto"/>
              </w:rPr>
            </w:pPr>
            <w:r>
              <w:rPr>
                <w:rFonts w:ascii="Arial" w:cs="Arial" w:eastAsia="Arial" w:hAnsi="Arial"/>
                <w:sz w:val="18"/>
                <w:szCs w:val="18"/>
                <w:color w:val="auto"/>
              </w:rPr>
              <w:t>72.5</w:t>
            </w:r>
          </w:p>
        </w:tc>
      </w:tr>
      <w:tr>
        <w:trPr>
          <w:trHeight w:val="446"/>
        </w:trPr>
        <w:tc>
          <w:tcPr>
            <w:tcW w:w="6060" w:type="dxa"/>
            <w:vAlign w:val="bottom"/>
          </w:tcPr>
          <w:p>
            <w:pPr>
              <w:ind w:left="3660"/>
              <w:spacing w:after="0"/>
              <w:rPr>
                <w:sz w:val="20"/>
                <w:szCs w:val="20"/>
                <w:color w:val="auto"/>
              </w:rPr>
            </w:pPr>
            <w:r>
              <w:rPr>
                <w:rFonts w:ascii="Arial" w:cs="Arial" w:eastAsia="Arial" w:hAnsi="Arial"/>
                <w:sz w:val="18"/>
                <w:szCs w:val="18"/>
                <w:color w:val="auto"/>
              </w:rPr>
              <w:t>F - 12</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GOODWILL, INTANGIBLE AND LONG-LIVED ASSETS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Total amortization expense for the years ended December 31, 2016 and 2015 was $229 and $289, respectively. The following table sets forth the estimated annual amortization expense for our finite-lived intangible assets for each of the next five years:</w:t>
      </w:r>
    </w:p>
    <w:p>
      <w:pPr>
        <w:spacing w:after="0" w:line="199" w:lineRule="exact"/>
        <w:rPr>
          <w:sz w:val="20"/>
          <w:szCs w:val="20"/>
          <w:color w:val="auto"/>
        </w:rPr>
      </w:pPr>
    </w:p>
    <w:tbl>
      <w:tblPr>
        <w:tblLayout w:type="fixed"/>
        <w:tblInd w:w="4080" w:type="dxa"/>
        <w:tblCellMar>
          <w:top w:w="0" w:type="dxa"/>
          <w:left w:w="0" w:type="dxa"/>
          <w:bottom w:w="0" w:type="dxa"/>
          <w:right w:w="0" w:type="dxa"/>
        </w:tblCellMar>
      </w:tblPr>
      <w:tr>
        <w:trPr>
          <w:trHeight w:val="222"/>
        </w:trPr>
        <w:tc>
          <w:tcPr>
            <w:tcW w:w="1640" w:type="dxa"/>
            <w:vAlign w:val="bottom"/>
          </w:tcPr>
          <w:p>
            <w:pPr>
              <w:jc w:val="right"/>
              <w:ind w:right="1212"/>
              <w:spacing w:after="0"/>
              <w:rPr>
                <w:sz w:val="20"/>
                <w:szCs w:val="20"/>
                <w:color w:val="auto"/>
              </w:rPr>
            </w:pPr>
            <w:r>
              <w:rPr>
                <w:rFonts w:ascii="Arial" w:cs="Arial" w:eastAsia="Arial" w:hAnsi="Arial"/>
                <w:sz w:val="18"/>
                <w:szCs w:val="18"/>
                <w:color w:val="auto"/>
                <w:w w:val="79"/>
              </w:rPr>
              <w:t>2017</w:t>
            </w:r>
          </w:p>
        </w:tc>
        <w:tc>
          <w:tcPr>
            <w:tcW w:w="16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1640" w:type="dxa"/>
            <w:vAlign w:val="bottom"/>
          </w:tcPr>
          <w:p>
            <w:pPr>
              <w:jc w:val="right"/>
              <w:ind w:right="1212"/>
              <w:spacing w:after="0"/>
              <w:rPr>
                <w:sz w:val="20"/>
                <w:szCs w:val="20"/>
                <w:color w:val="auto"/>
              </w:rPr>
            </w:pPr>
            <w:r>
              <w:rPr>
                <w:rFonts w:ascii="Arial" w:cs="Arial" w:eastAsia="Arial" w:hAnsi="Arial"/>
                <w:sz w:val="18"/>
                <w:szCs w:val="18"/>
                <w:color w:val="auto"/>
                <w:w w:val="79"/>
              </w:rPr>
              <w:t>2018</w:t>
            </w: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9"/>
        </w:trPr>
        <w:tc>
          <w:tcPr>
            <w:tcW w:w="1640" w:type="dxa"/>
            <w:vAlign w:val="bottom"/>
          </w:tcPr>
          <w:p>
            <w:pPr>
              <w:jc w:val="right"/>
              <w:ind w:right="1212"/>
              <w:spacing w:after="0"/>
              <w:rPr>
                <w:sz w:val="20"/>
                <w:szCs w:val="20"/>
                <w:color w:val="auto"/>
              </w:rPr>
            </w:pPr>
            <w:r>
              <w:rPr>
                <w:rFonts w:ascii="Arial" w:cs="Arial" w:eastAsia="Arial" w:hAnsi="Arial"/>
                <w:sz w:val="18"/>
                <w:szCs w:val="18"/>
                <w:color w:val="auto"/>
                <w:w w:val="79"/>
              </w:rPr>
              <w:t>2019</w:t>
            </w:r>
          </w:p>
        </w:tc>
        <w:tc>
          <w:tcPr>
            <w:tcW w:w="1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9"/>
        </w:trPr>
        <w:tc>
          <w:tcPr>
            <w:tcW w:w="1640" w:type="dxa"/>
            <w:vAlign w:val="bottom"/>
          </w:tcPr>
          <w:p>
            <w:pPr>
              <w:jc w:val="right"/>
              <w:ind w:right="1212"/>
              <w:spacing w:after="0"/>
              <w:rPr>
                <w:sz w:val="20"/>
                <w:szCs w:val="20"/>
                <w:color w:val="auto"/>
              </w:rPr>
            </w:pPr>
            <w:r>
              <w:rPr>
                <w:rFonts w:ascii="Arial" w:cs="Arial" w:eastAsia="Arial" w:hAnsi="Arial"/>
                <w:sz w:val="18"/>
                <w:szCs w:val="18"/>
                <w:color w:val="auto"/>
                <w:w w:val="79"/>
              </w:rPr>
              <w:t>2020</w:t>
            </w: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9"/>
        </w:trPr>
        <w:tc>
          <w:tcPr>
            <w:tcW w:w="1640" w:type="dxa"/>
            <w:vAlign w:val="bottom"/>
          </w:tcPr>
          <w:p>
            <w:pPr>
              <w:jc w:val="right"/>
              <w:ind w:right="1212"/>
              <w:spacing w:after="0"/>
              <w:rPr>
                <w:sz w:val="20"/>
                <w:szCs w:val="20"/>
                <w:color w:val="auto"/>
              </w:rPr>
            </w:pPr>
            <w:r>
              <w:rPr>
                <w:rFonts w:ascii="Arial" w:cs="Arial" w:eastAsia="Arial" w:hAnsi="Arial"/>
                <w:sz w:val="18"/>
                <w:szCs w:val="18"/>
                <w:color w:val="auto"/>
                <w:w w:val="79"/>
              </w:rPr>
              <w:t>2021</w:t>
            </w:r>
          </w:p>
        </w:tc>
        <w:tc>
          <w:tcPr>
            <w:tcW w:w="16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25"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auto"/>
        </w:rPr>
        <w:t>During December 2016 and 2015, we assessed our goodwill and indefinite life intangible asset for impairment in accordance with the requirements of 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rates used in 2016 and 2015 for the discounted cash flows were 18.5% and 20.0%,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1" w:lineRule="exact"/>
        <w:rPr>
          <w:sz w:val="20"/>
          <w:szCs w:val="20"/>
          <w:color w:val="auto"/>
        </w:rPr>
      </w:pPr>
    </w:p>
    <w:p>
      <w:pPr>
        <w:jc w:val="both"/>
        <w:ind w:left="540" w:right="60"/>
        <w:spacing w:after="0" w:line="259" w:lineRule="auto"/>
        <w:rPr>
          <w:sz w:val="20"/>
          <w:szCs w:val="20"/>
          <w:color w:val="auto"/>
        </w:rPr>
      </w:pPr>
      <w:r>
        <w:rPr>
          <w:rFonts w:ascii="Arial" w:cs="Arial" w:eastAsia="Arial" w:hAnsi="Arial"/>
          <w:sz w:val="18"/>
          <w:szCs w:val="18"/>
          <w:color w:val="auto"/>
        </w:rPr>
        <w:t>During the goodwill impairment assessment in both 2016 and 2015, we performed a Step I test to identify potential impairment, in which the fair value of the Thermal Products reporting unit was compared with its book value. This assessment indicated no impairment existed as the fair value of this reporting unit was determined to exceed its carrying value.</w:t>
      </w:r>
    </w:p>
    <w:p>
      <w:pPr>
        <w:spacing w:after="0" w:line="194" w:lineRule="exact"/>
        <w:rPr>
          <w:sz w:val="20"/>
          <w:szCs w:val="20"/>
          <w:color w:val="auto"/>
        </w:rPr>
      </w:pPr>
    </w:p>
    <w:p>
      <w:pPr>
        <w:ind w:left="540" w:right="260"/>
        <w:spacing w:after="0" w:line="259" w:lineRule="auto"/>
        <w:rPr>
          <w:sz w:val="20"/>
          <w:szCs w:val="20"/>
          <w:color w:val="auto"/>
        </w:rPr>
      </w:pPr>
      <w:r>
        <w:rPr>
          <w:rFonts w:ascii="Arial" w:cs="Arial" w:eastAsia="Arial" w:hAnsi="Arial"/>
          <w:sz w:val="18"/>
          <w:szCs w:val="18"/>
          <w:color w:val="auto"/>
        </w:rPr>
        <w:t>During the indefinite life intangible asset impairment assessment in both 2016 and 2015, we compared the fair value of our intangible asset with its carrying amount. This assessment indicated no impairment existed as the fair value of the intangible assets exceeded their carrying values in both 2016 and 2015.</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previously noted, our long-lived assets consist of our finite-lived intangible assets and property and equipment. During December 2015, due to</w:t>
      </w:r>
    </w:p>
    <w:p>
      <w:pPr>
        <w:sectPr>
          <w:pgSz w:w="11900" w:h="16838" w:orient="portrait"/>
          <w:cols w:equalWidth="0" w:num="1">
            <w:col w:w="11420"/>
          </w:cols>
          <w:pgMar w:left="240" w:top="374" w:right="239" w:bottom="0" w:gutter="0" w:footer="0" w:header="0"/>
        </w:sectPr>
      </w:pPr>
    </w:p>
    <w:bookmarkStart w:id="36" w:name="page37"/>
    <w:bookmarkEnd w:id="36"/>
    <w:p>
      <w:pPr>
        <w:ind w:left="540" w:right="60"/>
        <w:spacing w:after="0" w:line="291" w:lineRule="auto"/>
        <w:rPr>
          <w:sz w:val="20"/>
          <w:szCs w:val="20"/>
          <w:color w:val="auto"/>
        </w:rPr>
      </w:pPr>
      <w:r>
        <w:rPr>
          <w:rFonts w:ascii="Arial" w:cs="Arial" w:eastAsia="Arial" w:hAnsi="Arial"/>
          <w:sz w:val="16"/>
          <w:szCs w:val="16"/>
          <w:color w:val="auto"/>
        </w:rPr>
        <w:t>continued operating losses experienced in our Mechanical Products segment, we assessed the long-lived assets of this segment for impairment. Our assessment indicated that the property and equipment that is allocated to this segment was not impaired. During 2016, the operations of the Mechanical Products segment were substantially restructured. However, as this segment still experienced an operating loss for 2016, we performed an assessment of the long-lived assets of this segment for impairment during December 2016. Our assessment indicated that the property and equipment that is allocated to this segment was not impaired. During 2016 and 2015, we did not review our Thermal and Electrical Products segment's long lived assets for impairment as there were no events or changes in business circumstances that would indicate an impairment might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MAJOR CUSTOMERS</w:t>
      </w:r>
    </w:p>
    <w:p>
      <w:pPr>
        <w:spacing w:after="0" w:line="191"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During the years ended December 31, 2016 and 2015, Hakuto Co. Ltd., one of our distributors, accounted for 13% and 12% of our consolidated net revenues, respectively. These revenues were generated by our Thermal Products segment. During the year ended December 31, 2016, Texas Instruments Incorporated accounted for 10% of our consolidated net revenues. While all three of our operating segments sold products to this customer, these revenues were primarily generated by our Mechanical Products and Electrical Products segments. During the years ended December 31, 2016 and 2015, no other customer accounted for 10% or more of our consolidated net revenues.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Inventories held at December 31 were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6660" w:type="dxa"/>
            <w:vAlign w:val="bottom"/>
          </w:tcPr>
          <w:p>
            <w:pPr>
              <w:ind w:left="2840"/>
              <w:spacing w:after="0"/>
              <w:rPr>
                <w:sz w:val="20"/>
                <w:szCs w:val="20"/>
                <w:color w:val="auto"/>
              </w:rPr>
            </w:pPr>
            <w:r>
              <w:rPr>
                <w:rFonts w:ascii="Arial" w:cs="Arial" w:eastAsia="Arial" w:hAnsi="Arial"/>
                <w:sz w:val="18"/>
                <w:szCs w:val="18"/>
                <w:color w:val="auto"/>
              </w:rPr>
              <w:t>Raw materials</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$2,695</w:t>
            </w:r>
          </w:p>
        </w:tc>
        <w:tc>
          <w:tcPr>
            <w:tcW w:w="500" w:type="dxa"/>
            <w:vAlign w:val="bottom"/>
            <w:gridSpan w:val="6"/>
          </w:tcPr>
          <w:p>
            <w:pPr>
              <w:jc w:val="right"/>
              <w:spacing w:after="0"/>
              <w:rPr>
                <w:sz w:val="20"/>
                <w:szCs w:val="20"/>
                <w:color w:val="auto"/>
              </w:rPr>
            </w:pPr>
            <w:r>
              <w:rPr>
                <w:rFonts w:ascii="Arial" w:cs="Arial" w:eastAsia="Arial" w:hAnsi="Arial"/>
                <w:sz w:val="18"/>
                <w:szCs w:val="18"/>
                <w:color w:val="auto"/>
                <w:w w:val="87"/>
              </w:rPr>
              <w:t>$2,535</w:t>
            </w:r>
          </w:p>
        </w:tc>
        <w:tc>
          <w:tcPr>
            <w:tcW w:w="20" w:type="dxa"/>
            <w:vAlign w:val="bottom"/>
          </w:tcPr>
          <w:p>
            <w:pPr>
              <w:spacing w:after="0"/>
              <w:rPr>
                <w:sz w:val="20"/>
                <w:szCs w:val="20"/>
                <w:color w:val="auto"/>
              </w:rPr>
            </w:pPr>
          </w:p>
        </w:tc>
      </w:tr>
      <w:tr>
        <w:trPr>
          <w:trHeight w:val="243"/>
        </w:trPr>
        <w:tc>
          <w:tcPr>
            <w:tcW w:w="6660" w:type="dxa"/>
            <w:vAlign w:val="bottom"/>
          </w:tcPr>
          <w:p>
            <w:pPr>
              <w:ind w:left="2840"/>
              <w:spacing w:after="0"/>
              <w:rPr>
                <w:sz w:val="20"/>
                <w:szCs w:val="20"/>
                <w:color w:val="auto"/>
              </w:rPr>
            </w:pPr>
            <w:r>
              <w:rPr>
                <w:rFonts w:ascii="Arial" w:cs="Arial" w:eastAsia="Arial" w:hAnsi="Arial"/>
                <w:sz w:val="18"/>
                <w:szCs w:val="18"/>
                <w:color w:val="auto"/>
              </w:rPr>
              <w:t>Work in process</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728</w:t>
            </w:r>
          </w:p>
        </w:tc>
        <w:tc>
          <w:tcPr>
            <w:tcW w:w="500" w:type="dxa"/>
            <w:vAlign w:val="bottom"/>
            <w:gridSpan w:val="6"/>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21"/>
                <w:szCs w:val="21"/>
                <w:color w:val="auto"/>
              </w:rPr>
            </w:pPr>
          </w:p>
        </w:tc>
      </w:tr>
      <w:tr>
        <w:trPr>
          <w:trHeight w:val="243"/>
        </w:trPr>
        <w:tc>
          <w:tcPr>
            <w:tcW w:w="6660" w:type="dxa"/>
            <w:vAlign w:val="bottom"/>
          </w:tcPr>
          <w:p>
            <w:pPr>
              <w:ind w:left="2840"/>
              <w:spacing w:after="0"/>
              <w:rPr>
                <w:sz w:val="20"/>
                <w:szCs w:val="20"/>
                <w:color w:val="auto"/>
              </w:rPr>
            </w:pPr>
            <w:r>
              <w:rPr>
                <w:rFonts w:ascii="Arial" w:cs="Arial" w:eastAsia="Arial" w:hAnsi="Arial"/>
                <w:sz w:val="18"/>
                <w:szCs w:val="18"/>
                <w:color w:val="auto"/>
              </w:rPr>
              <w:t>Inventory consigned to others</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81</w:t>
            </w:r>
          </w:p>
        </w:tc>
        <w:tc>
          <w:tcPr>
            <w:tcW w:w="500" w:type="dxa"/>
            <w:vAlign w:val="bottom"/>
            <w:gridSpan w:val="6"/>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1"/>
                <w:szCs w:val="21"/>
                <w:color w:val="auto"/>
              </w:rPr>
            </w:pPr>
          </w:p>
        </w:tc>
      </w:tr>
      <w:tr>
        <w:trPr>
          <w:trHeight w:val="205"/>
        </w:trPr>
        <w:tc>
          <w:tcPr>
            <w:tcW w:w="6660" w:type="dxa"/>
            <w:vAlign w:val="bottom"/>
          </w:tcPr>
          <w:p>
            <w:pPr>
              <w:ind w:left="2840"/>
              <w:spacing w:after="0" w:line="205" w:lineRule="exact"/>
              <w:rPr>
                <w:sz w:val="20"/>
                <w:szCs w:val="20"/>
                <w:color w:val="auto"/>
              </w:rPr>
            </w:pPr>
            <w:r>
              <w:rPr>
                <w:rFonts w:ascii="Arial" w:cs="Arial" w:eastAsia="Arial" w:hAnsi="Arial"/>
                <w:sz w:val="18"/>
                <w:szCs w:val="18"/>
                <w:color w:val="auto"/>
              </w:rPr>
              <w:t>Finished goods</w:t>
            </w:r>
          </w:p>
        </w:tc>
        <w:tc>
          <w:tcPr>
            <w:tcW w:w="980" w:type="dxa"/>
            <w:vAlign w:val="bottom"/>
            <w:gridSpan w:val="2"/>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172</w:t>
            </w:r>
          </w:p>
        </w:tc>
        <w:tc>
          <w:tcPr>
            <w:tcW w:w="60" w:type="dxa"/>
            <w:vAlign w:val="bottom"/>
            <w:gridSpan w:val="2"/>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571</w:t>
            </w:r>
          </w:p>
        </w:tc>
        <w:tc>
          <w:tcPr>
            <w:tcW w:w="20" w:type="dxa"/>
            <w:vAlign w:val="bottom"/>
          </w:tcPr>
          <w:p>
            <w:pPr>
              <w:spacing w:after="0"/>
              <w:rPr>
                <w:sz w:val="17"/>
                <w:szCs w:val="17"/>
                <w:color w:val="auto"/>
              </w:rPr>
            </w:pPr>
          </w:p>
        </w:tc>
      </w:tr>
      <w:tr>
        <w:trPr>
          <w:trHeight w:val="223"/>
        </w:trPr>
        <w:tc>
          <w:tcPr>
            <w:tcW w:w="6660" w:type="dxa"/>
            <w:vAlign w:val="bottom"/>
          </w:tcPr>
          <w:p>
            <w:pPr>
              <w:ind w:left="2840"/>
              <w:spacing w:after="0"/>
              <w:rPr>
                <w:sz w:val="20"/>
                <w:szCs w:val="20"/>
                <w:color w:val="auto"/>
              </w:rPr>
            </w:pPr>
            <w:r>
              <w:rPr>
                <w:rFonts w:ascii="Arial" w:cs="Arial" w:eastAsia="Arial" w:hAnsi="Arial"/>
                <w:sz w:val="18"/>
                <w:szCs w:val="18"/>
                <w:color w:val="auto"/>
              </w:rPr>
              <w:t>Total inventories</w:t>
            </w:r>
          </w:p>
        </w:tc>
        <w:tc>
          <w:tcPr>
            <w:tcW w:w="14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3,676</w:t>
            </w:r>
          </w:p>
        </w:tc>
        <w:tc>
          <w:tcPr>
            <w:tcW w:w="500" w:type="dxa"/>
            <w:vAlign w:val="bottom"/>
            <w:gridSpan w:val="6"/>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3,520</w:t>
            </w:r>
          </w:p>
        </w:tc>
        <w:tc>
          <w:tcPr>
            <w:tcW w:w="20" w:type="dxa"/>
            <w:vAlign w:val="bottom"/>
          </w:tcPr>
          <w:p>
            <w:pPr>
              <w:spacing w:after="0"/>
              <w:rPr>
                <w:sz w:val="19"/>
                <w:szCs w:val="19"/>
                <w:color w:val="auto"/>
              </w:rPr>
            </w:pPr>
          </w:p>
        </w:tc>
      </w:tr>
      <w:tr>
        <w:trPr>
          <w:trHeight w:val="680"/>
        </w:trPr>
        <w:tc>
          <w:tcPr>
            <w:tcW w:w="6660" w:type="dxa"/>
            <w:vAlign w:val="bottom"/>
          </w:tcPr>
          <w:p>
            <w:pPr>
              <w:spacing w:after="0"/>
              <w:rPr>
                <w:sz w:val="20"/>
                <w:szCs w:val="20"/>
                <w:color w:val="auto"/>
              </w:rPr>
            </w:pPr>
            <w:r>
              <w:rPr>
                <w:rFonts w:ascii="Arial" w:cs="Arial" w:eastAsia="Arial" w:hAnsi="Arial"/>
                <w:sz w:val="18"/>
                <w:szCs w:val="18"/>
                <w:b w:val="1"/>
                <w:bCs w:val="1"/>
                <w:color w:val="auto"/>
              </w:rPr>
              <w:t>(7) OTHER CURRENT LIABILITIES</w:t>
            </w:r>
          </w:p>
        </w:tc>
        <w:tc>
          <w:tcPr>
            <w:tcW w:w="9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6660" w:type="dxa"/>
            <w:vAlign w:val="bottom"/>
          </w:tcPr>
          <w:p>
            <w:pPr>
              <w:ind w:left="540"/>
              <w:spacing w:after="0"/>
              <w:rPr>
                <w:sz w:val="20"/>
                <w:szCs w:val="20"/>
                <w:color w:val="auto"/>
              </w:rPr>
            </w:pPr>
            <w:r>
              <w:rPr>
                <w:rFonts w:ascii="Arial" w:cs="Arial" w:eastAsia="Arial" w:hAnsi="Arial"/>
                <w:sz w:val="18"/>
                <w:szCs w:val="18"/>
                <w:color w:val="auto"/>
              </w:rPr>
              <w:t>Other current liabilities at December 31 were comprised of the following:</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6660" w:type="dxa"/>
            <w:vAlign w:val="bottom"/>
          </w:tcPr>
          <w:p>
            <w:pPr>
              <w:spacing w:after="0"/>
              <w:rPr>
                <w:sz w:val="24"/>
                <w:szCs w:val="24"/>
                <w:color w:val="auto"/>
              </w:rPr>
            </w:pPr>
          </w:p>
        </w:tc>
        <w:tc>
          <w:tcPr>
            <w:tcW w:w="1080" w:type="dxa"/>
            <w:vAlign w:val="bottom"/>
            <w:gridSpan w:val="3"/>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2016</w:t>
            </w:r>
          </w:p>
        </w:tc>
        <w:tc>
          <w:tcPr>
            <w:tcW w:w="80" w:type="dxa"/>
            <w:vAlign w:val="bottom"/>
          </w:tcPr>
          <w:p>
            <w:pPr>
              <w:spacing w:after="0"/>
              <w:rPr>
                <w:sz w:val="24"/>
                <w:szCs w:val="24"/>
                <w:color w:val="auto"/>
              </w:rPr>
            </w:pPr>
          </w:p>
        </w:tc>
        <w:tc>
          <w:tcPr>
            <w:tcW w:w="500" w:type="dxa"/>
            <w:vAlign w:val="bottom"/>
            <w:gridSpan w:val="6"/>
          </w:tcPr>
          <w:p>
            <w:pPr>
              <w:jc w:val="right"/>
              <w:ind w:right="80"/>
              <w:spacing w:after="0"/>
              <w:rPr>
                <w:sz w:val="20"/>
                <w:szCs w:val="20"/>
                <w:color w:val="auto"/>
              </w:rPr>
            </w:pPr>
            <w:r>
              <w:rPr>
                <w:rFonts w:ascii="Arial" w:cs="Arial" w:eastAsia="Arial" w:hAnsi="Arial"/>
                <w:sz w:val="14"/>
                <w:szCs w:val="14"/>
                <w:b w:val="1"/>
                <w:bCs w:val="1"/>
                <w:i w:val="1"/>
                <w:iCs w:val="1"/>
                <w:color w:val="auto"/>
              </w:rPr>
              <w:t>2015</w:t>
            </w:r>
          </w:p>
        </w:tc>
        <w:tc>
          <w:tcPr>
            <w:tcW w:w="20" w:type="dxa"/>
            <w:vAlign w:val="bottom"/>
          </w:tcPr>
          <w:p>
            <w:pPr>
              <w:spacing w:after="0"/>
              <w:rPr>
                <w:sz w:val="24"/>
                <w:szCs w:val="24"/>
                <w:color w:val="auto"/>
              </w:rPr>
            </w:pPr>
          </w:p>
        </w:tc>
      </w:tr>
      <w:tr>
        <w:trPr>
          <w:trHeight w:val="20"/>
        </w:trPr>
        <w:tc>
          <w:tcPr>
            <w:tcW w:w="6660" w:type="dxa"/>
            <w:vAlign w:val="bottom"/>
          </w:tcPr>
          <w:p>
            <w:pPr>
              <w:spacing w:after="0" w:line="20" w:lineRule="exact"/>
              <w:rPr>
                <w:sz w:val="1"/>
                <w:szCs w:val="1"/>
                <w:color w:val="auto"/>
              </w:rPr>
            </w:pPr>
          </w:p>
        </w:tc>
        <w:tc>
          <w:tcPr>
            <w:tcW w:w="1080" w:type="dxa"/>
            <w:vAlign w:val="bottom"/>
            <w:tcBorders>
              <w:right w:val="single" w:sz="8" w:color="auto"/>
            </w:tcBorders>
            <w:gridSpan w:val="3"/>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3"/>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2"/>
        </w:trPr>
        <w:tc>
          <w:tcPr>
            <w:tcW w:w="6660" w:type="dxa"/>
            <w:vAlign w:val="bottom"/>
          </w:tcPr>
          <w:p>
            <w:pPr>
              <w:ind w:left="2840"/>
              <w:spacing w:after="0"/>
              <w:rPr>
                <w:sz w:val="20"/>
                <w:szCs w:val="20"/>
                <w:color w:val="auto"/>
              </w:rPr>
            </w:pPr>
            <w:r>
              <w:rPr>
                <w:rFonts w:ascii="Arial" w:cs="Arial" w:eastAsia="Arial" w:hAnsi="Arial"/>
                <w:sz w:val="18"/>
                <w:szCs w:val="18"/>
                <w:color w:val="auto"/>
              </w:rPr>
              <w:t>Accrued warranty</w:t>
            </w:r>
          </w:p>
        </w:tc>
        <w:tc>
          <w:tcPr>
            <w:tcW w:w="1080" w:type="dxa"/>
            <w:vAlign w:val="bottom"/>
            <w:gridSpan w:val="3"/>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79"/>
              </w:rPr>
              <w:t>$125</w:t>
            </w:r>
          </w:p>
        </w:tc>
        <w:tc>
          <w:tcPr>
            <w:tcW w:w="520" w:type="dxa"/>
            <w:vAlign w:val="bottom"/>
            <w:gridSpan w:val="7"/>
          </w:tcPr>
          <w:p>
            <w:pPr>
              <w:jc w:val="right"/>
              <w:spacing w:after="0"/>
              <w:rPr>
                <w:sz w:val="20"/>
                <w:szCs w:val="20"/>
                <w:color w:val="auto"/>
              </w:rPr>
            </w:pPr>
            <w:r>
              <w:rPr>
                <w:rFonts w:ascii="Arial" w:cs="Arial" w:eastAsia="Arial" w:hAnsi="Arial"/>
                <w:sz w:val="18"/>
                <w:szCs w:val="18"/>
                <w:color w:val="auto"/>
              </w:rPr>
              <w:t>$ 94</w:t>
            </w:r>
          </w:p>
        </w:tc>
      </w:tr>
      <w:tr>
        <w:trPr>
          <w:trHeight w:val="243"/>
        </w:trPr>
        <w:tc>
          <w:tcPr>
            <w:tcW w:w="6660" w:type="dxa"/>
            <w:vAlign w:val="bottom"/>
          </w:tcPr>
          <w:p>
            <w:pPr>
              <w:ind w:left="2840"/>
              <w:spacing w:after="0"/>
              <w:rPr>
                <w:sz w:val="20"/>
                <w:szCs w:val="20"/>
                <w:color w:val="auto"/>
              </w:rPr>
            </w:pPr>
            <w:r>
              <w:rPr>
                <w:rFonts w:ascii="Arial" w:cs="Arial" w:eastAsia="Arial" w:hAnsi="Arial"/>
                <w:sz w:val="18"/>
                <w:szCs w:val="18"/>
                <w:color w:val="auto"/>
              </w:rPr>
              <w:t>Deferred revenue and customer deposits</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74</w:t>
            </w:r>
          </w:p>
        </w:tc>
        <w:tc>
          <w:tcPr>
            <w:tcW w:w="520" w:type="dxa"/>
            <w:vAlign w:val="bottom"/>
            <w:gridSpan w:val="7"/>
          </w:tcPr>
          <w:p>
            <w:pPr>
              <w:jc w:val="right"/>
              <w:spacing w:after="0"/>
              <w:rPr>
                <w:sz w:val="20"/>
                <w:szCs w:val="20"/>
                <w:color w:val="auto"/>
              </w:rPr>
            </w:pPr>
            <w:r>
              <w:rPr>
                <w:rFonts w:ascii="Arial" w:cs="Arial" w:eastAsia="Arial" w:hAnsi="Arial"/>
                <w:sz w:val="18"/>
                <w:szCs w:val="18"/>
                <w:color w:val="auto"/>
              </w:rPr>
              <w:t>173</w:t>
            </w:r>
          </w:p>
        </w:tc>
      </w:tr>
      <w:tr>
        <w:trPr>
          <w:trHeight w:val="205"/>
        </w:trPr>
        <w:tc>
          <w:tcPr>
            <w:tcW w:w="6660" w:type="dxa"/>
            <w:vAlign w:val="bottom"/>
          </w:tcPr>
          <w:p>
            <w:pPr>
              <w:ind w:left="2840"/>
              <w:spacing w:after="0" w:line="205" w:lineRule="exact"/>
              <w:rPr>
                <w:sz w:val="20"/>
                <w:szCs w:val="20"/>
                <w:color w:val="auto"/>
              </w:rPr>
            </w:pPr>
            <w:r>
              <w:rPr>
                <w:rFonts w:ascii="Arial" w:cs="Arial" w:eastAsia="Arial" w:hAnsi="Arial"/>
                <w:sz w:val="18"/>
                <w:szCs w:val="18"/>
                <w:color w:val="auto"/>
              </w:rPr>
              <w:t>Other</w:t>
            </w:r>
          </w:p>
        </w:tc>
        <w:tc>
          <w:tcPr>
            <w:tcW w:w="1080" w:type="dxa"/>
            <w:vAlign w:val="bottom"/>
            <w:gridSpan w:val="3"/>
          </w:tcPr>
          <w:p>
            <w:pPr>
              <w:spacing w:after="0"/>
              <w:rPr>
                <w:sz w:val="17"/>
                <w:szCs w:val="17"/>
                <w:color w:val="auto"/>
              </w:rPr>
            </w:pPr>
          </w:p>
        </w:tc>
        <w:tc>
          <w:tcPr>
            <w:tcW w:w="3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48</w:t>
            </w:r>
          </w:p>
        </w:tc>
        <w:tc>
          <w:tcPr>
            <w:tcW w:w="180" w:type="dxa"/>
            <w:vAlign w:val="bottom"/>
            <w:gridSpan w:val="3"/>
          </w:tcPr>
          <w:p>
            <w:pPr>
              <w:spacing w:after="0"/>
              <w:rPr>
                <w:sz w:val="17"/>
                <w:szCs w:val="17"/>
                <w:color w:val="auto"/>
              </w:rPr>
            </w:pPr>
          </w:p>
        </w:tc>
        <w:tc>
          <w:tcPr>
            <w:tcW w:w="3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74</w:t>
            </w:r>
          </w:p>
        </w:tc>
      </w:tr>
      <w:tr>
        <w:trPr>
          <w:trHeight w:val="223"/>
        </w:trPr>
        <w:tc>
          <w:tcPr>
            <w:tcW w:w="6660" w:type="dxa"/>
            <w:vAlign w:val="bottom"/>
          </w:tcPr>
          <w:p>
            <w:pPr>
              <w:ind w:left="2840"/>
              <w:spacing w:after="0"/>
              <w:rPr>
                <w:sz w:val="20"/>
                <w:szCs w:val="20"/>
                <w:color w:val="auto"/>
              </w:rPr>
            </w:pPr>
            <w:r>
              <w:rPr>
                <w:rFonts w:ascii="Arial" w:cs="Arial" w:eastAsia="Arial" w:hAnsi="Arial"/>
                <w:sz w:val="18"/>
                <w:szCs w:val="18"/>
                <w:color w:val="auto"/>
              </w:rPr>
              <w:t>Total other current liabilities</w:t>
            </w:r>
          </w:p>
        </w:tc>
        <w:tc>
          <w:tcPr>
            <w:tcW w:w="142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w:t>
            </w:r>
          </w:p>
        </w:tc>
        <w:tc>
          <w:tcPr>
            <w:tcW w:w="520" w:type="dxa"/>
            <w:vAlign w:val="bottom"/>
            <w:gridSpan w:val="7"/>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w:t>
            </w:r>
          </w:p>
        </w:tc>
      </w:tr>
      <w:tr>
        <w:trPr>
          <w:trHeight w:val="20"/>
        </w:trPr>
        <w:tc>
          <w:tcPr>
            <w:tcW w:w="6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540" w:right="140"/>
        <w:spacing w:after="0" w:line="256" w:lineRule="auto"/>
        <w:rPr>
          <w:sz w:val="20"/>
          <w:szCs w:val="20"/>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December 31, 2016 and 2015 consisted of the following:</w:t>
      </w:r>
    </w:p>
    <w:p>
      <w:pPr>
        <w:spacing w:after="0" w:line="196"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7"/>
          </w:tcPr>
          <w:p>
            <w:pPr>
              <w:jc w:val="right"/>
              <w:ind w:right="380"/>
              <w:spacing w:after="0"/>
              <w:rPr>
                <w:sz w:val="20"/>
                <w:szCs w:val="20"/>
                <w:color w:val="auto"/>
              </w:rPr>
            </w:pPr>
            <w:r>
              <w:rPr>
                <w:rFonts w:ascii="Arial" w:cs="Arial" w:eastAsia="Arial" w:hAnsi="Arial"/>
                <w:sz w:val="14"/>
                <w:szCs w:val="14"/>
                <w:b w:val="1"/>
                <w:bCs w:val="1"/>
                <w:i w:val="1"/>
                <w:iCs w:val="1"/>
                <w:color w:val="auto"/>
                <w:w w:val="81"/>
              </w:rPr>
              <w:t>Letters of Credit</w:t>
            </w:r>
          </w:p>
        </w:tc>
      </w:tr>
      <w:tr>
        <w:trPr>
          <w:trHeight w:val="146"/>
        </w:trPr>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97"/>
              </w:rPr>
              <w:t>L/C</w:t>
            </w: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6" w:lineRule="exact"/>
              <w:rPr>
                <w:sz w:val="20"/>
                <w:szCs w:val="20"/>
                <w:color w:val="auto"/>
              </w:rPr>
            </w:pPr>
            <w:r>
              <w:rPr>
                <w:rFonts w:ascii="Arial" w:cs="Arial" w:eastAsia="Arial" w:hAnsi="Arial"/>
                <w:sz w:val="14"/>
                <w:szCs w:val="14"/>
                <w:b w:val="1"/>
                <w:bCs w:val="1"/>
                <w:i w:val="1"/>
                <w:iCs w:val="1"/>
                <w:color w:val="auto"/>
                <w:w w:val="80"/>
              </w:rPr>
              <w:t>Lease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Borders>
              <w:bottom w:val="single" w:sz="8" w:color="auto"/>
            </w:tcBorders>
            <w:gridSpan w:val="6"/>
          </w:tcPr>
          <w:p>
            <w:pPr>
              <w:spacing w:after="0" w:line="146" w:lineRule="exact"/>
              <w:rPr>
                <w:sz w:val="20"/>
                <w:szCs w:val="20"/>
                <w:color w:val="auto"/>
              </w:rPr>
            </w:pPr>
            <w:r>
              <w:rPr>
                <w:rFonts w:ascii="Arial" w:cs="Arial" w:eastAsia="Arial" w:hAnsi="Arial"/>
                <w:sz w:val="14"/>
                <w:szCs w:val="14"/>
                <w:b w:val="1"/>
                <w:bCs w:val="1"/>
                <w:i w:val="1"/>
                <w:iCs w:val="1"/>
                <w:color w:val="auto"/>
                <w:w w:val="83"/>
              </w:rPr>
              <w:t>Amount Outstanding</w:t>
            </w:r>
          </w:p>
        </w:tc>
        <w:tc>
          <w:tcPr>
            <w:tcW w:w="240" w:type="dxa"/>
            <w:vAlign w:val="bottom"/>
            <w:gridSpan w:val="2"/>
          </w:tcPr>
          <w:p>
            <w:pPr>
              <w:spacing w:after="0"/>
              <w:rPr>
                <w:sz w:val="12"/>
                <w:szCs w:val="12"/>
                <w:color w:val="auto"/>
              </w:rPr>
            </w:pPr>
          </w:p>
        </w:tc>
      </w:tr>
      <w:tr>
        <w:trPr>
          <w:trHeight w:val="158"/>
        </w:trPr>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80" w:type="dxa"/>
            <w:vAlign w:val="bottom"/>
            <w:gridSpan w:val="3"/>
          </w:tcPr>
          <w:p>
            <w:pPr>
              <w:jc w:val="right"/>
              <w:ind w:right="240"/>
              <w:spacing w:after="0" w:line="158" w:lineRule="exact"/>
              <w:rPr>
                <w:sz w:val="20"/>
                <w:szCs w:val="20"/>
                <w:color w:val="auto"/>
              </w:rPr>
            </w:pPr>
            <w:r>
              <w:rPr>
                <w:rFonts w:ascii="Arial" w:cs="Arial" w:eastAsia="Arial" w:hAnsi="Arial"/>
                <w:sz w:val="14"/>
                <w:szCs w:val="14"/>
                <w:b w:val="1"/>
                <w:bCs w:val="1"/>
                <w:i w:val="1"/>
                <w:iCs w:val="1"/>
                <w:color w:val="auto"/>
              </w:rPr>
              <w:t>Original L/C</w:t>
            </w:r>
          </w:p>
        </w:tc>
        <w:tc>
          <w:tcPr>
            <w:tcW w:w="100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98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i w:val="1"/>
                <w:iCs w:val="1"/>
                <w:color w:val="auto"/>
                <w:w w:val="87"/>
              </w:rPr>
              <w:t>Expiration</w:t>
            </w:r>
          </w:p>
        </w:tc>
        <w:tc>
          <w:tcPr>
            <w:tcW w:w="720" w:type="dxa"/>
            <w:vAlign w:val="bottom"/>
            <w:gridSpan w:val="5"/>
          </w:tcPr>
          <w:p>
            <w:pPr>
              <w:jc w:val="right"/>
              <w:ind w:right="140"/>
              <w:spacing w:after="0" w:line="158" w:lineRule="exact"/>
              <w:rPr>
                <w:sz w:val="20"/>
                <w:szCs w:val="20"/>
                <w:color w:val="auto"/>
              </w:rPr>
            </w:pPr>
            <w:r>
              <w:rPr>
                <w:rFonts w:ascii="Arial" w:cs="Arial" w:eastAsia="Arial" w:hAnsi="Arial"/>
                <w:sz w:val="14"/>
                <w:szCs w:val="14"/>
                <w:b w:val="1"/>
                <w:bCs w:val="1"/>
                <w:i w:val="1"/>
                <w:iCs w:val="1"/>
                <w:color w:val="auto"/>
              </w:rPr>
              <w:t>Dec. 31</w:t>
            </w:r>
          </w:p>
        </w:tc>
        <w:tc>
          <w:tcPr>
            <w:tcW w:w="940" w:type="dxa"/>
            <w:vAlign w:val="bottom"/>
            <w:gridSpan w:val="5"/>
          </w:tcPr>
          <w:p>
            <w:pPr>
              <w:jc w:val="center"/>
              <w:ind w:left="202"/>
              <w:spacing w:after="0" w:line="158" w:lineRule="exact"/>
              <w:rPr>
                <w:sz w:val="20"/>
                <w:szCs w:val="20"/>
                <w:color w:val="auto"/>
              </w:rPr>
            </w:pPr>
            <w:r>
              <w:rPr>
                <w:rFonts w:ascii="Arial" w:cs="Arial" w:eastAsia="Arial" w:hAnsi="Arial"/>
                <w:sz w:val="14"/>
                <w:szCs w:val="14"/>
                <w:b w:val="1"/>
                <w:bCs w:val="1"/>
                <w:i w:val="1"/>
                <w:iCs w:val="1"/>
                <w:color w:val="auto"/>
                <w:w w:val="86"/>
              </w:rPr>
              <w:t>Dec. 31,</w:t>
            </w:r>
          </w:p>
        </w:tc>
      </w:tr>
      <w:tr>
        <w:trPr>
          <w:trHeight w:val="146"/>
        </w:trPr>
        <w:tc>
          <w:tcPr>
            <w:tcW w:w="2380" w:type="dxa"/>
            <w:vAlign w:val="bottom"/>
            <w:gridSpan w:val="2"/>
          </w:tcPr>
          <w:p>
            <w:pPr>
              <w:spacing w:after="0" w:line="146" w:lineRule="exact"/>
              <w:rPr>
                <w:sz w:val="20"/>
                <w:szCs w:val="20"/>
                <w:color w:val="auto"/>
              </w:rPr>
            </w:pPr>
            <w:r>
              <w:rPr>
                <w:rFonts w:ascii="Arial" w:cs="Arial" w:eastAsia="Arial" w:hAnsi="Arial"/>
                <w:sz w:val="14"/>
                <w:szCs w:val="14"/>
                <w:b w:val="1"/>
                <w:bCs w:val="1"/>
                <w:i w:val="1"/>
                <w:iCs w:val="1"/>
                <w:color w:val="auto"/>
              </w:rPr>
              <w:t>Facility</w:t>
            </w:r>
          </w:p>
        </w:tc>
        <w:tc>
          <w:tcPr>
            <w:tcW w:w="1380" w:type="dxa"/>
            <w:vAlign w:val="bottom"/>
          </w:tcPr>
          <w:p>
            <w:pPr>
              <w:spacing w:after="0"/>
              <w:rPr>
                <w:sz w:val="12"/>
                <w:szCs w:val="12"/>
                <w:color w:val="auto"/>
              </w:rPr>
            </w:pPr>
          </w:p>
        </w:tc>
        <w:tc>
          <w:tcPr>
            <w:tcW w:w="900" w:type="dxa"/>
            <w:vAlign w:val="bottom"/>
            <w:gridSpan w:val="2"/>
          </w:tcPr>
          <w:p>
            <w:pPr>
              <w:jc w:val="right"/>
              <w:ind w:right="320"/>
              <w:spacing w:after="0" w:line="146" w:lineRule="exact"/>
              <w:rPr>
                <w:sz w:val="20"/>
                <w:szCs w:val="20"/>
                <w:color w:val="auto"/>
              </w:rPr>
            </w:pPr>
            <w:r>
              <w:rPr>
                <w:rFonts w:ascii="Arial" w:cs="Arial" w:eastAsia="Arial" w:hAnsi="Arial"/>
                <w:sz w:val="14"/>
                <w:szCs w:val="14"/>
                <w:b w:val="1"/>
                <w:bCs w:val="1"/>
                <w:i w:val="1"/>
                <w:iCs w:val="1"/>
                <w:color w:val="auto"/>
                <w:w w:val="79"/>
              </w:rPr>
              <w:t>Issue Date</w:t>
            </w:r>
          </w:p>
        </w:tc>
        <w:tc>
          <w:tcPr>
            <w:tcW w:w="14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120" w:type="dxa"/>
            <w:vAlign w:val="bottom"/>
          </w:tcPr>
          <w:p>
            <w:pPr>
              <w:spacing w:after="0"/>
              <w:rPr>
                <w:sz w:val="12"/>
                <w:szCs w:val="12"/>
                <w:color w:val="auto"/>
              </w:rPr>
            </w:pPr>
          </w:p>
        </w:tc>
        <w:tc>
          <w:tcPr>
            <w:tcW w:w="860" w:type="dxa"/>
            <w:vAlign w:val="bottom"/>
            <w:gridSpan w:val="2"/>
          </w:tcPr>
          <w:p>
            <w:pPr>
              <w:jc w:val="center"/>
              <w:ind w:right="360"/>
              <w:spacing w:after="0" w:line="146" w:lineRule="exact"/>
              <w:rPr>
                <w:sz w:val="20"/>
                <w:szCs w:val="20"/>
                <w:color w:val="auto"/>
              </w:rPr>
            </w:pPr>
            <w:r>
              <w:rPr>
                <w:rFonts w:ascii="Arial" w:cs="Arial" w:eastAsia="Arial" w:hAnsi="Arial"/>
                <w:sz w:val="14"/>
                <w:szCs w:val="14"/>
                <w:b w:val="1"/>
                <w:bCs w:val="1"/>
                <w:i w:val="1"/>
                <w:iCs w:val="1"/>
                <w:color w:val="auto"/>
                <w:w w:val="85"/>
              </w:rPr>
              <w:t>Date</w:t>
            </w:r>
          </w:p>
        </w:tc>
        <w:tc>
          <w:tcPr>
            <w:tcW w:w="560" w:type="dxa"/>
            <w:vAlign w:val="bottom"/>
            <w:gridSpan w:val="4"/>
          </w:tcPr>
          <w:p>
            <w:pPr>
              <w:ind w:left="220"/>
              <w:spacing w:after="0" w:line="146" w:lineRule="exact"/>
              <w:rPr>
                <w:sz w:val="20"/>
                <w:szCs w:val="20"/>
                <w:color w:val="auto"/>
              </w:rPr>
            </w:pPr>
            <w:r>
              <w:rPr>
                <w:rFonts w:ascii="Arial" w:cs="Arial" w:eastAsia="Arial" w:hAnsi="Arial"/>
                <w:sz w:val="14"/>
                <w:szCs w:val="14"/>
                <w:b w:val="1"/>
                <w:bCs w:val="1"/>
                <w:i w:val="1"/>
                <w:iCs w:val="1"/>
                <w:color w:val="auto"/>
              </w:rPr>
              <w:t>2016</w:t>
            </w:r>
          </w:p>
        </w:tc>
        <w:tc>
          <w:tcPr>
            <w:tcW w:w="160" w:type="dxa"/>
            <w:vAlign w:val="bottom"/>
          </w:tcPr>
          <w:p>
            <w:pPr>
              <w:spacing w:after="0"/>
              <w:rPr>
                <w:sz w:val="12"/>
                <w:szCs w:val="12"/>
                <w:color w:val="auto"/>
              </w:rPr>
            </w:pPr>
          </w:p>
        </w:tc>
        <w:tc>
          <w:tcPr>
            <w:tcW w:w="820" w:type="dxa"/>
            <w:vAlign w:val="bottom"/>
            <w:gridSpan w:val="4"/>
          </w:tcPr>
          <w:p>
            <w:pPr>
              <w:jc w:val="right"/>
              <w:ind w:right="60"/>
              <w:spacing w:after="0" w:line="146" w:lineRule="exact"/>
              <w:rPr>
                <w:sz w:val="20"/>
                <w:szCs w:val="20"/>
                <w:color w:val="auto"/>
              </w:rPr>
            </w:pPr>
            <w:r>
              <w:rPr>
                <w:rFonts w:ascii="Arial" w:cs="Arial" w:eastAsia="Arial" w:hAnsi="Arial"/>
                <w:sz w:val="14"/>
                <w:szCs w:val="14"/>
                <w:b w:val="1"/>
                <w:bCs w:val="1"/>
                <w:i w:val="1"/>
                <w:iCs w:val="1"/>
                <w:color w:val="auto"/>
              </w:rPr>
              <w:t>2015</w:t>
            </w:r>
          </w:p>
        </w:tc>
        <w:tc>
          <w:tcPr>
            <w:tcW w:w="120" w:type="dxa"/>
            <w:vAlign w:val="bottom"/>
          </w:tcPr>
          <w:p>
            <w:pPr>
              <w:spacing w:after="0"/>
              <w:rPr>
                <w:sz w:val="12"/>
                <w:szCs w:val="12"/>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2380" w:type="dxa"/>
            <w:vAlign w:val="bottom"/>
            <w:gridSpan w:val="2"/>
          </w:tcPr>
          <w:p>
            <w:pPr>
              <w:spacing w:after="0"/>
              <w:rPr>
                <w:sz w:val="20"/>
                <w:szCs w:val="20"/>
                <w:color w:val="auto"/>
              </w:rPr>
            </w:pPr>
            <w:r>
              <w:rPr>
                <w:rFonts w:ascii="Arial" w:cs="Arial" w:eastAsia="Arial" w:hAnsi="Arial"/>
                <w:sz w:val="18"/>
                <w:szCs w:val="18"/>
                <w:color w:val="auto"/>
              </w:rPr>
              <w:t>Mt. Laurel, NJ</w:t>
            </w:r>
          </w:p>
        </w:tc>
        <w:tc>
          <w:tcPr>
            <w:tcW w:w="2280" w:type="dxa"/>
            <w:vAlign w:val="bottom"/>
            <w:gridSpan w:val="3"/>
          </w:tcPr>
          <w:p>
            <w:pPr>
              <w:jc w:val="right"/>
              <w:ind w:right="100"/>
              <w:spacing w:after="0"/>
              <w:rPr>
                <w:sz w:val="20"/>
                <w:szCs w:val="20"/>
                <w:color w:val="auto"/>
              </w:rPr>
            </w:pPr>
            <w:r>
              <w:rPr>
                <w:rFonts w:ascii="Arial" w:cs="Arial" w:eastAsia="Arial" w:hAnsi="Arial"/>
                <w:sz w:val="18"/>
                <w:szCs w:val="18"/>
                <w:color w:val="auto"/>
              </w:rPr>
              <w:t>3/29/2010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3/31/2018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9"/>
              </w:rPr>
              <w:t>4/30/2021</w:t>
            </w:r>
          </w:p>
        </w:tc>
        <w:tc>
          <w:tcPr>
            <w:tcW w:w="720" w:type="dxa"/>
            <w:vAlign w:val="bottom"/>
            <w:gridSpan w:val="5"/>
          </w:tcPr>
          <w:p>
            <w:pPr>
              <w:jc w:val="right"/>
              <w:spacing w:after="0"/>
              <w:rPr>
                <w:sz w:val="20"/>
                <w:szCs w:val="20"/>
                <w:color w:val="auto"/>
              </w:rPr>
            </w:pPr>
            <w:r>
              <w:rPr>
                <w:rFonts w:ascii="Arial" w:cs="Arial" w:eastAsia="Arial" w:hAnsi="Arial"/>
                <w:sz w:val="18"/>
                <w:szCs w:val="18"/>
                <w:color w:val="auto"/>
              </w:rPr>
              <w:t>$125</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$250</w:t>
            </w:r>
          </w:p>
        </w:tc>
      </w:tr>
      <w:tr>
        <w:trPr>
          <w:trHeight w:val="205"/>
        </w:trPr>
        <w:tc>
          <w:tcPr>
            <w:tcW w:w="2380" w:type="dxa"/>
            <w:vAlign w:val="bottom"/>
            <w:gridSpan w:val="2"/>
          </w:tcPr>
          <w:p>
            <w:pPr>
              <w:spacing w:after="0" w:line="205" w:lineRule="exact"/>
              <w:rPr>
                <w:sz w:val="20"/>
                <w:szCs w:val="20"/>
                <w:color w:val="auto"/>
              </w:rPr>
            </w:pPr>
            <w:r>
              <w:rPr>
                <w:rFonts w:ascii="Arial" w:cs="Arial" w:eastAsia="Arial" w:hAnsi="Arial"/>
                <w:sz w:val="18"/>
                <w:szCs w:val="18"/>
                <w:color w:val="auto"/>
              </w:rPr>
              <w:t>Mansfield, MA</w:t>
            </w:r>
          </w:p>
        </w:tc>
        <w:tc>
          <w:tcPr>
            <w:tcW w:w="228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rPr>
              <w:t>10/27/2010</w:t>
            </w:r>
          </w:p>
        </w:tc>
        <w:tc>
          <w:tcPr>
            <w:tcW w:w="1000" w:type="dxa"/>
            <w:vAlign w:val="bottom"/>
            <w:gridSpan w:val="3"/>
          </w:tcPr>
          <w:p>
            <w:pPr>
              <w:jc w:val="right"/>
              <w:ind w:right="100"/>
              <w:spacing w:after="0" w:line="205" w:lineRule="exact"/>
              <w:rPr>
                <w:sz w:val="20"/>
                <w:szCs w:val="20"/>
                <w:color w:val="auto"/>
              </w:rPr>
            </w:pPr>
            <w:r>
              <w:rPr>
                <w:rFonts w:ascii="Arial" w:cs="Arial" w:eastAsia="Arial" w:hAnsi="Arial"/>
                <w:sz w:val="18"/>
                <w:szCs w:val="18"/>
                <w:color w:val="auto"/>
                <w:w w:val="97"/>
              </w:rPr>
              <w:t>11/08/2017</w:t>
            </w:r>
          </w:p>
        </w:tc>
        <w:tc>
          <w:tcPr>
            <w:tcW w:w="980" w:type="dxa"/>
            <w:vAlign w:val="bottom"/>
            <w:gridSpan w:val="3"/>
          </w:tcPr>
          <w:p>
            <w:pPr>
              <w:jc w:val="right"/>
              <w:ind w:right="160"/>
              <w:spacing w:after="0" w:line="205" w:lineRule="exact"/>
              <w:rPr>
                <w:sz w:val="20"/>
                <w:szCs w:val="20"/>
                <w:color w:val="auto"/>
              </w:rPr>
            </w:pPr>
            <w:r>
              <w:rPr>
                <w:rFonts w:ascii="Arial" w:cs="Arial" w:eastAsia="Arial" w:hAnsi="Arial"/>
                <w:sz w:val="18"/>
                <w:szCs w:val="18"/>
                <w:color w:val="auto"/>
                <w:w w:val="99"/>
              </w:rPr>
              <w:t>8/31/2021</w:t>
            </w:r>
          </w:p>
        </w:tc>
        <w:tc>
          <w:tcPr>
            <w:tcW w:w="380" w:type="dxa"/>
            <w:vAlign w:val="bottom"/>
            <w:gridSpan w:val="3"/>
          </w:tcPr>
          <w:p>
            <w:pPr>
              <w:spacing w:after="0"/>
              <w:rPr>
                <w:sz w:val="17"/>
                <w:szCs w:val="17"/>
                <w:color w:val="auto"/>
              </w:rPr>
            </w:pPr>
          </w:p>
        </w:tc>
        <w:tc>
          <w:tcPr>
            <w:tcW w:w="3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50</w:t>
            </w:r>
          </w:p>
        </w:tc>
        <w:tc>
          <w:tcPr>
            <w:tcW w:w="580" w:type="dxa"/>
            <w:vAlign w:val="bottom"/>
            <w:gridSpan w:val="2"/>
          </w:tcPr>
          <w:p>
            <w:pPr>
              <w:spacing w:after="0"/>
              <w:rPr>
                <w:sz w:val="17"/>
                <w:szCs w:val="17"/>
                <w:color w:val="auto"/>
              </w:rPr>
            </w:pPr>
          </w:p>
        </w:tc>
        <w:tc>
          <w:tcPr>
            <w:tcW w:w="3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100</w:t>
            </w:r>
          </w:p>
        </w:tc>
      </w:tr>
      <w:tr>
        <w:trPr>
          <w:trHeight w:val="223"/>
        </w:trPr>
        <w:tc>
          <w:tcPr>
            <w:tcW w:w="4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w:t>
            </w:r>
          </w:p>
        </w:tc>
        <w:tc>
          <w:tcPr>
            <w:tcW w:w="94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w:t>
            </w:r>
          </w:p>
        </w:tc>
      </w:tr>
      <w:tr>
        <w:trPr>
          <w:trHeight w:val="680"/>
        </w:trPr>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F - 14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ectPr>
          <w:pgSz w:w="11900" w:h="16838" w:orient="portrait"/>
          <w:cols w:equalWidth="0" w:num="1">
            <w:col w:w="11400"/>
          </w:cols>
          <w:pgMar w:left="240" w:top="131" w:right="259" w:bottom="0" w:gutter="0" w:footer="0" w:header="0"/>
        </w:sectPr>
      </w:pPr>
    </w:p>
    <w:bookmarkStart w:id="37" w:name="page38"/>
    <w:bookmarkEnd w:id="37"/>
    <w:p>
      <w:pPr>
        <w:ind w:left="540" w:right="7720" w:hanging="532"/>
        <w:spacing w:after="0" w:line="478" w:lineRule="auto"/>
        <w:tabs>
          <w:tab w:leader="none" w:pos="29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u w:val="single" w:color="auto"/>
          <w:color w:val="auto"/>
        </w:rPr>
        <w:t>Operating Lease Commitments</w:t>
      </w:r>
    </w:p>
    <w:p>
      <w:pPr>
        <w:spacing w:after="0" w:line="5" w:lineRule="exact"/>
        <w:rPr>
          <w:sz w:val="20"/>
          <w:szCs w:val="20"/>
          <w:color w:val="auto"/>
        </w:rPr>
      </w:pPr>
    </w:p>
    <w:p>
      <w:pPr>
        <w:ind w:left="540"/>
        <w:spacing w:after="0" w:line="310" w:lineRule="auto"/>
        <w:rPr>
          <w:sz w:val="20"/>
          <w:szCs w:val="20"/>
          <w:color w:val="auto"/>
        </w:rPr>
      </w:pPr>
      <w:r>
        <w:rPr>
          <w:rFonts w:ascii="Arial" w:cs="Arial" w:eastAsia="Arial" w:hAnsi="Arial"/>
          <w:sz w:val="15"/>
          <w:szCs w:val="15"/>
          <w:color w:val="auto"/>
        </w:rPr>
        <w:t>We lease our offices, warehouse facilities and certain equipment under non-cancellable operating leases which expire at various dates through 2021. Total rental expense for the years ended December 31, 2016 and 2015 was $1,241 and $1,351,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not included in the minimum rental commitments disclosed below as they are based on actual charges incurred in the periods to which they apply.</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minimum rental commitments under the non-cancellable operating leases in effect at December 31, 2016 are as follows:</w:t>
      </w:r>
    </w:p>
    <w:p>
      <w:pPr>
        <w:spacing w:after="0" w:line="239" w:lineRule="exact"/>
        <w:rPr>
          <w:sz w:val="20"/>
          <w:szCs w:val="20"/>
          <w:color w:val="auto"/>
        </w:rPr>
      </w:pPr>
    </w:p>
    <w:tbl>
      <w:tblPr>
        <w:tblLayout w:type="fixed"/>
        <w:tblInd w:w="3900" w:type="dxa"/>
        <w:tblCellMar>
          <w:top w:w="0" w:type="dxa"/>
          <w:left w:w="0" w:type="dxa"/>
          <w:bottom w:w="0" w:type="dxa"/>
          <w:right w:w="0" w:type="dxa"/>
        </w:tblCellMar>
      </w:tblPr>
      <w:tr>
        <w:trPr>
          <w:trHeight w:val="222"/>
        </w:trPr>
        <w:tc>
          <w:tcPr>
            <w:tcW w:w="314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$1,164</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2018</w:t>
            </w:r>
          </w:p>
        </w:tc>
        <w:tc>
          <w:tcPr>
            <w:tcW w:w="48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2020</w:t>
            </w:r>
          </w:p>
        </w:tc>
        <w:tc>
          <w:tcPr>
            <w:tcW w:w="480" w:type="dxa"/>
            <w:vAlign w:val="bottom"/>
          </w:tcPr>
          <w:p>
            <w:pPr>
              <w:jc w:val="right"/>
              <w:spacing w:after="0"/>
              <w:rPr>
                <w:sz w:val="20"/>
                <w:szCs w:val="20"/>
                <w:color w:val="auto"/>
              </w:rPr>
            </w:pPr>
            <w:r>
              <w:rPr>
                <w:rFonts w:ascii="Arial" w:cs="Arial" w:eastAsia="Arial" w:hAnsi="Arial"/>
                <w:sz w:val="18"/>
                <w:szCs w:val="18"/>
                <w:color w:val="auto"/>
              </w:rPr>
              <w:t>1,172</w:t>
            </w:r>
          </w:p>
        </w:tc>
      </w:tr>
      <w:tr>
        <w:trPr>
          <w:trHeight w:val="205"/>
        </w:trPr>
        <w:tc>
          <w:tcPr>
            <w:tcW w:w="3140" w:type="dxa"/>
            <w:vAlign w:val="bottom"/>
          </w:tcPr>
          <w:p>
            <w:pPr>
              <w:spacing w:after="0" w:line="205" w:lineRule="exact"/>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508</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5,284</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91" w:lineRule="exact"/>
        <w:rPr>
          <w:sz w:val="20"/>
          <w:szCs w:val="20"/>
          <w:color w:val="auto"/>
        </w:rPr>
      </w:pPr>
    </w:p>
    <w:p>
      <w:pPr>
        <w:ind w:left="540" w:right="100"/>
        <w:spacing w:after="0" w:line="332" w:lineRule="auto"/>
        <w:rPr>
          <w:sz w:val="20"/>
          <w:szCs w:val="20"/>
          <w:color w:val="auto"/>
        </w:rPr>
      </w:pPr>
      <w:r>
        <w:rPr>
          <w:rFonts w:ascii="Arial" w:cs="Arial" w:eastAsia="Arial" w:hAnsi="Arial"/>
          <w:sz w:val="16"/>
          <w:szCs w:val="16"/>
          <w:color w:val="auto"/>
        </w:rPr>
        <w:t>We are subject to Federal and certain state income taxes. In addition, we are taxed in certain foreign countries. As of December 31, 2016 and 2015, there were no cumulative undistributed earnings of our foreign subsidiaries for which U.S. income taxes have not been provided.</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Earnings before income taxes was as follows:</w:t>
      </w:r>
    </w:p>
    <w:p>
      <w:pPr>
        <w:spacing w:after="0" w:line="224"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0" w:type="dxa"/>
            <w:vAlign w:val="bottom"/>
            <w:gridSpan w:val="6"/>
          </w:tcPr>
          <w:p>
            <w:pPr>
              <w:jc w:val="right"/>
              <w:ind w:right="280"/>
              <w:spacing w:after="0"/>
              <w:rPr>
                <w:sz w:val="20"/>
                <w:szCs w:val="20"/>
                <w:color w:val="auto"/>
              </w:rPr>
            </w:pPr>
            <w:r>
              <w:rPr>
                <w:rFonts w:ascii="Arial" w:cs="Arial" w:eastAsia="Arial" w:hAnsi="Arial"/>
                <w:sz w:val="14"/>
                <w:szCs w:val="14"/>
                <w:b w:val="1"/>
                <w:bCs w:val="1"/>
                <w:i w:val="1"/>
                <w:iCs w:val="1"/>
                <w:color w:val="auto"/>
                <w:w w:val="82"/>
              </w:rPr>
              <w:t>Years Ended</w:t>
            </w:r>
          </w:p>
        </w:tc>
      </w:tr>
      <w:tr>
        <w:trPr>
          <w:trHeight w:val="146"/>
        </w:trPr>
        <w:tc>
          <w:tcPr>
            <w:tcW w:w="4820" w:type="dxa"/>
            <w:vAlign w:val="bottom"/>
          </w:tcPr>
          <w:p>
            <w:pPr>
              <w:spacing w:after="0"/>
              <w:rPr>
                <w:sz w:val="12"/>
                <w:szCs w:val="12"/>
                <w:color w:val="auto"/>
              </w:rPr>
            </w:pPr>
          </w:p>
        </w:tc>
        <w:tc>
          <w:tcPr>
            <w:tcW w:w="1000" w:type="dxa"/>
            <w:vAlign w:val="bottom"/>
            <w:gridSpan w:val="6"/>
          </w:tcPr>
          <w:p>
            <w:pPr>
              <w:jc w:val="right"/>
              <w:ind w:right="240"/>
              <w:spacing w:after="0" w:line="146" w:lineRule="exact"/>
              <w:rPr>
                <w:sz w:val="20"/>
                <w:szCs w:val="20"/>
                <w:color w:val="auto"/>
              </w:rPr>
            </w:pPr>
            <w:r>
              <w:rPr>
                <w:rFonts w:ascii="Arial" w:cs="Arial" w:eastAsia="Arial" w:hAnsi="Arial"/>
                <w:sz w:val="14"/>
                <w:szCs w:val="14"/>
                <w:b w:val="1"/>
                <w:bCs w:val="1"/>
                <w:i w:val="1"/>
                <w:iCs w:val="1"/>
                <w:color w:val="auto"/>
                <w:w w:val="81"/>
              </w:rPr>
              <w:t>December 31,</w:t>
            </w: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48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1"/>
                <w:szCs w:val="11"/>
                <w:b w:val="1"/>
                <w:bCs w:val="1"/>
                <w:i w:val="1"/>
                <w:iCs w:val="1"/>
                <w:color w:val="auto"/>
                <w:w w:val="73"/>
              </w:rPr>
              <w:t>2016</w:t>
            </w:r>
          </w:p>
        </w:tc>
        <w:tc>
          <w:tcPr>
            <w:tcW w:w="160" w:type="dxa"/>
            <w:vAlign w:val="bottom"/>
          </w:tcPr>
          <w:p>
            <w:pPr>
              <w:spacing w:after="0"/>
              <w:rPr>
                <w:sz w:val="13"/>
                <w:szCs w:val="13"/>
                <w:color w:val="auto"/>
              </w:rPr>
            </w:pPr>
          </w:p>
        </w:tc>
        <w:tc>
          <w:tcPr>
            <w:tcW w:w="5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i w:val="1"/>
                <w:iCs w:val="1"/>
                <w:color w:val="auto"/>
              </w:rPr>
              <w:t>2015</w:t>
            </w:r>
          </w:p>
        </w:tc>
        <w:tc>
          <w:tcPr>
            <w:tcW w:w="120" w:type="dxa"/>
            <w:vAlign w:val="bottom"/>
          </w:tcPr>
          <w:p>
            <w:pPr>
              <w:spacing w:after="0"/>
              <w:rPr>
                <w:sz w:val="13"/>
                <w:szCs w:val="13"/>
                <w:color w:val="auto"/>
              </w:rPr>
            </w:pPr>
          </w:p>
        </w:tc>
      </w:tr>
      <w:tr>
        <w:trPr>
          <w:trHeight w:val="20"/>
        </w:trPr>
        <w:tc>
          <w:tcPr>
            <w:tcW w:w="48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5"/>
        </w:trPr>
        <w:tc>
          <w:tcPr>
            <w:tcW w:w="4820" w:type="dxa"/>
            <w:vAlign w:val="bottom"/>
          </w:tcPr>
          <w:p>
            <w:pPr>
              <w:spacing w:after="0"/>
              <w:rPr>
                <w:sz w:val="20"/>
                <w:szCs w:val="20"/>
                <w:color w:val="auto"/>
              </w:rPr>
            </w:pPr>
            <w:r>
              <w:rPr>
                <w:rFonts w:ascii="Arial" w:cs="Arial" w:eastAsia="Arial" w:hAnsi="Arial"/>
                <w:sz w:val="18"/>
                <w:szCs w:val="18"/>
                <w:color w:val="auto"/>
              </w:rPr>
              <w:t>Domestic</w:t>
            </w:r>
          </w:p>
        </w:tc>
        <w:tc>
          <w:tcPr>
            <w:tcW w:w="360" w:type="dxa"/>
            <w:vAlign w:val="bottom"/>
            <w:gridSpan w:val="2"/>
          </w:tcPr>
          <w:p>
            <w:pPr>
              <w:jc w:val="right"/>
              <w:spacing w:after="0"/>
              <w:rPr>
                <w:sz w:val="20"/>
                <w:szCs w:val="20"/>
                <w:color w:val="auto"/>
              </w:rPr>
            </w:pPr>
            <w:r>
              <w:rPr>
                <w:rFonts w:ascii="Arial" w:cs="Arial" w:eastAsia="Arial" w:hAnsi="Arial"/>
                <w:sz w:val="15"/>
                <w:szCs w:val="15"/>
                <w:color w:val="auto"/>
                <w:w w:val="74"/>
              </w:rPr>
              <w:t>$3,345</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$1,868</w:t>
            </w:r>
          </w:p>
        </w:tc>
      </w:tr>
      <w:tr>
        <w:trPr>
          <w:trHeight w:val="205"/>
        </w:trPr>
        <w:tc>
          <w:tcPr>
            <w:tcW w:w="482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862</w:t>
            </w:r>
          </w:p>
        </w:tc>
        <w:tc>
          <w:tcPr>
            <w:tcW w:w="240" w:type="dxa"/>
            <w:vAlign w:val="bottom"/>
          </w:tcPr>
          <w:p>
            <w:pPr>
              <w:spacing w:after="0"/>
              <w:rPr>
                <w:sz w:val="17"/>
                <w:szCs w:val="17"/>
                <w:color w:val="auto"/>
              </w:rPr>
            </w:pPr>
          </w:p>
        </w:tc>
        <w:tc>
          <w:tcPr>
            <w:tcW w:w="40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715</w:t>
            </w: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4"/>
              </w:rPr>
              <w:t>$</w:t>
            </w:r>
            <w:r>
              <w:rPr>
                <w:rFonts w:ascii="Arial" w:cs="Arial" w:eastAsia="Arial" w:hAnsi="Arial"/>
                <w:sz w:val="15"/>
                <w:szCs w:val="15"/>
                <w:color w:val="auto"/>
                <w:w w:val="74"/>
              </w:rPr>
              <w:t>4,207</w:t>
            </w:r>
          </w:p>
        </w:tc>
        <w:tc>
          <w:tcPr>
            <w:tcW w:w="64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2,583</w:t>
            </w:r>
          </w:p>
        </w:tc>
      </w:tr>
      <w:tr>
        <w:trPr>
          <w:trHeight w:val="20"/>
        </w:trPr>
        <w:tc>
          <w:tcPr>
            <w:tcW w:w="48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Income tax expense (benefit) was as follows:</w:t>
      </w:r>
    </w:p>
    <w:p>
      <w:pPr>
        <w:spacing w:after="0" w:line="236" w:lineRule="exact"/>
        <w:rPr>
          <w:sz w:val="20"/>
          <w:szCs w:val="20"/>
          <w:color w:val="auto"/>
        </w:rPr>
      </w:pPr>
    </w:p>
    <w:p>
      <w:pPr>
        <w:ind w:left="7620"/>
        <w:spacing w:after="0"/>
        <w:rPr>
          <w:sz w:val="20"/>
          <w:szCs w:val="20"/>
          <w:color w:val="auto"/>
        </w:rPr>
      </w:pPr>
      <w:r>
        <w:rPr>
          <w:rFonts w:ascii="Arial" w:cs="Arial" w:eastAsia="Arial" w:hAnsi="Arial"/>
          <w:sz w:val="14"/>
          <w:szCs w:val="14"/>
          <w:b w:val="1"/>
          <w:bCs w:val="1"/>
          <w:i w:val="1"/>
          <w:iCs w:val="1"/>
          <w:color w:val="auto"/>
        </w:rPr>
        <w:t>Years Ended</w:t>
      </w:r>
    </w:p>
    <w:p>
      <w:pPr>
        <w:ind w:left="760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2760" w:type="dxa"/>
        <w:tblCellMar>
          <w:top w:w="0" w:type="dxa"/>
          <w:left w:w="0" w:type="dxa"/>
          <w:bottom w:w="0" w:type="dxa"/>
          <w:right w:w="0" w:type="dxa"/>
        </w:tblCellMar>
      </w:tblPr>
      <w:tr>
        <w:trPr>
          <w:trHeight w:val="148"/>
        </w:trPr>
        <w:tc>
          <w:tcPr>
            <w:tcW w:w="3120" w:type="dxa"/>
            <w:vAlign w:val="bottom"/>
          </w:tcPr>
          <w:p>
            <w:pPr>
              <w:spacing w:after="0"/>
              <w:rPr>
                <w:sz w:val="12"/>
                <w:szCs w:val="12"/>
                <w:color w:val="auto"/>
              </w:rPr>
            </w:pPr>
          </w:p>
        </w:tc>
        <w:tc>
          <w:tcPr>
            <w:tcW w:w="18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rPr>
              <w:t>2016</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w w:val="76"/>
              </w:rPr>
              <w:t>2015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35"/>
        </w:trPr>
        <w:tc>
          <w:tcPr>
            <w:tcW w:w="3120" w:type="dxa"/>
            <w:vAlign w:val="bottom"/>
          </w:tcPr>
          <w:p>
            <w:pPr>
              <w:spacing w:after="0"/>
              <w:rPr>
                <w:sz w:val="20"/>
                <w:szCs w:val="20"/>
                <w:color w:val="auto"/>
              </w:rPr>
            </w:pPr>
            <w:r>
              <w:rPr>
                <w:rFonts w:ascii="Arial" w:cs="Arial" w:eastAsia="Arial" w:hAnsi="Arial"/>
                <w:sz w:val="18"/>
                <w:szCs w:val="18"/>
                <w:color w:val="auto"/>
              </w:rPr>
              <w:t>Current</w:t>
            </w:r>
          </w:p>
        </w:tc>
        <w:tc>
          <w:tcPr>
            <w:tcW w:w="16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1,295</w:t>
            </w:r>
          </w:p>
        </w:tc>
        <w:tc>
          <w:tcPr>
            <w:tcW w:w="28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523</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45</w:t>
            </w:r>
          </w:p>
        </w:tc>
      </w:tr>
      <w:tr>
        <w:trPr>
          <w:trHeight w:val="205"/>
        </w:trPr>
        <w:tc>
          <w:tcPr>
            <w:tcW w:w="3120" w:type="dxa"/>
            <w:vAlign w:val="bottom"/>
          </w:tcPr>
          <w:p>
            <w:pPr>
              <w:ind w:left="180"/>
              <w:spacing w:after="0" w:line="205" w:lineRule="exact"/>
              <w:rPr>
                <w:sz w:val="20"/>
                <w:szCs w:val="20"/>
                <w:color w:val="auto"/>
              </w:rPr>
            </w:pPr>
            <w:r>
              <w:rPr>
                <w:rFonts w:ascii="Arial" w:cs="Arial" w:eastAsia="Arial" w:hAnsi="Arial"/>
                <w:sz w:val="18"/>
                <w:szCs w:val="18"/>
                <w:color w:val="auto"/>
              </w:rPr>
              <w:t>Foreign</w:t>
            </w: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45</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3"/>
          </w:tcPr>
          <w:p>
            <w:pPr>
              <w:jc w:val="right"/>
              <w:spacing w:after="0" w:line="205" w:lineRule="exact"/>
              <w:rPr>
                <w:sz w:val="20"/>
                <w:szCs w:val="20"/>
                <w:color w:val="auto"/>
              </w:rPr>
            </w:pPr>
            <w:r>
              <w:rPr>
                <w:rFonts w:ascii="Arial" w:cs="Arial" w:eastAsia="Arial" w:hAnsi="Arial"/>
                <w:sz w:val="18"/>
                <w:szCs w:val="18"/>
                <w:color w:val="auto"/>
                <w:w w:val="99"/>
              </w:rPr>
              <w:t>(14)</w:t>
            </w:r>
          </w:p>
        </w:tc>
      </w:tr>
      <w:tr>
        <w:trPr>
          <w:trHeight w:val="20"/>
        </w:trPr>
        <w:tc>
          <w:tcPr>
            <w:tcW w:w="31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120" w:type="dxa"/>
            <w:vAlign w:val="bottom"/>
          </w:tcPr>
          <w:p>
            <w:pPr>
              <w:ind w:left="16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1,414</w:t>
            </w:r>
          </w:p>
        </w:tc>
        <w:tc>
          <w:tcPr>
            <w:tcW w:w="2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554</w:t>
            </w:r>
          </w:p>
        </w:tc>
      </w:tr>
      <w:tr>
        <w:trPr>
          <w:trHeight w:val="262"/>
        </w:trPr>
        <w:tc>
          <w:tcPr>
            <w:tcW w:w="3120" w:type="dxa"/>
            <w:vAlign w:val="bottom"/>
          </w:tcPr>
          <w:p>
            <w:pPr>
              <w:spacing w:after="0"/>
              <w:rPr>
                <w:sz w:val="20"/>
                <w:szCs w:val="20"/>
                <w:color w:val="auto"/>
              </w:rPr>
            </w:pPr>
            <w:r>
              <w:rPr>
                <w:rFonts w:ascii="Arial" w:cs="Arial" w:eastAsia="Arial" w:hAnsi="Arial"/>
                <w:sz w:val="18"/>
                <w:szCs w:val="18"/>
                <w:color w:val="auto"/>
              </w:rPr>
              <w:t>Deferred</w:t>
            </w:r>
          </w:p>
        </w:tc>
        <w:tc>
          <w:tcPr>
            <w:tcW w:w="160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Domestic -- Federal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43"/>
        </w:trPr>
        <w:tc>
          <w:tcPr>
            <w:tcW w:w="3120" w:type="dxa"/>
            <w:vAlign w:val="bottom"/>
          </w:tcPr>
          <w:p>
            <w:pPr>
              <w:ind w:left="180"/>
              <w:spacing w:after="0"/>
              <w:rPr>
                <w:sz w:val="20"/>
                <w:szCs w:val="20"/>
                <w:color w:val="auto"/>
              </w:rPr>
            </w:pPr>
            <w:r>
              <w:rPr>
                <w:rFonts w:ascii="Arial" w:cs="Arial" w:eastAsia="Arial" w:hAnsi="Arial"/>
                <w:sz w:val="18"/>
                <w:szCs w:val="18"/>
                <w:color w:val="auto"/>
              </w:rPr>
              <w:t>Domestic -- state</w:t>
            </w: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05"/>
        </w:trPr>
        <w:tc>
          <w:tcPr>
            <w:tcW w:w="3120" w:type="dxa"/>
            <w:vAlign w:val="bottom"/>
          </w:tcPr>
          <w:p>
            <w:pPr>
              <w:ind w:left="180"/>
              <w:spacing w:after="0" w:line="205" w:lineRule="exact"/>
              <w:rPr>
                <w:sz w:val="20"/>
                <w:szCs w:val="20"/>
                <w:color w:val="auto"/>
              </w:rPr>
            </w:pPr>
            <w:r>
              <w:rPr>
                <w:rFonts w:ascii="Arial" w:cs="Arial" w:eastAsia="Arial" w:hAnsi="Arial"/>
                <w:sz w:val="18"/>
                <w:szCs w:val="18"/>
                <w:color w:val="auto"/>
              </w:rPr>
              <w:t>Foreign</w:t>
            </w: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164</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3"/>
          </w:tcPr>
          <w:p>
            <w:pPr>
              <w:jc w:val="right"/>
              <w:ind w:right="60"/>
              <w:spacing w:after="0" w:line="205" w:lineRule="exact"/>
              <w:rPr>
                <w:sz w:val="20"/>
                <w:szCs w:val="20"/>
                <w:color w:val="auto"/>
              </w:rPr>
            </w:pPr>
            <w:r>
              <w:rPr>
                <w:rFonts w:ascii="Arial" w:cs="Arial" w:eastAsia="Arial" w:hAnsi="Arial"/>
                <w:sz w:val="18"/>
                <w:szCs w:val="18"/>
                <w:color w:val="auto"/>
                <w:w w:val="86"/>
              </w:rPr>
              <w:t>165</w:t>
            </w:r>
          </w:p>
        </w:tc>
      </w:tr>
      <w:tr>
        <w:trPr>
          <w:trHeight w:val="20"/>
        </w:trPr>
        <w:tc>
          <w:tcPr>
            <w:tcW w:w="31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120" w:type="dxa"/>
            <w:vAlign w:val="bottom"/>
          </w:tcPr>
          <w:p>
            <w:pPr>
              <w:ind w:left="16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168</w:t>
            </w:r>
          </w:p>
        </w:tc>
      </w:tr>
      <w:tr>
        <w:trPr>
          <w:trHeight w:val="20"/>
        </w:trPr>
        <w:tc>
          <w:tcPr>
            <w:tcW w:w="31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Income tax expense</w:t>
            </w:r>
          </w:p>
        </w:tc>
        <w:tc>
          <w:tcPr>
            <w:tcW w:w="16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1,549</w:t>
            </w:r>
          </w:p>
        </w:tc>
        <w:tc>
          <w:tcPr>
            <w:tcW w:w="28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722</w:t>
            </w:r>
          </w:p>
        </w:tc>
      </w:tr>
      <w:tr>
        <w:trPr>
          <w:trHeight w:val="20"/>
        </w:trPr>
        <w:tc>
          <w:tcPr>
            <w:tcW w:w="3120" w:type="dxa"/>
            <w:vAlign w:val="bottom"/>
          </w:tcPr>
          <w:p>
            <w:pPr>
              <w:spacing w:after="0" w:line="20" w:lineRule="exact"/>
              <w:rPr>
                <w:sz w:val="1"/>
                <w:szCs w:val="1"/>
                <w:color w:val="auto"/>
              </w:rPr>
            </w:pPr>
          </w:p>
        </w:tc>
        <w:tc>
          <w:tcPr>
            <w:tcW w:w="16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380"/>
          </w:cols>
          <w:pgMar w:left="240" w:top="517" w:right="279" w:bottom="211" w:gutter="0" w:footer="0" w:header="0"/>
        </w:sectPr>
      </w:pPr>
    </w:p>
    <w:bookmarkStart w:id="38" w:name="page39"/>
    <w:bookmarkEnd w:id="38"/>
    <w:p>
      <w:pPr>
        <w:ind w:left="540" w:right="420"/>
        <w:spacing w:after="0" w:line="306" w:lineRule="auto"/>
        <w:rPr>
          <w:sz w:val="20"/>
          <w:szCs w:val="20"/>
          <w:color w:val="auto"/>
        </w:rPr>
      </w:pPr>
      <w:r>
        <w:rPr>
          <w:rFonts w:ascii="Arial" w:cs="Arial" w:eastAsia="Arial" w:hAnsi="Arial"/>
          <w:sz w:val="16"/>
          <w:szCs w:val="16"/>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2016 and 2015:</w:t>
      </w:r>
    </w:p>
    <w:p>
      <w:pPr>
        <w:spacing w:after="0" w:line="157" w:lineRule="exact"/>
        <w:rPr>
          <w:sz w:val="20"/>
          <w:szCs w:val="20"/>
          <w:color w:val="auto"/>
        </w:rPr>
      </w:pPr>
    </w:p>
    <w:tbl>
      <w:tblPr>
        <w:tblLayout w:type="fixed"/>
        <w:tblInd w:w="27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8"/>
          </w:tcPr>
          <w:p>
            <w:pPr>
              <w:jc w:val="right"/>
              <w:ind w:right="260"/>
              <w:spacing w:after="0"/>
              <w:rPr>
                <w:sz w:val="20"/>
                <w:szCs w:val="20"/>
                <w:color w:val="auto"/>
              </w:rPr>
            </w:pPr>
            <w:r>
              <w:rPr>
                <w:rFonts w:ascii="Arial" w:cs="Arial" w:eastAsia="Arial" w:hAnsi="Arial"/>
                <w:sz w:val="14"/>
                <w:szCs w:val="14"/>
                <w:b w:val="1"/>
                <w:bCs w:val="1"/>
                <w:i w:val="1"/>
                <w:iCs w:val="1"/>
                <w:color w:val="auto"/>
                <w:w w:val="81"/>
              </w:rPr>
              <w:t>December 31,</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46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i w:val="1"/>
                <w:iCs w:val="1"/>
                <w:color w:val="auto"/>
                <w:w w:val="76"/>
              </w:rPr>
              <w:t>2015</w:t>
            </w:r>
          </w:p>
        </w:tc>
        <w:tc>
          <w:tcPr>
            <w:tcW w:w="1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43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12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Depreciation of property and equipment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w w:val="96"/>
              </w:rPr>
              <w:t>Accrued vacation pay and stock-based compensation</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Net operating loss ("NOL") (state and foreign)</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Acquisition costs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Accrued warranty</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4300" w:type="dxa"/>
            <w:vAlign w:val="bottom"/>
          </w:tcPr>
          <w:p>
            <w:pPr>
              <w:ind w:left="180"/>
              <w:spacing w:after="0" w:line="205" w:lineRule="exact"/>
              <w:rPr>
                <w:sz w:val="20"/>
                <w:szCs w:val="20"/>
                <w:color w:val="auto"/>
              </w:rPr>
            </w:pPr>
            <w:r>
              <w:rPr>
                <w:rFonts w:ascii="Arial" w:cs="Arial" w:eastAsia="Arial" w:hAnsi="Arial"/>
                <w:sz w:val="18"/>
                <w:szCs w:val="18"/>
                <w:color w:val="auto"/>
              </w:rPr>
              <w:t>Other</w:t>
            </w:r>
          </w:p>
        </w:tc>
        <w:tc>
          <w:tcPr>
            <w:tcW w:w="4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300" w:type="dxa"/>
            <w:vAlign w:val="bottom"/>
          </w:tcPr>
          <w:p>
            <w:pPr>
              <w:ind w:left="180"/>
              <w:spacing w:after="0"/>
              <w:rPr>
                <w:sz w:val="20"/>
                <w:szCs w:val="20"/>
                <w:color w:val="auto"/>
              </w:rPr>
            </w:pPr>
            <w:r>
              <w:rPr>
                <w:rFonts w:ascii="Arial" w:cs="Arial" w:eastAsia="Arial" w:hAnsi="Arial"/>
                <w:sz w:val="18"/>
                <w:szCs w:val="18"/>
                <w:color w:val="auto"/>
              </w:rPr>
              <w:t>Total</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1,564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00" w:type="dxa"/>
            <w:vAlign w:val="bottom"/>
          </w:tcPr>
          <w:p>
            <w:pPr>
              <w:spacing w:after="0" w:line="205" w:lineRule="exact"/>
              <w:rPr>
                <w:sz w:val="20"/>
                <w:szCs w:val="20"/>
                <w:color w:val="auto"/>
              </w:rPr>
            </w:pPr>
            <w:r>
              <w:rPr>
                <w:rFonts w:ascii="Arial" w:cs="Arial" w:eastAsia="Arial" w:hAnsi="Arial"/>
                <w:sz w:val="18"/>
                <w:szCs w:val="18"/>
                <w:color w:val="auto"/>
              </w:rPr>
              <w:t>Valuation allowance</w:t>
            </w:r>
          </w:p>
        </w:tc>
        <w:tc>
          <w:tcPr>
            <w:tcW w:w="4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Deferred tax assets</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1,549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Net intangible assets</w:t>
            </w: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(212)</w:t>
            </w:r>
          </w:p>
        </w:tc>
        <w:tc>
          <w:tcPr>
            <w:tcW w:w="14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9"/>
              </w:rPr>
              <w:t>(222)</w:t>
            </w:r>
          </w:p>
        </w:tc>
        <w:tc>
          <w:tcPr>
            <w:tcW w:w="0" w:type="dxa"/>
            <w:vAlign w:val="bottom"/>
          </w:tcPr>
          <w:p>
            <w:pPr>
              <w:spacing w:after="0"/>
              <w:rPr>
                <w:sz w:val="1"/>
                <w:szCs w:val="1"/>
                <w:color w:val="auto"/>
              </w:rPr>
            </w:pPr>
          </w:p>
        </w:tc>
      </w:tr>
      <w:tr>
        <w:trPr>
          <w:trHeight w:val="205"/>
        </w:trPr>
        <w:tc>
          <w:tcPr>
            <w:tcW w:w="4300" w:type="dxa"/>
            <w:vAlign w:val="bottom"/>
          </w:tcPr>
          <w:p>
            <w:pPr>
              <w:ind w:left="180"/>
              <w:spacing w:after="0" w:line="205" w:lineRule="exact"/>
              <w:rPr>
                <w:sz w:val="20"/>
                <w:szCs w:val="20"/>
                <w:color w:val="auto"/>
              </w:rPr>
            </w:pPr>
            <w:r>
              <w:rPr>
                <w:rFonts w:ascii="Arial" w:cs="Arial" w:eastAsia="Arial" w:hAnsi="Arial"/>
                <w:sz w:val="18"/>
                <w:szCs w:val="18"/>
                <w:color w:val="auto"/>
              </w:rPr>
              <w:t>Unremitted earnings of foreign subsidiaries</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4"/>
          </w:tcPr>
          <w:p>
            <w:pPr>
              <w:jc w:val="right"/>
              <w:ind w:right="80"/>
              <w:spacing w:after="0" w:line="205"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(294)</w:t>
            </w:r>
          </w:p>
        </w:tc>
        <w:tc>
          <w:tcPr>
            <w:tcW w:w="140" w:type="dxa"/>
            <w:vAlign w:val="bottom"/>
          </w:tcPr>
          <w:p>
            <w:pPr>
              <w:spacing w:after="0"/>
              <w:rPr>
                <w:sz w:val="19"/>
                <w:szCs w:val="19"/>
                <w:color w:val="auto"/>
              </w:rPr>
            </w:pPr>
          </w:p>
        </w:tc>
        <w:tc>
          <w:tcPr>
            <w:tcW w:w="440" w:type="dxa"/>
            <w:vAlign w:val="bottom"/>
            <w:gridSpan w:val="4"/>
          </w:tcPr>
          <w:p>
            <w:pPr>
              <w:jc w:val="right"/>
              <w:spacing w:after="0"/>
              <w:rPr>
                <w:sz w:val="20"/>
                <w:szCs w:val="20"/>
                <w:color w:val="auto"/>
              </w:rPr>
            </w:pPr>
            <w:r>
              <w:rPr>
                <w:rFonts w:ascii="Arial" w:cs="Arial" w:eastAsia="Arial" w:hAnsi="Arial"/>
                <w:sz w:val="18"/>
                <w:szCs w:val="18"/>
                <w:color w:val="auto"/>
                <w:w w:val="99"/>
              </w:rPr>
              <w:t>(304)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4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79"/>
              </w:rPr>
              <w:t>1,110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1,245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The net change in the valuation allowance for the years ended December 31, 2016 and 2015 were decreases of $15 and $85,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2036.</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- 16</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INCOME TAXES </w:t>
      </w:r>
      <w:r>
        <w:rPr>
          <w:rFonts w:ascii="Arial" w:cs="Arial" w:eastAsia="Arial" w:hAnsi="Arial"/>
          <w:sz w:val="18"/>
          <w:szCs w:val="18"/>
          <w:color w:val="auto"/>
        </w:rPr>
        <w:t>(Continued)</w:t>
      </w:r>
    </w:p>
    <w:p>
      <w:pPr>
        <w:spacing w:after="0" w:line="191" w:lineRule="exact"/>
        <w:rPr>
          <w:sz w:val="20"/>
          <w:szCs w:val="20"/>
          <w:color w:val="auto"/>
        </w:rPr>
      </w:pPr>
    </w:p>
    <w:p>
      <w:pPr>
        <w:ind w:left="540" w:right="180"/>
        <w:spacing w:after="0" w:line="268" w:lineRule="auto"/>
        <w:rPr>
          <w:sz w:val="20"/>
          <w:szCs w:val="20"/>
          <w:color w:val="auto"/>
        </w:rPr>
      </w:pPr>
      <w:r>
        <w:rPr>
          <w:rFonts w:ascii="Arial" w:cs="Arial" w:eastAsia="Arial" w:hAnsi="Arial"/>
          <w:sz w:val="18"/>
          <w:szCs w:val="18"/>
          <w:color w:val="auto"/>
        </w:rPr>
        <w:t>An analysis of the effective tax rate for the years ended December 31, 2016 and 2015 and a reconciliation from the expected statutory rate of 34% is as follows:</w:t>
      </w:r>
    </w:p>
    <w:p>
      <w:pPr>
        <w:spacing w:after="0" w:line="197" w:lineRule="exact"/>
        <w:rPr>
          <w:sz w:val="20"/>
          <w:szCs w:val="20"/>
          <w:color w:val="auto"/>
        </w:rPr>
      </w:pPr>
    </w:p>
    <w:p>
      <w:pPr>
        <w:ind w:left="7680"/>
        <w:spacing w:after="0"/>
        <w:rPr>
          <w:sz w:val="20"/>
          <w:szCs w:val="20"/>
          <w:color w:val="auto"/>
        </w:rPr>
      </w:pPr>
      <w:r>
        <w:rPr>
          <w:rFonts w:ascii="Arial" w:cs="Arial" w:eastAsia="Arial" w:hAnsi="Arial"/>
          <w:sz w:val="14"/>
          <w:szCs w:val="14"/>
          <w:b w:val="1"/>
          <w:bCs w:val="1"/>
          <w:i w:val="1"/>
          <w:iCs w:val="1"/>
          <w:color w:val="auto"/>
        </w:rPr>
        <w:t>Years Ended</w:t>
      </w:r>
    </w:p>
    <w:p>
      <w:pPr>
        <w:ind w:left="7640"/>
        <w:spacing w:after="0"/>
        <w:rPr>
          <w:sz w:val="20"/>
          <w:szCs w:val="20"/>
          <w:color w:val="auto"/>
        </w:rPr>
      </w:pPr>
      <w:r>
        <w:rPr>
          <w:rFonts w:ascii="Arial" w:cs="Arial" w:eastAsia="Arial" w:hAnsi="Arial"/>
          <w:sz w:val="14"/>
          <w:szCs w:val="14"/>
          <w:b w:val="1"/>
          <w:bCs w:val="1"/>
          <w:i w:val="1"/>
          <w:iCs w:val="1"/>
          <w:u w:val="single" w:color="auto"/>
          <w:color w:val="auto"/>
        </w:rPr>
        <w:t>December 31,</w:t>
      </w:r>
    </w:p>
    <w:tbl>
      <w:tblPr>
        <w:tblLayout w:type="fixed"/>
        <w:tblInd w:w="2680" w:type="dxa"/>
        <w:tblCellMar>
          <w:top w:w="0" w:type="dxa"/>
          <w:left w:w="0" w:type="dxa"/>
          <w:bottom w:w="0" w:type="dxa"/>
          <w:right w:w="0" w:type="dxa"/>
        </w:tblCellMar>
      </w:tblPr>
      <w:tr>
        <w:trPr>
          <w:trHeight w:val="148"/>
        </w:trPr>
        <w:tc>
          <w:tcPr>
            <w:tcW w:w="480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b w:val="1"/>
                <w:bCs w:val="1"/>
                <w:i w:val="1"/>
                <w:iCs w:val="1"/>
                <w:color w:val="auto"/>
                <w:w w:val="83"/>
              </w:rPr>
              <w:t>2016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i w:val="1"/>
                <w:iCs w:val="1"/>
                <w:color w:val="auto"/>
                <w:w w:val="76"/>
              </w:rPr>
              <w:t>2015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Expected income tax provision at U.S. statutory rate</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w w:val="83"/>
              </w:rPr>
              <w:t>$1,430</w:t>
            </w:r>
          </w:p>
        </w:tc>
        <w:tc>
          <w:tcPr>
            <w:tcW w:w="300" w:type="dxa"/>
            <w:vAlign w:val="bottom"/>
          </w:tcPr>
          <w:p>
            <w:pPr>
              <w:spacing w:after="0"/>
              <w:rPr>
                <w:sz w:val="20"/>
                <w:szCs w:val="20"/>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w w:val="93"/>
              </w:rPr>
              <w:t>$ 878</w:t>
            </w:r>
          </w:p>
        </w:tc>
        <w:tc>
          <w:tcPr>
            <w:tcW w:w="40" w:type="dxa"/>
            <w:vAlign w:val="bottom"/>
          </w:tcPr>
          <w:p>
            <w:pPr>
              <w:spacing w:after="0"/>
              <w:rPr>
                <w:sz w:val="20"/>
                <w:szCs w:val="20"/>
                <w:color w:val="auto"/>
              </w:rPr>
            </w:pP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Foreign income tax rate differences</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auto"/>
              </w:rPr>
              <w:t>(258)</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Current year tax credits (foreign and research)</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auto"/>
              </w:rPr>
              <w:t>(140)</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(207)</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Domestic production activities deduction</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auto"/>
              </w:rPr>
              <w:t>(112)</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Changes in valuation allowance</w:t>
            </w:r>
          </w:p>
        </w:tc>
        <w:tc>
          <w:tcPr>
            <w:tcW w:w="780" w:type="dxa"/>
            <w:vAlign w:val="bottom"/>
            <w:gridSpan w:val="5"/>
          </w:tcPr>
          <w:p>
            <w:pPr>
              <w:jc w:val="right"/>
              <w:ind w:right="240"/>
              <w:spacing w:after="0"/>
              <w:rPr>
                <w:sz w:val="20"/>
                <w:szCs w:val="20"/>
                <w:color w:val="auto"/>
              </w:rPr>
            </w:pPr>
            <w:r>
              <w:rPr>
                <w:rFonts w:ascii="Arial" w:cs="Arial" w:eastAsia="Arial" w:hAnsi="Arial"/>
                <w:sz w:val="18"/>
                <w:szCs w:val="18"/>
                <w:color w:val="auto"/>
              </w:rPr>
              <w:t>(15)</w:t>
            </w:r>
          </w:p>
        </w:tc>
        <w:tc>
          <w:tcPr>
            <w:tcW w:w="480" w:type="dxa"/>
            <w:vAlign w:val="bottom"/>
            <w:gridSpan w:val="6"/>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Deemed dividend from foreign subsidiaries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396</w:t>
            </w:r>
          </w:p>
        </w:tc>
        <w:tc>
          <w:tcPr>
            <w:tcW w:w="300" w:type="dxa"/>
            <w:vAlign w:val="bottom"/>
          </w:tcPr>
          <w:p>
            <w:pPr>
              <w:spacing w:after="0"/>
              <w:rPr>
                <w:sz w:val="21"/>
                <w:szCs w:val="21"/>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1"/>
                <w:szCs w:val="21"/>
                <w:color w:val="auto"/>
              </w:rPr>
            </w:pP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NOL carryforwards utilized</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21"/>
                <w:szCs w:val="21"/>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21"/>
                <w:szCs w:val="21"/>
                <w:color w:val="auto"/>
              </w:rPr>
            </w:pP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Domestic tax expense, net of Federal benefit</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21"/>
                <w:szCs w:val="21"/>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1"/>
                <w:szCs w:val="21"/>
                <w:color w:val="auto"/>
              </w:rPr>
            </w:pPr>
          </w:p>
        </w:tc>
      </w:tr>
      <w:tr>
        <w:trPr>
          <w:trHeight w:val="243"/>
        </w:trPr>
        <w:tc>
          <w:tcPr>
            <w:tcW w:w="4800" w:type="dxa"/>
            <w:vAlign w:val="bottom"/>
          </w:tcPr>
          <w:p>
            <w:pPr>
              <w:ind w:left="320"/>
              <w:spacing w:after="0"/>
              <w:rPr>
                <w:sz w:val="20"/>
                <w:szCs w:val="20"/>
                <w:color w:val="auto"/>
              </w:rPr>
            </w:pPr>
            <w:r>
              <w:rPr>
                <w:rFonts w:ascii="Arial" w:cs="Arial" w:eastAsia="Arial" w:hAnsi="Arial"/>
                <w:sz w:val="18"/>
                <w:szCs w:val="18"/>
                <w:color w:val="auto"/>
              </w:rPr>
              <w:t>Nondeductible expenses</w:t>
            </w:r>
          </w:p>
        </w:tc>
        <w:tc>
          <w:tcPr>
            <w:tcW w:w="480" w:type="dxa"/>
            <w:vAlign w:val="bottom"/>
            <w:gridSpan w:val="4"/>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1"/>
                <w:szCs w:val="21"/>
                <w:color w:val="auto"/>
              </w:rPr>
            </w:pPr>
          </w:p>
        </w:tc>
      </w:tr>
      <w:tr>
        <w:trPr>
          <w:trHeight w:val="205"/>
        </w:trPr>
        <w:tc>
          <w:tcPr>
            <w:tcW w:w="4800" w:type="dxa"/>
            <w:vAlign w:val="bottom"/>
          </w:tcPr>
          <w:p>
            <w:pPr>
              <w:ind w:left="320"/>
              <w:spacing w:after="0" w:line="205" w:lineRule="exact"/>
              <w:rPr>
                <w:sz w:val="20"/>
                <w:szCs w:val="20"/>
                <w:color w:val="auto"/>
              </w:rPr>
            </w:pPr>
            <w:r>
              <w:rPr>
                <w:rFonts w:ascii="Arial" w:cs="Arial" w:eastAsia="Arial" w:hAnsi="Arial"/>
                <w:sz w:val="18"/>
                <w:szCs w:val="18"/>
                <w:color w:val="auto"/>
              </w:rPr>
              <w:t>Other</w:t>
            </w:r>
          </w:p>
        </w:tc>
        <w:tc>
          <w:tcPr>
            <w:tcW w:w="20" w:type="dxa"/>
            <w:vAlign w:val="bottom"/>
          </w:tcPr>
          <w:p>
            <w:pPr>
              <w:spacing w:after="0"/>
              <w:rPr>
                <w:sz w:val="17"/>
                <w:szCs w:val="17"/>
                <w:color w:val="auto"/>
              </w:rPr>
            </w:pPr>
          </w:p>
        </w:tc>
        <w:tc>
          <w:tcPr>
            <w:tcW w:w="760" w:type="dxa"/>
            <w:vAlign w:val="bottom"/>
            <w:gridSpan w:val="4"/>
          </w:tcPr>
          <w:p>
            <w:pPr>
              <w:jc w:val="right"/>
              <w:ind w:right="260"/>
              <w:spacing w:after="0" w:line="205" w:lineRule="exact"/>
              <w:rPr>
                <w:sz w:val="20"/>
                <w:szCs w:val="20"/>
                <w:color w:val="auto"/>
              </w:rPr>
            </w:pPr>
            <w:r>
              <w:rPr>
                <w:rFonts w:ascii="Arial" w:cs="Arial" w:eastAsia="Arial" w:hAnsi="Arial"/>
                <w:sz w:val="18"/>
                <w:szCs w:val="18"/>
                <w:color w:val="auto"/>
              </w:rPr>
              <w:t>(1)</w:t>
            </w:r>
          </w:p>
        </w:tc>
        <w:tc>
          <w:tcPr>
            <w:tcW w:w="480" w:type="dxa"/>
            <w:vAlign w:val="bottom"/>
            <w:gridSpan w:val="6"/>
          </w:tcPr>
          <w:p>
            <w:pPr>
              <w:jc w:val="right"/>
              <w:spacing w:after="0" w:line="205" w:lineRule="exact"/>
              <w:rPr>
                <w:sz w:val="20"/>
                <w:szCs w:val="20"/>
                <w:color w:val="auto"/>
              </w:rPr>
            </w:pPr>
            <w:r>
              <w:rPr>
                <w:rFonts w:ascii="Arial" w:cs="Arial" w:eastAsia="Arial" w:hAnsi="Arial"/>
                <w:sz w:val="18"/>
                <w:szCs w:val="18"/>
                <w:color w:val="auto"/>
              </w:rPr>
              <w:t>(30)</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1,549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$ 722</w:t>
            </w:r>
          </w:p>
        </w:tc>
        <w:tc>
          <w:tcPr>
            <w:tcW w:w="40" w:type="dxa"/>
            <w:vAlign w:val="bottom"/>
          </w:tcPr>
          <w:p>
            <w:pPr>
              <w:spacing w:after="0"/>
              <w:rPr>
                <w:sz w:val="19"/>
                <w:szCs w:val="19"/>
                <w:color w:val="auto"/>
              </w:rPr>
            </w:pPr>
          </w:p>
        </w:tc>
      </w:tr>
    </w:tbl>
    <w:p>
      <w:pPr>
        <w:spacing w:after="0" w:line="248" w:lineRule="exact"/>
        <w:rPr>
          <w:sz w:val="20"/>
          <w:szCs w:val="20"/>
          <w:color w:val="auto"/>
        </w:rPr>
      </w:pPr>
    </w:p>
    <w:p>
      <w:pPr>
        <w:ind w:left="540" w:right="40"/>
        <w:spacing w:after="0" w:line="294"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2016 and 2015, we did not have an accrual for uncertain tax positions.</w:t>
      </w:r>
    </w:p>
    <w:p>
      <w:pPr>
        <w:spacing w:after="0" w:line="170"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We file U.S. income tax returns and multiple state and foreign income tax returns. With few exceptions, the U.S. and state income tax returns filed for the tax years ending on December 31, 2013 and thereafter are subject to examination by the relevant taxing authorities. During the first quarter of 2017, the U.S. taxing authority completed an examination of our federal income tax return for the year ended December 31, 2014 and there were no changes to the tax return as originally filed.</w:t>
      </w:r>
    </w:p>
    <w:p>
      <w:pPr>
        <w:sectPr>
          <w:pgSz w:w="11900" w:h="16838" w:orient="portrait"/>
          <w:cols w:equalWidth="0" w:num="1">
            <w:col w:w="11340"/>
          </w:cols>
          <w:pgMar w:left="240" w:top="131" w:right="319" w:bottom="55"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LEGAL PROCEEDINGS</w:t>
      </w:r>
    </w:p>
    <w:p>
      <w:pPr>
        <w:sectPr>
          <w:pgSz w:w="11900" w:h="16838" w:orient="portrait"/>
          <w:cols w:equalWidth="0" w:num="1">
            <w:col w:w="11340"/>
          </w:cols>
          <w:pgMar w:left="240" w:top="131" w:right="319" w:bottom="55" w:gutter="0" w:footer="0" w:header="0"/>
          <w:type w:val="continuous"/>
        </w:sectPr>
      </w:pPr>
    </w:p>
    <w:bookmarkStart w:id="39" w:name="page40"/>
    <w:bookmarkEnd w:id="39"/>
    <w:p>
      <w:pPr>
        <w:ind w:left="540"/>
        <w:spacing w:after="0" w:line="332" w:lineRule="auto"/>
        <w:rPr>
          <w:sz w:val="20"/>
          <w:szCs w:val="20"/>
          <w:color w:val="auto"/>
        </w:rPr>
      </w:pPr>
      <w:r>
        <w:rPr>
          <w:rFonts w:ascii="Arial" w:cs="Arial" w:eastAsia="Arial" w:hAnsi="Arial"/>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PLAN</w:t>
      </w:r>
    </w:p>
    <w:p>
      <w:pPr>
        <w:spacing w:after="0" w:line="191" w:lineRule="exact"/>
        <w:rPr>
          <w:sz w:val="20"/>
          <w:szCs w:val="20"/>
          <w:color w:val="auto"/>
        </w:rPr>
      </w:pPr>
    </w:p>
    <w:p>
      <w:pPr>
        <w:ind w:left="540" w:right="40"/>
        <w:spacing w:after="0" w:line="290" w:lineRule="auto"/>
        <w:rPr>
          <w:sz w:val="20"/>
          <w:szCs w:val="20"/>
          <w:color w:val="auto"/>
        </w:rPr>
      </w:pPr>
      <w:r>
        <w:rPr>
          <w:rFonts w:ascii="Arial" w:cs="Arial" w:eastAsia="Arial" w:hAnsi="Arial"/>
          <w:sz w:val="16"/>
          <w:szCs w:val="16"/>
          <w:color w:val="auto"/>
        </w:rPr>
        <w:t>As of December 31, 2016, we have unvested restricted stock awards and stock options outstanding which were granted under the inTEST Corporation 2007 Stock Plan (the "2007 Stock Plan") and the inTEST Corporation 2014 Stock Plan (the "2014 Stock Plan"). The 2007 Stock Plan was approved at our annual meeting of stockholders held on June 13, 2007 and permits the granting of stock options or restricted stock for up to 500,000 shares of our common stock to officers, other key employees and consultants. As of December 31, 2016, there were no remaining shares available to grant under the 2007 Stock Plan. The 2014 Stock Plan was approved at our annual meeting of stockholders held on June 25, 2014 and permits the granting of stock options, restricted stock, stock appreciation rights or restricted stock units for up to 500,000 shares of our common stock to directors, officers, other key employees and consultants. As of December 31, 2016, there were 456,300 shares available to grant under the 2014 Stock Plan.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- 17</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STOCK-BASED COMPENSATION PLAN </w:t>
      </w:r>
      <w:r>
        <w:rPr>
          <w:rFonts w:ascii="Arial" w:cs="Arial" w:eastAsia="Arial" w:hAnsi="Arial"/>
          <w:sz w:val="18"/>
          <w:szCs w:val="18"/>
          <w:color w:val="auto"/>
        </w:rPr>
        <w:t>(Continued)</w:t>
      </w:r>
    </w:p>
    <w:p>
      <w:pPr>
        <w:spacing w:after="0" w:line="191" w:lineRule="exact"/>
        <w:rPr>
          <w:sz w:val="20"/>
          <w:szCs w:val="20"/>
          <w:color w:val="auto"/>
        </w:rPr>
      </w:pPr>
    </w:p>
    <w:p>
      <w:pPr>
        <w:ind w:left="540" w:right="100"/>
        <w:spacing w:after="0" w:line="259" w:lineRule="auto"/>
        <w:rPr>
          <w:sz w:val="20"/>
          <w:szCs w:val="20"/>
          <w:color w:val="auto"/>
        </w:rPr>
      </w:pPr>
      <w:r>
        <w:rPr>
          <w:rFonts w:ascii="Arial" w:cs="Arial" w:eastAsia="Arial" w:hAnsi="Arial"/>
          <w:sz w:val="18"/>
          <w:szCs w:val="18"/>
          <w:color w:val="auto"/>
        </w:rPr>
        <w:t>Our unvested restricted stock awards and stock options are accounted for based on their grant date fair value. As of December 31, 2016, total compensation expense to be recognized in future periods was $316. The weighted average period over which this expense is expected to be recognized is 2.5 years.</w:t>
      </w:r>
    </w:p>
    <w:p>
      <w:pPr>
        <w:spacing w:after="0" w:line="194" w:lineRule="exact"/>
        <w:rPr>
          <w:sz w:val="20"/>
          <w:szCs w:val="20"/>
          <w:color w:val="auto"/>
        </w:rPr>
      </w:pPr>
    </w:p>
    <w:p>
      <w:pPr>
        <w:ind w:left="540" w:right="320"/>
        <w:spacing w:after="0" w:line="268" w:lineRule="auto"/>
        <w:rPr>
          <w:sz w:val="20"/>
          <w:szCs w:val="20"/>
          <w:color w:val="auto"/>
        </w:rPr>
      </w:pPr>
      <w:r>
        <w:rPr>
          <w:rFonts w:ascii="Arial" w:cs="Arial" w:eastAsia="Arial" w:hAnsi="Arial"/>
          <w:sz w:val="18"/>
          <w:szCs w:val="18"/>
          <w:color w:val="auto"/>
        </w:rPr>
        <w:t>The following table summarizes the compensation expense we recorded during 2016 and 2015, related to unvested shares of restricted stock and stock options.</w:t>
      </w:r>
    </w:p>
    <w:p>
      <w:pPr>
        <w:spacing w:after="0" w:line="197" w:lineRule="exact"/>
        <w:rPr>
          <w:sz w:val="20"/>
          <w:szCs w:val="20"/>
          <w:color w:val="auto"/>
        </w:rPr>
      </w:pPr>
    </w:p>
    <w:p>
      <w:pPr>
        <w:ind w:left="7560"/>
        <w:spacing w:after="0"/>
        <w:rPr>
          <w:sz w:val="20"/>
          <w:szCs w:val="20"/>
          <w:color w:val="auto"/>
        </w:rPr>
      </w:pPr>
      <w:r>
        <w:rPr>
          <w:rFonts w:ascii="Arial" w:cs="Arial" w:eastAsia="Arial" w:hAnsi="Arial"/>
          <w:sz w:val="14"/>
          <w:szCs w:val="14"/>
          <w:b w:val="1"/>
          <w:bCs w:val="1"/>
          <w:i w:val="1"/>
          <w:iCs w:val="1"/>
          <w:color w:val="auto"/>
        </w:rPr>
        <w:t>Years Ended</w:t>
      </w:r>
    </w:p>
    <w:p>
      <w:pPr>
        <w:ind w:left="752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70"/>
              </w:rPr>
              <w:t>2016</w:t>
            </w:r>
          </w:p>
        </w:tc>
        <w:tc>
          <w:tcPr>
            <w:tcW w:w="120" w:type="dxa"/>
            <w:vAlign w:val="bottom"/>
          </w:tcPr>
          <w:p>
            <w:pPr>
              <w:spacing w:after="0"/>
              <w:rPr>
                <w:sz w:val="14"/>
                <w:szCs w:val="14"/>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4"/>
                <w:szCs w:val="14"/>
                <w:b w:val="1"/>
                <w:bCs w:val="1"/>
                <w:i w:val="1"/>
                <w:iCs w:val="1"/>
                <w:color w:val="auto"/>
              </w:rPr>
              <w:t>2015</w:t>
            </w:r>
          </w:p>
        </w:tc>
      </w:tr>
      <w:tr>
        <w:trPr>
          <w:trHeight w:val="20"/>
        </w:trPr>
        <w:tc>
          <w:tcPr>
            <w:tcW w:w="390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5"/>
        </w:trPr>
        <w:tc>
          <w:tcPr>
            <w:tcW w:w="3900" w:type="dxa"/>
            <w:vAlign w:val="bottom"/>
          </w:tcPr>
          <w:p>
            <w:pPr>
              <w:spacing w:after="0"/>
              <w:rPr>
                <w:sz w:val="20"/>
                <w:szCs w:val="20"/>
                <w:color w:val="auto"/>
              </w:rPr>
            </w:pPr>
            <w:r>
              <w:rPr>
                <w:rFonts w:ascii="Arial" w:cs="Arial" w:eastAsia="Arial" w:hAnsi="Arial"/>
                <w:sz w:val="18"/>
                <w:szCs w:val="18"/>
                <w:color w:val="auto"/>
              </w:rPr>
              <w:t>Cost of revenues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10</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  10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Selling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Engineering and product development expense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10</w:t>
            </w:r>
          </w:p>
        </w:tc>
      </w:tr>
      <w:tr>
        <w:trPr>
          <w:trHeight w:val="205"/>
        </w:trPr>
        <w:tc>
          <w:tcPr>
            <w:tcW w:w="3900" w:type="dxa"/>
            <w:vAlign w:val="bottom"/>
          </w:tcPr>
          <w:p>
            <w:pPr>
              <w:spacing w:after="0" w:line="205" w:lineRule="exact"/>
              <w:rPr>
                <w:sz w:val="20"/>
                <w:szCs w:val="20"/>
                <w:color w:val="auto"/>
              </w:rPr>
            </w:pPr>
            <w:r>
              <w:rPr>
                <w:rFonts w:ascii="Arial" w:cs="Arial" w:eastAsia="Arial" w:hAnsi="Arial"/>
                <w:sz w:val="18"/>
                <w:szCs w:val="18"/>
                <w:color w:val="auto"/>
              </w:rPr>
              <w:t>General and administrative expense</w:t>
            </w:r>
          </w:p>
        </w:tc>
        <w:tc>
          <w:tcPr>
            <w:tcW w:w="660" w:type="dxa"/>
            <w:vAlign w:val="bottom"/>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242</w:t>
            </w:r>
          </w:p>
        </w:tc>
        <w:tc>
          <w:tcPr>
            <w:tcW w:w="220" w:type="dxa"/>
            <w:vAlign w:val="bottom"/>
          </w:tcPr>
          <w:p>
            <w:pPr>
              <w:spacing w:after="0"/>
              <w:rPr>
                <w:sz w:val="17"/>
                <w:szCs w:val="17"/>
                <w:color w:val="auto"/>
              </w:rPr>
            </w:pPr>
          </w:p>
        </w:tc>
        <w:tc>
          <w:tcPr>
            <w:tcW w:w="3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94</w:t>
            </w:r>
          </w:p>
        </w:tc>
      </w:tr>
      <w:tr>
        <w:trPr>
          <w:trHeight w:val="223"/>
        </w:trPr>
        <w:tc>
          <w:tcPr>
            <w:tcW w:w="3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269</w:t>
            </w:r>
          </w:p>
        </w:tc>
        <w:tc>
          <w:tcPr>
            <w:tcW w:w="5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119</w:t>
            </w:r>
          </w:p>
        </w:tc>
      </w:tr>
      <w:tr>
        <w:trPr>
          <w:trHeight w:val="20"/>
        </w:trPr>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was no compensation expense capitalized in 2016 or 2015.</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540" w:right="120"/>
        <w:spacing w:after="0" w:line="259"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No stock options were granted during 2015. The fair value for stock options granted during 2016 was estimated at the date of grant using the Black-</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Scholes option pricing model with the following weighted average assumptions:</w:t>
      </w:r>
    </w:p>
    <w:p>
      <w:pPr>
        <w:spacing w:after="0" w:line="200" w:lineRule="exact"/>
        <w:rPr>
          <w:sz w:val="20"/>
          <w:szCs w:val="20"/>
          <w:color w:val="auto"/>
        </w:rPr>
      </w:pPr>
    </w:p>
    <w:p>
      <w:pPr>
        <w:spacing w:after="0" w:line="275"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6600" w:type="dxa"/>
            <w:vAlign w:val="bottom"/>
          </w:tcPr>
          <w:p>
            <w:pPr>
              <w:ind w:left="1820"/>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600" w:type="dxa"/>
            <w:vAlign w:val="bottom"/>
          </w:tcPr>
          <w:p>
            <w:pPr>
              <w:ind w:left="1820"/>
              <w:spacing w:after="0"/>
              <w:rPr>
                <w:sz w:val="20"/>
                <w:szCs w:val="20"/>
                <w:color w:val="auto"/>
              </w:rPr>
            </w:pPr>
            <w:r>
              <w:rPr>
                <w:rFonts w:ascii="Arial" w:cs="Arial" w:eastAsia="Arial" w:hAnsi="Arial"/>
                <w:sz w:val="18"/>
                <w:szCs w:val="18"/>
                <w:color w:val="auto"/>
              </w:rPr>
              <w:t>Dividend yield</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43"/>
        </w:trPr>
        <w:tc>
          <w:tcPr>
            <w:tcW w:w="6600" w:type="dxa"/>
            <w:vAlign w:val="bottom"/>
          </w:tcPr>
          <w:p>
            <w:pPr>
              <w:ind w:left="1820"/>
              <w:spacing w:after="0"/>
              <w:rPr>
                <w:sz w:val="20"/>
                <w:szCs w:val="20"/>
                <w:color w:val="auto"/>
              </w:rPr>
            </w:pPr>
            <w:r>
              <w:rPr>
                <w:rFonts w:ascii="Arial" w:cs="Arial" w:eastAsia="Arial" w:hAnsi="Arial"/>
                <w:sz w:val="18"/>
                <w:szCs w:val="18"/>
                <w:color w:val="auto"/>
              </w:rPr>
              <w:t>Expected common stock market price volatility factor</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600" w:type="dxa"/>
            <w:vAlign w:val="bottom"/>
          </w:tcPr>
          <w:p>
            <w:pPr>
              <w:ind w:left="1820"/>
              <w:spacing w:after="0"/>
              <w:rPr>
                <w:sz w:val="20"/>
                <w:szCs w:val="20"/>
                <w:color w:val="auto"/>
              </w:rPr>
            </w:pPr>
            <w:r>
              <w:rPr>
                <w:rFonts w:ascii="Arial" w:cs="Arial" w:eastAsia="Arial" w:hAnsi="Arial"/>
                <w:sz w:val="18"/>
                <w:szCs w:val="18"/>
                <w:color w:val="auto"/>
              </w:rPr>
              <w:t>Weighted average expected life of stock options (years)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689"/>
        </w:trPr>
        <w:tc>
          <w:tcPr>
            <w:tcW w:w="6600" w:type="dxa"/>
            <w:vAlign w:val="bottom"/>
          </w:tcPr>
          <w:p>
            <w:pPr>
              <w:spacing w:after="0"/>
              <w:rPr>
                <w:sz w:val="20"/>
                <w:szCs w:val="20"/>
                <w:color w:val="auto"/>
              </w:rPr>
            </w:pPr>
            <w:r>
              <w:rPr>
                <w:rFonts w:ascii="Arial" w:cs="Arial" w:eastAsia="Arial" w:hAnsi="Arial"/>
                <w:sz w:val="18"/>
                <w:szCs w:val="18"/>
                <w:color w:val="auto"/>
                <w:w w:val="91"/>
              </w:rPr>
              <w:t>The per share weighted average fair value of stock options issued during 2016 was $1.43.</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7620" w:type="dxa"/>
            <w:vAlign w:val="bottom"/>
            <w:gridSpan w:val="7"/>
          </w:tcPr>
          <w:p>
            <w:pPr>
              <w:spacing w:after="0"/>
              <w:rPr>
                <w:sz w:val="20"/>
                <w:szCs w:val="20"/>
                <w:color w:val="auto"/>
              </w:rPr>
            </w:pPr>
            <w:r>
              <w:rPr>
                <w:rFonts w:ascii="Arial" w:cs="Arial" w:eastAsia="Arial" w:hAnsi="Arial"/>
                <w:sz w:val="18"/>
                <w:szCs w:val="18"/>
                <w:color w:val="auto"/>
                <w:w w:val="89"/>
              </w:rPr>
              <w:t>The following table summarizes the activity related to stock options for the year ended December 31, 2016:</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i w:val="1"/>
                <w:iCs w:val="1"/>
                <w:color w:val="auto"/>
                <w:w w:val="79"/>
              </w:rPr>
              <w:t>Weighted</w:t>
            </w:r>
          </w:p>
        </w:tc>
      </w:tr>
      <w:tr>
        <w:trPr>
          <w:trHeight w:val="149"/>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4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i w:val="1"/>
                <w:iCs w:val="1"/>
                <w:color w:val="auto"/>
                <w:w w:val="83"/>
              </w:rPr>
              <w:t>Average</w:t>
            </w:r>
          </w:p>
        </w:tc>
      </w:tr>
      <w:tr>
        <w:trPr>
          <w:trHeight w:val="146"/>
        </w:trPr>
        <w:tc>
          <w:tcPr>
            <w:tcW w:w="6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Borders>
              <w:bottom w:val="single" w:sz="8" w:color="auto"/>
            </w:tcBorders>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4"/>
              </w:rPr>
              <w:t>of Shares</w:t>
            </w:r>
          </w:p>
        </w:tc>
        <w:tc>
          <w:tcPr>
            <w:tcW w:w="2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i w:val="1"/>
                <w:iCs w:val="1"/>
                <w:color w:val="auto"/>
                <w:w w:val="85"/>
              </w:rPr>
              <w:t>Exercise Price</w:t>
            </w:r>
          </w:p>
        </w:tc>
        <w:tc>
          <w:tcPr>
            <w:tcW w:w="60" w:type="dxa"/>
            <w:vAlign w:val="bottom"/>
          </w:tcPr>
          <w:p>
            <w:pPr>
              <w:spacing w:after="0"/>
              <w:rPr>
                <w:sz w:val="12"/>
                <w:szCs w:val="12"/>
                <w:color w:val="auto"/>
              </w:rPr>
            </w:pPr>
          </w:p>
        </w:tc>
      </w:tr>
      <w:tr>
        <w:trPr>
          <w:trHeight w:val="235"/>
        </w:trPr>
        <w:tc>
          <w:tcPr>
            <w:tcW w:w="6600" w:type="dxa"/>
            <w:vAlign w:val="bottom"/>
          </w:tcPr>
          <w:p>
            <w:pPr>
              <w:ind w:left="1780"/>
              <w:spacing w:after="0"/>
              <w:rPr>
                <w:sz w:val="20"/>
                <w:szCs w:val="20"/>
                <w:color w:val="auto"/>
              </w:rPr>
            </w:pPr>
            <w:r>
              <w:rPr>
                <w:rFonts w:ascii="Arial" w:cs="Arial" w:eastAsia="Arial" w:hAnsi="Arial"/>
                <w:sz w:val="18"/>
                <w:szCs w:val="18"/>
                <w:color w:val="auto"/>
              </w:rPr>
              <w:t>Options outstanding, January 1, 2016</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0"/>
                <w:szCs w:val="20"/>
                <w:color w:val="auto"/>
              </w:rPr>
            </w:pPr>
          </w:p>
        </w:tc>
      </w:tr>
      <w:tr>
        <w:trPr>
          <w:trHeight w:val="243"/>
        </w:trPr>
        <w:tc>
          <w:tcPr>
            <w:tcW w:w="6600" w:type="dxa"/>
            <w:vAlign w:val="bottom"/>
          </w:tcPr>
          <w:p>
            <w:pPr>
              <w:ind w:left="1920"/>
              <w:spacing w:after="0"/>
              <w:rPr>
                <w:sz w:val="20"/>
                <w:szCs w:val="20"/>
                <w:color w:val="auto"/>
              </w:rPr>
            </w:pPr>
            <w:r>
              <w:rPr>
                <w:rFonts w:ascii="Arial" w:cs="Arial" w:eastAsia="Arial" w:hAnsi="Arial"/>
                <w:sz w:val="18"/>
                <w:szCs w:val="18"/>
                <w:color w:val="auto"/>
              </w:rPr>
              <w:t>Granted</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19,800</w:t>
            </w:r>
          </w:p>
        </w:tc>
        <w:tc>
          <w:tcPr>
            <w:tcW w:w="120" w:type="dxa"/>
            <w:vAlign w:val="bottom"/>
          </w:tcPr>
          <w:p>
            <w:pPr>
              <w:spacing w:after="0"/>
              <w:rPr>
                <w:sz w:val="21"/>
                <w:szCs w:val="21"/>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21"/>
                <w:szCs w:val="21"/>
                <w:color w:val="auto"/>
              </w:rPr>
            </w:pPr>
          </w:p>
        </w:tc>
      </w:tr>
      <w:tr>
        <w:trPr>
          <w:trHeight w:val="243"/>
        </w:trPr>
        <w:tc>
          <w:tcPr>
            <w:tcW w:w="6600" w:type="dxa"/>
            <w:vAlign w:val="bottom"/>
          </w:tcPr>
          <w:p>
            <w:pPr>
              <w:ind w:left="1920"/>
              <w:spacing w:after="0"/>
              <w:rPr>
                <w:sz w:val="20"/>
                <w:szCs w:val="20"/>
                <w:color w:val="auto"/>
              </w:rPr>
            </w:pPr>
            <w:r>
              <w:rPr>
                <w:rFonts w:ascii="Arial" w:cs="Arial" w:eastAsia="Arial" w:hAnsi="Arial"/>
                <w:sz w:val="18"/>
                <w:szCs w:val="18"/>
                <w:color w:val="auto"/>
              </w:rPr>
              <w:t>Exercised</w:t>
            </w: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5"/>
        </w:trPr>
        <w:tc>
          <w:tcPr>
            <w:tcW w:w="6600" w:type="dxa"/>
            <w:vAlign w:val="bottom"/>
          </w:tcPr>
          <w:p>
            <w:pPr>
              <w:ind w:left="1920"/>
              <w:spacing w:after="0" w:line="205" w:lineRule="exact"/>
              <w:rPr>
                <w:sz w:val="20"/>
                <w:szCs w:val="20"/>
                <w:color w:val="auto"/>
              </w:rPr>
            </w:pPr>
            <w:r>
              <w:rPr>
                <w:rFonts w:ascii="Arial" w:cs="Arial" w:eastAsia="Arial" w:hAnsi="Arial"/>
                <w:sz w:val="18"/>
                <w:szCs w:val="18"/>
                <w:color w:val="auto"/>
              </w:rPr>
              <w:t>Canceled</w:t>
            </w:r>
          </w:p>
        </w:tc>
        <w:tc>
          <w:tcPr>
            <w:tcW w:w="460" w:type="dxa"/>
            <w:vAlign w:val="bottom"/>
            <w:gridSpan w:val="3"/>
          </w:tcPr>
          <w:p>
            <w:pPr>
              <w:spacing w:after="0"/>
              <w:rPr>
                <w:sz w:val="17"/>
                <w:szCs w:val="17"/>
                <w:color w:val="auto"/>
              </w:rPr>
            </w:pPr>
          </w:p>
        </w:tc>
        <w:tc>
          <w:tcPr>
            <w:tcW w:w="44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32"/>
              <w:spacing w:after="0" w:line="205"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23"/>
        </w:trPr>
        <w:tc>
          <w:tcPr>
            <w:tcW w:w="6600" w:type="dxa"/>
            <w:vAlign w:val="bottom"/>
          </w:tcPr>
          <w:p>
            <w:pPr>
              <w:ind w:left="1780"/>
              <w:spacing w:after="0"/>
              <w:rPr>
                <w:sz w:val="20"/>
                <w:szCs w:val="20"/>
                <w:color w:val="auto"/>
              </w:rPr>
            </w:pPr>
            <w:r>
              <w:rPr>
                <w:rFonts w:ascii="Arial" w:cs="Arial" w:eastAsia="Arial" w:hAnsi="Arial"/>
                <w:sz w:val="18"/>
                <w:szCs w:val="18"/>
                <w:color w:val="auto"/>
                <w:w w:val="99"/>
              </w:rPr>
              <w:t>Options outstanding, December 31, 2016 (none exercisable)</w:t>
            </w:r>
          </w:p>
        </w:tc>
        <w:tc>
          <w:tcPr>
            <w:tcW w:w="420" w:type="dxa"/>
            <w:vAlign w:val="bottom"/>
            <w:gridSpan w:val="2"/>
          </w:tcPr>
          <w:p>
            <w:pPr>
              <w:spacing w:after="0"/>
              <w:rPr>
                <w:sz w:val="19"/>
                <w:szCs w:val="19"/>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19,800</w:t>
            </w:r>
          </w:p>
        </w:tc>
        <w:tc>
          <w:tcPr>
            <w:tcW w:w="12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9"/>
                <w:szCs w:val="19"/>
                <w:color w:val="auto"/>
              </w:rPr>
            </w:pPr>
          </w:p>
        </w:tc>
      </w:tr>
    </w:tbl>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ind w:left="540" w:right="640"/>
        <w:spacing w:after="0" w:line="268" w:lineRule="auto"/>
        <w:rPr>
          <w:sz w:val="20"/>
          <w:szCs w:val="20"/>
          <w:color w:val="auto"/>
        </w:rPr>
      </w:pPr>
      <w:r>
        <w:rPr>
          <w:rFonts w:ascii="Arial" w:cs="Arial" w:eastAsia="Arial" w:hAnsi="Arial"/>
          <w:sz w:val="18"/>
          <w:szCs w:val="18"/>
          <w:color w:val="auto"/>
        </w:rPr>
        <w:t>We record compensation expense for restricted stock awards (unvested shares) based on the quoted market price of our stock at the grant date and amortize the expense over the vesting period. Restricted stock awards generally vest over four years.</w:t>
      </w:r>
    </w:p>
    <w:p>
      <w:pPr>
        <w:sectPr>
          <w:pgSz w:w="11900" w:h="16838" w:orient="portrait"/>
          <w:cols w:equalWidth="0" w:num="1">
            <w:col w:w="11420"/>
          </w:cols>
          <w:pgMar w:left="240" w:top="131" w:right="239" w:bottom="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F - 18</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STOCK-BASED COMPENSATION PLAN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the activity related to unvested shares for the two years ended December 31, 2016:</w:t>
      </w:r>
    </w:p>
    <w:p>
      <w:pPr>
        <w:spacing w:after="0" w:line="224" w:lineRule="exact"/>
        <w:rPr>
          <w:sz w:val="20"/>
          <w:szCs w:val="20"/>
          <w:color w:val="auto"/>
        </w:rPr>
      </w:pPr>
    </w:p>
    <w:tbl>
      <w:tblPr>
        <w:tblLayout w:type="fixed"/>
        <w:tblInd w:w="24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2"/>
              </w:rPr>
              <w:t>Weighted</w:t>
            </w:r>
          </w:p>
        </w:tc>
      </w:tr>
      <w:tr>
        <w:trPr>
          <w:trHeight w:val="149"/>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79"/>
              </w:rPr>
              <w:t>Average</w:t>
            </w:r>
          </w:p>
        </w:tc>
      </w:tr>
      <w:tr>
        <w:trPr>
          <w:trHeight w:val="149"/>
        </w:trPr>
        <w:tc>
          <w:tcPr>
            <w:tcW w:w="4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i w:val="1"/>
                <w:iCs w:val="1"/>
                <w:color w:val="auto"/>
                <w:w w:val="86"/>
              </w:rPr>
              <w:t>Number</w:t>
            </w: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i w:val="1"/>
                <w:iCs w:val="1"/>
                <w:color w:val="auto"/>
                <w:w w:val="86"/>
              </w:rPr>
              <w:t>Grant Date</w:t>
            </w:r>
          </w:p>
        </w:tc>
      </w:tr>
      <w:tr>
        <w:trPr>
          <w:trHeight w:val="146"/>
        </w:trPr>
        <w:tc>
          <w:tcPr>
            <w:tcW w:w="4220" w:type="dxa"/>
            <w:vAlign w:val="bottom"/>
          </w:tcPr>
          <w:p>
            <w:pPr>
              <w:spacing w:after="0"/>
              <w:rPr>
                <w:sz w:val="12"/>
                <w:szCs w:val="12"/>
                <w:color w:val="auto"/>
              </w:rPr>
            </w:pPr>
          </w:p>
        </w:tc>
        <w:tc>
          <w:tcPr>
            <w:tcW w:w="1540" w:type="dxa"/>
            <w:vAlign w:val="bottom"/>
            <w:gridSpan w:val="6"/>
          </w:tcPr>
          <w:p>
            <w:pPr>
              <w:jc w:val="right"/>
              <w:ind w:right="280"/>
              <w:spacing w:after="0" w:line="146" w:lineRule="exact"/>
              <w:rPr>
                <w:sz w:val="20"/>
                <w:szCs w:val="20"/>
                <w:color w:val="auto"/>
              </w:rPr>
            </w:pPr>
            <w:r>
              <w:rPr>
                <w:rFonts w:ascii="Arial" w:cs="Arial" w:eastAsia="Arial" w:hAnsi="Arial"/>
                <w:sz w:val="14"/>
                <w:szCs w:val="14"/>
                <w:b w:val="1"/>
                <w:bCs w:val="1"/>
                <w:i w:val="1"/>
                <w:iCs w:val="1"/>
                <w:color w:val="auto"/>
              </w:rPr>
              <w:t>of Shares</w:t>
            </w:r>
          </w:p>
        </w:tc>
        <w:tc>
          <w:tcPr>
            <w:tcW w:w="700" w:type="dxa"/>
            <w:vAlign w:val="bottom"/>
            <w:gridSpan w:val="3"/>
          </w:tcPr>
          <w:p>
            <w:pPr>
              <w:jc w:val="center"/>
              <w:spacing w:after="0" w:line="146" w:lineRule="exact"/>
              <w:rPr>
                <w:sz w:val="20"/>
                <w:szCs w:val="20"/>
                <w:color w:val="auto"/>
              </w:rPr>
            </w:pPr>
            <w:r>
              <w:rPr>
                <w:rFonts w:ascii="Arial" w:cs="Arial" w:eastAsia="Arial" w:hAnsi="Arial"/>
                <w:sz w:val="14"/>
                <w:szCs w:val="14"/>
                <w:b w:val="1"/>
                <w:bCs w:val="1"/>
                <w:i w:val="1"/>
                <w:iCs w:val="1"/>
                <w:color w:val="auto"/>
                <w:w w:val="89"/>
              </w:rPr>
              <w:t>Fair Value</w:t>
            </w:r>
          </w:p>
        </w:tc>
      </w:tr>
      <w:tr>
        <w:trPr>
          <w:trHeight w:val="20"/>
        </w:trPr>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4220" w:type="dxa"/>
            <w:vAlign w:val="bottom"/>
          </w:tcPr>
          <w:p>
            <w:pPr>
              <w:spacing w:after="0"/>
              <w:rPr>
                <w:sz w:val="20"/>
                <w:szCs w:val="20"/>
                <w:color w:val="auto"/>
              </w:rPr>
            </w:pPr>
            <w:r>
              <w:rPr>
                <w:rFonts w:ascii="Arial" w:cs="Arial" w:eastAsia="Arial" w:hAnsi="Arial"/>
                <w:sz w:val="18"/>
                <w:szCs w:val="18"/>
                <w:color w:val="auto"/>
              </w:rPr>
              <w:t>Unvested shares outstanding, January 1, 2015</w:t>
            </w:r>
          </w:p>
        </w:tc>
        <w:tc>
          <w:tcPr>
            <w:tcW w:w="740" w:type="dxa"/>
            <w:vAlign w:val="bottom"/>
          </w:tcPr>
          <w:p>
            <w:pPr>
              <w:spacing w:after="0"/>
              <w:rPr>
                <w:sz w:val="20"/>
                <w:szCs w:val="20"/>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w w:val="98"/>
              </w:rPr>
              <w:t>101,875</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0"/>
                <w:szCs w:val="20"/>
                <w:color w:val="auto"/>
              </w:rPr>
            </w:pPr>
          </w:p>
        </w:tc>
      </w:tr>
      <w:tr>
        <w:trPr>
          <w:trHeight w:val="243"/>
        </w:trPr>
        <w:tc>
          <w:tcPr>
            <w:tcW w:w="4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4220" w:type="dxa"/>
            <w:vAlign w:val="bottom"/>
          </w:tcPr>
          <w:p>
            <w:pPr>
              <w:ind w:left="120"/>
              <w:spacing w:after="0"/>
              <w:rPr>
                <w:sz w:val="20"/>
                <w:szCs w:val="20"/>
                <w:color w:val="auto"/>
              </w:rPr>
            </w:pPr>
            <w:r>
              <w:rPr>
                <w:rFonts w:ascii="Arial" w:cs="Arial" w:eastAsia="Arial" w:hAnsi="Arial"/>
                <w:sz w:val="18"/>
                <w:szCs w:val="18"/>
                <w:color w:val="auto"/>
              </w:rPr>
              <w:t>Vested</w:t>
            </w:r>
          </w:p>
        </w:tc>
        <w:tc>
          <w:tcPr>
            <w:tcW w:w="1540" w:type="dxa"/>
            <w:vAlign w:val="bottom"/>
            <w:gridSpan w:val="6"/>
          </w:tcPr>
          <w:p>
            <w:pPr>
              <w:jc w:val="right"/>
              <w:ind w:right="80"/>
              <w:spacing w:after="0"/>
              <w:rPr>
                <w:sz w:val="20"/>
                <w:szCs w:val="20"/>
                <w:color w:val="auto"/>
              </w:rPr>
            </w:pPr>
            <w:r>
              <w:rPr>
                <w:rFonts w:ascii="Arial" w:cs="Arial" w:eastAsia="Arial" w:hAnsi="Arial"/>
                <w:sz w:val="18"/>
                <w:szCs w:val="18"/>
                <w:color w:val="auto"/>
              </w:rPr>
              <w:t>(33,125)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1"/>
                <w:szCs w:val="21"/>
                <w:color w:val="auto"/>
              </w:rPr>
            </w:pPr>
          </w:p>
        </w:tc>
      </w:tr>
      <w:tr>
        <w:trPr>
          <w:trHeight w:val="205"/>
        </w:trPr>
        <w:tc>
          <w:tcPr>
            <w:tcW w:w="422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860" w:type="dxa"/>
            <w:vAlign w:val="bottom"/>
            <w:gridSpan w:val="2"/>
          </w:tcPr>
          <w:p>
            <w:pPr>
              <w:spacing w:after="0"/>
              <w:rPr>
                <w:sz w:val="17"/>
                <w:szCs w:val="17"/>
                <w:color w:val="auto"/>
              </w:rPr>
            </w:pPr>
          </w:p>
        </w:tc>
        <w:tc>
          <w:tcPr>
            <w:tcW w:w="680" w:type="dxa"/>
            <w:vAlign w:val="bottom"/>
            <w:gridSpan w:val="4"/>
          </w:tcPr>
          <w:p>
            <w:pPr>
              <w:jc w:val="right"/>
              <w:ind w:right="80"/>
              <w:spacing w:after="0" w:line="205" w:lineRule="exact"/>
              <w:rPr>
                <w:sz w:val="20"/>
                <w:szCs w:val="20"/>
                <w:color w:val="auto"/>
              </w:rPr>
            </w:pPr>
            <w:r>
              <w:rPr>
                <w:rFonts w:ascii="Arial" w:cs="Arial" w:eastAsia="Arial" w:hAnsi="Arial"/>
                <w:sz w:val="18"/>
                <w:szCs w:val="18"/>
                <w:color w:val="auto"/>
              </w:rPr>
              <w:t>(5,000)</w:t>
            </w: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3.97</w:t>
            </w:r>
          </w:p>
        </w:tc>
        <w:tc>
          <w:tcPr>
            <w:tcW w:w="20" w:type="dxa"/>
            <w:vAlign w:val="bottom"/>
          </w:tcPr>
          <w:p>
            <w:pPr>
              <w:spacing w:after="0"/>
              <w:rPr>
                <w:sz w:val="17"/>
                <w:szCs w:val="17"/>
                <w:color w:val="auto"/>
              </w:rPr>
            </w:pPr>
          </w:p>
        </w:tc>
      </w:tr>
      <w:tr>
        <w:trPr>
          <w:trHeight w:val="262"/>
        </w:trPr>
        <w:tc>
          <w:tcPr>
            <w:tcW w:w="4220" w:type="dxa"/>
            <w:vAlign w:val="bottom"/>
          </w:tcPr>
          <w:p>
            <w:pPr>
              <w:spacing w:after="0"/>
              <w:rPr>
                <w:sz w:val="20"/>
                <w:szCs w:val="20"/>
                <w:color w:val="auto"/>
              </w:rPr>
            </w:pPr>
            <w:r>
              <w:rPr>
                <w:rFonts w:ascii="Arial" w:cs="Arial" w:eastAsia="Arial" w:hAnsi="Arial"/>
                <w:sz w:val="18"/>
                <w:szCs w:val="18"/>
                <w:color w:val="auto"/>
              </w:rPr>
              <w:t>Unvested shares outstanding, December 31, 2015</w:t>
            </w:r>
          </w:p>
        </w:tc>
        <w:tc>
          <w:tcPr>
            <w:tcW w:w="860" w:type="dxa"/>
            <w:vAlign w:val="bottom"/>
            <w:gridSpan w:val="2"/>
          </w:tcPr>
          <w:p>
            <w:pPr>
              <w:spacing w:after="0"/>
              <w:rPr>
                <w:sz w:val="22"/>
                <w:szCs w:val="22"/>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4"/>
              </w:rPr>
              <w:t>63,750</w:t>
            </w:r>
          </w:p>
        </w:tc>
        <w:tc>
          <w:tcPr>
            <w:tcW w:w="14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22"/>
                <w:szCs w:val="22"/>
                <w:color w:val="auto"/>
              </w:rPr>
            </w:pPr>
          </w:p>
        </w:tc>
      </w:tr>
      <w:tr>
        <w:trPr>
          <w:trHeight w:val="243"/>
        </w:trPr>
        <w:tc>
          <w:tcPr>
            <w:tcW w:w="4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00" w:type="dxa"/>
            <w:vAlign w:val="bottom"/>
            <w:gridSpan w:val="5"/>
          </w:tcPr>
          <w:p>
            <w:pPr>
              <w:jc w:val="right"/>
              <w:spacing w:after="0"/>
              <w:rPr>
                <w:sz w:val="20"/>
                <w:szCs w:val="20"/>
                <w:color w:val="auto"/>
              </w:rPr>
            </w:pPr>
            <w:r>
              <w:rPr>
                <w:rFonts w:ascii="Arial" w:cs="Arial" w:eastAsia="Arial" w:hAnsi="Arial"/>
                <w:sz w:val="18"/>
                <w:szCs w:val="18"/>
                <w:color w:val="auto"/>
              </w:rPr>
              <w:t>86,400</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r>
      <w:tr>
        <w:trPr>
          <w:trHeight w:val="243"/>
        </w:trPr>
        <w:tc>
          <w:tcPr>
            <w:tcW w:w="4220" w:type="dxa"/>
            <w:vAlign w:val="bottom"/>
          </w:tcPr>
          <w:p>
            <w:pPr>
              <w:ind w:left="120"/>
              <w:spacing w:after="0"/>
              <w:rPr>
                <w:sz w:val="20"/>
                <w:szCs w:val="20"/>
                <w:color w:val="auto"/>
              </w:rPr>
            </w:pPr>
            <w:r>
              <w:rPr>
                <w:rFonts w:ascii="Arial" w:cs="Arial" w:eastAsia="Arial" w:hAnsi="Arial"/>
                <w:sz w:val="18"/>
                <w:szCs w:val="18"/>
                <w:color w:val="auto"/>
              </w:rPr>
              <w:t>Vested</w:t>
            </w:r>
          </w:p>
        </w:tc>
        <w:tc>
          <w:tcPr>
            <w:tcW w:w="1540" w:type="dxa"/>
            <w:vAlign w:val="bottom"/>
            <w:gridSpan w:val="6"/>
          </w:tcPr>
          <w:p>
            <w:pPr>
              <w:jc w:val="right"/>
              <w:ind w:right="80"/>
              <w:spacing w:after="0"/>
              <w:rPr>
                <w:sz w:val="20"/>
                <w:szCs w:val="20"/>
                <w:color w:val="auto"/>
              </w:rPr>
            </w:pPr>
            <w:r>
              <w:rPr>
                <w:rFonts w:ascii="Arial" w:cs="Arial" w:eastAsia="Arial" w:hAnsi="Arial"/>
                <w:sz w:val="18"/>
                <w:szCs w:val="18"/>
                <w:color w:val="auto"/>
              </w:rPr>
              <w:t>(53,125)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3.94</w:t>
            </w:r>
          </w:p>
        </w:tc>
        <w:tc>
          <w:tcPr>
            <w:tcW w:w="20" w:type="dxa"/>
            <w:vAlign w:val="bottom"/>
          </w:tcPr>
          <w:p>
            <w:pPr>
              <w:spacing w:after="0"/>
              <w:rPr>
                <w:sz w:val="21"/>
                <w:szCs w:val="21"/>
                <w:color w:val="auto"/>
              </w:rPr>
            </w:pPr>
          </w:p>
        </w:tc>
      </w:tr>
      <w:tr>
        <w:trPr>
          <w:trHeight w:val="205"/>
        </w:trPr>
        <w:tc>
          <w:tcPr>
            <w:tcW w:w="4220" w:type="dxa"/>
            <w:vAlign w:val="bottom"/>
          </w:tcPr>
          <w:p>
            <w:pPr>
              <w:ind w:left="140"/>
              <w:spacing w:after="0" w:line="205" w:lineRule="exact"/>
              <w:rPr>
                <w:sz w:val="20"/>
                <w:szCs w:val="20"/>
                <w:color w:val="auto"/>
              </w:rPr>
            </w:pPr>
            <w:r>
              <w:rPr>
                <w:rFonts w:ascii="Arial" w:cs="Arial" w:eastAsia="Arial" w:hAnsi="Arial"/>
                <w:sz w:val="18"/>
                <w:szCs w:val="18"/>
                <w:color w:val="auto"/>
              </w:rPr>
              <w:t>Forfeited</w:t>
            </w:r>
          </w:p>
        </w:tc>
        <w:tc>
          <w:tcPr>
            <w:tcW w:w="880" w:type="dxa"/>
            <w:vAlign w:val="bottom"/>
            <w:gridSpan w:val="3"/>
          </w:tcPr>
          <w:p>
            <w:pPr>
              <w:spacing w:after="0"/>
              <w:rPr>
                <w:sz w:val="17"/>
                <w:szCs w:val="17"/>
                <w:color w:val="auto"/>
              </w:rPr>
            </w:pPr>
          </w:p>
        </w:tc>
        <w:tc>
          <w:tcPr>
            <w:tcW w:w="52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Unvested shares outstanding, December 31, 2016</w:t>
            </w:r>
          </w:p>
        </w:tc>
        <w:tc>
          <w:tcPr>
            <w:tcW w:w="880" w:type="dxa"/>
            <w:vAlign w:val="bottom"/>
            <w:gridSpan w:val="3"/>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97,025</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r>
    </w:tbl>
    <w:p>
      <w:pPr>
        <w:spacing w:after="0" w:line="248"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color w:val="auto"/>
        </w:rPr>
        <w:t>The total fair value of the shares that vested during the years ended December 31, 2016 and 2015 was $208 and $138, respectively, as of the vesting dates of these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REPURCHASE PLAN</w:t>
      </w:r>
    </w:p>
    <w:p>
      <w:pPr>
        <w:spacing w:after="0" w:line="191" w:lineRule="exact"/>
        <w:rPr>
          <w:sz w:val="20"/>
          <w:szCs w:val="20"/>
          <w:color w:val="auto"/>
        </w:rPr>
      </w:pPr>
    </w:p>
    <w:p>
      <w:pPr>
        <w:ind w:left="540"/>
        <w:spacing w:after="0" w:line="290" w:lineRule="auto"/>
        <w:rPr>
          <w:sz w:val="20"/>
          <w:szCs w:val="20"/>
          <w:color w:val="auto"/>
        </w:rPr>
      </w:pPr>
      <w:r>
        <w:rPr>
          <w:rFonts w:ascii="Arial" w:cs="Arial" w:eastAsia="Arial" w:hAnsi="Arial"/>
          <w:sz w:val="16"/>
          <w:szCs w:val="16"/>
          <w:color w:val="auto"/>
        </w:rPr>
        <w:t>On October 27, 2015, our Board of Directors authorized the repurchase of up to $5,000 of our common stock from time to time on the open market, in compliance with Rule 10b-18 under the Securities Exchange Act of 1934, or in privately negotiated transactions (the "2015 Repurchase Plan"). Repurchases may be made under a Rule 10b5-1 plan entered into with RW Baird &amp; Co., which permits shares to be repurchased when we might otherwise be precluded from doing so under insider trading laws. The timing and amount of any shares repurchased under the 2015 Repurchase Plan is determined by our management, based on our evaluation of market conditions and other factors. The 2015 Repurchase Plan does not obligate us to repurchase any particular amount of common stock and may be suspended or discontinued at any time without prior notice. The 2015 Repurchase Plan is funded using our operating cash flow or available cash.</w:t>
      </w:r>
    </w:p>
    <w:p>
      <w:pPr>
        <w:spacing w:after="0" w:line="172" w:lineRule="exact"/>
        <w:rPr>
          <w:sz w:val="20"/>
          <w:szCs w:val="20"/>
          <w:color w:val="auto"/>
        </w:rPr>
      </w:pPr>
    </w:p>
    <w:p>
      <w:pPr>
        <w:ind w:left="540" w:right="80"/>
        <w:spacing w:after="0" w:line="298" w:lineRule="auto"/>
        <w:rPr>
          <w:sz w:val="20"/>
          <w:szCs w:val="20"/>
          <w:color w:val="auto"/>
        </w:rPr>
      </w:pPr>
      <w:r>
        <w:rPr>
          <w:rFonts w:ascii="Arial" w:cs="Arial" w:eastAsia="Arial" w:hAnsi="Arial"/>
          <w:sz w:val="16"/>
          <w:szCs w:val="16"/>
          <w:color w:val="auto"/>
        </w:rPr>
        <w:t>During 2016 and 2015, we repurchased 241,805 and 41,332 shares under the 2015 Repurchase Plan, respectively. The total cost to repurchase these shares, including fees paid to our broker, was $978 and $155, respectively. As of December 31, 2016, we had repurchased a total of 283,137 shares under the 2015 Repurchase Plan at a cost of $1,133, which included fees paid to our broker of $7. All of the repurchased shares were retired. The 2015 Repurchase Plan was suspended in May 2016 and resumed in September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PLANS</w:t>
      </w:r>
    </w:p>
    <w:p>
      <w:pPr>
        <w:spacing w:after="0" w:line="191" w:lineRule="exact"/>
        <w:rPr>
          <w:sz w:val="20"/>
          <w:szCs w:val="20"/>
          <w:color w:val="auto"/>
        </w:rPr>
      </w:pPr>
    </w:p>
    <w:p>
      <w:pPr>
        <w:jc w:val="both"/>
        <w:ind w:left="540" w:right="180"/>
        <w:spacing w:after="0" w:line="294" w:lineRule="auto"/>
        <w:rPr>
          <w:sz w:val="20"/>
          <w:szCs w:val="20"/>
          <w:color w:val="auto"/>
        </w:rPr>
      </w:pPr>
      <w:r>
        <w:rPr>
          <w:rFonts w:ascii="Arial" w:cs="Arial" w:eastAsia="Arial" w:hAnsi="Arial"/>
          <w:sz w:val="16"/>
          <w:szCs w:val="16"/>
          <w:color w:val="auto"/>
        </w:rPr>
        <w:t>We have a defined contribution 401(k) plan for our employees who work in the U.S. (the "inTEST 401(k) Plan").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years ended December 31, 2016 and 2015, we recorded $347 and $329 of expense for matching contributions,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three reportable segments, which are also our reporting units: Thermal Products, Mechanical Products and Electrical Products.</w:t>
      </w:r>
    </w:p>
    <w:p>
      <w:pPr>
        <w:spacing w:after="0" w:line="225" w:lineRule="exact"/>
        <w:rPr>
          <w:sz w:val="20"/>
          <w:szCs w:val="20"/>
          <w:color w:val="auto"/>
        </w:rPr>
      </w:pPr>
    </w:p>
    <w:p>
      <w:pPr>
        <w:jc w:val="both"/>
        <w:ind w:left="540" w:right="220"/>
        <w:spacing w:after="0" w:line="306" w:lineRule="auto"/>
        <w:rPr>
          <w:sz w:val="20"/>
          <w:szCs w:val="20"/>
          <w:color w:val="auto"/>
        </w:rPr>
      </w:pPr>
      <w:r>
        <w:rPr>
          <w:rFonts w:ascii="Arial" w:cs="Arial" w:eastAsia="Arial" w:hAnsi="Arial"/>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 warranty service and support.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- 19</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SEGMENT INFORMATION </w:t>
      </w:r>
      <w:r>
        <w:rPr>
          <w:rFonts w:ascii="Arial" w:cs="Arial" w:eastAsia="Arial" w:hAnsi="Arial"/>
          <w:sz w:val="18"/>
          <w:szCs w:val="18"/>
          <w:color w:val="auto"/>
        </w:rPr>
        <w:t>(Continued)</w:t>
      </w:r>
    </w:p>
    <w:p>
      <w:pPr>
        <w:spacing w:after="0" w:line="19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The Mechanical Products segment includes the operations of our Mt. Laurel, New Jersey manufacturing facility. Sales of this segment consist primarily of manipulator and docking hardware products, which we design, manufacture and market. In addition, this segment provides post warranty service and support for various ATE equipment.</w:t>
      </w:r>
    </w:p>
    <w:p>
      <w:pPr>
        <w:spacing w:after="0" w:line="194"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86" w:lineRule="exact"/>
        <w:rPr>
          <w:sz w:val="20"/>
          <w:szCs w:val="20"/>
          <w:color w:val="auto"/>
        </w:rPr>
      </w:pPr>
    </w:p>
    <w:p>
      <w:pPr>
        <w:ind w:left="540" w:right="280"/>
        <w:spacing w:after="0" w:line="298" w:lineRule="auto"/>
        <w:rPr>
          <w:sz w:val="20"/>
          <w:szCs w:val="20"/>
          <w:color w:val="auto"/>
        </w:rPr>
      </w:pPr>
      <w:r>
        <w:rPr>
          <w:rFonts w:ascii="Arial" w:cs="Arial" w:eastAsia="Arial" w:hAnsi="Arial"/>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ectPr>
          <w:pgSz w:w="11900" w:h="16838" w:orient="portrait"/>
          <w:cols w:equalWidth="0" w:num="1">
            <w:col w:w="11400"/>
          </w:cols>
          <w:pgMar w:left="240" w:top="131" w:right="259" w:bottom="0" w:gutter="0" w:footer="0" w:header="0"/>
        </w:sectPr>
      </w:pPr>
    </w:p>
    <w:p>
      <w:pPr>
        <w:spacing w:after="0" w:line="178" w:lineRule="exact"/>
        <w:rPr>
          <w:sz w:val="20"/>
          <w:szCs w:val="20"/>
          <w:color w:val="auto"/>
        </w:rPr>
      </w:pPr>
    </w:p>
    <w:p>
      <w:pPr>
        <w:ind w:left="7820"/>
        <w:spacing w:after="0"/>
        <w:rPr>
          <w:sz w:val="20"/>
          <w:szCs w:val="20"/>
          <w:color w:val="auto"/>
        </w:rPr>
      </w:pPr>
      <w:r>
        <w:rPr>
          <w:rFonts w:ascii="Arial" w:cs="Arial" w:eastAsia="Arial" w:hAnsi="Arial"/>
          <w:sz w:val="11"/>
          <w:szCs w:val="11"/>
          <w:b w:val="1"/>
          <w:bCs w:val="1"/>
          <w:i w:val="1"/>
          <w:iCs w:val="1"/>
          <w:color w:val="auto"/>
        </w:rPr>
        <w:t>Years Ended</w:t>
      </w:r>
    </w:p>
    <w:p>
      <w:pPr>
        <w:sectPr>
          <w:pgSz w:w="11900" w:h="16838" w:orient="portrait"/>
          <w:cols w:equalWidth="0" w:num="1">
            <w:col w:w="11400"/>
          </w:cols>
          <w:pgMar w:left="240" w:top="131" w:right="259" w:bottom="0" w:gutter="0" w:footer="0" w:header="0"/>
          <w:type w:val="continuous"/>
        </w:sectPr>
      </w:pPr>
    </w:p>
    <w:bookmarkStart w:id="41" w:name="page42"/>
    <w:bookmarkEnd w:id="41"/>
    <w:tbl>
      <w:tblPr>
        <w:tblLayout w:type="fixed"/>
        <w:tblInd w:w="2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i w:val="1"/>
                <w:iCs w:val="1"/>
                <w:color w:val="auto"/>
                <w:w w:val="83"/>
              </w:rPr>
              <w:t>December 31,</w:t>
            </w:r>
          </w:p>
        </w:tc>
        <w:tc>
          <w:tcPr>
            <w:tcW w:w="400" w:type="dxa"/>
            <w:vAlign w:val="bottom"/>
            <w:gridSpan w:val="3"/>
          </w:tcPr>
          <w:p>
            <w:pPr>
              <w:spacing w:after="0"/>
              <w:rPr>
                <w:sz w:val="14"/>
                <w:szCs w:val="14"/>
                <w:color w:val="auto"/>
              </w:rPr>
            </w:pPr>
          </w:p>
        </w:tc>
      </w:tr>
      <w:tr>
        <w:trPr>
          <w:trHeight w:val="412"/>
        </w:trPr>
        <w:tc>
          <w:tcPr>
            <w:tcW w:w="5120" w:type="dxa"/>
            <w:vAlign w:val="bottom"/>
          </w:tcPr>
          <w:p>
            <w:pPr>
              <w:spacing w:after="0"/>
              <w:rPr>
                <w:sz w:val="24"/>
                <w:szCs w:val="24"/>
                <w:color w:val="auto"/>
              </w:rPr>
            </w:pPr>
          </w:p>
        </w:tc>
        <w:tc>
          <w:tcPr>
            <w:tcW w:w="540" w:type="dxa"/>
            <w:vAlign w:val="bottom"/>
            <w:gridSpan w:val="8"/>
          </w:tcPr>
          <w:p>
            <w:pPr>
              <w:jc w:val="right"/>
              <w:ind w:right="200"/>
              <w:spacing w:after="0"/>
              <w:rPr>
                <w:sz w:val="20"/>
                <w:szCs w:val="20"/>
                <w:color w:val="auto"/>
              </w:rPr>
            </w:pPr>
            <w:r>
              <w:rPr>
                <w:rFonts w:ascii="Arial" w:cs="Arial" w:eastAsia="Arial" w:hAnsi="Arial"/>
                <w:sz w:val="14"/>
                <w:szCs w:val="14"/>
                <w:b w:val="1"/>
                <w:bCs w:val="1"/>
                <w:i w:val="1"/>
                <w:iCs w:val="1"/>
                <w:color w:val="auto"/>
              </w:rPr>
              <w:t>2016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8"/>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from unaffiliated customers:</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w w:val="82"/>
              </w:rPr>
              <w:t>$24,033</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w w:val="98"/>
              </w:rPr>
              <w:t>$24,084</w:t>
            </w:r>
          </w:p>
        </w:tc>
        <w:tc>
          <w:tcPr>
            <w:tcW w:w="4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8,309</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7,539</w:t>
            </w:r>
          </w:p>
        </w:tc>
        <w:tc>
          <w:tcPr>
            <w:tcW w:w="40" w:type="dxa"/>
            <w:vAlign w:val="bottom"/>
          </w:tcPr>
          <w:p>
            <w:pPr>
              <w:spacing w:after="0"/>
              <w:rPr>
                <w:sz w:val="21"/>
                <w:szCs w:val="21"/>
                <w:color w:val="auto"/>
              </w:rPr>
            </w:pPr>
          </w:p>
        </w:tc>
      </w:tr>
      <w:tr>
        <w:trPr>
          <w:trHeight w:val="205"/>
        </w:trPr>
        <w:tc>
          <w:tcPr>
            <w:tcW w:w="51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0" w:type="dxa"/>
            <w:vAlign w:val="bottom"/>
          </w:tcPr>
          <w:p>
            <w:pPr>
              <w:spacing w:after="0"/>
              <w:rPr>
                <w:sz w:val="17"/>
                <w:szCs w:val="17"/>
                <w:color w:val="auto"/>
              </w:rPr>
            </w:pPr>
          </w:p>
        </w:tc>
        <w:tc>
          <w:tcPr>
            <w:tcW w:w="520" w:type="dxa"/>
            <w:vAlign w:val="bottom"/>
            <w:tcBorders>
              <w:bottom w:val="single" w:sz="8" w:color="auto"/>
            </w:tcBorders>
            <w:gridSpan w:val="8"/>
          </w:tcPr>
          <w:p>
            <w:pPr>
              <w:jc w:val="right"/>
              <w:spacing w:after="0" w:line="205" w:lineRule="exact"/>
              <w:rPr>
                <w:sz w:val="20"/>
                <w:szCs w:val="20"/>
                <w:color w:val="auto"/>
              </w:rPr>
            </w:pPr>
            <w:r>
              <w:rPr>
                <w:rFonts w:ascii="Arial" w:cs="Arial" w:eastAsia="Arial" w:hAnsi="Arial"/>
                <w:sz w:val="18"/>
                <w:szCs w:val="18"/>
                <w:color w:val="auto"/>
              </w:rPr>
              <w:t>7,885</w:t>
            </w:r>
          </w:p>
        </w:tc>
        <w:tc>
          <w:tcPr>
            <w:tcW w:w="12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520" w:type="dxa"/>
            <w:vAlign w:val="bottom"/>
            <w:tcBorders>
              <w:bottom w:val="single" w:sz="8" w:color="auto"/>
            </w:tcBorders>
            <w:gridSpan w:val="7"/>
          </w:tcPr>
          <w:p>
            <w:pPr>
              <w:jc w:val="right"/>
              <w:spacing w:after="0" w:line="205" w:lineRule="exact"/>
              <w:rPr>
                <w:sz w:val="20"/>
                <w:szCs w:val="20"/>
                <w:color w:val="auto"/>
              </w:rPr>
            </w:pPr>
            <w:r>
              <w:rPr>
                <w:rFonts w:ascii="Arial" w:cs="Arial" w:eastAsia="Arial" w:hAnsi="Arial"/>
                <w:sz w:val="18"/>
                <w:szCs w:val="18"/>
                <w:color w:val="auto"/>
              </w:rPr>
              <w:t>7,266</w:t>
            </w:r>
          </w:p>
        </w:tc>
        <w:tc>
          <w:tcPr>
            <w:tcW w:w="40" w:type="dxa"/>
            <w:vAlign w:val="bottom"/>
          </w:tcPr>
          <w:p>
            <w:pPr>
              <w:spacing w:after="0"/>
              <w:rPr>
                <w:sz w:val="17"/>
                <w:szCs w:val="17"/>
                <w:color w:val="auto"/>
              </w:rPr>
            </w:pPr>
          </w:p>
        </w:tc>
      </w:tr>
      <w:tr>
        <w:trPr>
          <w:trHeight w:val="223"/>
        </w:trPr>
        <w:tc>
          <w:tcPr>
            <w:tcW w:w="5120" w:type="dxa"/>
            <w:vAlign w:val="bottom"/>
          </w:tcPr>
          <w:p>
            <w:pPr>
              <w:spacing w:after="0"/>
              <w:rPr>
                <w:sz w:val="19"/>
                <w:szCs w:val="19"/>
                <w:color w:val="auto"/>
              </w:rPr>
            </w:pPr>
          </w:p>
        </w:tc>
        <w:tc>
          <w:tcPr>
            <w:tcW w:w="5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40,227</w:t>
            </w:r>
          </w:p>
        </w:tc>
        <w:tc>
          <w:tcPr>
            <w:tcW w:w="120" w:type="dxa"/>
            <w:vAlign w:val="bottom"/>
          </w:tcPr>
          <w:p>
            <w:pPr>
              <w:spacing w:after="0"/>
              <w:rPr>
                <w:sz w:val="19"/>
                <w:szCs w:val="19"/>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38,889</w:t>
            </w:r>
          </w:p>
        </w:tc>
        <w:tc>
          <w:tcPr>
            <w:tcW w:w="40" w:type="dxa"/>
            <w:vAlign w:val="bottom"/>
          </w:tcPr>
          <w:p>
            <w:pPr>
              <w:spacing w:after="0"/>
              <w:rPr>
                <w:sz w:val="19"/>
                <w:szCs w:val="19"/>
                <w:color w:val="auto"/>
              </w:rPr>
            </w:pPr>
          </w:p>
        </w:tc>
      </w:tr>
      <w:tr>
        <w:trPr>
          <w:trHeight w:val="262"/>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Depreciation/amortization:</w:t>
            </w: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$ 440</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$ 581</w:t>
            </w:r>
          </w:p>
        </w:tc>
        <w:tc>
          <w:tcPr>
            <w:tcW w:w="4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Mechanical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21"/>
                <w:szCs w:val="21"/>
                <w:color w:val="auto"/>
              </w:rPr>
            </w:pPr>
          </w:p>
        </w:tc>
      </w:tr>
      <w:tr>
        <w:trPr>
          <w:trHeight w:val="205"/>
        </w:trPr>
        <w:tc>
          <w:tcPr>
            <w:tcW w:w="512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120" w:type="dxa"/>
            <w:vAlign w:val="bottom"/>
            <w:gridSpan w:val="5"/>
          </w:tcPr>
          <w:p>
            <w:pPr>
              <w:spacing w:after="0"/>
              <w:rPr>
                <w:sz w:val="17"/>
                <w:szCs w:val="17"/>
                <w:color w:val="auto"/>
              </w:rPr>
            </w:pPr>
          </w:p>
        </w:tc>
        <w:tc>
          <w:tcPr>
            <w:tcW w:w="440" w:type="dxa"/>
            <w:vAlign w:val="bottom"/>
            <w:tcBorders>
              <w:bottom w:val="single" w:sz="8" w:color="auto"/>
            </w:tcBorders>
            <w:gridSpan w:val="4"/>
          </w:tcPr>
          <w:p>
            <w:pPr>
              <w:jc w:val="right"/>
              <w:spacing w:after="0" w:line="20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20" w:type="dxa"/>
            <w:vAlign w:val="bottom"/>
            <w:gridSpan w:val="6"/>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94</w:t>
            </w:r>
          </w:p>
        </w:tc>
        <w:tc>
          <w:tcPr>
            <w:tcW w:w="40" w:type="dxa"/>
            <w:vAlign w:val="bottom"/>
          </w:tcPr>
          <w:p>
            <w:pPr>
              <w:spacing w:after="0"/>
              <w:rPr>
                <w:sz w:val="17"/>
                <w:szCs w:val="17"/>
                <w:color w:val="auto"/>
              </w:rPr>
            </w:pPr>
          </w:p>
        </w:tc>
      </w:tr>
      <w:tr>
        <w:trPr>
          <w:trHeight w:val="223"/>
        </w:trPr>
        <w:tc>
          <w:tcPr>
            <w:tcW w:w="5120" w:type="dxa"/>
            <w:vAlign w:val="bottom"/>
          </w:tcPr>
          <w:p>
            <w:pPr>
              <w:spacing w:after="0"/>
              <w:rPr>
                <w:sz w:val="19"/>
                <w:szCs w:val="19"/>
                <w:color w:val="auto"/>
              </w:rPr>
            </w:pP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$ 599</w:t>
            </w:r>
          </w:p>
        </w:tc>
        <w:tc>
          <w:tcPr>
            <w:tcW w:w="120" w:type="dxa"/>
            <w:vAlign w:val="bottom"/>
          </w:tcPr>
          <w:p>
            <w:pPr>
              <w:spacing w:after="0"/>
              <w:rPr>
                <w:sz w:val="19"/>
                <w:szCs w:val="19"/>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$ 754</w:t>
            </w:r>
          </w:p>
        </w:tc>
        <w:tc>
          <w:tcPr>
            <w:tcW w:w="40" w:type="dxa"/>
            <w:vAlign w:val="bottom"/>
          </w:tcPr>
          <w:p>
            <w:pPr>
              <w:spacing w:after="0"/>
              <w:rPr>
                <w:sz w:val="19"/>
                <w:szCs w:val="19"/>
                <w:color w:val="auto"/>
              </w:rPr>
            </w:pPr>
          </w:p>
        </w:tc>
      </w:tr>
      <w:tr>
        <w:trPr>
          <w:trHeight w:val="262"/>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Operating income (loss):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w w:val="98"/>
              </w:rPr>
              <w:t>$4,210</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$4,517</w:t>
            </w:r>
          </w:p>
        </w:tc>
        <w:tc>
          <w:tcPr>
            <w:tcW w:w="4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Mechanical Products</w:t>
            </w:r>
          </w:p>
        </w:tc>
        <w:tc>
          <w:tcPr>
            <w:tcW w:w="680" w:type="dxa"/>
            <w:vAlign w:val="bottom"/>
            <w:gridSpan w:val="10"/>
          </w:tcPr>
          <w:p>
            <w:pPr>
              <w:jc w:val="right"/>
              <w:ind w:right="80"/>
              <w:spacing w:after="0"/>
              <w:rPr>
                <w:sz w:val="20"/>
                <w:szCs w:val="20"/>
                <w:color w:val="auto"/>
              </w:rPr>
            </w:pPr>
            <w:r>
              <w:rPr>
                <w:rFonts w:ascii="Arial" w:cs="Arial" w:eastAsia="Arial" w:hAnsi="Arial"/>
                <w:sz w:val="18"/>
                <w:szCs w:val="18"/>
                <w:color w:val="auto"/>
              </w:rPr>
              <w:t>(74)</w:t>
            </w:r>
          </w:p>
        </w:tc>
        <w:tc>
          <w:tcPr>
            <w:tcW w:w="700" w:type="dxa"/>
            <w:vAlign w:val="bottom"/>
            <w:gridSpan w:val="10"/>
          </w:tcPr>
          <w:p>
            <w:pPr>
              <w:jc w:val="right"/>
              <w:spacing w:after="0"/>
              <w:rPr>
                <w:sz w:val="20"/>
                <w:szCs w:val="20"/>
                <w:color w:val="auto"/>
              </w:rPr>
            </w:pPr>
            <w:r>
              <w:rPr>
                <w:rFonts w:ascii="Arial" w:cs="Arial" w:eastAsia="Arial" w:hAnsi="Arial"/>
                <w:sz w:val="18"/>
                <w:szCs w:val="18"/>
                <w:color w:val="auto"/>
              </w:rPr>
              <w:t>(1,902)</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Electrical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21"/>
                <w:szCs w:val="21"/>
                <w:color w:val="auto"/>
              </w:rPr>
            </w:pPr>
          </w:p>
        </w:tc>
      </w:tr>
      <w:tr>
        <w:trPr>
          <w:trHeight w:val="205"/>
        </w:trPr>
        <w:tc>
          <w:tcPr>
            <w:tcW w:w="51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680" w:type="dxa"/>
            <w:vAlign w:val="bottom"/>
            <w:gridSpan w:val="10"/>
          </w:tcPr>
          <w:p>
            <w:pPr>
              <w:jc w:val="right"/>
              <w:ind w:right="80"/>
              <w:spacing w:after="0" w:line="205" w:lineRule="exact"/>
              <w:rPr>
                <w:sz w:val="20"/>
                <w:szCs w:val="20"/>
                <w:color w:val="auto"/>
              </w:rPr>
            </w:pPr>
            <w:r>
              <w:rPr>
                <w:rFonts w:ascii="Arial" w:cs="Arial" w:eastAsia="Arial" w:hAnsi="Arial"/>
                <w:sz w:val="18"/>
                <w:szCs w:val="18"/>
                <w:color w:val="auto"/>
              </w:rPr>
              <w:t>(1,053)</w:t>
            </w:r>
          </w:p>
        </w:tc>
        <w:tc>
          <w:tcPr>
            <w:tcW w:w="700" w:type="dxa"/>
            <w:vAlign w:val="bottom"/>
            <w:gridSpan w:val="10"/>
          </w:tcPr>
          <w:p>
            <w:pPr>
              <w:jc w:val="right"/>
              <w:spacing w:after="0" w:line="205" w:lineRule="exact"/>
              <w:rPr>
                <w:sz w:val="20"/>
                <w:szCs w:val="20"/>
                <w:color w:val="auto"/>
              </w:rPr>
            </w:pPr>
            <w:r>
              <w:rPr>
                <w:rFonts w:ascii="Arial" w:cs="Arial" w:eastAsia="Arial" w:hAnsi="Arial"/>
                <w:sz w:val="18"/>
                <w:szCs w:val="18"/>
                <w:color w:val="auto"/>
              </w:rPr>
              <w:t>(726)</w:t>
            </w:r>
          </w:p>
        </w:tc>
      </w:tr>
      <w:tr>
        <w:trPr>
          <w:trHeight w:val="20"/>
        </w:trPr>
        <w:tc>
          <w:tcPr>
            <w:tcW w:w="5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120" w:type="dxa"/>
            <w:vAlign w:val="bottom"/>
          </w:tcPr>
          <w:p>
            <w:pPr>
              <w:spacing w:after="0"/>
              <w:rPr>
                <w:sz w:val="19"/>
                <w:szCs w:val="19"/>
                <w:color w:val="auto"/>
              </w:rPr>
            </w:pPr>
          </w:p>
        </w:tc>
        <w:tc>
          <w:tcPr>
            <w:tcW w:w="5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4,146</w:t>
            </w:r>
          </w:p>
        </w:tc>
        <w:tc>
          <w:tcPr>
            <w:tcW w:w="120" w:type="dxa"/>
            <w:vAlign w:val="bottom"/>
          </w:tcPr>
          <w:p>
            <w:pPr>
              <w:spacing w:after="0"/>
              <w:rPr>
                <w:sz w:val="19"/>
                <w:szCs w:val="19"/>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2,562</w:t>
            </w:r>
          </w:p>
        </w:tc>
        <w:tc>
          <w:tcPr>
            <w:tcW w:w="40" w:type="dxa"/>
            <w:vAlign w:val="bottom"/>
          </w:tcPr>
          <w:p>
            <w:pPr>
              <w:spacing w:after="0"/>
              <w:rPr>
                <w:sz w:val="19"/>
                <w:szCs w:val="19"/>
                <w:color w:val="auto"/>
              </w:rPr>
            </w:pPr>
          </w:p>
        </w:tc>
      </w:tr>
      <w:tr>
        <w:trPr>
          <w:trHeight w:val="262"/>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Earnings (loss) before income tax expense (benefit):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w w:val="98"/>
              </w:rPr>
              <w:t>$4,193</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$4,479</w:t>
            </w:r>
          </w:p>
        </w:tc>
        <w:tc>
          <w:tcPr>
            <w:tcW w:w="4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Mechanical Products</w:t>
            </w:r>
          </w:p>
        </w:tc>
        <w:tc>
          <w:tcPr>
            <w:tcW w:w="680" w:type="dxa"/>
            <w:vAlign w:val="bottom"/>
            <w:gridSpan w:val="10"/>
          </w:tcPr>
          <w:p>
            <w:pPr>
              <w:jc w:val="right"/>
              <w:ind w:right="80"/>
              <w:spacing w:after="0"/>
              <w:rPr>
                <w:sz w:val="20"/>
                <w:szCs w:val="20"/>
                <w:color w:val="auto"/>
              </w:rPr>
            </w:pPr>
            <w:r>
              <w:rPr>
                <w:rFonts w:ascii="Arial" w:cs="Arial" w:eastAsia="Arial" w:hAnsi="Arial"/>
                <w:sz w:val="18"/>
                <w:szCs w:val="18"/>
                <w:color w:val="auto"/>
              </w:rPr>
              <w:t>(72)</w:t>
            </w:r>
          </w:p>
        </w:tc>
        <w:tc>
          <w:tcPr>
            <w:tcW w:w="700" w:type="dxa"/>
            <w:vAlign w:val="bottom"/>
            <w:gridSpan w:val="10"/>
          </w:tcPr>
          <w:p>
            <w:pPr>
              <w:jc w:val="right"/>
              <w:spacing w:after="0"/>
              <w:rPr>
                <w:sz w:val="20"/>
                <w:szCs w:val="20"/>
                <w:color w:val="auto"/>
              </w:rPr>
            </w:pPr>
            <w:r>
              <w:rPr>
                <w:rFonts w:ascii="Arial" w:cs="Arial" w:eastAsia="Arial" w:hAnsi="Arial"/>
                <w:sz w:val="18"/>
                <w:szCs w:val="18"/>
                <w:color w:val="auto"/>
              </w:rPr>
              <w:t>(1,874)</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Electrical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21"/>
                <w:szCs w:val="21"/>
                <w:color w:val="auto"/>
              </w:rPr>
            </w:pPr>
          </w:p>
        </w:tc>
      </w:tr>
      <w:tr>
        <w:trPr>
          <w:trHeight w:val="205"/>
        </w:trPr>
        <w:tc>
          <w:tcPr>
            <w:tcW w:w="51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680" w:type="dxa"/>
            <w:vAlign w:val="bottom"/>
            <w:gridSpan w:val="10"/>
          </w:tcPr>
          <w:p>
            <w:pPr>
              <w:jc w:val="right"/>
              <w:ind w:right="80"/>
              <w:spacing w:after="0" w:line="205" w:lineRule="exact"/>
              <w:rPr>
                <w:sz w:val="20"/>
                <w:szCs w:val="20"/>
                <w:color w:val="auto"/>
              </w:rPr>
            </w:pPr>
            <w:r>
              <w:rPr>
                <w:rFonts w:ascii="Arial" w:cs="Arial" w:eastAsia="Arial" w:hAnsi="Arial"/>
                <w:sz w:val="18"/>
                <w:szCs w:val="18"/>
                <w:color w:val="auto"/>
              </w:rPr>
              <w:t>(1,007)</w:t>
            </w:r>
          </w:p>
        </w:tc>
        <w:tc>
          <w:tcPr>
            <w:tcW w:w="700" w:type="dxa"/>
            <w:vAlign w:val="bottom"/>
            <w:gridSpan w:val="10"/>
          </w:tcPr>
          <w:p>
            <w:pPr>
              <w:jc w:val="right"/>
              <w:spacing w:after="0" w:line="205" w:lineRule="exact"/>
              <w:rPr>
                <w:sz w:val="20"/>
                <w:szCs w:val="20"/>
                <w:color w:val="auto"/>
              </w:rPr>
            </w:pPr>
            <w:r>
              <w:rPr>
                <w:rFonts w:ascii="Arial" w:cs="Arial" w:eastAsia="Arial" w:hAnsi="Arial"/>
                <w:sz w:val="18"/>
                <w:szCs w:val="18"/>
                <w:color w:val="auto"/>
              </w:rPr>
              <w:t>(726)</w:t>
            </w:r>
          </w:p>
        </w:tc>
      </w:tr>
      <w:tr>
        <w:trPr>
          <w:trHeight w:val="20"/>
        </w:trPr>
        <w:tc>
          <w:tcPr>
            <w:tcW w:w="5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120" w:type="dxa"/>
            <w:vAlign w:val="bottom"/>
          </w:tcPr>
          <w:p>
            <w:pPr>
              <w:spacing w:after="0"/>
              <w:rPr>
                <w:sz w:val="19"/>
                <w:szCs w:val="19"/>
                <w:color w:val="auto"/>
              </w:rPr>
            </w:pPr>
          </w:p>
        </w:tc>
        <w:tc>
          <w:tcPr>
            <w:tcW w:w="5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4,207</w:t>
            </w:r>
          </w:p>
        </w:tc>
        <w:tc>
          <w:tcPr>
            <w:tcW w:w="120" w:type="dxa"/>
            <w:vAlign w:val="bottom"/>
          </w:tcPr>
          <w:p>
            <w:pPr>
              <w:spacing w:after="0"/>
              <w:rPr>
                <w:sz w:val="19"/>
                <w:szCs w:val="19"/>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2,583</w:t>
            </w:r>
          </w:p>
        </w:tc>
        <w:tc>
          <w:tcPr>
            <w:tcW w:w="40" w:type="dxa"/>
            <w:vAlign w:val="bottom"/>
          </w:tcPr>
          <w:p>
            <w:pPr>
              <w:spacing w:after="0"/>
              <w:rPr>
                <w:sz w:val="19"/>
                <w:szCs w:val="19"/>
                <w:color w:val="auto"/>
              </w:rPr>
            </w:pPr>
          </w:p>
        </w:tc>
      </w:tr>
      <w:tr>
        <w:trPr>
          <w:trHeight w:val="262"/>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Income tax expense (benefit):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w w:val="98"/>
              </w:rPr>
              <w:t>$1,544</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$1,252</w:t>
            </w:r>
          </w:p>
        </w:tc>
        <w:tc>
          <w:tcPr>
            <w:tcW w:w="4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Mechanical Products</w:t>
            </w:r>
          </w:p>
        </w:tc>
        <w:tc>
          <w:tcPr>
            <w:tcW w:w="680" w:type="dxa"/>
            <w:vAlign w:val="bottom"/>
            <w:gridSpan w:val="10"/>
          </w:tcPr>
          <w:p>
            <w:pPr>
              <w:jc w:val="right"/>
              <w:ind w:right="80"/>
              <w:spacing w:after="0"/>
              <w:rPr>
                <w:sz w:val="20"/>
                <w:szCs w:val="20"/>
                <w:color w:val="auto"/>
              </w:rPr>
            </w:pPr>
            <w:r>
              <w:rPr>
                <w:rFonts w:ascii="Arial" w:cs="Arial" w:eastAsia="Arial" w:hAnsi="Arial"/>
                <w:sz w:val="18"/>
                <w:szCs w:val="18"/>
                <w:color w:val="auto"/>
              </w:rPr>
              <w:t>(26)</w:t>
            </w:r>
          </w:p>
        </w:tc>
        <w:tc>
          <w:tcPr>
            <w:tcW w:w="700" w:type="dxa"/>
            <w:vAlign w:val="bottom"/>
            <w:gridSpan w:val="10"/>
          </w:tcPr>
          <w:p>
            <w:pPr>
              <w:jc w:val="right"/>
              <w:spacing w:after="0"/>
              <w:rPr>
                <w:sz w:val="20"/>
                <w:szCs w:val="20"/>
                <w:color w:val="auto"/>
              </w:rPr>
            </w:pPr>
            <w:r>
              <w:rPr>
                <w:rFonts w:ascii="Arial" w:cs="Arial" w:eastAsia="Arial" w:hAnsi="Arial"/>
                <w:sz w:val="18"/>
                <w:szCs w:val="18"/>
                <w:color w:val="auto"/>
              </w:rPr>
              <w:t>(524)</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Electrical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21"/>
                <w:szCs w:val="21"/>
                <w:color w:val="auto"/>
              </w:rPr>
            </w:pPr>
          </w:p>
        </w:tc>
      </w:tr>
      <w:tr>
        <w:trPr>
          <w:trHeight w:val="205"/>
        </w:trPr>
        <w:tc>
          <w:tcPr>
            <w:tcW w:w="51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100" w:type="dxa"/>
            <w:vAlign w:val="bottom"/>
            <w:gridSpan w:val="4"/>
          </w:tcPr>
          <w:p>
            <w:pPr>
              <w:spacing w:after="0"/>
              <w:rPr>
                <w:sz w:val="17"/>
                <w:szCs w:val="17"/>
                <w:color w:val="auto"/>
              </w:rPr>
            </w:pPr>
          </w:p>
        </w:tc>
        <w:tc>
          <w:tcPr>
            <w:tcW w:w="580" w:type="dxa"/>
            <w:vAlign w:val="bottom"/>
            <w:gridSpan w:val="6"/>
          </w:tcPr>
          <w:p>
            <w:pPr>
              <w:jc w:val="right"/>
              <w:ind w:right="80"/>
              <w:spacing w:after="0" w:line="205" w:lineRule="exact"/>
              <w:rPr>
                <w:sz w:val="20"/>
                <w:szCs w:val="20"/>
                <w:color w:val="auto"/>
              </w:rPr>
            </w:pPr>
            <w:r>
              <w:rPr>
                <w:rFonts w:ascii="Arial" w:cs="Arial" w:eastAsia="Arial" w:hAnsi="Arial"/>
                <w:sz w:val="18"/>
                <w:szCs w:val="18"/>
                <w:color w:val="auto"/>
              </w:rPr>
              <w:t>(371)</w:t>
            </w:r>
          </w:p>
        </w:tc>
        <w:tc>
          <w:tcPr>
            <w:tcW w:w="700" w:type="dxa"/>
            <w:vAlign w:val="bottom"/>
            <w:gridSpan w:val="10"/>
          </w:tcPr>
          <w:p>
            <w:pPr>
              <w:jc w:val="right"/>
              <w:spacing w:after="0" w:line="205" w:lineRule="exact"/>
              <w:rPr>
                <w:sz w:val="20"/>
                <w:szCs w:val="20"/>
                <w:color w:val="auto"/>
              </w:rPr>
            </w:pPr>
            <w:r>
              <w:rPr>
                <w:rFonts w:ascii="Arial" w:cs="Arial" w:eastAsia="Arial" w:hAnsi="Arial"/>
                <w:sz w:val="18"/>
                <w:szCs w:val="18"/>
                <w:color w:val="auto"/>
              </w:rPr>
              <w:t>(203)</w:t>
            </w:r>
          </w:p>
        </w:tc>
      </w:tr>
      <w:tr>
        <w:trPr>
          <w:trHeight w:val="20"/>
        </w:trPr>
        <w:tc>
          <w:tcPr>
            <w:tcW w:w="5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120" w:type="dxa"/>
            <w:vAlign w:val="bottom"/>
          </w:tcPr>
          <w:p>
            <w:pPr>
              <w:spacing w:after="0"/>
              <w:rPr>
                <w:sz w:val="19"/>
                <w:szCs w:val="19"/>
                <w:color w:val="auto"/>
              </w:rPr>
            </w:pPr>
          </w:p>
        </w:tc>
        <w:tc>
          <w:tcPr>
            <w:tcW w:w="560" w:type="dxa"/>
            <w:vAlign w:val="bottom"/>
            <w:gridSpan w:val="9"/>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1,549</w:t>
            </w:r>
          </w:p>
        </w:tc>
        <w:tc>
          <w:tcPr>
            <w:tcW w:w="120" w:type="dxa"/>
            <w:vAlign w:val="bottom"/>
          </w:tcPr>
          <w:p>
            <w:pPr>
              <w:spacing w:after="0"/>
              <w:rPr>
                <w:sz w:val="19"/>
                <w:szCs w:val="19"/>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  722</w:t>
            </w:r>
          </w:p>
        </w:tc>
        <w:tc>
          <w:tcPr>
            <w:tcW w:w="40" w:type="dxa"/>
            <w:vAlign w:val="bottom"/>
          </w:tcPr>
          <w:p>
            <w:pPr>
              <w:spacing w:after="0"/>
              <w:rPr>
                <w:sz w:val="19"/>
                <w:szCs w:val="19"/>
                <w:color w:val="auto"/>
              </w:rPr>
            </w:pPr>
          </w:p>
        </w:tc>
      </w:tr>
      <w:tr>
        <w:trPr>
          <w:trHeight w:val="262"/>
        </w:trPr>
        <w:tc>
          <w:tcPr>
            <w:tcW w:w="5120" w:type="dxa"/>
            <w:vAlign w:val="bottom"/>
          </w:tcPr>
          <w:p>
            <w:pPr>
              <w:spacing w:after="0"/>
              <w:rPr>
                <w:sz w:val="20"/>
                <w:szCs w:val="20"/>
                <w:color w:val="auto"/>
              </w:rPr>
            </w:pPr>
            <w:r>
              <w:rPr>
                <w:rFonts w:ascii="Arial" w:cs="Arial" w:eastAsia="Arial" w:hAnsi="Arial"/>
                <w:sz w:val="18"/>
                <w:szCs w:val="18"/>
                <w:b w:val="1"/>
                <w:bCs w:val="1"/>
                <w:i w:val="1"/>
                <w:iCs w:val="1"/>
                <w:color w:val="auto"/>
              </w:rPr>
              <w:t>Net earnings (loss):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Thermal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w w:val="98"/>
              </w:rPr>
              <w:t>$2,649</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$3,227</w:t>
            </w:r>
          </w:p>
        </w:tc>
        <w:tc>
          <w:tcPr>
            <w:tcW w:w="40" w:type="dxa"/>
            <w:vAlign w:val="bottom"/>
          </w:tcPr>
          <w:p>
            <w:pPr>
              <w:spacing w:after="0"/>
              <w:rPr>
                <w:sz w:val="21"/>
                <w:szCs w:val="2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Mechanical Products</w:t>
            </w:r>
          </w:p>
        </w:tc>
        <w:tc>
          <w:tcPr>
            <w:tcW w:w="680" w:type="dxa"/>
            <w:vAlign w:val="bottom"/>
            <w:gridSpan w:val="10"/>
          </w:tcPr>
          <w:p>
            <w:pPr>
              <w:jc w:val="right"/>
              <w:ind w:right="80"/>
              <w:spacing w:after="0"/>
              <w:rPr>
                <w:sz w:val="20"/>
                <w:szCs w:val="20"/>
                <w:color w:val="auto"/>
              </w:rPr>
            </w:pPr>
            <w:r>
              <w:rPr>
                <w:rFonts w:ascii="Arial" w:cs="Arial" w:eastAsia="Arial" w:hAnsi="Arial"/>
                <w:sz w:val="18"/>
                <w:szCs w:val="18"/>
                <w:color w:val="auto"/>
              </w:rPr>
              <w:t>(46)</w:t>
            </w:r>
          </w:p>
        </w:tc>
        <w:tc>
          <w:tcPr>
            <w:tcW w:w="700" w:type="dxa"/>
            <w:vAlign w:val="bottom"/>
            <w:gridSpan w:val="10"/>
          </w:tcPr>
          <w:p>
            <w:pPr>
              <w:jc w:val="right"/>
              <w:spacing w:after="0"/>
              <w:rPr>
                <w:sz w:val="20"/>
                <w:szCs w:val="20"/>
                <w:color w:val="auto"/>
              </w:rPr>
            </w:pPr>
            <w:r>
              <w:rPr>
                <w:rFonts w:ascii="Arial" w:cs="Arial" w:eastAsia="Arial" w:hAnsi="Arial"/>
                <w:sz w:val="18"/>
                <w:szCs w:val="18"/>
                <w:color w:val="auto"/>
              </w:rPr>
              <w:t>(1,350)</w:t>
            </w: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Electrical Products</w:t>
            </w:r>
          </w:p>
        </w:tc>
        <w:tc>
          <w:tcPr>
            <w:tcW w:w="560" w:type="dxa"/>
            <w:vAlign w:val="bottom"/>
            <w:gridSpan w:val="9"/>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660" w:type="dxa"/>
            <w:vAlign w:val="bottom"/>
            <w:gridSpan w:val="9"/>
          </w:tcPr>
          <w:p>
            <w:pPr>
              <w:jc w:val="right"/>
              <w:spacing w:after="0"/>
              <w:rPr>
                <w:sz w:val="20"/>
                <w:szCs w:val="20"/>
                <w:color w:val="auto"/>
              </w:rPr>
            </w:pPr>
            <w:r>
              <w:rPr>
                <w:rFonts w:ascii="Arial" w:cs="Arial" w:eastAsia="Arial" w:hAnsi="Arial"/>
                <w:sz w:val="18"/>
                <w:szCs w:val="18"/>
                <w:color w:val="auto"/>
              </w:rPr>
              <w:t>507</w:t>
            </w:r>
          </w:p>
        </w:tc>
        <w:tc>
          <w:tcPr>
            <w:tcW w:w="40" w:type="dxa"/>
            <w:vAlign w:val="bottom"/>
          </w:tcPr>
          <w:p>
            <w:pPr>
              <w:spacing w:after="0"/>
              <w:rPr>
                <w:sz w:val="21"/>
                <w:szCs w:val="21"/>
                <w:color w:val="auto"/>
              </w:rPr>
            </w:pPr>
          </w:p>
        </w:tc>
      </w:tr>
      <w:tr>
        <w:trPr>
          <w:trHeight w:val="205"/>
        </w:trPr>
        <w:tc>
          <w:tcPr>
            <w:tcW w:w="5120" w:type="dxa"/>
            <w:vAlign w:val="bottom"/>
          </w:tcPr>
          <w:p>
            <w:pPr>
              <w:spacing w:after="0" w:line="205" w:lineRule="exact"/>
              <w:rPr>
                <w:sz w:val="20"/>
                <w:szCs w:val="20"/>
                <w:color w:val="auto"/>
              </w:rPr>
            </w:pPr>
            <w:r>
              <w:rPr>
                <w:rFonts w:ascii="Arial" w:cs="Arial" w:eastAsia="Arial" w:hAnsi="Arial"/>
                <w:sz w:val="18"/>
                <w:szCs w:val="18"/>
                <w:color w:val="auto"/>
              </w:rPr>
              <w:t>Corporate</w:t>
            </w:r>
          </w:p>
        </w:tc>
        <w:tc>
          <w:tcPr>
            <w:tcW w:w="60" w:type="dxa"/>
            <w:vAlign w:val="bottom"/>
            <w:gridSpan w:val="2"/>
          </w:tcPr>
          <w:p>
            <w:pPr>
              <w:spacing w:after="0"/>
              <w:rPr>
                <w:sz w:val="17"/>
                <w:szCs w:val="17"/>
                <w:color w:val="auto"/>
              </w:rPr>
            </w:pPr>
          </w:p>
        </w:tc>
        <w:tc>
          <w:tcPr>
            <w:tcW w:w="620" w:type="dxa"/>
            <w:vAlign w:val="bottom"/>
            <w:gridSpan w:val="8"/>
          </w:tcPr>
          <w:p>
            <w:pPr>
              <w:jc w:val="right"/>
              <w:ind w:right="80"/>
              <w:spacing w:after="0" w:line="205" w:lineRule="exact"/>
              <w:rPr>
                <w:sz w:val="20"/>
                <w:szCs w:val="20"/>
                <w:color w:val="auto"/>
              </w:rPr>
            </w:pPr>
            <w:r>
              <w:rPr>
                <w:rFonts w:ascii="Arial" w:cs="Arial" w:eastAsia="Arial" w:hAnsi="Arial"/>
                <w:sz w:val="18"/>
                <w:szCs w:val="18"/>
                <w:color w:val="auto"/>
              </w:rPr>
              <w:t>(636)</w:t>
            </w:r>
          </w:p>
        </w:tc>
        <w:tc>
          <w:tcPr>
            <w:tcW w:w="700" w:type="dxa"/>
            <w:vAlign w:val="bottom"/>
            <w:gridSpan w:val="10"/>
          </w:tcPr>
          <w:p>
            <w:pPr>
              <w:jc w:val="right"/>
              <w:spacing w:after="0" w:line="205" w:lineRule="exact"/>
              <w:rPr>
                <w:sz w:val="20"/>
                <w:szCs w:val="20"/>
                <w:color w:val="auto"/>
              </w:rPr>
            </w:pPr>
            <w:r>
              <w:rPr>
                <w:rFonts w:ascii="Arial" w:cs="Arial" w:eastAsia="Arial" w:hAnsi="Arial"/>
                <w:sz w:val="18"/>
                <w:szCs w:val="18"/>
                <w:color w:val="auto"/>
              </w:rPr>
              <w:t>(523)</w:t>
            </w:r>
          </w:p>
        </w:tc>
      </w:tr>
      <w:tr>
        <w:trPr>
          <w:trHeight w:val="223"/>
        </w:trPr>
        <w:tc>
          <w:tcPr>
            <w:tcW w:w="51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500" w:type="dxa"/>
            <w:vAlign w:val="bottom"/>
            <w:tcBorders>
              <w:top w:val="single" w:sz="8" w:color="auto"/>
            </w:tcBorders>
            <w:gridSpan w:val="7"/>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2,658</w:t>
            </w:r>
          </w:p>
        </w:tc>
        <w:tc>
          <w:tcPr>
            <w:tcW w:w="120" w:type="dxa"/>
            <w:vAlign w:val="bottom"/>
          </w:tcPr>
          <w:p>
            <w:pPr>
              <w:spacing w:after="0"/>
              <w:rPr>
                <w:sz w:val="19"/>
                <w:szCs w:val="19"/>
                <w:color w:val="auto"/>
              </w:rPr>
            </w:pPr>
          </w:p>
        </w:tc>
        <w:tc>
          <w:tcPr>
            <w:tcW w:w="160" w:type="dxa"/>
            <w:vAlign w:val="bottom"/>
            <w:gridSpan w:val="3"/>
          </w:tcPr>
          <w:p>
            <w:pPr>
              <w:spacing w:after="0"/>
              <w:rPr>
                <w:sz w:val="19"/>
                <w:szCs w:val="19"/>
                <w:color w:val="auto"/>
              </w:rPr>
            </w:pPr>
          </w:p>
        </w:tc>
        <w:tc>
          <w:tcPr>
            <w:tcW w:w="500" w:type="dxa"/>
            <w:vAlign w:val="bottom"/>
            <w:tcBorders>
              <w:top w:val="single" w:sz="8" w:color="auto"/>
            </w:tcBorders>
            <w:gridSpan w:val="6"/>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1,861</w:t>
            </w:r>
          </w:p>
        </w:tc>
        <w:tc>
          <w:tcPr>
            <w:tcW w:w="40" w:type="dxa"/>
            <w:vAlign w:val="bottom"/>
          </w:tcPr>
          <w:p>
            <w:pPr>
              <w:spacing w:after="0"/>
              <w:rPr>
                <w:sz w:val="19"/>
                <w:szCs w:val="19"/>
                <w:color w:val="auto"/>
              </w:rPr>
            </w:pPr>
          </w:p>
        </w:tc>
      </w:tr>
      <w:tr>
        <w:trPr>
          <w:trHeight w:val="464"/>
        </w:trPr>
        <w:tc>
          <w:tcPr>
            <w:tcW w:w="5120" w:type="dxa"/>
            <w:vAlign w:val="bottom"/>
          </w:tcPr>
          <w:p>
            <w:pPr>
              <w:ind w:left="3040"/>
              <w:spacing w:after="0"/>
              <w:rPr>
                <w:sz w:val="20"/>
                <w:szCs w:val="20"/>
                <w:color w:val="auto"/>
              </w:rPr>
            </w:pPr>
            <w:r>
              <w:rPr>
                <w:rFonts w:ascii="Arial" w:cs="Arial" w:eastAsia="Arial" w:hAnsi="Arial"/>
                <w:sz w:val="18"/>
                <w:szCs w:val="18"/>
                <w:color w:val="auto"/>
              </w:rPr>
              <w:t>F - 20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 thousands, except share and per share data)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(15) SEGMENT INFORMATION </w:t>
      </w:r>
      <w:r>
        <w:rPr>
          <w:rFonts w:ascii="Arial" w:cs="Arial" w:eastAsia="Arial" w:hAnsi="Arial"/>
          <w:sz w:val="18"/>
          <w:szCs w:val="18"/>
          <w:color w:val="auto"/>
        </w:rPr>
        <w:t>(Continued)</w:t>
      </w:r>
    </w:p>
    <w:p>
      <w:pPr>
        <w:spacing w:after="0" w:line="242" w:lineRule="exact"/>
        <w:rPr>
          <w:sz w:val="20"/>
          <w:szCs w:val="20"/>
          <w:color w:val="auto"/>
        </w:rPr>
      </w:pPr>
    </w:p>
    <w:p>
      <w:pPr>
        <w:ind w:left="7820"/>
        <w:spacing w:after="0"/>
        <w:rPr>
          <w:sz w:val="20"/>
          <w:szCs w:val="20"/>
          <w:color w:val="auto"/>
        </w:rPr>
      </w:pPr>
      <w:r>
        <w:rPr>
          <w:rFonts w:ascii="Arial" w:cs="Arial" w:eastAsia="Arial" w:hAnsi="Arial"/>
          <w:sz w:val="14"/>
          <w:szCs w:val="14"/>
          <w:b w:val="1"/>
          <w:bCs w:val="1"/>
          <w:i w:val="1"/>
          <w:iCs w:val="1"/>
          <w:color w:val="auto"/>
        </w:rPr>
        <w:t>Years Ended</w:t>
      </w:r>
    </w:p>
    <w:p>
      <w:pPr>
        <w:ind w:left="778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55" w:lineRule="exact"/>
        <w:rPr>
          <w:sz w:val="20"/>
          <w:szCs w:val="20"/>
          <w:color w:val="auto"/>
        </w:rPr>
      </w:pPr>
    </w:p>
    <w:tbl>
      <w:tblPr>
        <w:tblLayout w:type="fixed"/>
        <w:tblInd w:w="246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2"/>
                <w:szCs w:val="12"/>
                <w:b w:val="1"/>
                <w:bCs w:val="1"/>
                <w:i w:val="1"/>
                <w:iCs w:val="1"/>
                <w:color w:val="auto"/>
                <w:w w:val="74"/>
              </w:rPr>
              <w:t>2016</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00" w:type="dxa"/>
            <w:vAlign w:val="bottom"/>
          </w:tcPr>
          <w:p>
            <w:pPr>
              <w:spacing w:after="0"/>
              <w:rPr>
                <w:sz w:val="13"/>
                <w:szCs w:val="13"/>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Thermal Products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3"/>
              </w:rPr>
              <w:t>$ 262</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$ 389</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Mechanical Products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101</w:t>
            </w:r>
          </w:p>
        </w:tc>
      </w:tr>
      <w:tr>
        <w:trPr>
          <w:trHeight w:val="205"/>
        </w:trPr>
        <w:tc>
          <w:tcPr>
            <w:tcW w:w="52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109</w:t>
            </w:r>
          </w:p>
        </w:tc>
      </w:tr>
      <w:tr>
        <w:trPr>
          <w:trHeight w:val="223"/>
        </w:trPr>
        <w:tc>
          <w:tcPr>
            <w:tcW w:w="5240" w:type="dxa"/>
            <w:vAlign w:val="bottom"/>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$ 339</w:t>
            </w:r>
          </w:p>
        </w:tc>
        <w:tc>
          <w:tcPr>
            <w:tcW w:w="340" w:type="dxa"/>
            <w:vAlign w:val="bottom"/>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$ 599</w:t>
            </w:r>
          </w:p>
        </w:tc>
      </w:tr>
      <w:tr>
        <w:trPr>
          <w:trHeight w:val="493"/>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December 31,</w:t>
            </w:r>
          </w:p>
        </w:tc>
        <w:tc>
          <w:tcPr>
            <w:tcW w:w="360" w:type="dxa"/>
            <w:vAlign w:val="bottom"/>
            <w:gridSpan w:val="2"/>
          </w:tcPr>
          <w:p>
            <w:pPr>
              <w:spacing w:after="0"/>
              <w:rPr>
                <w:sz w:val="24"/>
                <w:szCs w:val="24"/>
                <w:color w:val="auto"/>
              </w:rPr>
            </w:pPr>
          </w:p>
        </w:tc>
      </w:tr>
      <w:tr>
        <w:trPr>
          <w:trHeight w:val="223"/>
        </w:trPr>
        <w:tc>
          <w:tcPr>
            <w:tcW w:w="5240" w:type="dxa"/>
            <w:vAlign w:val="bottom"/>
          </w:tcPr>
          <w:p>
            <w:pPr>
              <w:spacing w:after="0"/>
              <w:rPr>
                <w:sz w:val="19"/>
                <w:szCs w:val="19"/>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2"/>
                <w:szCs w:val="12"/>
                <w:b w:val="1"/>
                <w:bCs w:val="1"/>
                <w:i w:val="1"/>
                <w:iCs w:val="1"/>
                <w:color w:val="auto"/>
                <w:w w:val="74"/>
              </w:rPr>
              <w:t>2016</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00" w:type="dxa"/>
            <w:vAlign w:val="bottom"/>
          </w:tcPr>
          <w:p>
            <w:pPr>
              <w:spacing w:after="0"/>
              <w:rPr>
                <w:sz w:val="19"/>
                <w:szCs w:val="19"/>
                <w:color w:val="auto"/>
              </w:rPr>
            </w:pPr>
          </w:p>
        </w:tc>
      </w:tr>
      <w:tr>
        <w:trPr>
          <w:trHeight w:val="235"/>
        </w:trPr>
        <w:tc>
          <w:tcPr>
            <w:tcW w:w="5240" w:type="dxa"/>
            <w:vAlign w:val="bottom"/>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Thermal Products</w:t>
            </w: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72"/>
              </w:rPr>
              <w:t>$19,893</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$16,983</w:t>
            </w:r>
          </w:p>
        </w:tc>
      </w:tr>
      <w:tr>
        <w:trPr>
          <w:trHeight w:val="243"/>
        </w:trPr>
        <w:tc>
          <w:tcPr>
            <w:tcW w:w="5240" w:type="dxa"/>
            <w:vAlign w:val="bottom"/>
          </w:tcPr>
          <w:p>
            <w:pPr>
              <w:spacing w:after="0"/>
              <w:rPr>
                <w:sz w:val="20"/>
                <w:szCs w:val="20"/>
                <w:color w:val="auto"/>
              </w:rPr>
            </w:pPr>
            <w:r>
              <w:rPr>
                <w:rFonts w:ascii="Arial" w:cs="Arial" w:eastAsia="Arial" w:hAnsi="Arial"/>
                <w:sz w:val="18"/>
                <w:szCs w:val="18"/>
                <w:color w:val="auto"/>
              </w:rPr>
              <w:t>Mechanical Products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76"/>
              </w:rPr>
              <w:t>18,359</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19,733</w:t>
            </w:r>
          </w:p>
        </w:tc>
      </w:tr>
      <w:tr>
        <w:trPr>
          <w:trHeight w:val="205"/>
        </w:trPr>
        <w:tc>
          <w:tcPr>
            <w:tcW w:w="5240" w:type="dxa"/>
            <w:vAlign w:val="bottom"/>
          </w:tcPr>
          <w:p>
            <w:pPr>
              <w:spacing w:after="0" w:line="205" w:lineRule="exact"/>
              <w:rPr>
                <w:sz w:val="20"/>
                <w:szCs w:val="20"/>
                <w:color w:val="auto"/>
              </w:rPr>
            </w:pPr>
            <w:r>
              <w:rPr>
                <w:rFonts w:ascii="Arial" w:cs="Arial" w:eastAsia="Arial" w:hAnsi="Arial"/>
                <w:sz w:val="18"/>
                <w:szCs w:val="18"/>
                <w:color w:val="auto"/>
              </w:rPr>
              <w:t>Electrical Products</w:t>
            </w: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3"/>
              </w:rPr>
              <w:t>4,592</w:t>
            </w:r>
          </w:p>
        </w:tc>
        <w:tc>
          <w:tcPr>
            <w:tcW w:w="34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w w:val="93"/>
              </w:rPr>
              <w:t>3,268</w:t>
            </w:r>
          </w:p>
        </w:tc>
      </w:tr>
      <w:tr>
        <w:trPr>
          <w:trHeight w:val="223"/>
        </w:trPr>
        <w:tc>
          <w:tcPr>
            <w:tcW w:w="52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u w:val="single" w:color="auto"/>
                <w:color w:val="auto"/>
                <w:w w:val="72"/>
              </w:rPr>
              <w:t>$</w:t>
            </w:r>
            <w:r>
              <w:rPr>
                <w:rFonts w:ascii="Arial" w:cs="Arial" w:eastAsia="Arial" w:hAnsi="Arial"/>
                <w:sz w:val="16"/>
                <w:szCs w:val="16"/>
                <w:color w:val="auto"/>
                <w:w w:val="72"/>
              </w:rPr>
              <w:t>42,844</w:t>
            </w:r>
          </w:p>
        </w:tc>
        <w:tc>
          <w:tcPr>
            <w:tcW w:w="7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39,984</w:t>
            </w:r>
          </w:p>
        </w:tc>
      </w:tr>
      <w:tr>
        <w:trPr>
          <w:trHeight w:val="20"/>
        </w:trPr>
        <w:tc>
          <w:tcPr>
            <w:tcW w:w="5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The following table provides information about our geographic areas of operation. Net revenues from unaffiliated customers are based on the location to which the goods are shipped.</w:t>
      </w:r>
    </w:p>
    <w:p>
      <w:pPr>
        <w:spacing w:after="0" w:line="197" w:lineRule="exact"/>
        <w:rPr>
          <w:sz w:val="20"/>
          <w:szCs w:val="20"/>
          <w:color w:val="auto"/>
        </w:rPr>
      </w:pPr>
    </w:p>
    <w:p>
      <w:pPr>
        <w:ind w:left="7820"/>
        <w:spacing w:after="0"/>
        <w:rPr>
          <w:sz w:val="20"/>
          <w:szCs w:val="20"/>
          <w:color w:val="auto"/>
        </w:rPr>
      </w:pPr>
      <w:r>
        <w:rPr>
          <w:rFonts w:ascii="Arial" w:cs="Arial" w:eastAsia="Arial" w:hAnsi="Arial"/>
          <w:sz w:val="14"/>
          <w:szCs w:val="14"/>
          <w:b w:val="1"/>
          <w:bCs w:val="1"/>
          <w:i w:val="1"/>
          <w:iCs w:val="1"/>
          <w:color w:val="auto"/>
        </w:rPr>
        <w:t>Years Ended</w:t>
      </w:r>
    </w:p>
    <w:p>
      <w:pPr>
        <w:ind w:left="7780"/>
        <w:spacing w:after="0"/>
        <w:rPr>
          <w:sz w:val="20"/>
          <w:szCs w:val="20"/>
          <w:color w:val="auto"/>
        </w:rPr>
      </w:pPr>
      <w:r>
        <w:rPr>
          <w:rFonts w:ascii="Arial" w:cs="Arial" w:eastAsia="Arial" w:hAnsi="Arial"/>
          <w:sz w:val="14"/>
          <w:szCs w:val="14"/>
          <w:b w:val="1"/>
          <w:bCs w:val="1"/>
          <w:i w:val="1"/>
          <w:iCs w:val="1"/>
          <w:u w:val="single" w:color="auto"/>
          <w:color w:val="auto"/>
        </w:rPr>
        <w:t>December 31,</w:t>
      </w:r>
    </w:p>
    <w:p>
      <w:pPr>
        <w:spacing w:after="0" w:line="70" w:lineRule="exact"/>
        <w:rPr>
          <w:sz w:val="20"/>
          <w:szCs w:val="20"/>
          <w:color w:val="auto"/>
        </w:rPr>
      </w:pPr>
    </w:p>
    <w:p>
      <w:pPr>
        <w:ind w:left="7640"/>
        <w:spacing w:after="0"/>
        <w:tabs>
          <w:tab w:leader="none" w:pos="8440" w:val="left"/>
        </w:tabs>
        <w:rPr>
          <w:sz w:val="20"/>
          <w:szCs w:val="20"/>
          <w:color w:val="auto"/>
        </w:rPr>
      </w:pPr>
      <w:r>
        <w:rPr>
          <w:rFonts w:ascii="Arial" w:cs="Arial" w:eastAsia="Arial" w:hAnsi="Arial"/>
          <w:sz w:val="14"/>
          <w:szCs w:val="14"/>
          <w:b w:val="1"/>
          <w:bCs w:val="1"/>
          <w:i w:val="1"/>
          <w:iCs w:val="1"/>
          <w:u w:val="single" w:color="auto"/>
          <w:color w:val="auto"/>
        </w:rPr>
        <w:t>2016</w:t>
      </w:r>
      <w:r>
        <w:rPr>
          <w:sz w:val="20"/>
          <w:szCs w:val="20"/>
          <w:color w:val="auto"/>
        </w:rPr>
        <w:tab/>
      </w:r>
      <w:r>
        <w:rPr>
          <w:rFonts w:ascii="Arial" w:cs="Arial" w:eastAsia="Arial" w:hAnsi="Arial"/>
          <w:sz w:val="14"/>
          <w:szCs w:val="14"/>
          <w:b w:val="1"/>
          <w:bCs w:val="1"/>
          <w:i w:val="1"/>
          <w:iCs w:val="1"/>
          <w:u w:val="single" w:color="auto"/>
          <w:color w:val="auto"/>
        </w:rPr>
        <w:t>2015</w:t>
      </w:r>
    </w:p>
    <w:p>
      <w:pPr>
        <w:sectPr>
          <w:pgSz w:w="11900" w:h="16838" w:orient="portrait"/>
          <w:cols w:equalWidth="0" w:num="1">
            <w:col w:w="11260"/>
          </w:cols>
          <w:pgMar w:left="240" w:top="73" w:right="399" w:bottom="0" w:gutter="0" w:footer="0" w:header="0"/>
        </w:sectPr>
      </w:pPr>
    </w:p>
    <w:p>
      <w:pPr>
        <w:spacing w:after="0" w:line="17" w:lineRule="exact"/>
        <w:rPr>
          <w:sz w:val="20"/>
          <w:szCs w:val="20"/>
          <w:color w:val="auto"/>
        </w:rPr>
      </w:pPr>
    </w:p>
    <w:p>
      <w:pPr>
        <w:ind w:left="2460"/>
        <w:spacing w:after="0"/>
        <w:rPr>
          <w:sz w:val="20"/>
          <w:szCs w:val="20"/>
          <w:color w:val="auto"/>
        </w:rPr>
      </w:pPr>
      <w:r>
        <w:rPr>
          <w:rFonts w:ascii="Arial" w:cs="Arial" w:eastAsia="Arial" w:hAnsi="Arial"/>
          <w:sz w:val="15"/>
          <w:szCs w:val="15"/>
          <w:b w:val="1"/>
          <w:bCs w:val="1"/>
          <w:i w:val="1"/>
          <w:iCs w:val="1"/>
          <w:color w:val="auto"/>
        </w:rPr>
        <w:t>Net revenues from unaffiliated customers:</w:t>
      </w:r>
    </w:p>
    <w:p>
      <w:pPr>
        <w:sectPr>
          <w:pgSz w:w="11900" w:h="16838" w:orient="portrait"/>
          <w:cols w:equalWidth="0" w:num="1">
            <w:col w:w="11260"/>
          </w:cols>
          <w:pgMar w:left="240" w:top="73" w:right="399" w:bottom="0" w:gutter="0" w:footer="0" w:header="0"/>
          <w:type w:val="continuous"/>
        </w:sectPr>
      </w:pPr>
    </w:p>
    <w:bookmarkStart w:id="42" w:name="page43"/>
    <w:bookmarkEnd w:id="42"/>
    <w:tbl>
      <w:tblPr>
        <w:tblLayout w:type="fixed"/>
        <w:tblInd w:w="2460" w:type="dxa"/>
        <w:tblCellMar>
          <w:top w:w="0" w:type="dxa"/>
          <w:left w:w="0" w:type="dxa"/>
          <w:bottom w:w="0" w:type="dxa"/>
          <w:right w:w="0" w:type="dxa"/>
        </w:tblCellMar>
      </w:tblP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U.S.</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70"/>
              </w:rPr>
              <w:t>$13,061</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$14,294</w:t>
            </w:r>
          </w:p>
        </w:tc>
      </w:tr>
      <w:tr>
        <w:trPr>
          <w:trHeight w:val="245"/>
        </w:trPr>
        <w:tc>
          <w:tcPr>
            <w:tcW w:w="5200" w:type="dxa"/>
            <w:vAlign w:val="bottom"/>
          </w:tcPr>
          <w:p>
            <w:pPr>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27,166</w:t>
            </w:r>
          </w:p>
        </w:tc>
        <w:tc>
          <w:tcPr>
            <w:tcW w:w="260" w:type="dxa"/>
            <w:vAlign w:val="bottom"/>
            <w:gridSpan w:val="2"/>
          </w:tcPr>
          <w:p>
            <w:pPr>
              <w:spacing w:after="0"/>
              <w:rPr>
                <w:sz w:val="21"/>
                <w:szCs w:val="21"/>
                <w:color w:val="auto"/>
              </w:rPr>
            </w:pPr>
          </w:p>
        </w:tc>
        <w:tc>
          <w:tcPr>
            <w:tcW w:w="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0"/>
              </w:rPr>
              <w:t>24,595</w:t>
            </w:r>
          </w:p>
        </w:tc>
      </w:tr>
      <w:tr>
        <w:trPr>
          <w:trHeight w:val="223"/>
        </w:trPr>
        <w:tc>
          <w:tcPr>
            <w:tcW w:w="520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70"/>
              </w:rPr>
              <w:t>$</w:t>
            </w:r>
            <w:r>
              <w:rPr>
                <w:rFonts w:ascii="Arial" w:cs="Arial" w:eastAsia="Arial" w:hAnsi="Arial"/>
                <w:sz w:val="18"/>
                <w:szCs w:val="18"/>
                <w:color w:val="auto"/>
                <w:w w:val="70"/>
              </w:rPr>
              <w:t>40,227</w:t>
            </w:r>
          </w:p>
        </w:tc>
        <w:tc>
          <w:tcPr>
            <w:tcW w:w="7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38,889</w:t>
            </w:r>
          </w:p>
        </w:tc>
      </w:tr>
      <w:tr>
        <w:trPr>
          <w:trHeight w:val="20"/>
        </w:trPr>
        <w:tc>
          <w:tcPr>
            <w:tcW w:w="5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493"/>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i w:val="1"/>
                <w:iCs w:val="1"/>
                <w:color w:val="auto"/>
                <w:w w:val="83"/>
              </w:rPr>
              <w:t>December 31,</w:t>
            </w:r>
          </w:p>
        </w:tc>
        <w:tc>
          <w:tcPr>
            <w:tcW w:w="360" w:type="dxa"/>
            <w:vAlign w:val="bottom"/>
            <w:gridSpan w:val="2"/>
          </w:tcPr>
          <w:p>
            <w:pPr>
              <w:spacing w:after="0"/>
              <w:rPr>
                <w:sz w:val="24"/>
                <w:szCs w:val="24"/>
                <w:color w:val="auto"/>
              </w:rPr>
            </w:pPr>
          </w:p>
        </w:tc>
      </w:tr>
      <w:tr>
        <w:trPr>
          <w:trHeight w:val="223"/>
        </w:trPr>
        <w:tc>
          <w:tcPr>
            <w:tcW w:w="5200" w:type="dxa"/>
            <w:vAlign w:val="bottom"/>
          </w:tcPr>
          <w:p>
            <w:pPr>
              <w:spacing w:after="0"/>
              <w:rPr>
                <w:sz w:val="19"/>
                <w:szCs w:val="19"/>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2016</w:t>
            </w:r>
          </w:p>
        </w:tc>
        <w:tc>
          <w:tcPr>
            <w:tcW w:w="580" w:type="dxa"/>
            <w:vAlign w:val="bottom"/>
            <w:gridSpan w:val="5"/>
          </w:tcPr>
          <w:p>
            <w:pPr>
              <w:jc w:val="right"/>
              <w:spacing w:after="0"/>
              <w:rPr>
                <w:sz w:val="20"/>
                <w:szCs w:val="20"/>
                <w:color w:val="auto"/>
              </w:rPr>
            </w:pPr>
            <w:r>
              <w:rPr>
                <w:rFonts w:ascii="Arial" w:cs="Arial" w:eastAsia="Arial" w:hAnsi="Arial"/>
                <w:sz w:val="14"/>
                <w:szCs w:val="14"/>
                <w:b w:val="1"/>
                <w:bCs w:val="1"/>
                <w:i w:val="1"/>
                <w:iCs w:val="1"/>
                <w:color w:val="auto"/>
              </w:rPr>
              <w:t>2015</w:t>
            </w:r>
          </w:p>
        </w:tc>
        <w:tc>
          <w:tcPr>
            <w:tcW w:w="200" w:type="dxa"/>
            <w:vAlign w:val="bottom"/>
          </w:tcPr>
          <w:p>
            <w:pPr>
              <w:spacing w:after="0"/>
              <w:rPr>
                <w:sz w:val="19"/>
                <w:szCs w:val="19"/>
                <w:color w:val="auto"/>
              </w:rPr>
            </w:pPr>
          </w:p>
        </w:tc>
      </w:tr>
      <w:tr>
        <w:trPr>
          <w:trHeight w:val="235"/>
        </w:trPr>
        <w:tc>
          <w:tcPr>
            <w:tcW w:w="5200" w:type="dxa"/>
            <w:vAlign w:val="bottom"/>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780" w:type="dxa"/>
            <w:vAlign w:val="bottom"/>
            <w:gridSpan w:val="6"/>
          </w:tcPr>
          <w:p>
            <w:pPr>
              <w:jc w:val="right"/>
              <w:spacing w:after="0"/>
              <w:rPr>
                <w:sz w:val="20"/>
                <w:szCs w:val="20"/>
                <w:color w:val="auto"/>
              </w:rPr>
            </w:pPr>
            <w:r>
              <w:rPr>
                <w:rFonts w:ascii="Arial" w:cs="Arial" w:eastAsia="Arial" w:hAnsi="Arial"/>
                <w:sz w:val="18"/>
                <w:szCs w:val="18"/>
                <w:color w:val="auto"/>
              </w:rPr>
              <w:t>$  797</w:t>
            </w:r>
          </w:p>
        </w:tc>
      </w:tr>
      <w:tr>
        <w:trPr>
          <w:trHeight w:val="205"/>
        </w:trPr>
        <w:tc>
          <w:tcPr>
            <w:tcW w:w="5200" w:type="dxa"/>
            <w:vAlign w:val="bottom"/>
          </w:tcPr>
          <w:p>
            <w:pPr>
              <w:spacing w:after="0" w:line="205" w:lineRule="exact"/>
              <w:rPr>
                <w:sz w:val="20"/>
                <w:szCs w:val="20"/>
                <w:color w:val="auto"/>
              </w:rPr>
            </w:pPr>
            <w:r>
              <w:rPr>
                <w:rFonts w:ascii="Arial" w:cs="Arial" w:eastAsia="Arial" w:hAnsi="Arial"/>
                <w:sz w:val="18"/>
                <w:szCs w:val="18"/>
                <w:color w:val="auto"/>
              </w:rPr>
              <w:t>Foreign</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2"/>
          </w:tcPr>
          <w:p>
            <w:pPr>
              <w:jc w:val="right"/>
              <w:spacing w:after="0" w:line="205" w:lineRule="exact"/>
              <w:rPr>
                <w:sz w:val="20"/>
                <w:szCs w:val="20"/>
                <w:color w:val="auto"/>
              </w:rPr>
            </w:pPr>
            <w:r>
              <w:rPr>
                <w:rFonts w:ascii="Arial" w:cs="Arial" w:eastAsia="Arial" w:hAnsi="Arial"/>
                <w:sz w:val="18"/>
                <w:szCs w:val="18"/>
                <w:color w:val="auto"/>
              </w:rPr>
              <w:t>253</w:t>
            </w:r>
          </w:p>
        </w:tc>
        <w:tc>
          <w:tcPr>
            <w:tcW w:w="320" w:type="dxa"/>
            <w:vAlign w:val="bottom"/>
            <w:gridSpan w:val="3"/>
          </w:tcPr>
          <w:p>
            <w:pPr>
              <w:spacing w:after="0"/>
              <w:rPr>
                <w:sz w:val="17"/>
                <w:szCs w:val="17"/>
                <w:color w:val="auto"/>
              </w:rPr>
            </w:pPr>
          </w:p>
        </w:tc>
        <w:tc>
          <w:tcPr>
            <w:tcW w:w="460" w:type="dxa"/>
            <w:vAlign w:val="bottom"/>
            <w:tcBorders>
              <w:bottom w:val="single" w:sz="8" w:color="auto"/>
            </w:tcBorders>
            <w:gridSpan w:val="3"/>
          </w:tcPr>
          <w:p>
            <w:pPr>
              <w:jc w:val="right"/>
              <w:spacing w:after="0" w:line="205" w:lineRule="exact"/>
              <w:rPr>
                <w:sz w:val="20"/>
                <w:szCs w:val="20"/>
                <w:color w:val="auto"/>
              </w:rPr>
            </w:pPr>
            <w:r>
              <w:rPr>
                <w:rFonts w:ascii="Arial" w:cs="Arial" w:eastAsia="Arial" w:hAnsi="Arial"/>
                <w:sz w:val="18"/>
                <w:szCs w:val="18"/>
                <w:color w:val="auto"/>
              </w:rPr>
              <w:t>315</w:t>
            </w:r>
          </w:p>
        </w:tc>
      </w:tr>
      <w:tr>
        <w:trPr>
          <w:trHeight w:val="223"/>
        </w:trPr>
        <w:tc>
          <w:tcPr>
            <w:tcW w:w="5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7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1,112</w:t>
            </w: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CONSOLIDATED FINANCIAL DATA (Unaudited)</w:t>
      </w:r>
    </w:p>
    <w:p>
      <w:pPr>
        <w:spacing w:after="0" w:line="191" w:lineRule="exact"/>
        <w:rPr>
          <w:sz w:val="20"/>
          <w:szCs w:val="20"/>
          <w:color w:val="auto"/>
        </w:rPr>
      </w:pPr>
    </w:p>
    <w:p>
      <w:pPr>
        <w:ind w:left="540"/>
        <w:spacing w:after="0" w:line="298" w:lineRule="auto"/>
        <w:rPr>
          <w:sz w:val="20"/>
          <w:szCs w:val="20"/>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2016.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 QUARTERLY CONSOLIDATED FINANCIAL DATA (Unaudited) </w:t>
      </w:r>
      <w:r>
        <w:rPr>
          <w:rFonts w:ascii="Arial" w:cs="Arial" w:eastAsia="Arial" w:hAnsi="Arial"/>
          <w:sz w:val="18"/>
          <w:szCs w:val="18"/>
          <w:color w:val="auto"/>
        </w:rPr>
        <w:t>(Continued)</w:t>
      </w:r>
    </w:p>
    <w:p>
      <w:pPr>
        <w:spacing w:after="0" w:line="191" w:lineRule="exact"/>
        <w:rPr>
          <w:sz w:val="20"/>
          <w:szCs w:val="20"/>
          <w:color w:val="auto"/>
        </w:rPr>
      </w:pPr>
    </w:p>
    <w:p>
      <w:pPr>
        <w:ind w:left="540" w:right="200"/>
        <w:spacing w:after="0" w:line="306" w:lineRule="auto"/>
        <w:rPr>
          <w:sz w:val="20"/>
          <w:szCs w:val="20"/>
          <w:color w:val="auto"/>
        </w:rPr>
      </w:pPr>
      <w:r>
        <w:rPr>
          <w:rFonts w:ascii="Arial" w:cs="Arial" w:eastAsia="Arial" w:hAnsi="Arial"/>
          <w:sz w:val="16"/>
          <w:szCs w:val="16"/>
          <w:color w:val="auto"/>
        </w:rPr>
        <w:t>Year-over-year quarterly comparisons of our results of operations may not be as meaningful as the sequential quarterly comparisons set forth below that tend to reflect the cyclical and seasonal activity of the semiconductor and ATE markets. Quarterly fluctuations in expenses are related directly to sales activity and volume and may also reflect the timing of operating expenses incurred throughout the year.</w:t>
      </w:r>
    </w:p>
    <w:p>
      <w:pPr>
        <w:spacing w:after="0" w:line="15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Quarters Ended</w:t>
            </w:r>
          </w:p>
        </w:tc>
        <w:tc>
          <w:tcPr>
            <w:tcW w:w="56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23"/>
        </w:trPr>
        <w:tc>
          <w:tcPr>
            <w:tcW w:w="48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4"/>
                <w:szCs w:val="14"/>
                <w:b w:val="1"/>
                <w:bCs w:val="1"/>
                <w:i w:val="1"/>
                <w:iCs w:val="1"/>
                <w:color w:val="auto"/>
                <w:w w:val="85"/>
              </w:rPr>
              <w:t>3/31/16</w:t>
            </w:r>
          </w:p>
        </w:tc>
        <w:tc>
          <w:tcPr>
            <w:tcW w:w="5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5"/>
              </w:rPr>
              <w:t>6/30/16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5"/>
              </w:rPr>
              <w:t>9/30/16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i w:val="1"/>
                <w:iCs w:val="1"/>
                <w:color w:val="auto"/>
                <w:w w:val="84"/>
              </w:rPr>
              <w:t>12/31/16</w:t>
            </w:r>
          </w:p>
        </w:tc>
        <w:tc>
          <w:tcPr>
            <w:tcW w:w="2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w w:val="77"/>
              </w:rPr>
              <w:t>Total</w:t>
            </w:r>
          </w:p>
        </w:tc>
      </w:tr>
      <w:tr>
        <w:trPr>
          <w:trHeight w:val="20"/>
        </w:trPr>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486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$ 8,647</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$10,485</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$10,823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$10,272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$40,227</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Gross margin</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4,067</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5,329</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5,577</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5,405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20,378</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Earnings before income tax expense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749</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1,721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1,613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4,207</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263</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631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612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1,549</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486</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1,090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1,001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2,658</w:t>
            </w:r>
          </w:p>
        </w:tc>
      </w:tr>
      <w:tr>
        <w:trPr>
          <w:trHeight w:val="419"/>
        </w:trPr>
        <w:tc>
          <w:tcPr>
            <w:tcW w:w="486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$0.05</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$0.11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$0.10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10,390,002</w:t>
            </w: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10,295,836</w:t>
            </w:r>
          </w:p>
        </w:tc>
        <w:tc>
          <w:tcPr>
            <w:tcW w:w="900" w:type="dxa"/>
            <w:vAlign w:val="bottom"/>
            <w:gridSpan w:val="4"/>
          </w:tcPr>
          <w:p>
            <w:pPr>
              <w:ind w:left="160"/>
              <w:spacing w:after="0"/>
              <w:rPr>
                <w:sz w:val="20"/>
                <w:szCs w:val="20"/>
                <w:color w:val="auto"/>
              </w:rPr>
            </w:pPr>
            <w:r>
              <w:rPr>
                <w:rFonts w:ascii="Arial" w:cs="Arial" w:eastAsia="Arial" w:hAnsi="Arial"/>
                <w:sz w:val="14"/>
                <w:szCs w:val="14"/>
                <w:color w:val="auto"/>
              </w:rPr>
              <w:t>10,295,447</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10,273,702</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10,313,747</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$0.05</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$0.11</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$0.10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$0.26</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10,404,244</w:t>
            </w: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10,310,692</w:t>
            </w:r>
          </w:p>
        </w:tc>
        <w:tc>
          <w:tcPr>
            <w:tcW w:w="900" w:type="dxa"/>
            <w:vAlign w:val="bottom"/>
            <w:gridSpan w:val="4"/>
          </w:tcPr>
          <w:p>
            <w:pPr>
              <w:ind w:left="160"/>
              <w:spacing w:after="0"/>
              <w:rPr>
                <w:sz w:val="20"/>
                <w:szCs w:val="20"/>
                <w:color w:val="auto"/>
              </w:rPr>
            </w:pPr>
            <w:r>
              <w:rPr>
                <w:rFonts w:ascii="Arial" w:cs="Arial" w:eastAsia="Arial" w:hAnsi="Arial"/>
                <w:sz w:val="14"/>
                <w:szCs w:val="14"/>
                <w:color w:val="auto"/>
              </w:rPr>
              <w:t>10,318,715</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10,297,439</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10,332,920</w:t>
            </w:r>
          </w:p>
        </w:tc>
      </w:tr>
      <w:tr>
        <w:trPr>
          <w:trHeight w:val="407"/>
        </w:trPr>
        <w:tc>
          <w:tcPr>
            <w:tcW w:w="4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w w:val="83"/>
              </w:rPr>
              <w:t>Quarters Ended</w:t>
            </w:r>
          </w:p>
        </w:tc>
        <w:tc>
          <w:tcPr>
            <w:tcW w:w="56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86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4"/>
                <w:szCs w:val="14"/>
                <w:b w:val="1"/>
                <w:bCs w:val="1"/>
                <w:i w:val="1"/>
                <w:iCs w:val="1"/>
                <w:color w:val="auto"/>
                <w:w w:val="85"/>
              </w:rPr>
              <w:t>3/31/15</w:t>
            </w:r>
          </w:p>
        </w:tc>
        <w:tc>
          <w:tcPr>
            <w:tcW w:w="5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5"/>
              </w:rPr>
              <w:t>6/30/15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5"/>
              </w:rPr>
              <w:t>9/30/15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i w:val="1"/>
                <w:iCs w:val="1"/>
                <w:color w:val="auto"/>
                <w:w w:val="84"/>
              </w:rPr>
              <w:t>12/31/15</w:t>
            </w:r>
          </w:p>
        </w:tc>
        <w:tc>
          <w:tcPr>
            <w:tcW w:w="200" w:type="dxa"/>
            <w:vAlign w:val="bottom"/>
          </w:tcPr>
          <w:p>
            <w:pPr>
              <w:spacing w:after="0"/>
              <w:rPr>
                <w:sz w:val="19"/>
                <w:szCs w:val="19"/>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w w:val="77"/>
              </w:rPr>
              <w:t>Total</w:t>
            </w:r>
          </w:p>
        </w:tc>
      </w:tr>
      <w:tr>
        <w:trPr>
          <w:trHeight w:val="20"/>
        </w:trPr>
        <w:tc>
          <w:tcPr>
            <w:tcW w:w="48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5"/>
        </w:trPr>
        <w:tc>
          <w:tcPr>
            <w:tcW w:w="4860" w:type="dxa"/>
            <w:vAlign w:val="bottom"/>
          </w:tcPr>
          <w:p>
            <w:pPr>
              <w:spacing w:after="0"/>
              <w:rPr>
                <w:sz w:val="20"/>
                <w:szCs w:val="20"/>
                <w:color w:val="auto"/>
              </w:rPr>
            </w:pPr>
            <w:r>
              <w:rPr>
                <w:rFonts w:ascii="Arial" w:cs="Arial" w:eastAsia="Arial" w:hAnsi="Arial"/>
                <w:sz w:val="18"/>
                <w:szCs w:val="18"/>
                <w:color w:val="auto"/>
              </w:rPr>
              <w:t>Net revenues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$10,188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$11,559</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$ 9,203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$ 7,939</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$38,889</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Gross margin</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4,918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5,846</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4,323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3,611</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18,698</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671</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1,659</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407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(154)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2,583</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233</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579</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97</w:t>
            </w: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(187)</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722</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Net earnings</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438</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1,080</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310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1,861</w:t>
            </w:r>
          </w:p>
        </w:tc>
      </w:tr>
      <w:tr>
        <w:trPr>
          <w:trHeight w:val="419"/>
        </w:trPr>
        <w:tc>
          <w:tcPr>
            <w:tcW w:w="4860" w:type="dxa"/>
            <w:vAlign w:val="bottom"/>
          </w:tcPr>
          <w:p>
            <w:pPr>
              <w:spacing w:after="0"/>
              <w:rPr>
                <w:sz w:val="20"/>
                <w:szCs w:val="20"/>
                <w:color w:val="auto"/>
              </w:rPr>
            </w:pPr>
            <w:r>
              <w:rPr>
                <w:rFonts w:ascii="Arial" w:cs="Arial" w:eastAsia="Arial" w:hAnsi="Arial"/>
                <w:sz w:val="18"/>
                <w:szCs w:val="18"/>
                <w:color w:val="auto"/>
              </w:rPr>
              <w:t>Net earnings per common share - basic</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$0.10</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$0.03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10,465,414</w:t>
            </w: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10,471,888</w:t>
            </w:r>
          </w:p>
        </w:tc>
        <w:tc>
          <w:tcPr>
            <w:tcW w:w="900" w:type="dxa"/>
            <w:vAlign w:val="bottom"/>
            <w:gridSpan w:val="4"/>
          </w:tcPr>
          <w:p>
            <w:pPr>
              <w:ind w:left="160"/>
              <w:spacing w:after="0"/>
              <w:rPr>
                <w:sz w:val="20"/>
                <w:szCs w:val="20"/>
                <w:color w:val="auto"/>
              </w:rPr>
            </w:pPr>
            <w:r>
              <w:rPr>
                <w:rFonts w:ascii="Arial" w:cs="Arial" w:eastAsia="Arial" w:hAnsi="Arial"/>
                <w:sz w:val="14"/>
                <w:szCs w:val="14"/>
                <w:color w:val="auto"/>
              </w:rPr>
              <w:t>10,473,928</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10,481,612</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10,473,210</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Net earnings per common share - diluted</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$0.10</w:t>
            </w:r>
          </w:p>
        </w:tc>
        <w:tc>
          <w:tcPr>
            <w:tcW w:w="900" w:type="dxa"/>
            <w:vAlign w:val="bottom"/>
            <w:gridSpan w:val="4"/>
          </w:tcPr>
          <w:p>
            <w:pPr>
              <w:jc w:val="right"/>
              <w:ind w:right="140"/>
              <w:spacing w:after="0"/>
              <w:rPr>
                <w:sz w:val="20"/>
                <w:szCs w:val="20"/>
                <w:color w:val="auto"/>
              </w:rPr>
            </w:pPr>
            <w:r>
              <w:rPr>
                <w:rFonts w:ascii="Arial" w:cs="Arial" w:eastAsia="Arial" w:hAnsi="Arial"/>
                <w:sz w:val="18"/>
                <w:szCs w:val="18"/>
                <w:color w:val="auto"/>
              </w:rPr>
              <w:t>$0.03</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$0.00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$0.18</w:t>
            </w: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10,483,527</w:t>
            </w: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10,494,457</w:t>
            </w:r>
          </w:p>
        </w:tc>
        <w:tc>
          <w:tcPr>
            <w:tcW w:w="900" w:type="dxa"/>
            <w:vAlign w:val="bottom"/>
            <w:gridSpan w:val="4"/>
          </w:tcPr>
          <w:p>
            <w:pPr>
              <w:ind w:left="160"/>
              <w:spacing w:after="0"/>
              <w:rPr>
                <w:sz w:val="20"/>
                <w:szCs w:val="20"/>
                <w:color w:val="auto"/>
              </w:rPr>
            </w:pPr>
            <w:r>
              <w:rPr>
                <w:rFonts w:ascii="Arial" w:cs="Arial" w:eastAsia="Arial" w:hAnsi="Arial"/>
                <w:sz w:val="14"/>
                <w:szCs w:val="14"/>
                <w:color w:val="auto"/>
              </w:rPr>
              <w:t>10,498,911</w:t>
            </w: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10,498,369</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w w:val="96"/>
              </w:rPr>
              <w:t>10,493,830</w:t>
            </w:r>
          </w:p>
        </w:tc>
      </w:tr>
    </w:tbl>
    <w:p>
      <w:pPr>
        <w:sectPr>
          <w:pgSz w:w="11900" w:h="16838" w:orient="portrait"/>
          <w:cols w:equalWidth="0" w:num="1">
            <w:col w:w="11420"/>
          </w:cols>
          <w:pgMar w:left="240" w:top="9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F - 22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940" w:type="dxa"/>
            <w:vAlign w:val="bottom"/>
            <w:gridSpan w:val="3"/>
          </w:tcPr>
          <w:p>
            <w:pPr>
              <w:jc w:val="center"/>
              <w:ind w:left="741"/>
              <w:spacing w:after="0"/>
              <w:rPr>
                <w:sz w:val="20"/>
                <w:szCs w:val="20"/>
                <w:color w:val="auto"/>
              </w:rPr>
            </w:pPr>
            <w:r>
              <w:rPr>
                <w:rFonts w:ascii="Arial" w:cs="Arial" w:eastAsia="Arial" w:hAnsi="Arial"/>
                <w:sz w:val="14"/>
                <w:szCs w:val="14"/>
                <w:b w:val="1"/>
                <w:bCs w:val="1"/>
                <w:i w:val="1"/>
                <w:iCs w:val="1"/>
                <w:color w:val="auto"/>
                <w:w w:val="85"/>
              </w:rPr>
              <w:t>Balance at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9"/>
              </w:rPr>
              <w:t>Balance at</w:t>
            </w:r>
          </w:p>
        </w:tc>
      </w:tr>
      <w:tr>
        <w:trPr>
          <w:trHeight w:val="149"/>
        </w:trPr>
        <w:tc>
          <w:tcPr>
            <w:tcW w:w="3420" w:type="dxa"/>
            <w:vAlign w:val="bottom"/>
          </w:tcPr>
          <w:p>
            <w:pPr>
              <w:spacing w:after="0"/>
              <w:rPr>
                <w:sz w:val="12"/>
                <w:szCs w:val="12"/>
                <w:color w:val="auto"/>
              </w:rPr>
            </w:pPr>
          </w:p>
        </w:tc>
        <w:tc>
          <w:tcPr>
            <w:tcW w:w="1940" w:type="dxa"/>
            <w:vAlign w:val="bottom"/>
            <w:gridSpan w:val="3"/>
          </w:tcPr>
          <w:p>
            <w:pPr>
              <w:jc w:val="center"/>
              <w:ind w:left="741"/>
              <w:spacing w:after="0" w:line="149" w:lineRule="exact"/>
              <w:rPr>
                <w:sz w:val="20"/>
                <w:szCs w:val="20"/>
                <w:color w:val="auto"/>
              </w:rPr>
            </w:pPr>
            <w:r>
              <w:rPr>
                <w:rFonts w:ascii="Arial" w:cs="Arial" w:eastAsia="Arial" w:hAnsi="Arial"/>
                <w:sz w:val="14"/>
                <w:szCs w:val="14"/>
                <w:b w:val="1"/>
                <w:bCs w:val="1"/>
                <w:i w:val="1"/>
                <w:iCs w:val="1"/>
                <w:color w:val="auto"/>
                <w:w w:val="87"/>
              </w:rPr>
              <w:t>Beginning</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i w:val="1"/>
                <w:iCs w:val="1"/>
                <w:color w:val="auto"/>
                <w:w w:val="83"/>
              </w:rPr>
              <w:t>Expense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i w:val="1"/>
                <w:iCs w:val="1"/>
                <w:color w:val="auto"/>
              </w:rPr>
              <w:t>End of</w:t>
            </w:r>
          </w:p>
        </w:tc>
      </w:tr>
      <w:tr>
        <w:trPr>
          <w:trHeight w:val="146"/>
        </w:trPr>
        <w:tc>
          <w:tcPr>
            <w:tcW w:w="3420" w:type="dxa"/>
            <w:vAlign w:val="bottom"/>
          </w:tcPr>
          <w:p>
            <w:pPr>
              <w:spacing w:after="0"/>
              <w:rPr>
                <w:sz w:val="12"/>
                <w:szCs w:val="12"/>
                <w:color w:val="auto"/>
              </w:rPr>
            </w:pPr>
          </w:p>
        </w:tc>
        <w:tc>
          <w:tcPr>
            <w:tcW w:w="1940" w:type="dxa"/>
            <w:vAlign w:val="bottom"/>
            <w:gridSpan w:val="3"/>
          </w:tcPr>
          <w:p>
            <w:pPr>
              <w:jc w:val="center"/>
              <w:ind w:left="741"/>
              <w:spacing w:after="0" w:line="146" w:lineRule="exact"/>
              <w:rPr>
                <w:sz w:val="20"/>
                <w:szCs w:val="20"/>
                <w:color w:val="auto"/>
              </w:rPr>
            </w:pPr>
            <w:r>
              <w:rPr>
                <w:rFonts w:ascii="Arial" w:cs="Arial" w:eastAsia="Arial" w:hAnsi="Arial"/>
                <w:sz w:val="14"/>
                <w:szCs w:val="14"/>
                <w:b w:val="1"/>
                <w:bCs w:val="1"/>
                <w:i w:val="1"/>
                <w:iCs w:val="1"/>
                <w:color w:val="auto"/>
                <w:w w:val="85"/>
              </w:rPr>
              <w:t>of Period</w:t>
            </w:r>
          </w:p>
        </w:tc>
        <w:tc>
          <w:tcPr>
            <w:tcW w:w="720" w:type="dxa"/>
            <w:vAlign w:val="bottom"/>
            <w:gridSpan w:val="2"/>
          </w:tcPr>
          <w:p>
            <w:pPr>
              <w:jc w:val="center"/>
              <w:ind w:right="120"/>
              <w:spacing w:after="0" w:line="146" w:lineRule="exact"/>
              <w:rPr>
                <w:sz w:val="20"/>
                <w:szCs w:val="20"/>
                <w:color w:val="auto"/>
              </w:rPr>
            </w:pPr>
            <w:r>
              <w:rPr>
                <w:rFonts w:ascii="Arial" w:cs="Arial" w:eastAsia="Arial" w:hAnsi="Arial"/>
                <w:sz w:val="14"/>
                <w:szCs w:val="14"/>
                <w:b w:val="1"/>
                <w:bCs w:val="1"/>
                <w:i w:val="1"/>
                <w:iCs w:val="1"/>
                <w:color w:val="auto"/>
                <w:w w:val="82"/>
              </w:rPr>
              <w:t>(Recovery)</w:t>
            </w:r>
          </w:p>
        </w:tc>
        <w:tc>
          <w:tcPr>
            <w:tcW w:w="880" w:type="dxa"/>
            <w:vAlign w:val="bottom"/>
            <w:gridSpan w:val="3"/>
          </w:tcPr>
          <w:p>
            <w:pPr>
              <w:ind w:left="140"/>
              <w:spacing w:after="0" w:line="146" w:lineRule="exact"/>
              <w:rPr>
                <w:sz w:val="20"/>
                <w:szCs w:val="20"/>
                <w:color w:val="auto"/>
              </w:rPr>
            </w:pPr>
            <w:r>
              <w:rPr>
                <w:rFonts w:ascii="Arial" w:cs="Arial" w:eastAsia="Arial" w:hAnsi="Arial"/>
                <w:sz w:val="14"/>
                <w:szCs w:val="14"/>
                <w:b w:val="1"/>
                <w:bCs w:val="1"/>
                <w:i w:val="1"/>
                <w:iCs w:val="1"/>
                <w:color w:val="auto"/>
                <w:w w:val="94"/>
              </w:rPr>
              <w:t>Deductions</w:t>
            </w:r>
          </w:p>
        </w:tc>
        <w:tc>
          <w:tcPr>
            <w:tcW w:w="240" w:type="dxa"/>
            <w:vAlign w:val="bottom"/>
          </w:tcPr>
          <w:p>
            <w:pPr>
              <w:spacing w:after="0"/>
              <w:rPr>
                <w:sz w:val="12"/>
                <w:szCs w:val="12"/>
                <w:color w:val="auto"/>
              </w:rPr>
            </w:pPr>
          </w:p>
        </w:tc>
        <w:tc>
          <w:tcPr>
            <w:tcW w:w="480" w:type="dxa"/>
            <w:vAlign w:val="bottom"/>
            <w:gridSpan w:val="2"/>
          </w:tcPr>
          <w:p>
            <w:pPr>
              <w:jc w:val="right"/>
              <w:ind w:right="120"/>
              <w:spacing w:after="0" w:line="146" w:lineRule="exact"/>
              <w:rPr>
                <w:sz w:val="20"/>
                <w:szCs w:val="20"/>
                <w:color w:val="auto"/>
              </w:rPr>
            </w:pPr>
            <w:r>
              <w:rPr>
                <w:rFonts w:ascii="Arial" w:cs="Arial" w:eastAsia="Arial" w:hAnsi="Arial"/>
                <w:sz w:val="14"/>
                <w:szCs w:val="14"/>
                <w:b w:val="1"/>
                <w:bCs w:val="1"/>
                <w:i w:val="1"/>
                <w:iCs w:val="1"/>
                <w:color w:val="auto"/>
                <w:w w:val="77"/>
              </w:rPr>
              <w:t>Period</w:t>
            </w:r>
          </w:p>
        </w:tc>
      </w:tr>
      <w:tr>
        <w:trPr>
          <w:trHeight w:val="410"/>
        </w:trPr>
        <w:tc>
          <w:tcPr>
            <w:tcW w:w="3420" w:type="dxa"/>
            <w:vAlign w:val="bottom"/>
          </w:tcPr>
          <w:p>
            <w:pPr>
              <w:spacing w:after="0"/>
              <w:rPr>
                <w:sz w:val="20"/>
                <w:szCs w:val="20"/>
                <w:color w:val="auto"/>
              </w:rPr>
            </w:pPr>
            <w:r>
              <w:rPr>
                <w:rFonts w:ascii="Arial" w:cs="Arial" w:eastAsia="Arial" w:hAnsi="Arial"/>
                <w:sz w:val="18"/>
                <w:szCs w:val="18"/>
                <w:b w:val="1"/>
                <w:bCs w:val="1"/>
                <w:color w:val="auto"/>
              </w:rPr>
              <w:t>Year Ended December 31, 2016</w:t>
            </w:r>
          </w:p>
        </w:tc>
        <w:tc>
          <w:tcPr>
            <w:tcW w:w="1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Warranty reserve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125</w:t>
            </w:r>
          </w:p>
        </w:tc>
      </w:tr>
      <w:tr>
        <w:trPr>
          <w:trHeight w:val="419"/>
        </w:trPr>
        <w:tc>
          <w:tcPr>
            <w:tcW w:w="342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146</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Warranty reserve</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ectPr>
          <w:pgSz w:w="11900" w:h="16838" w:orient="portrait"/>
          <w:cols w:equalWidth="0" w:num="1">
            <w:col w:w="9019"/>
          </w:cols>
          <w:pgMar w:left="1440" w:top="131"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4"/>
              </w:rPr>
              <w:t>Jurisdiction</w:t>
            </w:r>
          </w:p>
        </w:tc>
      </w:tr>
      <w:tr>
        <w:trPr>
          <w:trHeight w:val="184"/>
        </w:trPr>
        <w:tc>
          <w:tcPr>
            <w:tcW w:w="320" w:type="dxa"/>
            <w:vAlign w:val="bottom"/>
          </w:tcPr>
          <w:p>
            <w:pPr>
              <w:spacing w:after="0"/>
              <w:rPr>
                <w:sz w:val="15"/>
                <w:szCs w:val="15"/>
                <w:color w:val="auto"/>
              </w:rPr>
            </w:pPr>
          </w:p>
        </w:tc>
        <w:tc>
          <w:tcPr>
            <w:tcW w:w="3700" w:type="dxa"/>
            <w:vAlign w:val="bottom"/>
            <w:gridSpan w:val="2"/>
          </w:tcPr>
          <w:p>
            <w:pPr>
              <w:spacing w:after="0" w:line="184" w:lineRule="exact"/>
              <w:rPr>
                <w:sz w:val="20"/>
                <w:szCs w:val="20"/>
                <w:color w:val="auto"/>
              </w:rPr>
            </w:pPr>
            <w:r>
              <w:rPr>
                <w:rFonts w:ascii="Arial" w:cs="Arial" w:eastAsia="Arial" w:hAnsi="Arial"/>
                <w:sz w:val="18"/>
                <w:szCs w:val="18"/>
                <w:b w:val="1"/>
                <w:bCs w:val="1"/>
                <w:i w:val="1"/>
                <w:iCs w:val="1"/>
                <w:color w:val="auto"/>
              </w:rPr>
              <w:t>Name of Subsidiaries</w:t>
            </w:r>
          </w:p>
        </w:tc>
        <w:tc>
          <w:tcPr>
            <w:tcW w:w="1200" w:type="dxa"/>
            <w:vAlign w:val="bottom"/>
          </w:tcPr>
          <w:p>
            <w:pPr>
              <w:jc w:val="center"/>
              <w:spacing w:after="0" w:line="184" w:lineRule="exact"/>
              <w:rPr>
                <w:sz w:val="20"/>
                <w:szCs w:val="20"/>
                <w:color w:val="auto"/>
              </w:rPr>
            </w:pPr>
            <w:r>
              <w:rPr>
                <w:rFonts w:ascii="Arial" w:cs="Arial" w:eastAsia="Arial" w:hAnsi="Arial"/>
                <w:sz w:val="18"/>
                <w:szCs w:val="18"/>
                <w:b w:val="1"/>
                <w:bCs w:val="1"/>
                <w:i w:val="1"/>
                <w:iCs w:val="1"/>
                <w:color w:val="auto"/>
                <w:w w:val="86"/>
              </w:rPr>
              <w:t>of Incorporation</w:t>
            </w:r>
          </w:p>
        </w:tc>
      </w:tr>
      <w:tr>
        <w:trPr>
          <w:trHeight w:val="20"/>
        </w:trPr>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566"/>
        </w:trPr>
        <w:tc>
          <w:tcPr>
            <w:tcW w:w="4020" w:type="dxa"/>
            <w:vAlign w:val="bottom"/>
            <w:gridSpan w:val="3"/>
          </w:tcPr>
          <w:p>
            <w:pPr>
              <w:spacing w:after="0"/>
              <w:rPr>
                <w:sz w:val="20"/>
                <w:szCs w:val="20"/>
                <w:color w:val="auto"/>
              </w:rPr>
            </w:pPr>
            <w:r>
              <w:rPr>
                <w:rFonts w:ascii="Arial" w:cs="Arial" w:eastAsia="Arial" w:hAnsi="Arial"/>
                <w:sz w:val="22"/>
                <w:szCs w:val="22"/>
                <w:color w:val="auto"/>
              </w:rPr>
              <w:t>inTEST Silicon Valley Corporation</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70"/>
        </w:trPr>
        <w:tc>
          <w:tcPr>
            <w:tcW w:w="4020" w:type="dxa"/>
            <w:vAlign w:val="bottom"/>
            <w:gridSpan w:val="3"/>
          </w:tcPr>
          <w:p>
            <w:pPr>
              <w:spacing w:after="0"/>
              <w:rPr>
                <w:sz w:val="20"/>
                <w:szCs w:val="20"/>
                <w:color w:val="auto"/>
              </w:rPr>
            </w:pPr>
            <w:r>
              <w:rPr>
                <w:rFonts w:ascii="Arial" w:cs="Arial" w:eastAsia="Arial" w:hAnsi="Arial"/>
                <w:sz w:val="22"/>
                <w:szCs w:val="22"/>
                <w:color w:val="auto"/>
              </w:rPr>
              <w:t>Temptronic Corporation (a)</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Delaware</w:t>
            </w:r>
          </w:p>
        </w:tc>
      </w:tr>
      <w:tr>
        <w:trPr>
          <w:trHeight w:val="270"/>
        </w:trPr>
        <w:tc>
          <w:tcPr>
            <w:tcW w:w="4020" w:type="dxa"/>
            <w:vAlign w:val="bottom"/>
            <w:gridSpan w:val="3"/>
          </w:tcPr>
          <w:p>
            <w:pPr>
              <w:spacing w:after="0"/>
              <w:rPr>
                <w:sz w:val="20"/>
                <w:szCs w:val="20"/>
                <w:color w:val="auto"/>
              </w:rPr>
            </w:pPr>
            <w:r>
              <w:rPr>
                <w:rFonts w:ascii="Arial" w:cs="Arial" w:eastAsia="Arial" w:hAnsi="Arial"/>
                <w:sz w:val="22"/>
                <w:szCs w:val="22"/>
                <w:color w:val="auto"/>
              </w:rPr>
              <w:t>inTEST PTE, Ltd.</w:t>
            </w:r>
          </w:p>
        </w:tc>
        <w:tc>
          <w:tcPr>
            <w:tcW w:w="1200" w:type="dxa"/>
            <w:vAlign w:val="bottom"/>
          </w:tcPr>
          <w:p>
            <w:pPr>
              <w:jc w:val="center"/>
              <w:spacing w:after="0"/>
              <w:rPr>
                <w:sz w:val="20"/>
                <w:szCs w:val="20"/>
                <w:color w:val="auto"/>
              </w:rPr>
            </w:pPr>
            <w:r>
              <w:rPr>
                <w:rFonts w:ascii="Arial" w:cs="Arial" w:eastAsia="Arial" w:hAnsi="Arial"/>
                <w:sz w:val="22"/>
                <w:szCs w:val="22"/>
                <w:color w:val="auto"/>
                <w:w w:val="87"/>
              </w:rPr>
              <w:t>Singapore</w:t>
            </w:r>
          </w:p>
        </w:tc>
      </w:tr>
      <w:tr>
        <w:trPr>
          <w:trHeight w:val="275"/>
        </w:trPr>
        <w:tc>
          <w:tcPr>
            <w:tcW w:w="4020" w:type="dxa"/>
            <w:vAlign w:val="bottom"/>
            <w:gridSpan w:val="3"/>
          </w:tcPr>
          <w:p>
            <w:pPr>
              <w:spacing w:after="0"/>
              <w:rPr>
                <w:sz w:val="20"/>
                <w:szCs w:val="20"/>
                <w:color w:val="auto"/>
              </w:rPr>
            </w:pPr>
            <w:r>
              <w:rPr>
                <w:rFonts w:ascii="Arial" w:cs="Arial" w:eastAsia="Arial" w:hAnsi="Arial"/>
                <w:sz w:val="22"/>
                <w:szCs w:val="22"/>
                <w:color w:val="auto"/>
              </w:rPr>
              <w:t>inTEST Thermal Solutions GmbH</w:t>
            </w:r>
          </w:p>
        </w:tc>
        <w:tc>
          <w:tcPr>
            <w:tcW w:w="1200" w:type="dxa"/>
            <w:vAlign w:val="bottom"/>
          </w:tcPr>
          <w:p>
            <w:pPr>
              <w:jc w:val="center"/>
              <w:spacing w:after="0"/>
              <w:rPr>
                <w:sz w:val="20"/>
                <w:szCs w:val="20"/>
                <w:color w:val="auto"/>
              </w:rPr>
            </w:pPr>
            <w:r>
              <w:rPr>
                <w:rFonts w:ascii="Arial" w:cs="Arial" w:eastAsia="Arial" w:hAnsi="Arial"/>
                <w:sz w:val="22"/>
                <w:szCs w:val="22"/>
                <w:color w:val="auto"/>
                <w:w w:val="88"/>
              </w:rPr>
              <w:t>Germany</w:t>
            </w:r>
          </w:p>
        </w:tc>
      </w:tr>
    </w:tbl>
    <w:p>
      <w:pPr>
        <w:spacing w:after="0" w:line="26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  Doing business as inTEST Thermal Solutions Corp.</w:t>
      </w:r>
    </w:p>
    <w:p>
      <w:pPr>
        <w:sectPr>
          <w:pgSz w:w="11900" w:h="16838" w:orient="portrait"/>
          <w:cols w:equalWidth="0" w:num="1">
            <w:col w:w="10220"/>
          </w:cols>
          <w:pgMar w:left="1440" w:top="11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consent to the incorporation by reference in Registration Statements (No. 333-145176 and No. 333-197858) on Form S-8 and Registration Statement (No. 333-195834) on Form S-3 of inTEST Corporation of our report dated March 27, 2017, relating to our audits of the consolidated financial statements and the financial statement schedule, which appear in this Annual Report on Form 10-K of inTEST Corporation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auto"/>
        </w:rPr>
        <w:t>/s/ RSM US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Blue Bell,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27, 2017</w:t>
      </w:r>
    </w:p>
    <w:p>
      <w:pPr>
        <w:sectPr>
          <w:pgSz w:w="11900" w:h="16838" w:orient="portrait"/>
          <w:cols w:equalWidth="0" w:num="1">
            <w:col w:w="11420"/>
          </w:cols>
          <w:pgMar w:left="240" w:top="11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u w:val="single" w:color="auto"/>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27, 2017</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Robert E. Matthiessen</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1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u w:val="single" w:color="auto"/>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3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184" w:lineRule="exact"/>
        <w:rPr>
          <w:rFonts w:ascii="Arial" w:cs="Arial" w:eastAsia="Arial" w:hAnsi="Arial"/>
          <w:sz w:val="18"/>
          <w:szCs w:val="18"/>
          <w:color w:val="auto"/>
        </w:rPr>
      </w:pPr>
    </w:p>
    <w:p>
      <w:pPr>
        <w:ind w:right="460" w:firstLine="447"/>
        <w:spacing w:after="0" w:line="370" w:lineRule="auto"/>
        <w:tabs>
          <w:tab w:leader="none" w:pos="746"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right="420" w:firstLine="447"/>
        <w:spacing w:after="0" w:line="332" w:lineRule="auto"/>
        <w:tabs>
          <w:tab w:leader="none" w:pos="746"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right="280" w:firstLine="447"/>
        <w:spacing w:after="0" w:line="259" w:lineRule="auto"/>
        <w:tabs>
          <w:tab w:leader="none" w:pos="7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540" w:right="280" w:firstLine="359"/>
        <w:spacing w:after="0" w:line="259" w:lineRule="auto"/>
        <w:tabs>
          <w:tab w:leader="none" w:pos="11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3" w:lineRule="exact"/>
        <w:rPr>
          <w:rFonts w:ascii="Arial" w:cs="Arial" w:eastAsia="Arial" w:hAnsi="Arial"/>
          <w:sz w:val="18"/>
          <w:szCs w:val="18"/>
          <w:color w:val="auto"/>
        </w:rPr>
      </w:pPr>
    </w:p>
    <w:p>
      <w:pPr>
        <w:jc w:val="both"/>
        <w:ind w:left="540" w:right="600" w:firstLine="359"/>
        <w:spacing w:after="0" w:line="259" w:lineRule="auto"/>
        <w:tabs>
          <w:tab w:leader="none" w:pos="11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3" w:lineRule="exact"/>
        <w:rPr>
          <w:rFonts w:ascii="Arial" w:cs="Arial" w:eastAsia="Arial" w:hAnsi="Arial"/>
          <w:sz w:val="18"/>
          <w:szCs w:val="18"/>
          <w:color w:val="auto"/>
        </w:rPr>
      </w:pPr>
    </w:p>
    <w:p>
      <w:pPr>
        <w:ind w:left="540" w:right="780" w:firstLine="359"/>
        <w:spacing w:after="0" w:line="332" w:lineRule="auto"/>
        <w:tabs>
          <w:tab w:leader="none" w:pos="117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Arial" w:cs="Arial" w:eastAsia="Arial" w:hAnsi="Arial"/>
          <w:sz w:val="16"/>
          <w:szCs w:val="16"/>
          <w:color w:val="auto"/>
        </w:rPr>
      </w:pPr>
    </w:p>
    <w:p>
      <w:pPr>
        <w:ind w:left="540" w:right="160" w:firstLine="359"/>
        <w:spacing w:after="0" w:line="259" w:lineRule="auto"/>
        <w:tabs>
          <w:tab w:leader="none" w:pos="118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Arial" w:cs="Arial" w:eastAsia="Arial" w:hAnsi="Arial"/>
          <w:sz w:val="18"/>
          <w:szCs w:val="18"/>
          <w:color w:val="auto"/>
        </w:rPr>
      </w:pPr>
    </w:p>
    <w:p>
      <w:pPr>
        <w:ind w:right="360" w:firstLine="447"/>
        <w:spacing w:after="0" w:line="332" w:lineRule="auto"/>
        <w:tabs>
          <w:tab w:leader="none" w:pos="74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540" w:right="180" w:firstLine="359"/>
        <w:spacing w:after="0" w:line="268" w:lineRule="auto"/>
        <w:tabs>
          <w:tab w:leader="none" w:pos="11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Arial" w:cs="Arial" w:eastAsia="Arial" w:hAnsi="Arial"/>
          <w:sz w:val="18"/>
          <w:szCs w:val="18"/>
          <w:color w:val="auto"/>
        </w:rPr>
      </w:pPr>
    </w:p>
    <w:p>
      <w:pPr>
        <w:ind w:left="540" w:right="160" w:firstLine="359"/>
        <w:spacing w:after="0" w:line="268" w:lineRule="auto"/>
        <w:tabs>
          <w:tab w:leader="none" w:pos="11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March 27, 2017</w:t>
      </w:r>
    </w:p>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u w:val="single" w:color="auto"/>
          <w:color w:val="auto"/>
        </w:rPr>
        <w:t>/s/ Hugh T. Regan, Jr.</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Secretary, Treasurer and Chief Financial Officer</w:t>
      </w:r>
    </w:p>
    <w:p>
      <w:pPr>
        <w:sectPr>
          <w:pgSz w:w="11900" w:h="16838" w:orient="portrait"/>
          <w:cols w:equalWidth="0" w:num="1">
            <w:col w:w="11420"/>
          </w:cols>
          <w:pgMar w:left="240" w:top="11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2016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16"/>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6"/>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27, 2017</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Robert E. Matthiessen</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President and Chief Executive Officer</w:t>
      </w:r>
    </w:p>
    <w:p>
      <w:pPr>
        <w:sectPr>
          <w:pgSz w:w="11900" w:h="16838" w:orient="portrait"/>
          <w:cols w:equalWidth="0" w:num="1">
            <w:col w:w="11420"/>
          </w:cols>
          <w:pgMar w:left="240" w:top="11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inTEST CORPORATION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0"/>
        <w:spacing w:after="0" w:line="270" w:lineRule="auto"/>
        <w:rPr>
          <w:sz w:val="20"/>
          <w:szCs w:val="20"/>
          <w:color w:val="auto"/>
        </w:rPr>
      </w:pPr>
      <w:r>
        <w:rPr>
          <w:rFonts w:ascii="Arial" w:cs="Arial" w:eastAsia="Arial" w:hAnsi="Arial"/>
          <w:sz w:val="23"/>
          <w:szCs w:val="23"/>
          <w:color w:val="auto"/>
        </w:rPr>
        <w:t>In connection with the Annual Report of inTEST Corporation (the "Company") on Form 10-K for the year ended December 31, 2016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28" w:lineRule="exact"/>
        <w:rPr>
          <w:sz w:val="20"/>
          <w:szCs w:val="20"/>
          <w:color w:val="auto"/>
        </w:rPr>
      </w:pPr>
    </w:p>
    <w:p>
      <w:pPr>
        <w:ind w:right="560" w:firstLine="8"/>
        <w:spacing w:after="0" w:line="275" w:lineRule="auto"/>
        <w:tabs>
          <w:tab w:leader="none" w:pos="344" w:val="left"/>
        </w:tabs>
        <w:numPr>
          <w:ilvl w:val="0"/>
          <w:numId w:val="17"/>
        </w:numPr>
        <w:rPr>
          <w:rFonts w:ascii="Arial" w:cs="Arial" w:eastAsia="Arial" w:hAnsi="Arial"/>
          <w:sz w:val="24"/>
          <w:szCs w:val="24"/>
          <w:color w:val="auto"/>
        </w:rPr>
      </w:pPr>
      <w:r>
        <w:rPr>
          <w:rFonts w:ascii="Arial" w:cs="Arial" w:eastAsia="Arial" w:hAnsi="Arial"/>
          <w:sz w:val="24"/>
          <w:szCs w:val="24"/>
          <w:color w:val="auto"/>
        </w:rPr>
        <w:t>The Report fully complies with the requirements of section 13(a) or 15(d) of the Securities Exchange Act of 1934; and</w:t>
      </w:r>
    </w:p>
    <w:p>
      <w:pPr>
        <w:spacing w:after="0" w:line="218" w:lineRule="exact"/>
        <w:rPr>
          <w:rFonts w:ascii="Arial" w:cs="Arial" w:eastAsia="Arial" w:hAnsi="Arial"/>
          <w:sz w:val="24"/>
          <w:szCs w:val="24"/>
          <w:color w:val="auto"/>
        </w:rPr>
      </w:pPr>
    </w:p>
    <w:p>
      <w:pPr>
        <w:ind w:right="660" w:firstLine="8"/>
        <w:spacing w:after="0" w:line="275" w:lineRule="auto"/>
        <w:tabs>
          <w:tab w:leader="none" w:pos="344" w:val="left"/>
        </w:tabs>
        <w:numPr>
          <w:ilvl w:val="0"/>
          <w:numId w:val="17"/>
        </w:numPr>
        <w:rPr>
          <w:rFonts w:ascii="Arial" w:cs="Arial" w:eastAsia="Arial" w:hAnsi="Arial"/>
          <w:sz w:val="24"/>
          <w:szCs w:val="24"/>
          <w:color w:val="auto"/>
        </w:rPr>
      </w:pPr>
      <w:r>
        <w:rPr>
          <w:rFonts w:ascii="Arial" w:cs="Arial" w:eastAsia="Arial" w:hAnsi="Arial"/>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4"/>
          <w:szCs w:val="24"/>
          <w:color w:val="auto"/>
        </w:rPr>
        <w:t>Date: March 27, 2017</w:t>
      </w:r>
    </w:p>
    <w:p>
      <w:pPr>
        <w:spacing w:after="0" w:line="251" w:lineRule="exact"/>
        <w:rPr>
          <w:sz w:val="20"/>
          <w:szCs w:val="20"/>
          <w:color w:val="auto"/>
        </w:rPr>
      </w:pPr>
    </w:p>
    <w:p>
      <w:pPr>
        <w:ind w:left="4880"/>
        <w:spacing w:after="0"/>
        <w:rPr>
          <w:sz w:val="20"/>
          <w:szCs w:val="20"/>
          <w:color w:val="auto"/>
        </w:rPr>
      </w:pPr>
      <w:r>
        <w:rPr>
          <w:rFonts w:ascii="Arial" w:cs="Arial" w:eastAsia="Arial" w:hAnsi="Arial"/>
          <w:sz w:val="24"/>
          <w:szCs w:val="24"/>
          <w:u w:val="single" w:color="auto"/>
          <w:color w:val="auto"/>
        </w:rPr>
        <w:t>/s/ Hugh T. Regan, Jr.</w:t>
      </w:r>
    </w:p>
    <w:p>
      <w:pPr>
        <w:spacing w:after="0" w:line="2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24"/>
          <w:szCs w:val="24"/>
          <w:color w:val="auto"/>
        </w:rPr>
        <w:t>Secretary, Treasurer and Chief Financial Officer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Letter"/>
      <w:start w:val="1"/>
    </w:lvl>
    <w:lvl w:ilvl="1">
      <w:lvlJc w:val="left"/>
      <w:lvlText w:val="(%2)"/>
      <w:numFmt w:val="lowerRoman"/>
      <w:start w:val="1"/>
    </w:lvl>
  </w:abstractNum>
  <w:abstractNum w:abstractNumId="5">
    <w:nsid w:val="1190CDE7"/>
    <w:multiLevelType w:val="hybridMultilevel"/>
    <w:lvl w:ilvl="0">
      <w:lvlJc w:val="left"/>
      <w:lvlText w:val="%1"/>
      <w:numFmt w:val="decimal"/>
      <w:start w:val="21"/>
    </w:lvl>
    <w:lvl w:ilvl="1">
      <w:lvlJc w:val="left"/>
      <w:lvlText w:val="-"/>
      <w:numFmt w:val="bullet"/>
      <w:start w:val="1"/>
    </w:lvl>
  </w:abstractNum>
  <w:abstractNum w:abstractNumId="6">
    <w:nsid w:val="66EF438D"/>
    <w:multiLevelType w:val="hybridMultilevel"/>
    <w:lvl w:ilvl="0">
      <w:lvlJc w:val="left"/>
      <w:lvlText w:val="%1"/>
      <w:numFmt w:val="decimal"/>
      <w:start w:val="23"/>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1)"/>
      <w:numFmt w:val="decimal"/>
      <w:start w:val="4"/>
    </w:lvl>
  </w:abstractNum>
  <w:abstractNum w:abstractNumId="12">
    <w:nsid w:val="1BEFD79F"/>
    <w:multiLevelType w:val="hybridMultilevel"/>
    <w:lvl w:ilvl="0">
      <w:lvlJc w:val="left"/>
      <w:lvlText w:val="(%1)"/>
      <w:numFmt w:val="decimal"/>
      <w:start w:val="9"/>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2019-12-06T07:06:25Z</dcterms:created>
  <dcterms:modified xsi:type="dcterms:W3CDTF">2019-12-06T07:06:25Z</dcterms:modified>
</cp:coreProperties>
</file>