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ntt20230630_10q.htm"/>
      <w:bookmarkStart w:id="1" w:name="ksintt20230630_10q"/>
      <w:bookmarkEnd w:id="0"/>
      <w:bookmarkEnd w:id="1"/>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br/>
        <w:t>SECURITIES AND EXCHANGE COMMISSION</w:t>
        <w:br/>
        <w:t>Washington, D.C. 20549</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caps w:val="false"/>
          <w:smallCaps w:val="false"/>
          <w:sz w:val="20"/>
          <w:u w:val="single"/>
        </w:rPr>
        <w:t>June 30, 2023</w:t>
      </w:r>
      <w:r>
        <w:rPr>
          <w:rFonts w:ascii="Times New Roman" w:hAnsi="Times New Roman"/>
          <w:caps w:val="false"/>
          <w:smallCaps w:val="false"/>
          <w:sz w:val="20"/>
        </w:rPr>
        <w:t xml:space="preserve"> 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xml:space="preserve"> to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caps w:val="false"/>
          <w:smallCaps w:val="false"/>
          <w:sz w:val="20"/>
          <w:u w:val="single"/>
        </w:rPr>
        <w:t>1-36117</w:t>
      </w:r>
      <w:r>
        <w:rPr>
          <w:rFonts w:ascii="Times New Roman" w:hAnsi="Times New Roman"/>
          <w:caps w:val="false"/>
          <w:smallCaps w:val="false"/>
          <w:sz w:val="20"/>
        </w:rPr>
        <w:br/>
        <w:br/>
      </w:r>
      <w:r>
        <w:rPr>
          <w:rFonts w:ascii="Times New Roman" w:hAnsi="Times New Roman"/>
          <w:b/>
          <w:caps w:val="false"/>
          <w:smallCaps w:val="false"/>
          <w:sz w:val="20"/>
          <w:u w:val="single"/>
        </w:rPr>
        <w:t>inTEST Corporation</w:t>
      </w:r>
      <w:r>
        <w:rPr>
          <w:rFonts w:ascii="Times New Roman" w:hAnsi="Times New Roman"/>
          <w:caps w:val="false"/>
          <w:smallCaps w:val="false"/>
          <w:sz w:val="20"/>
        </w:rPr>
        <w:b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4865"/>
        <w:gridCol w:w="3260"/>
      </w:tblGrid>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Delaware</w:t>
            </w:r>
            <w:r>
              <w:rPr>
                <w:rFonts w:ascii="Times New Roman" w:hAnsi="Times New Roman"/>
                <w:caps w:val="false"/>
                <w:smallCaps w:val="false"/>
                <w:sz w:val="20"/>
              </w:rPr>
              <w:br/>
              <w:t>(State or other jurisdiction of incorporation or organization)</w:t>
            </w:r>
          </w:p>
        </w:tc>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22-2370659</w:t>
            </w:r>
            <w:r>
              <w:rPr>
                <w:rFonts w:ascii="Times New Roman" w:hAnsi="Times New Roman"/>
                <w:caps w:val="false"/>
                <w:smallCaps w:val="false"/>
                <w:sz w:val="20"/>
              </w:rPr>
              <w:b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804 East Gate Drive, Suite 200</w:t>
      </w:r>
      <w:r>
        <w:rPr>
          <w:rFonts w:ascii="Times New Roman" w:hAnsi="Times New Roman"/>
          <w:caps w:val="false"/>
          <w:smallCaps w:val="false"/>
          <w:sz w:val="20"/>
        </w:rPr>
        <w:br/>
      </w:r>
      <w:r>
        <w:rPr>
          <w:rFonts w:ascii="Times New Roman" w:hAnsi="Times New Roman"/>
          <w:b/>
          <w:caps w:val="false"/>
          <w:smallCaps w:val="false"/>
          <w:sz w:val="20"/>
          <w:u w:val="single"/>
        </w:rPr>
        <w:t>Mt. Laurel, New Jersey 08054</w:t>
      </w:r>
      <w:r>
        <w:rPr>
          <w:rFonts w:ascii="Times New Roman" w:hAnsi="Times New Roman"/>
          <w:caps w:val="false"/>
          <w:smallCaps w:val="false"/>
          <w:sz w:val="20"/>
        </w:rPr>
        <w:br/>
        <w:t>(Address of principal executive offices, including zip code)</w:t>
        <w:br/>
        <w:br/>
      </w:r>
      <w:r>
        <w:rPr>
          <w:rFonts w:ascii="Times New Roman" w:hAnsi="Times New Roman"/>
          <w:b/>
          <w:caps w:val="false"/>
          <w:smallCaps w:val="false"/>
          <w:sz w:val="20"/>
          <w:u w:val="single"/>
        </w:rPr>
        <w:t>(856) 505-8800</w:t>
      </w:r>
      <w:r>
        <w:rPr>
          <w:rFonts w:ascii="Times New Roman" w:hAnsi="Times New Roman"/>
          <w:caps w:val="false"/>
          <w:smallCaps w:val="false"/>
          <w:sz w:val="20"/>
        </w:rPr>
        <w:b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395"/>
        <w:gridCol w:w="1415"/>
        <w:gridCol w:w="3890"/>
      </w:tblGrid>
      <w:tr>
        <w:trPr/>
        <w:tc>
          <w:tcPr>
            <w:tcW w:w="870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tc>
      </w:tr>
      <w:tr>
        <w:trPr/>
        <w:tc>
          <w:tcPr>
            <w:tcW w:w="8700" w:type="dxa"/>
            <w:gridSpan w:val="3"/>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Title of Each Class</w:t>
            </w:r>
            <w:r>
              <w:rPr>
                <w:rFonts w:ascii="Times New Roman" w:hAnsi="Times New Roman"/>
                <w:caps w:val="false"/>
                <w:smallCaps w:val="false"/>
                <w:sz w:val="20"/>
              </w:rPr>
              <w:br/>
              <w:t>Common Stock, par value $0.01 per share</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INTT</w:t>
            </w:r>
          </w:p>
        </w:tc>
        <w:tc>
          <w:tcPr>
            <w:tcW w:w="38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Name of Each Exchange on Which Registered</w:t>
            </w:r>
            <w:r>
              <w:rPr>
                <w:rFonts w:ascii="Times New Roman" w:hAnsi="Times New Roman"/>
                <w:caps w:val="false"/>
                <w:smallCaps w:val="false"/>
                <w:sz w:val="20"/>
              </w:rPr>
              <w:b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b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540"/>
        <w:gridCol w:w="2495"/>
      </w:tblGrid>
      <w:tr>
        <w:trPr/>
        <w:tc>
          <w:tcPr>
            <w:tcW w:w="2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 </w:t>
            </w:r>
          </w:p>
        </w:tc>
      </w:tr>
      <w:tr>
        <w:trPr/>
        <w:tc>
          <w:tcPr>
            <w:tcW w:w="2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 </w:t>
            </w:r>
          </w:p>
        </w:tc>
      </w:tr>
      <w:tr>
        <w:trPr/>
        <w:tc>
          <w:tcPr>
            <w:tcW w:w="2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 </w:t>
            </w:r>
          </w:p>
        </w:tc>
        <w:tc>
          <w:tcPr>
            <w:tcW w:w="24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b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shares of Common Stock, $0.01 par value, outstanding as of the close of business on July 31, 2023:   12,157,456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
        <w:gridCol w:w="8994"/>
        <w:gridCol w:w="456"/>
      </w:tblGrid>
      <w:tr>
        <w:trPr/>
        <w:tc>
          <w:tcPr>
            <w:tcW w:w="9749" w:type="dxa"/>
            <w:gridSpan w:val="2"/>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Page</w:t>
            </w:r>
          </w:p>
        </w:tc>
      </w:tr>
      <w:tr>
        <w:trPr/>
        <w:tc>
          <w:tcPr>
            <w:tcW w:w="7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w:t>
            </w:r>
          </w:p>
        </w:tc>
        <w:tc>
          <w:tcPr>
            <w:tcW w:w="899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INFORMATION</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283"/>
              <w:jc w:val="left"/>
              <w:rPr/>
            </w:pPr>
            <w:r>
              <w:rPr/>
              <w:t> </w:t>
            </w:r>
          </w:p>
        </w:tc>
        <w:tc>
          <w:tcPr>
            <w:tcW w:w="8994"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75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w:t>
            </w:r>
          </w:p>
        </w:tc>
        <w:tc>
          <w:tcPr>
            <w:tcW w:w="8994"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Statements</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283"/>
              <w:jc w:val="left"/>
              <w:rPr/>
            </w:pPr>
            <w:r>
              <w:rPr/>
              <w:t> </w:t>
            </w:r>
          </w:p>
        </w:tc>
        <w:tc>
          <w:tcPr>
            <w:tcW w:w="8994"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 as of June 30, 2023 (Unaudited) and December 31, 2022</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5" w:type="dxa"/>
            <w:tcBorders/>
            <w:shd w:fill="FFFFFF" w:val="clear"/>
            <w:vAlign w:val="center"/>
          </w:tcPr>
          <w:p>
            <w:pPr>
              <w:pStyle w:val="TableContents"/>
              <w:bidi w:val="0"/>
              <w:spacing w:before="0" w:after="283"/>
              <w:jc w:val="left"/>
              <w:rPr/>
            </w:pPr>
            <w:r>
              <w:rPr/>
              <w:t> </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Consolidated Statements of Operations for the three months and six months ended June 30, 2023 and 2022</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Consolidated Statements of Comprehensive Earnings for the three months and six months ended June 30, 2023 and 2022</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55" w:type="dxa"/>
            <w:tcBorders/>
            <w:shd w:fill="FFFFFF" w:val="clear"/>
            <w:vAlign w:val="center"/>
          </w:tcPr>
          <w:p>
            <w:pPr>
              <w:pStyle w:val="TableContents"/>
              <w:bidi w:val="0"/>
              <w:spacing w:before="0" w:after="283"/>
              <w:jc w:val="left"/>
              <w:rPr/>
            </w:pPr>
            <w:r>
              <w:rPr/>
              <w:t> </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Consolidated Statements of Stockholders' Equity for the three months and six months ended June 30, 2023 and 2022</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Consolidated Statements of Cash Flows for the six months ended June 30, 2023 and 2022</w:t>
            </w:r>
          </w:p>
        </w:tc>
        <w:tc>
          <w:tcPr>
            <w:tcW w:w="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55" w:type="dxa"/>
            <w:tcBorders/>
            <w:shd w:fill="FFFFFF" w:val="clear"/>
            <w:vAlign w:val="center"/>
          </w:tcPr>
          <w:p>
            <w:pPr>
              <w:pStyle w:val="TableContents"/>
              <w:bidi w:val="0"/>
              <w:spacing w:before="0" w:after="283"/>
              <w:jc w:val="left"/>
              <w:rPr/>
            </w:pPr>
            <w:r>
              <w:rPr/>
              <w:t> </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Consolidated Financial Statements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2.</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Discussion and Analysis of Financial Condition and Results of Operations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righ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3.</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Quantitative and Qualitative Disclosures About Market Risk</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4.</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Controls and Procedures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II.</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INFORMATION</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1A.</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Factors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2.</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Unregistered Sales of Equity Securities and Use of Proceeds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3.</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Defaults Upon Senior Securities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4.</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 Safety Disclosures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5.</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Information</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755" w:type="dxa"/>
            <w:tcBorders/>
            <w:shd w:fill="CCEEFF" w:val="clear"/>
            <w:vAlign w:val="center"/>
          </w:tcPr>
          <w:p>
            <w:pPr>
              <w:pStyle w:val="TableContents"/>
              <w:bidi w:val="0"/>
              <w:spacing w:before="0" w:after="283"/>
              <w:jc w:val="left"/>
              <w:rPr/>
            </w:pPr>
            <w:r>
              <w:rPr/>
              <w:t> </w:t>
            </w:r>
          </w:p>
        </w:tc>
        <w:tc>
          <w:tcPr>
            <w:tcW w:w="899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6.</w:t>
            </w:r>
          </w:p>
        </w:tc>
        <w:tc>
          <w:tcPr>
            <w:tcW w:w="8994"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Exhibits </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9749" w:type="dxa"/>
            <w:gridSpan w:val="2"/>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r>
      <w:tr>
        <w:trPr/>
        <w:tc>
          <w:tcPr>
            <w:tcW w:w="9749" w:type="dxa"/>
            <w:gridSpan w:val="2"/>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SIGNATURES</w:t>
            </w:r>
          </w:p>
        </w:tc>
        <w:tc>
          <w:tcPr>
            <w:tcW w:w="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BALANCE SHEETS</w:t>
      </w:r>
      <w:r>
        <w:rPr>
          <w:rFonts w:ascii="Times New Roman" w:hAnsi="Times New Roman"/>
          <w:caps w:val="false"/>
          <w:smallCaps w:val="false"/>
          <w:sz w:val="20"/>
        </w:rPr>
        <w:br/>
        <w:t>(In thousands, except share and per share data)</w:t>
      </w:r>
    </w:p>
    <w:tbl>
      <w:tblPr>
        <w:tblW w:w="10205" w:type="dxa"/>
        <w:jc w:val="left"/>
        <w:tblInd w:w="0" w:type="dxa"/>
        <w:tblLayout w:type="fixed"/>
        <w:tblCellMar>
          <w:top w:w="0" w:type="dxa"/>
          <w:left w:w="0" w:type="dxa"/>
          <w:bottom w:w="0" w:type="dxa"/>
          <w:right w:w="0" w:type="dxa"/>
        </w:tblCellMar>
      </w:tblPr>
      <w:tblGrid>
        <w:gridCol w:w="7836"/>
        <w:gridCol w:w="60"/>
        <w:gridCol w:w="149"/>
        <w:gridCol w:w="831"/>
        <w:gridCol w:w="80"/>
        <w:gridCol w:w="60"/>
        <w:gridCol w:w="168"/>
        <w:gridCol w:w="939"/>
        <w:gridCol w:w="82"/>
      </w:tblGrid>
      <w:tr>
        <w:trPr/>
        <w:tc>
          <w:tcPr>
            <w:tcW w:w="7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7"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2" w:type="dxa"/>
            <w:tcBorders/>
            <w:vAlign w:val="center"/>
          </w:tcPr>
          <w:p>
            <w:pPr>
              <w:pStyle w:val="TableContents"/>
              <w:bidi w:val="0"/>
              <w:spacing w:before="0" w:after="283"/>
              <w:jc w:val="left"/>
              <w:rPr/>
            </w:pPr>
            <w:r>
              <w:rPr/>
              <w:t> </w:t>
            </w:r>
          </w:p>
        </w:tc>
      </w:tr>
      <w:tr>
        <w:trPr/>
        <w:tc>
          <w:tcPr>
            <w:tcW w:w="7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2" w:type="dxa"/>
            <w:tcBorders/>
            <w:vAlign w:val="center"/>
          </w:tcPr>
          <w:p>
            <w:pPr>
              <w:pStyle w:val="TableContents"/>
              <w:bidi w:val="0"/>
              <w:spacing w:before="0" w:after="283"/>
              <w:jc w:val="left"/>
              <w:rPr/>
            </w:pPr>
            <w:r>
              <w:rPr/>
              <w:t> </w:t>
            </w:r>
          </w:p>
        </w:tc>
      </w:tr>
      <w:tr>
        <w:trPr/>
        <w:tc>
          <w:tcPr>
            <w:tcW w:w="7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ind w:left="0" w:right="0" w:hanging="0"/>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13,434</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Trade accounts receivable, net of allowance for credit losses of $501 and $496, respectively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21,215</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22,565</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1,695</w:t>
            </w:r>
          </w:p>
        </w:tc>
        <w:tc>
          <w:tcPr>
            <w:tcW w:w="82" w:type="dxa"/>
            <w:tcBorders/>
            <w:shd w:fill="CCEEFF" w:val="clear"/>
            <w:vAlign w:val="center"/>
          </w:tcPr>
          <w:p>
            <w:pPr>
              <w:pStyle w:val="TableContents"/>
              <w:bidi w:val="0"/>
              <w:spacing w:before="0" w:after="283"/>
              <w:ind w:left="360" w:right="0" w:hanging="0"/>
              <w:jc w:val="left"/>
              <w:rPr/>
            </w:pPr>
            <w:r>
              <w:rPr/>
              <w:t> </w:t>
            </w:r>
          </w:p>
        </w:tc>
      </w:tr>
      <w:tr>
        <w:trPr/>
        <w:tc>
          <w:tcPr>
            <w:tcW w:w="7836"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60,051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6,625</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3,242</w:t>
            </w:r>
          </w:p>
        </w:tc>
        <w:tc>
          <w:tcPr>
            <w:tcW w:w="82" w:type="dxa"/>
            <w:tcBorders/>
            <w:shd w:fill="CCEEFF" w:val="clear"/>
            <w:vAlign w:val="center"/>
          </w:tcPr>
          <w:p>
            <w:pPr>
              <w:pStyle w:val="TableContents"/>
              <w:bidi w:val="0"/>
              <w:spacing w:before="0" w:after="283"/>
              <w:ind w:left="360" w:right="0" w:hanging="0"/>
              <w:jc w:val="left"/>
              <w:rPr/>
            </w:pPr>
            <w:r>
              <w:rPr/>
              <w:t> </w:t>
            </w:r>
          </w:p>
        </w:tc>
      </w:tr>
      <w:tr>
        <w:trPr/>
        <w:tc>
          <w:tcPr>
            <w:tcW w:w="7836"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Gross property and equipment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9,867</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(6,735</w:t>
            </w:r>
          </w:p>
        </w:tc>
        <w:tc>
          <w:tcPr>
            <w:tcW w:w="8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836"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property and equipment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21,605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18,559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certificates of deposit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w:t>
            </w:r>
          </w:p>
        </w:tc>
        <w:tc>
          <w:tcPr>
            <w:tcW w:w="82" w:type="dxa"/>
            <w:tcBorders/>
            <w:shd w:fill="FFFFFF" w:val="clear"/>
            <w:vAlign w:val="center"/>
          </w:tcPr>
          <w:p>
            <w:pPr>
              <w:pStyle w:val="TableContents"/>
              <w:bidi w:val="0"/>
              <w:spacing w:before="0" w:after="283"/>
              <w:ind w:left="360" w:right="0" w:hanging="0"/>
              <w:jc w:val="left"/>
              <w:rPr/>
            </w:pPr>
            <w:r>
              <w:rPr/>
              <w:t> </w:t>
            </w:r>
          </w:p>
        </w:tc>
      </w:tr>
      <w:tr>
        <w:trPr/>
        <w:tc>
          <w:tcPr>
            <w:tcW w:w="7836"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110,066</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Term Note</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1,645</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7,394</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wages and benefits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3,907</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fees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Customer deposits and deferred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4,498</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sales commissions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1,468</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Domestic and foreign income taxes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w:t>
            </w:r>
          </w:p>
        </w:tc>
        <w:tc>
          <w:tcPr>
            <w:tcW w:w="82" w:type="dxa"/>
            <w:tcBorders/>
            <w:shd w:fill="CCEEFF" w:val="clear"/>
            <w:vAlign w:val="center"/>
          </w:tcPr>
          <w:p>
            <w:pPr>
              <w:pStyle w:val="TableContents"/>
              <w:bidi w:val="0"/>
              <w:spacing w:before="0" w:after="283"/>
              <w:ind w:left="360" w:right="0" w:hanging="0"/>
              <w:jc w:val="left"/>
              <w:rPr/>
            </w:pPr>
            <w:r>
              <w:rPr/>
              <w:t> </w:t>
            </w:r>
          </w:p>
        </w:tc>
      </w:tr>
      <w:tr>
        <w:trPr/>
        <w:tc>
          <w:tcPr>
            <w:tcW w:w="7836"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26,869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4,705</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 Note, net of current portion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12,042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w:t>
            </w:r>
          </w:p>
        </w:tc>
        <w:tc>
          <w:tcPr>
            <w:tcW w:w="82" w:type="dxa"/>
            <w:tcBorders/>
            <w:shd w:fill="FFFFFF" w:val="clear"/>
            <w:vAlign w:val="center"/>
          </w:tcPr>
          <w:p>
            <w:pPr>
              <w:pStyle w:val="TableContents"/>
              <w:bidi w:val="0"/>
              <w:spacing w:before="0" w:after="283"/>
              <w:ind w:left="360" w:right="0" w:hanging="0"/>
              <w:jc w:val="left"/>
              <w:rPr/>
            </w:pPr>
            <w:r>
              <w:rPr/>
              <w:t> </w:t>
            </w:r>
          </w:p>
        </w:tc>
      </w:tr>
      <w:tr>
        <w:trPr/>
        <w:tc>
          <w:tcPr>
            <w:tcW w:w="7836"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45,110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$0.01 par value; 5,000,000 shares authorized; no shares issued or outstanding</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Common stock, $0.01 par value; 20,000,000 shares authorized; 12,185,220 and 11,063,271 shares issued, respectively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31,987</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32,854</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earnings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Treasury stock, at cost; 38,514 and 34,308 shares, respectively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836"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64,956</w:t>
            </w:r>
          </w:p>
        </w:tc>
        <w:tc>
          <w:tcPr>
            <w:tcW w:w="82" w:type="dxa"/>
            <w:tcBorders/>
            <w:shd w:fill="FFFFFF" w:val="clear"/>
            <w:vAlign w:val="center"/>
          </w:tcPr>
          <w:p>
            <w:pPr>
              <w:pStyle w:val="TableContents"/>
              <w:bidi w:val="0"/>
              <w:spacing w:before="0" w:after="283"/>
              <w:ind w:left="360" w:right="0" w:hanging="0"/>
              <w:jc w:val="left"/>
              <w:rPr/>
            </w:pPr>
            <w:r>
              <w:rPr/>
              <w:t> </w:t>
            </w:r>
          </w:p>
        </w:tc>
      </w:tr>
      <w:tr>
        <w:trPr/>
        <w:tc>
          <w:tcPr>
            <w:tcW w:w="7836"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110,066</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OPERATIONS</w:t>
      </w:r>
      <w:r>
        <w:rPr>
          <w:rFonts w:ascii="Times New Roman" w:hAnsi="Times New Roman"/>
          <w:caps w:val="false"/>
          <w:smallCaps w:val="false"/>
          <w:sz w:val="20"/>
        </w:rPr>
        <w:br/>
        <w:t>(In thousands, except share and per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5"/>
        <w:gridCol w:w="60"/>
        <w:gridCol w:w="125"/>
        <w:gridCol w:w="950"/>
        <w:gridCol w:w="80"/>
        <w:gridCol w:w="60"/>
        <w:gridCol w:w="125"/>
        <w:gridCol w:w="950"/>
        <w:gridCol w:w="80"/>
        <w:gridCol w:w="60"/>
        <w:gridCol w:w="125"/>
        <w:gridCol w:w="950"/>
        <w:gridCol w:w="80"/>
        <w:gridCol w:w="60"/>
        <w:gridCol w:w="125"/>
        <w:gridCol w:w="950"/>
        <w:gridCol w:w="80"/>
      </w:tblGrid>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br/>
              <w:t>June 30,</w:t>
            </w:r>
          </w:p>
        </w:tc>
        <w:tc>
          <w:tcPr>
            <w:tcW w:w="8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29,091</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53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24,561</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3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Selling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7,489</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3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Engineering and product development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3,783</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3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9,759</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53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21,031</w:t>
            </w:r>
          </w:p>
        </w:tc>
        <w:tc>
          <w:tcPr>
            <w:tcW w:w="80"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before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2,693</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per common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0.25</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11,241,183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10,653,268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10,998,456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10,635,270</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per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0.25</w:t>
            </w:r>
          </w:p>
        </w:tc>
        <w:tc>
          <w:tcPr>
            <w:tcW w:w="80"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3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common shares and common share equivalents outstanding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11,696,569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10,814,799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11,392,617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10,828,696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 xml:space="preserve">CONSOLIDATED STATEMENTS OF COMPREHENSIVE EARNINGS </w:t>
      </w:r>
      <w:r>
        <w:rPr>
          <w:rFonts w:ascii="Times New Roman" w:hAnsi="Times New Roman"/>
          <w:caps w:val="false"/>
          <w:smallCaps w:val="false"/>
          <w:sz w:val="20"/>
        </w:rPr>
        <w:b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4370"/>
        <w:gridCol w:w="60"/>
        <w:gridCol w:w="166"/>
        <w:gridCol w:w="647"/>
        <w:gridCol w:w="80"/>
        <w:gridCol w:w="80"/>
        <w:gridCol w:w="166"/>
        <w:gridCol w:w="647"/>
        <w:gridCol w:w="80"/>
        <w:gridCol w:w="60"/>
        <w:gridCol w:w="142"/>
        <w:gridCol w:w="552"/>
        <w:gridCol w:w="91"/>
        <w:gridCol w:w="68"/>
        <w:gridCol w:w="142"/>
        <w:gridCol w:w="552"/>
        <w:gridCol w:w="80"/>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br/>
              <w:t>June 30,</w:t>
            </w:r>
          </w:p>
        </w:tc>
        <w:tc>
          <w:tcPr>
            <w:tcW w:w="8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5,610</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2,693</w:t>
            </w:r>
          </w:p>
        </w:tc>
        <w:tc>
          <w:tcPr>
            <w:tcW w:w="8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Unrealized gain (loss) on interest rate swap agreement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2,974</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r>
        <w:rPr>
          <w:rFonts w:ascii="Times New Roman" w:hAnsi="Times New Roman"/>
          <w:caps w:val="false"/>
          <w:smallCaps w:val="false"/>
          <w:sz w:val="20"/>
        </w:rPr>
        <w:br/>
        <w:t>(In thousands, except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1"/>
        <w:gridCol w:w="60"/>
        <w:gridCol w:w="60"/>
        <w:gridCol w:w="950"/>
        <w:gridCol w:w="80"/>
        <w:gridCol w:w="60"/>
        <w:gridCol w:w="184"/>
        <w:gridCol w:w="496"/>
        <w:gridCol w:w="60"/>
        <w:gridCol w:w="60"/>
        <w:gridCol w:w="160"/>
        <w:gridCol w:w="760"/>
        <w:gridCol w:w="80"/>
        <w:gridCol w:w="60"/>
        <w:gridCol w:w="136"/>
        <w:gridCol w:w="649"/>
        <w:gridCol w:w="60"/>
        <w:gridCol w:w="60"/>
        <w:gridCol w:w="351"/>
        <w:gridCol w:w="944"/>
        <w:gridCol w:w="60"/>
        <w:gridCol w:w="60"/>
        <w:gridCol w:w="181"/>
        <w:gridCol w:w="574"/>
        <w:gridCol w:w="80"/>
        <w:gridCol w:w="60"/>
        <w:gridCol w:w="195"/>
        <w:gridCol w:w="923"/>
        <w:gridCol w:w="81"/>
      </w:tblGrid>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43"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 2023</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1" w:type="dxa"/>
            <w:tcBorders/>
            <w:vAlign w:val="center"/>
          </w:tcPr>
          <w:p>
            <w:pPr>
              <w:pStyle w:val="TableContents"/>
              <w:bidi w:val="0"/>
              <w:spacing w:before="0" w:after="283"/>
              <w:ind w:left="0" w:right="0" w:hanging="0"/>
              <w:jc w:val="left"/>
              <w:rPr/>
            </w:pPr>
            <w:r>
              <w:rPr/>
              <w:t> </w:t>
            </w:r>
          </w:p>
        </w:tc>
      </w:tr>
      <w:tr>
        <w:trPr/>
        <w:tc>
          <w:tcPr>
            <w:tcW w:w="27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11,063,271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64,956</w:t>
            </w:r>
          </w:p>
        </w:tc>
        <w:tc>
          <w:tcPr>
            <w:tcW w:w="81" w:type="dxa"/>
            <w:tcBorders/>
            <w:shd w:fill="CCEE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27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2,817</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27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272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272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unvested shares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272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Forfeitures of unvested shares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(13,271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272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272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Shares issued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272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Shares surrendered to satisfy tax liability at vesting of stock-based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27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11,168,080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68,498</w:t>
            </w:r>
          </w:p>
        </w:tc>
        <w:tc>
          <w:tcPr>
            <w:tcW w:w="81" w:type="dxa"/>
            <w:tcBorders/>
            <w:shd w:fill="FFFFFF" w:val="clear"/>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27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2,793</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27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272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Amortization of deferred compensation related to stock-based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272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unvested shares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27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272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Shares issued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272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Shares surrendered to satisfy tax liability at vesting of stock-based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21"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common stock,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19,244</w:t>
            </w:r>
          </w:p>
        </w:tc>
        <w:tc>
          <w:tcPr>
            <w:tcW w:w="81" w:type="dxa"/>
            <w:tcBorders/>
            <w:shd w:fill="CCEE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27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12,185,220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92,064</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0"/>
        <w:gridCol w:w="60"/>
        <w:gridCol w:w="60"/>
        <w:gridCol w:w="950"/>
        <w:gridCol w:w="60"/>
        <w:gridCol w:w="60"/>
        <w:gridCol w:w="184"/>
        <w:gridCol w:w="496"/>
        <w:gridCol w:w="60"/>
        <w:gridCol w:w="60"/>
        <w:gridCol w:w="160"/>
        <w:gridCol w:w="760"/>
        <w:gridCol w:w="80"/>
        <w:gridCol w:w="60"/>
        <w:gridCol w:w="136"/>
        <w:gridCol w:w="649"/>
        <w:gridCol w:w="60"/>
        <w:gridCol w:w="60"/>
        <w:gridCol w:w="310"/>
        <w:gridCol w:w="985"/>
        <w:gridCol w:w="80"/>
        <w:gridCol w:w="60"/>
        <w:gridCol w:w="181"/>
        <w:gridCol w:w="574"/>
        <w:gridCol w:w="80"/>
        <w:gridCol w:w="60"/>
        <w:gridCol w:w="195"/>
        <w:gridCol w:w="924"/>
        <w:gridCol w:w="81"/>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4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 2022</w:t>
            </w:r>
          </w:p>
        </w:tc>
        <w:tc>
          <w:tcPr>
            <w:tcW w:w="81"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1"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1"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1" w:type="dxa"/>
            <w:tcBorders/>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10,910,460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54,823</w:t>
            </w:r>
          </w:p>
        </w:tc>
        <w:tc>
          <w:tcPr>
            <w:tcW w:w="81"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272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272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unvested shares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180" w:right="0" w:hanging="0"/>
              <w:jc w:val="left"/>
              <w:rPr/>
            </w:pPr>
            <w:r>
              <w:rPr/>
              <w:t> </w:t>
            </w:r>
          </w:p>
        </w:tc>
      </w:tr>
      <w:tr>
        <w:trPr/>
        <w:tc>
          <w:tcPr>
            <w:tcW w:w="272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Shares issued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81"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10,995,194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56,001</w:t>
            </w:r>
          </w:p>
        </w:tc>
        <w:tc>
          <w:tcPr>
            <w:tcW w:w="81"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2,116</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8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2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81" w:type="dxa"/>
            <w:tcBorders/>
            <w:shd w:fill="CCEEFF" w:val="clear"/>
            <w:vAlign w:val="center"/>
          </w:tcPr>
          <w:p>
            <w:pPr>
              <w:pStyle w:val="TableContents"/>
              <w:bidi w:val="0"/>
              <w:spacing w:before="0" w:after="283"/>
              <w:ind w:left="180" w:right="0" w:hanging="0"/>
              <w:jc w:val="left"/>
              <w:rPr/>
            </w:pPr>
            <w:r>
              <w:rPr/>
              <w:t> </w:t>
            </w:r>
          </w:p>
        </w:tc>
      </w:tr>
      <w:tr>
        <w:trPr/>
        <w:tc>
          <w:tcPr>
            <w:tcW w:w="272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Issuance of unvested shares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redeemed into treasury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2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Shares issued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1"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11,048,708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58,120</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CASH FLOWS</w:t>
      </w:r>
      <w:r>
        <w:rPr>
          <w:rFonts w:ascii="Times New Roman" w:hAnsi="Times New Roman"/>
          <w:caps w:val="false"/>
          <w:smallCaps w:val="false"/>
          <w:sz w:val="20"/>
        </w:rPr>
        <w:b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7460"/>
        <w:gridCol w:w="60"/>
        <w:gridCol w:w="125"/>
        <w:gridCol w:w="590"/>
        <w:gridCol w:w="80"/>
        <w:gridCol w:w="60"/>
        <w:gridCol w:w="125"/>
        <w:gridCol w:w="650"/>
        <w:gridCol w:w="80"/>
      </w:tblGrid>
      <w:tr>
        <w:trPr/>
        <w:tc>
          <w:tcPr>
            <w:tcW w:w="7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br/>
              <w:t>June 30,</w:t>
            </w:r>
          </w:p>
        </w:tc>
        <w:tc>
          <w:tcPr>
            <w:tcW w:w="80" w:type="dxa"/>
            <w:tcBorders/>
            <w:vAlign w:val="center"/>
          </w:tcPr>
          <w:p>
            <w:pPr>
              <w:pStyle w:val="TableContents"/>
              <w:bidi w:val="0"/>
              <w:spacing w:before="0" w:after="283"/>
              <w:jc w:val="left"/>
              <w:rPr/>
            </w:pPr>
            <w:r>
              <w:rPr/>
              <w:t> </w:t>
            </w:r>
          </w:p>
        </w:tc>
      </w:tr>
      <w:tr>
        <w:trPr/>
        <w:tc>
          <w:tcPr>
            <w:tcW w:w="7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ind w:left="0" w:right="0" w:hanging="0"/>
              <w:jc w:val="left"/>
              <w:rPr/>
            </w:pPr>
            <w:r>
              <w:rPr/>
              <w:t> </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4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2,693</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746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earnings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746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2,528</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746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Provision for excess and obsolete 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746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(gain)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746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746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Discount on shares sold under Employee Stock Purchase Plan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746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7460"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w:t>
            </w:r>
          </w:p>
        </w:tc>
        <w:tc>
          <w:tcPr>
            <w:tcW w:w="8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746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Trade 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(6,607</w:t>
            </w:r>
          </w:p>
        </w:tc>
        <w:tc>
          <w:tcPr>
            <w:tcW w:w="8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(4,894</w:t>
            </w:r>
          </w:p>
        </w:tc>
        <w:tc>
          <w:tcPr>
            <w:tcW w:w="8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w:t>
            </w:r>
          </w:p>
        </w:tc>
        <w:tc>
          <w:tcPr>
            <w:tcW w:w="8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w:t>
            </w:r>
          </w:p>
        </w:tc>
        <w:tc>
          <w:tcPr>
            <w:tcW w:w="8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(701</w:t>
            </w:r>
          </w:p>
        </w:tc>
        <w:tc>
          <w:tcPr>
            <w:tcW w:w="8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3,506</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746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Accrued wages and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w:t>
            </w:r>
          </w:p>
        </w:tc>
        <w:tc>
          <w:tcPr>
            <w:tcW w:w="8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w:t>
            </w:r>
          </w:p>
        </w:tc>
        <w:tc>
          <w:tcPr>
            <w:tcW w:w="8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Customer deposits and 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w:t>
            </w:r>
          </w:p>
        </w:tc>
        <w:tc>
          <w:tcPr>
            <w:tcW w:w="8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Accrued sales commissions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746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Domestic and foreign income taxes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w:t>
            </w:r>
          </w:p>
        </w:tc>
        <w:tc>
          <w:tcPr>
            <w:tcW w:w="8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w:t>
            </w:r>
          </w:p>
        </w:tc>
        <w:tc>
          <w:tcPr>
            <w:tcW w:w="80" w:type="dxa"/>
            <w:tcBorders/>
            <w:shd w:fill="CCEEFF" w:val="clear"/>
            <w:vAlign w:val="center"/>
          </w:tcPr>
          <w:p>
            <w:pPr>
              <w:pStyle w:val="TableContents"/>
              <w:bidi w:val="0"/>
              <w:spacing w:before="0" w:after="283"/>
              <w:ind w:left="720" w:right="0" w:hanging="0"/>
              <w:jc w:val="left"/>
              <w:rPr/>
            </w:pPr>
            <w:r>
              <w:rPr/>
              <w:t> </w:t>
            </w:r>
          </w:p>
        </w:tc>
      </w:tr>
      <w:tr>
        <w:trPr/>
        <w:tc>
          <w:tcPr>
            <w:tcW w:w="7460" w:type="dxa"/>
            <w:tcBorders/>
            <w:shd w:fill="FFFF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4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Refund of final working capital adjustment related to Acculogic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746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w:t>
            </w:r>
          </w:p>
        </w:tc>
        <w:tc>
          <w:tcPr>
            <w:tcW w:w="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 of short-term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(3,477</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4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proceeds from public offering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746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Repayments of Term Note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(2,050</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(1,908</w:t>
            </w:r>
          </w:p>
        </w:tc>
        <w:tc>
          <w:tcPr>
            <w:tcW w:w="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shares sold under Employee Stock Purchase Plan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746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stock options exercised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4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Acquisition of treasury stock-shares surrendered by employees to satisfy tax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(1,815</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Effects of exchange rates on cash</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CCEEFF" w:val="clear"/>
            <w:vAlign w:val="center"/>
          </w:tcPr>
          <w:p>
            <w:pPr>
              <w:pStyle w:val="TableContents"/>
              <w:bidi w:val="0"/>
              <w:spacing w:before="0" w:after="283"/>
              <w:jc w:val="left"/>
              <w:rPr/>
            </w:pPr>
            <w:r>
              <w:rPr/>
              <w:t> </w:t>
            </w:r>
          </w:p>
        </w:tc>
      </w:tr>
      <w:tr>
        <w:trPr/>
        <w:tc>
          <w:tcPr>
            <w:tcW w:w="7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all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(10,652</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21,195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10,543</w:t>
            </w:r>
          </w:p>
        </w:tc>
        <w:tc>
          <w:tcPr>
            <w:tcW w:w="80" w:type="dxa"/>
            <w:tcBorders/>
            <w:shd w:fill="CCEEFF" w:val="clear"/>
            <w:vAlign w:val="center"/>
          </w:tcPr>
          <w:p>
            <w:pPr>
              <w:pStyle w:val="TableContents"/>
              <w:bidi w:val="0"/>
              <w:spacing w:before="0" w:after="283"/>
              <w:jc w:val="left"/>
              <w:rPr/>
            </w:pPr>
            <w:r>
              <w:rPr/>
              <w:t> </w:t>
            </w:r>
          </w:p>
        </w:tc>
      </w:tr>
      <w:tr>
        <w:trPr/>
        <w:tc>
          <w:tcPr>
            <w:tcW w:w="7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payments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4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Domestic and foreign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755" w:type="dxa"/>
        <w:jc w:val="left"/>
        <w:tblInd w:w="0" w:type="dxa"/>
        <w:tblLayout w:type="fixed"/>
        <w:tblCellMar>
          <w:top w:w="0" w:type="dxa"/>
          <w:left w:w="0" w:type="dxa"/>
          <w:bottom w:w="0" w:type="dxa"/>
          <w:right w:w="0" w:type="dxa"/>
        </w:tblCellMar>
      </w:tblPr>
      <w:tblGrid>
        <w:gridCol w:w="290"/>
        <w:gridCol w:w="2465"/>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w:t>
            </w:r>
            <w:r>
              <w:rPr>
                <w:rFonts w:ascii="Times New Roman;Times;serif" w:hAnsi="Times New Roman;Times;serif"/>
                <w:b/>
                <w:caps w:val="false"/>
                <w:smallCaps w:val="false"/>
                <w:sz w:val="20"/>
              </w:rPr>
              <w:t xml:space="preserve">) </w:t>
            </w:r>
          </w:p>
        </w:tc>
        <w:tc>
          <w:tcPr>
            <w:tcW w:w="24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NATURE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are a global supplier of innovative test and process technology solutions for use in manufacturing and testing across a wide range of markets including automotive, defense/aerospace, industrial, life sciences, security and semiconductor. We have three operating segments which are also our reportable segments and reporting units: Electronic Test, Environmental Technologies and Process Technologies.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consolidated entity is comprised of inTEST Corporation and our wholly-owned subsidiaries. We manufacture our products in the U.S., Canada and the Netherlands. Marketing and support activities are conducted worldwide from our facilities in the U.S., Canada, Germany, Singapore, the Netherlands and the U.K. We operate our business worldwide and sell our products both domestically and internationally.</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pPr>
      <w:r>
        <w:rPr>
          <w:rFonts w:ascii="Times New Roman" w:hAnsi="Times New Roman"/>
          <w:caps w:val="false"/>
          <w:smallCaps w:val="false"/>
          <w:sz w:val="20"/>
        </w:rPr>
        <w:t xml:space="preserve">The semiconductor market (“semi” or the “semi market”) which includes both the broader semiconductor market, as well as the more specialized automated test equipment (“ATE”)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market, product or customer. In particular, we are seeking to reduce the impact of volatility in the semi market on our results of operations.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pPr>
      <w:r>
        <w:rPr>
          <w:rFonts w:ascii="Times New Roman" w:hAnsi="Times New Roman"/>
          <w:caps w:val="false"/>
          <w:smallCaps w:val="false"/>
          <w:sz w:val="20"/>
        </w:rPr>
        <w:t xml:space="preserve">Our Electronic Test segment sells its products to semiconductor manufacturers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test and assembly houses (end user sales) and to ATE manufacturers (original equipment manufacturer (“OEM”) sales), who ultimately resell our equipment with theirs to both semiconductor manufacturers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test and assembly houses. These sales all fall within the ATE sector of the semi market. With the acquisition of Acculogic Inc. and its affiliates (“Acculogic”) in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our Electronic Test segment also sells its products to customers in markets outside the semi market including the automotive,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pPr>
      <w:r>
        <w:rPr>
          <w:rFonts w:ascii="Times New Roman" w:hAnsi="Times New Roman"/>
          <w:caps w:val="false"/>
          <w:smallCaps w:val="false"/>
          <w:sz w:val="20"/>
        </w:rPr>
        <w:t xml:space="preserve">Our financial results are affected by a wide variety of factors,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cause us to incur substantial expense in reviewing and evaluating potential transactions.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successful in locating suitable businesses to acquire and in closing acquisitions of businesses we pursue. In addition, we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able to successfully integrate any business we do acquire with our existing business and we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able to operate the acquired business profitably. As a result of these or other factors,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experience significant period-to-period fluctuations in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11, 2023, </w:t>
      </w:r>
      <w:r>
        <w:rPr>
          <w:rFonts w:ascii="Times New Roman" w:hAnsi="Times New Roman"/>
          <w:caps w:val="false"/>
          <w:smallCaps w:val="false"/>
          <w:sz w:val="20"/>
        </w:rPr>
        <w:t xml:space="preserve">we entered into an At-the-Market Issuance Sales Agreement (the "Sales Agreement") pursuant to which we issued and sold 921,797 shares of our common stock having an aggregate offering price of $20,000 between </w:t>
      </w:r>
      <w:r>
        <w:rPr>
          <w:rStyle w:val="Emphasis"/>
          <w:rFonts w:ascii="Times New Roman" w:hAnsi="Times New Roman"/>
          <w:caps w:val="false"/>
          <w:smallCaps w:val="false"/>
          <w:sz w:val="20"/>
        </w:rPr>
        <w:t xml:space="preserve">May 11,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We received net proceeds from the sale of these shares of $19,244 after payment of commissions of 3.0% of the gross proceeds and other fees related to the sale of these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290" w:type="dxa"/>
        <w:jc w:val="left"/>
        <w:tblInd w:w="0" w:type="dxa"/>
        <w:tblLayout w:type="fixed"/>
        <w:tblCellMar>
          <w:top w:w="0" w:type="dxa"/>
          <w:left w:w="0" w:type="dxa"/>
          <w:bottom w:w="0" w:type="dxa"/>
          <w:right w:w="0" w:type="dxa"/>
        </w:tblCellMar>
      </w:tblPr>
      <w:tblGrid>
        <w:gridCol w:w="290"/>
        <w:gridCol w:w="5000"/>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2</w:t>
            </w:r>
            <w:r>
              <w:rPr>
                <w:rFonts w:ascii="Times New Roman;Times;serif" w:hAnsi="Times New Roman;Times;serif"/>
                <w:b/>
                <w:caps w:val="false"/>
                <w:smallCaps w:val="false"/>
                <w:sz w:val="20"/>
              </w:rPr>
              <w:t xml:space="preserve">) </w:t>
            </w:r>
          </w:p>
        </w:tc>
        <w:tc>
          <w:tcPr>
            <w:tcW w:w="5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Basis of Presentation and Use of Estimates</w:t>
      </w:r>
      <w:r>
        <w:rPr>
          <w:rFonts w:ascii="Times New Roman" w:hAnsi="Times New Roman"/>
          <w:caps w:val="false"/>
          <w:smallCaps w:val="false"/>
          <w:sz w:val="20"/>
        </w:rPr>
        <w:br/>
        <w:b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of our accounts, including contingent consideration, inventories, long-lived assets, goodwill, identifiable intangibles and deferred tax assets and liabilities, including related valuation allowances, are particularly impacted by estimates.</w:t>
      </w:r>
    </w:p>
    <w:p>
      <w:pPr>
        <w:pStyle w:val="TextBody"/>
        <w:bidi w:val="0"/>
        <w:spacing w:before="0" w:after="0"/>
        <w:ind w:left="102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on </w:t>
      </w:r>
      <w:r>
        <w:rPr>
          <w:rStyle w:val="Emphasis"/>
          <w:rFonts w:ascii="Times New Roman" w:hAnsi="Times New Roman"/>
          <w:caps w:val="false"/>
          <w:smallCaps w:val="false"/>
          <w:sz w:val="20"/>
        </w:rPr>
        <w:t xml:space="preserve">March 22, 2023 </w:t>
      </w:r>
      <w:r>
        <w:rPr>
          <w:rFonts w:ascii="Times New Roman" w:hAnsi="Times New Roman"/>
          <w:caps w:val="false"/>
          <w:smallCaps w:val="false"/>
          <w:sz w:val="20"/>
        </w:rPr>
        <w:t>with the Securities and Exchange Commission.</w:t>
        <w:br/>
        <w:t> </w:t>
      </w:r>
    </w:p>
    <w:p>
      <w:pPr>
        <w:pStyle w:val="TextBody"/>
        <w:bidi w:val="0"/>
        <w:spacing w:before="0" w:after="0"/>
        <w:ind w:left="10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Reclassification</w:t>
      </w:r>
      <w:r>
        <w:rPr>
          <w:rFonts w:ascii="Times New Roman" w:hAnsi="Times New Roman"/>
          <w:caps w:val="false"/>
          <w:smallCaps w:val="false"/>
          <w:sz w:val="20"/>
        </w:rPr>
        <w:br/>
        <w:br/>
        <w:t>Certain prior period amounts have been reclassified to be comparable with the current period's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b/>
          <w:i/>
          <w:caps w:val="false"/>
          <w:smallCaps w:val="false"/>
          <w:sz w:val="20"/>
          <w:u w:val="single"/>
        </w:rPr>
        <w:t>Subsequent Events</w:t>
      </w:r>
      <w:r>
        <w:rPr>
          <w:rFonts w:ascii="Times New Roman" w:hAnsi="Times New Roman"/>
          <w:caps w:val="false"/>
          <w:smallCaps w:val="false"/>
          <w:sz w:val="20"/>
        </w:rPr>
        <w:br/>
        <w:br/>
        <w:t xml:space="preserve">We have made an assessment of our operations and determined that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subsequent events requiring adjustment to, or disclosure in, our consolidated financial statements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b/>
          <w:i/>
          <w:caps w:val="false"/>
          <w:smallCaps w:val="false"/>
          <w:sz w:val="20"/>
          <w:u w:val="single"/>
        </w:rPr>
        <w:t>Business Combinations</w:t>
      </w:r>
      <w:r>
        <w:rPr>
          <w:rFonts w:ascii="Times New Roman" w:hAnsi="Times New Roman"/>
          <w:caps w:val="false"/>
          <w:smallCaps w:val="false"/>
          <w:sz w:val="20"/>
        </w:rPr>
        <w:br/>
        <w:br/>
        <w:t xml:space="preserve">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w:t>
      </w:r>
      <w:r>
        <w:rPr>
          <w:rStyle w:val="Emphasis"/>
          <w:rFonts w:ascii="Times New Roman" w:hAnsi="Times New Roman"/>
          <w:caps w:val="false"/>
          <w:smallCaps w:val="false"/>
          <w:sz w:val="20"/>
        </w:rPr>
        <w:t>third</w:t>
      </w:r>
      <w:r>
        <w:rPr>
          <w:rFonts w:ascii="Times New Roman" w:hAnsi="Times New Roman"/>
          <w:caps w:val="false"/>
          <w:smallCaps w:val="false"/>
          <w:sz w:val="20"/>
        </w:rPr>
        <w:t>-party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pPr>
      <w:r>
        <w:rPr>
          <w:rFonts w:ascii="Times New Roman" w:hAnsi="Times New Roman"/>
          <w:caps w:val="false"/>
          <w:smallCaps w:val="false"/>
          <w:sz w:val="20"/>
        </w:rPr>
        <w:t xml:space="preserve">Short-term investments that have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when purchased are considered to be cash equivalents and are carried at cost, which approximates fair value. Our cash balances, which are deposited with highly reputable financial institutions, at times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the federally insured limits.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related to these cash balances and believe the credit risk to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pPr>
      <w:r>
        <w:rPr>
          <w:rFonts w:ascii="Times New Roman" w:hAnsi="Times New Roman"/>
          <w:caps w:val="false"/>
          <w:smallCaps w:val="false"/>
          <w:sz w:val="20"/>
        </w:rPr>
        <w:t xml:space="preserve">Restricted cash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represented amounts deposited at our bank in the Netherlands to support a bank guarantee which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customers of our Process Technologies segment required as a condition of paying a deposit on a large order they placed with us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related order was Euro denominated. The amount of the deposit and related guarantee declined as shipments were made against the order.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this deposit had been fully utilized and the bank guarantee had therefore lapsed.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amount of the deposit, and, accordingly, the guarantee, was EUR 1,067, or $1,142.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0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cash, cash equivalents, and restricted cash reported within the consolidated balance sheets and the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3845"/>
        <w:gridCol w:w="60"/>
        <w:gridCol w:w="126"/>
        <w:gridCol w:w="598"/>
        <w:gridCol w:w="60"/>
        <w:gridCol w:w="60"/>
        <w:gridCol w:w="204"/>
        <w:gridCol w:w="970"/>
        <w:gridCol w:w="6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13,434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w:t>
            </w:r>
          </w:p>
        </w:tc>
        <w:tc>
          <w:tcPr>
            <w:tcW w:w="6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cash equivalents and restricted cash</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Trade 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Trade accounts receivable are recorded at the invoiced amount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bear interest. We grant credit to customers and generally require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collateral. To minimize our risk, we perform ongoing credit evaluations of our customers' financial condition. As discussed below under “Effect of Recently Adopted Amendments to Authoritative Accounting Guidance”, effective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we follow the guidance in Accounting Standards Codification (“ASC”)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(Financial Instruments – Credit Losses)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indicate future risk of loss and any other factors of which we are aware, that we believe could impact the ultimate collectability of the related receivables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Account balances are charged off against the allowance after all means of collection have been exhausted and the potential for recovery is considered remote.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significant off-balance sheet credit exposure related to our customers. Cash flows from accounts receivable are recorded in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changes in the amount of the allowance for credit losses.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we recorded a bad debt recovery of $79. This amount had been fully written off prior to our acquisition of Acculogic and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in our accounts receivable balance. There was no bad debt expense or recovery recorded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Our financial instruments include cash and cash equivalents, restricted cash, short-term investments,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short-term investments are classified as held-to-maturity and carried at amortized cost. Our credit facility and our interest rate swap are discussed further below and in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Our liabilities for contingent consideration are accounted for in accordance with the guidance in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Measurement).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for further disclosures related to the fair value of our liabilities for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b/>
          <w:i/>
          <w:caps w:val="false"/>
          <w:smallCaps w:val="false"/>
          <w:sz w:val="20"/>
          <w:u w:val="single"/>
        </w:rPr>
        <w:t>Goodwill, Intangible and Long-Lived Assets</w:t>
      </w:r>
      <w:r>
        <w:rPr>
          <w:rFonts w:ascii="Times New Roman" w:hAnsi="Times New Roman"/>
          <w:caps w:val="false"/>
          <w:smallCaps w:val="false"/>
          <w:sz w:val="20"/>
        </w:rPr>
        <w:br/>
        <w:br/>
        <w:t xml:space="preserve">We have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reportable segments which are also our reporting units: Electronic Test, Environmental Technologies and Process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account for goodwill and intangible assets in accordance with ASC Topic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(Intangibles - Goodwill and Other). Finite-lived intangible assets are amortized over their estimated useful economic life and are carried at cost less accumulated amortization. Goodwill is assessed for impairment annually at the beginning of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on a reporting unit basis, or more frequently when events and circumstances occur indicating that the recorded goodwill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impaired. Goodwill is considered to be impaired if the fair value of a reporting unit is less than its carrying amount. As a part of the goodwill impairment assessment, we have the option to perform a qualitative assessment to determine whether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If, as a result of our qualitative assessment, we determine that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the reporting unit is greater than its carrying amount, a quantitative goodwill impairment test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However, if, as a result of our qualitative assessment, we determine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or, if we choose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perform a qualitative assessment, we are required to perform a quantitative goodwill impairment test to identify potential goodwill impairment and measure the amount of goodwill impairment loss to be recognized.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20" w:right="0" w:hanging="0"/>
        <w:jc w:val="left"/>
        <w:rPr/>
      </w:pPr>
      <w:r>
        <w:rPr>
          <w:rFonts w:ascii="Times New Roman" w:hAnsi="Times New Roman"/>
          <w:caps w:val="false"/>
          <w:smallCaps w:val="false"/>
          <w:sz w:val="20"/>
        </w:rPr>
        <w:t xml:space="preserve">The quantitative goodwill impairment test compares the fair value of a reporting unit with its carrying amount, including goodwill. If the fair value of a reporting unit exceeds its carrying amount, goodwill of the reporting unit is considered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Indefinite-lived intangible assets are assessed for impairment annually at the beginning of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or more frequently if events or changes in circumstances indicate that the asset might be impaired. As a part of the impairment assessment, we have the option to perform a qualitative assessment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an indefinite-lived intangible asset is impaired. If, as a result of our qualitative assessment, we determine that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the indefinite-lived intangible asset is less than its carrying amount, the quantitative impairment test is required; otherwise,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Long-lived assets, which consist of finite-lived intangible assets, property and equipment and right-of-use (“ROU”) assets, are assessed for impairment whenever events or changes in business circumstances indicate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fully recoverable or that the useful lives of these assets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b/>
          <w:i/>
          <w:caps w:val="false"/>
          <w:smallCaps w:val="false"/>
          <w:sz w:val="20"/>
          <w:u w:val="single"/>
        </w:rPr>
        <w:t>Revenue Recognition</w:t>
      </w:r>
      <w:r>
        <w:rPr>
          <w:rFonts w:ascii="Times New Roman" w:hAnsi="Times New Roman"/>
          <w:caps w:val="false"/>
          <w:smallCaps w:val="false"/>
          <w:sz w:val="20"/>
        </w:rPr>
        <w:br/>
        <w:br/>
        <w:t xml:space="preserve">We recognize revenue in accordance with the guidance in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Revenue is recorded in an amount that reflects the consideration we expect to receive in exchange for those products or services.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material variable consideration arrangements, or any material payment terms with our customers other than standard payment terms which generally range from net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to net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We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 right of return to our customers. Revenue is recognized net of any taxes collected from customers, which are subsequently remitted to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i/>
          <w:caps w:val="false"/>
          <w:smallCaps w:val="false"/>
          <w:sz w:val="20"/>
        </w:rPr>
      </w:pPr>
      <w:r>
        <w:rPr>
          <w:rFonts w:ascii="Times New Roman" w:hAnsi="Times New Roman"/>
          <w:i/>
          <w:caps w:val="false"/>
          <w:smallCaps w:val="false"/>
          <w:sz w:val="20"/>
        </w:rPr>
        <w:t>Nature of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020" w:right="0" w:hanging="0"/>
        <w:jc w:val="left"/>
        <w:rPr>
          <w:rFonts w:ascii="Times New Roman" w:hAnsi="Times New Roman"/>
          <w:caps w:val="false"/>
          <w:smallCaps w:val="false"/>
          <w:sz w:val="20"/>
        </w:rPr>
      </w:pPr>
      <w:r>
        <w:rPr>
          <w:rFonts w:ascii="Times New Roman" w:hAnsi="Times New Roman"/>
          <w:caps w:val="false"/>
          <w:smallCaps w:val="false"/>
          <w:sz w:val="20"/>
        </w:rPr>
        <w:t>We are a global supplier of innovative test and process technology solutions for use in manufacturing and testing in targeted markets including automotive, defense/aerospace, industrial, life sciences, security and semiconductor. We sell thermal management products including ThermoStreams, ThermoChambers, process chillers, refrigerators and freezers, which we sell under our Temptronic, Sigma, Thermonics and North Sciences product lines, and Ambrell Corporation’s (“Ambrell”) precision induction heating systems, including EKOHEAT® and EASYHEATTM products. As a result of the acquisition of Videology, we sell industrial-grade circuit board mounted video digital cameras and related devices, systems and software. We sell semiconductor ATE interface solutions which include manipulators, docking hardware and electrical interface products. As a result of the acquisition of Acculogic, we sell robotics-based electronic production test equipment. We provide post-warranty service and support for the equipment we sell. We sell semiconductor ATE interface solutions and certain thermal management products to the semi market. We also sell many of our products to various other markets including the automotive, defense/aerospace, industrial, life sciences and security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lease certain of our equipment under short-term leasing agreements with original lease terms of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or less. Our lease agreements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purchase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20" w:right="0" w:hanging="0"/>
        <w:jc w:val="left"/>
        <w:rPr>
          <w:rFonts w:ascii="Times New Roman" w:hAnsi="Times New Roman"/>
          <w:i/>
          <w:caps w:val="false"/>
          <w:smallCaps w:val="false"/>
          <w:sz w:val="20"/>
        </w:rPr>
      </w:pPr>
      <w:r>
        <w:rPr>
          <w:rFonts w:ascii="Times New Roman" w:hAnsi="Times New Roman"/>
          <w:i/>
          <w:caps w:val="false"/>
          <w:smallCaps w:val="false"/>
          <w:sz w:val="20"/>
        </w:rPr>
        <w:t>Types of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i/>
          <w:caps w:val="false"/>
          <w:smallCaps w:val="false"/>
          <w:sz w:val="20"/>
        </w:rPr>
      </w:pPr>
      <w:r>
        <w:rPr>
          <w:rFonts w:ascii="Times New Roman" w:hAnsi="Times New Roman"/>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record accounts receivable at the time of invoicing. Accounts receivable, net of the allowance for credit losses, is included in current assets on our balance sheet. To the extent that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As discussed above, we follow the guidance in ASC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i/>
          <w:caps w:val="false"/>
          <w:smallCaps w:val="false"/>
          <w:sz w:val="20"/>
        </w:rPr>
      </w:pPr>
      <w:r>
        <w:rPr>
          <w:rFonts w:ascii="Times New Roman" w:hAnsi="Times New Roman"/>
          <w:i/>
          <w:caps w:val="false"/>
          <w:smallCaps w:val="false"/>
          <w:sz w:val="20"/>
        </w:rPr>
        <w:t>Costs to Obtain a Contract with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only costs we incur associated with obtaining contracts with customers are sales commissions that we pay to our internal sales personnel or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sales representatives at the time that revenue is recognized for a particular transaction. We record commission expense in our consolidated statements of operations at the time the commission is earned. Commissions earned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paid are included in current liabilities on our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i/>
          <w:caps w:val="false"/>
          <w:smallCaps w:val="false"/>
          <w:sz w:val="20"/>
        </w:rPr>
      </w:pPr>
      <w:r>
        <w:rPr>
          <w:rFonts w:ascii="Times New Roman" w:hAnsi="Times New Roman"/>
          <w:i/>
          <w:caps w:val="false"/>
          <w:smallCaps w:val="false"/>
          <w:sz w:val="20"/>
        </w:rPr>
        <w:t>Product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In connection with the sale of our products, we generally provide standard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product warranties which are detailed in our terms and conditions and communicated to our customers. Our standard warranties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offered for sale separately from our products; therefore, there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See Notes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for further information about our 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Inventories are valued at cost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excess of net realizable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Our criteria identify obsolete material as material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used in a work order during the prior </w:t>
      </w:r>
      <w:r>
        <w:rPr>
          <w:rStyle w:val="Emphasis"/>
          <w:rFonts w:ascii="Times New Roman" w:hAnsi="Times New Roman"/>
          <w:caps w:val="false"/>
          <w:smallCaps w:val="false"/>
          <w:sz w:val="20"/>
        </w:rPr>
        <w:t>twenty-four</w:t>
      </w:r>
      <w:r>
        <w:rPr>
          <w:rFonts w:ascii="Times New Roman" w:hAnsi="Times New Roman"/>
          <w:caps w:val="false"/>
          <w:smallCaps w:val="false"/>
          <w:sz w:val="20"/>
        </w:rPr>
        <w:t xml:space="preserve">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$266 and $230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account for leases in accordance with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(Leases). We determine if an arrangement is a lease at inception. A lease contract is within scope if the contract has an identified asset (property, plant or equipment) and grants the lessee the right to control the use of the asset during the lease term. The identified asset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explicitly or implicitly specified in the contract. In addition, the supplier must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practical ability to substitute a different asset and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Operating leases are included in operating lease ROU assets and operating lease liabilities in our consolidated balance sheets. Finance leases are included in property and equipment and financing lease liabilities.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financing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pay rent. For these leases, our ROU asset and lease liability are calculated including any rent holiday in the determination of the life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calculation of the ROU assets and lease liabilities as they are based on actual charges incurred in the periods to which they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caps w:val="false"/>
          <w:smallCaps w:val="false"/>
          <w:sz w:val="20"/>
        </w:rPr>
      </w:pPr>
      <w:r>
        <w:rPr>
          <w:rFonts w:ascii="Times New Roman" w:hAnsi="Times New Roman"/>
          <w:caps w:val="false"/>
          <w:smallCaps w:val="false"/>
          <w:sz w:val="20"/>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have made an accounting policy election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apply the recognition requirements of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to short-term leases (leases with a term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at the commencement date of the lease). Lease expense for short-term lease payments is recognized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for further disclosures regarding our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Interest Rate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are exposed to interest rate risk on our floating-rate debt. We have entered into an interest rate swap agreement to effectively convert our floating-rate debt to a fixed-rate basis for a portion of our floating rate debt, as discussed further in Notes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Further, we have determined that this agreement qualifies for the shortcut method of hedge accounting. Changes in the fair value of interest rate swap agreements designated as cash flow hedges are recorded as a component of accumulated other comprehensive income (loss) within stockholders’ equity and are amortized to interest expense over the term of the related 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Contingent Liability for Repayment of State and Local Grant Funds Received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both"/>
        <w:rPr/>
      </w:pPr>
      <w:r>
        <w:rPr>
          <w:rFonts w:ascii="Times New Roman" w:hAnsi="Times New Roman"/>
          <w:caps w:val="false"/>
          <w:smallCaps w:val="false"/>
          <w:sz w:val="20"/>
        </w:rPr>
        <w:t xml:space="preserve">In connection with leasing a facility in Rochester, New York, which our subsidiary, Ambrell, occupied in </w:t>
      </w:r>
      <w:r>
        <w:rPr>
          <w:rStyle w:val="Emphasis"/>
          <w:rFonts w:ascii="Times New Roman" w:hAnsi="Times New Roman"/>
          <w:caps w:val="false"/>
          <w:smallCaps w:val="false"/>
          <w:sz w:val="20"/>
        </w:rPr>
        <w:t xml:space="preserve">May 2018, </w:t>
      </w:r>
      <w:r>
        <w:rPr>
          <w:rFonts w:ascii="Times New Roman" w:hAnsi="Times New Roman"/>
          <w:caps w:val="false"/>
          <w:smallCaps w:val="false"/>
          <w:sz w:val="20"/>
        </w:rPr>
        <w:t xml:space="preserve">we entered into agreements with the city of Rochester and the state of New York under which we received grants totaling $550 to help offset a portion of the cost of the leasehold improvements we made to this facility. The final payment of $87 was received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In exchange for the funds we received under these agreements, we are required to create and maintain specified levels of employment in this location through various dates ending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If we fail to meet these employment targets,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repay a proportionate share of the proceeds.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$193 of the total proceeds received could still be required to be repaid if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targets. We have recorded this amount as a contingent liability which is included in other liabilities on our consolidated balance sheet. Those portions of the proceeds which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$273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we were in compliance with the employment targets as specified in the grant agreement with the city of Rochester.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40" w:right="0" w:hanging="0"/>
        <w:jc w:val="left"/>
        <w:rPr/>
      </w:pPr>
      <w:r>
        <w:rPr>
          <w:rFonts w:ascii="Times New Roman" w:hAnsi="Times New Roman"/>
          <w:b/>
          <w:i/>
          <w:caps w:val="false"/>
          <w:smallCaps w:val="false"/>
          <w:sz w:val="20"/>
          <w:u w:val="single"/>
        </w:rPr>
        <w:t>Stock-Based Compensation</w:t>
      </w:r>
      <w:r>
        <w:rPr>
          <w:rFonts w:ascii="Times New Roman" w:hAnsi="Times New Roman"/>
          <w:caps w:val="false"/>
          <w:smallCaps w:val="false"/>
          <w:sz w:val="20"/>
        </w:rPr>
        <w:br/>
        <w:br/>
        <w:t xml:space="preserve">We account for stock-based compensation in accordance with 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w:t>
      </w:r>
      <w:r>
        <w:rPr>
          <w:rStyle w:val="Emphasis"/>
          <w:rFonts w:ascii="Times New Roman" w:hAnsi="Times New Roman"/>
          <w:caps w:val="false"/>
          <w:smallCaps w:val="false"/>
          <w:sz w:val="2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b/>
          <w:i/>
          <w:caps w:val="false"/>
          <w:smallCaps w:val="false"/>
          <w:sz w:val="20"/>
          <w:u w:val="single"/>
        </w:rPr>
        <w:t>Income Taxes</w:t>
      </w:r>
      <w:r>
        <w:rPr>
          <w:rFonts w:ascii="Times New Roman" w:hAnsi="Times New Roman"/>
          <w:caps w:val="false"/>
          <w:smallCaps w:val="false"/>
          <w:sz w:val="20"/>
        </w:rPr>
        <w:br/>
        <w:br/>
        <w:t xml:space="preserve">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such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Earnings Per Common Share</w:t>
      </w:r>
      <w:r>
        <w:rPr>
          <w:rFonts w:ascii="Times New Roman" w:hAnsi="Times New Roman"/>
          <w:caps w:val="false"/>
          <w:smallCaps w:val="false"/>
          <w:sz w:val="20"/>
        </w:rPr>
        <w:br/>
        <w:br/>
        <w:t>Earnings per common share - basic is computed by dividing net earnings by the weighted average number of common shares outstanding during each period. Earnings per common share - diluted is computed by dividing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rFonts w:ascii="Times New Roman" w:hAnsi="Times New Roman"/>
          <w:caps w:val="false"/>
          <w:smallCaps w:val="false"/>
          <w:sz w:val="20"/>
        </w:rPr>
      </w:pPr>
      <w:r>
        <w:rPr>
          <w:rFonts w:ascii="Times New Roman" w:hAnsi="Times New Roman"/>
          <w:caps w:val="false"/>
          <w:smallCaps w:val="false"/>
          <w:sz w:val="20"/>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tbl>
      <w:tblPr>
        <w:tblW w:w="10205" w:type="dxa"/>
        <w:jc w:val="left"/>
        <w:tblInd w:w="0" w:type="dxa"/>
        <w:tblLayout w:type="fixed"/>
        <w:tblCellMar>
          <w:top w:w="0" w:type="dxa"/>
          <w:left w:w="0" w:type="dxa"/>
          <w:bottom w:w="0" w:type="dxa"/>
          <w:right w:w="0" w:type="dxa"/>
        </w:tblCellMar>
      </w:tblPr>
      <w:tblGrid>
        <w:gridCol w:w="5685"/>
        <w:gridCol w:w="60"/>
        <w:gridCol w:w="60"/>
        <w:gridCol w:w="950"/>
        <w:gridCol w:w="60"/>
        <w:gridCol w:w="60"/>
        <w:gridCol w:w="60"/>
        <w:gridCol w:w="950"/>
        <w:gridCol w:w="60"/>
        <w:gridCol w:w="60"/>
        <w:gridCol w:w="60"/>
        <w:gridCol w:w="950"/>
        <w:gridCol w:w="60"/>
        <w:gridCol w:w="60"/>
        <w:gridCol w:w="60"/>
        <w:gridCol w:w="950"/>
        <w:gridCol w:w="60"/>
      </w:tblGrid>
      <w:tr>
        <w:trPr/>
        <w:tc>
          <w:tcPr>
            <w:tcW w:w="5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br/>
              <w:t xml:space="preserve">June 30, </w:t>
            </w:r>
          </w:p>
        </w:tc>
        <w:tc>
          <w:tcPr>
            <w:tcW w:w="60" w:type="dxa"/>
            <w:tcBorders/>
            <w:vAlign w:val="center"/>
          </w:tcPr>
          <w:p>
            <w:pPr>
              <w:pStyle w:val="TableContents"/>
              <w:bidi w:val="0"/>
              <w:spacing w:before="0" w:after="283"/>
              <w:jc w:val="left"/>
              <w:rPr/>
            </w:pPr>
            <w:r>
              <w:rPr/>
              <w:t> </w:t>
            </w:r>
          </w:p>
        </w:tc>
      </w:tr>
      <w:tr>
        <w:trPr/>
        <w:tc>
          <w:tcPr>
            <w:tcW w:w="5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56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11,241,183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10,653,268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10,998,456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10,635,270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Potentially dilutive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568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Unvested shares of restricted stock and employee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193,426</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568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common shares and common share equivalents outstanding - 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11,696,569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10,814,799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11,392,617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10,828,696</w:t>
            </w:r>
          </w:p>
        </w:tc>
        <w:tc>
          <w:tcPr>
            <w:tcW w:w="6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568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Average number of potentially dilutive securities excluded from calculation because their effect was anti-dilutive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477,448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Effect of Recently Adopted Amendments to Authoritative Accounting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2016, </w:t>
      </w:r>
      <w:r>
        <w:rPr>
          <w:rFonts w:ascii="Times New Roman" w:hAnsi="Times New Roman"/>
          <w:caps w:val="false"/>
          <w:smallCaps w:val="false"/>
          <w:sz w:val="20"/>
        </w:rPr>
        <w:t xml:space="preserve">the Financial Accounting Standards Board (“FASB”) issued amendments to the guidance for accounting for credit losses. In </w:t>
      </w:r>
      <w:r>
        <w:rPr>
          <w:rStyle w:val="Emphasis"/>
          <w:rFonts w:ascii="Times New Roman" w:hAnsi="Times New Roman"/>
          <w:caps w:val="false"/>
          <w:smallCaps w:val="false"/>
          <w:sz w:val="20"/>
        </w:rPr>
        <w:t xml:space="preserve">November 2019, </w:t>
      </w:r>
      <w:r>
        <w:rPr>
          <w:rFonts w:ascii="Times New Roman" w:hAnsi="Times New Roman"/>
          <w:caps w:val="false"/>
          <w:smallCaps w:val="false"/>
          <w:sz w:val="20"/>
        </w:rPr>
        <w:t xml:space="preserve">the FASB deferred the effective date of these amendments for certain companies, including smaller reporting companies. As a result of the deferral, the amendments were effective for us for reporting periods beginning after </w:t>
      </w:r>
      <w:r>
        <w:rPr>
          <w:rStyle w:val="Emphasis"/>
          <w:rFonts w:ascii="Times New Roman" w:hAnsi="Times New Roman"/>
          <w:caps w:val="false"/>
          <w:smallCaps w:val="false"/>
          <w:sz w:val="20"/>
        </w:rPr>
        <w:t xml:space="preserve">December 15, 2022. </w:t>
      </w:r>
      <w:r>
        <w:rPr>
          <w:rFonts w:ascii="Times New Roman" w:hAnsi="Times New Roman"/>
          <w:caps w:val="false"/>
          <w:smallCaps w:val="false"/>
          <w:sz w:val="20"/>
        </w:rPr>
        <w:t xml:space="preserve">The amendments replaced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reporting period in which the guidance is effective. We adopted the amendments when they became effective for us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The adoption of these amendments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190" w:type="dxa"/>
        <w:jc w:val="left"/>
        <w:tblInd w:w="0" w:type="dxa"/>
        <w:tblLayout w:type="fixed"/>
        <w:tblCellMar>
          <w:top w:w="0" w:type="dxa"/>
          <w:left w:w="0" w:type="dxa"/>
          <w:bottom w:w="0" w:type="dxa"/>
          <w:right w:w="0" w:type="dxa"/>
        </w:tblCellMar>
      </w:tblPr>
      <w:tblGrid>
        <w:gridCol w:w="245"/>
        <w:gridCol w:w="294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3</w:t>
            </w:r>
            <w:r>
              <w:rPr>
                <w:rFonts w:ascii="Times New Roman;Times;serif" w:hAnsi="Times New Roman;Times;serif"/>
                <w:b/>
                <w:caps w:val="false"/>
                <w:smallCaps w:val="false"/>
                <w:sz w:val="20"/>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FAIR VALUE MEASUREMENTS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that distinguishes among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Valuations based on unadjusted quoted prices in active markets for identical assets or liabilities that we have the ability to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Valuations based on quoted prices for similar assets or liabilities in active markets, quoted prices for identical or similar assets or liabilities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and models for which all significant inputs are observable, either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Valuations based on inputs that are unobservable and significant to the overall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 financial instrument's level within the fair value hierarchy is based on the lowest level of any input that is significant to the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interest rate swap agreement we entered into in connection with our Term Note, as discussed further in Notes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is measured at fair value on a recurring basis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The contingent consideration liability on our balance sheets is measured at fair value on a recurring basis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Our contingent consideration liability is a result of our acquisition of Acculogic on </w:t>
      </w:r>
      <w:r>
        <w:rPr>
          <w:rStyle w:val="Emphasis"/>
          <w:rFonts w:ascii="Times New Roman" w:hAnsi="Times New Roman"/>
          <w:caps w:val="false"/>
          <w:smallCaps w:val="false"/>
          <w:sz w:val="20"/>
        </w:rPr>
        <w:t xml:space="preserve">December 21, 2021, </w:t>
      </w:r>
      <w:r>
        <w:rPr>
          <w:rFonts w:ascii="Times New Roman" w:hAnsi="Times New Roman"/>
          <w:caps w:val="false"/>
          <w:smallCaps w:val="false"/>
          <w:sz w:val="20"/>
        </w:rPr>
        <w:t xml:space="preserve">and represents the estimated fair value of the additional cash consideration payable that is contingent upon sales to Electric Vehicle (“EV”) or battery customers. Our acquisition of Acculogic and this liability are both discussed further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our consolidated financial statements in our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 current portion of this liability totaled $331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$324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and was included in Other Current Liabilities on our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rFonts w:ascii="Times New Roman" w:hAnsi="Times New Roman"/>
          <w:caps w:val="false"/>
          <w:smallCaps w:val="false"/>
          <w:sz w:val="20"/>
        </w:rPr>
      </w:pPr>
      <w:r>
        <w:rPr>
          <w:rFonts w:ascii="Times New Roman" w:hAnsi="Times New Roman"/>
          <w:caps w:val="false"/>
          <w:smallCaps w:val="false"/>
          <w:sz w:val="20"/>
        </w:rPr>
        <w:t>The following fair value hierarchy table presents information about assets and (liabilities)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3845"/>
        <w:gridCol w:w="60"/>
        <w:gridCol w:w="182"/>
        <w:gridCol w:w="798"/>
        <w:gridCol w:w="80"/>
        <w:gridCol w:w="60"/>
        <w:gridCol w:w="395"/>
        <w:gridCol w:w="254"/>
        <w:gridCol w:w="101"/>
        <w:gridCol w:w="101"/>
        <w:gridCol w:w="211"/>
        <w:gridCol w:w="565"/>
        <w:gridCol w:w="101"/>
        <w:gridCol w:w="101"/>
        <w:gridCol w:w="211"/>
        <w:gridCol w:w="920"/>
        <w:gridCol w:w="8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Measurement Using</w:t>
            </w:r>
          </w:p>
        </w:tc>
        <w:tc>
          <w:tcPr>
            <w:tcW w:w="8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80"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 of June 30, 2023</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 liability – Acculogic</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3845"/>
        <w:gridCol w:w="60"/>
        <w:gridCol w:w="182"/>
        <w:gridCol w:w="798"/>
        <w:gridCol w:w="80"/>
        <w:gridCol w:w="60"/>
        <w:gridCol w:w="395"/>
        <w:gridCol w:w="254"/>
        <w:gridCol w:w="101"/>
        <w:gridCol w:w="101"/>
        <w:gridCol w:w="211"/>
        <w:gridCol w:w="565"/>
        <w:gridCol w:w="101"/>
        <w:gridCol w:w="101"/>
        <w:gridCol w:w="211"/>
        <w:gridCol w:w="920"/>
        <w:gridCol w:w="8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at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Measurement Using</w:t>
            </w:r>
          </w:p>
        </w:tc>
        <w:tc>
          <w:tcPr>
            <w:tcW w:w="8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80"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 of December 31, 2022</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 liability – Acculogic</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(1,363</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(1,363</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Changes in the fair value of our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contingent consideration liabilities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were as follows:</w:t>
      </w:r>
    </w:p>
    <w:tbl>
      <w:tblPr>
        <w:tblW w:w="5454" w:type="dxa"/>
        <w:jc w:val="left"/>
        <w:tblInd w:w="0" w:type="dxa"/>
        <w:tblLayout w:type="fixed"/>
        <w:tblCellMar>
          <w:top w:w="0" w:type="dxa"/>
          <w:left w:w="0" w:type="dxa"/>
          <w:bottom w:w="0" w:type="dxa"/>
          <w:right w:w="0" w:type="dxa"/>
        </w:tblCellMar>
      </w:tblPr>
      <w:tblGrid>
        <w:gridCol w:w="4100"/>
        <w:gridCol w:w="60"/>
        <w:gridCol w:w="252"/>
        <w:gridCol w:w="982"/>
        <w:gridCol w:w="6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w:t>
              <w:br/>
              <w:t>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2023</w:t>
            </w:r>
          </w:p>
        </w:tc>
        <w:tc>
          <w:tcPr>
            <w:tcW w:w="60" w:type="dxa"/>
            <w:tcBorders/>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Impact of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940" w:type="dxa"/>
        <w:jc w:val="left"/>
        <w:tblInd w:w="0" w:type="dxa"/>
        <w:tblLayout w:type="fixed"/>
        <w:tblCellMar>
          <w:top w:w="0" w:type="dxa"/>
          <w:left w:w="0" w:type="dxa"/>
          <w:bottom w:w="0" w:type="dxa"/>
          <w:right w:w="0" w:type="dxa"/>
        </w:tblCellMar>
      </w:tblPr>
      <w:tblGrid>
        <w:gridCol w:w="290"/>
        <w:gridCol w:w="3650"/>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4</w:t>
            </w:r>
            <w:r>
              <w:rPr>
                <w:rFonts w:ascii="Times New Roman;Times;serif" w:hAnsi="Times New Roman;Times;serif"/>
                <w:b/>
                <w:caps w:val="false"/>
                <w:smallCaps w:val="false"/>
                <w:sz w:val="20"/>
              </w:rPr>
              <w:t xml:space="preserve">) </w:t>
            </w:r>
          </w:p>
        </w:tc>
        <w:tc>
          <w:tcPr>
            <w:tcW w:w="3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operating segments which are also our reporting units: Electronic Test, Environmental Technologies and Process Technologies. Goodwill and intangible assets on our balance sheets are the result of our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b/>
          <w:i/>
          <w:caps w:val="false"/>
          <w:smallCaps w:val="false"/>
          <w:sz w:val="20"/>
          <w:u w:val="single"/>
        </w:rPr>
        <w:t>Goodwill</w:t>
      </w:r>
      <w:r>
        <w:rPr>
          <w:rFonts w:ascii="Times New Roman" w:hAnsi="Times New Roman"/>
          <w:caps w:val="false"/>
          <w:smallCaps w:val="false"/>
          <w:sz w:val="20"/>
        </w:rPr>
        <w:br/>
        <w:br/>
        <w:t xml:space="preserve">Changes in the amount of the carrying value of goodwill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are as follows:</w:t>
      </w:r>
    </w:p>
    <w:p>
      <w:pPr>
        <w:pStyle w:val="TextBody"/>
        <w:bidi w:val="0"/>
        <w:spacing w:before="0" w:after="0"/>
        <w:ind w:left="0" w:right="0" w:hanging="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4100"/>
        <w:gridCol w:w="60"/>
        <w:gridCol w:w="125"/>
        <w:gridCol w:w="590"/>
        <w:gridCol w:w="60"/>
      </w:tblGrid>
      <w:tr>
        <w:trPr/>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21,605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Impact of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 June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21,707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Goodwill was comprised of the following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tbl>
      <w:tblPr>
        <w:tblW w:w="4528" w:type="dxa"/>
        <w:jc w:val="left"/>
        <w:tblInd w:w="0" w:type="dxa"/>
        <w:tblLayout w:type="fixed"/>
        <w:tblCellMar>
          <w:top w:w="0" w:type="dxa"/>
          <w:left w:w="0" w:type="dxa"/>
          <w:bottom w:w="0" w:type="dxa"/>
          <w:right w:w="0" w:type="dxa"/>
        </w:tblCellMar>
      </w:tblPr>
      <w:tblGrid>
        <w:gridCol w:w="2390"/>
        <w:gridCol w:w="60"/>
        <w:gridCol w:w="126"/>
        <w:gridCol w:w="598"/>
        <w:gridCol w:w="60"/>
        <w:gridCol w:w="60"/>
        <w:gridCol w:w="204"/>
        <w:gridCol w:w="970"/>
        <w:gridCol w:w="6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Electronic Test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Environmental Technologies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Process Technologies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16,419</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21,605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b/>
          <w:i/>
          <w:caps w:val="false"/>
          <w:smallCaps w:val="false"/>
          <w:sz w:val="20"/>
          <w:u w:val="single"/>
        </w:rPr>
        <w:t>Intangible Assets</w:t>
      </w:r>
      <w:r>
        <w:rPr>
          <w:rFonts w:ascii="Times New Roman" w:hAnsi="Times New Roman"/>
          <w:caps w:val="false"/>
          <w:smallCaps w:val="false"/>
          <w:sz w:val="20"/>
        </w:rPr>
        <w:br/>
        <w:br/>
        <w:t xml:space="preserve">Changes in the amount of the carrying value of indefinite-lived intangible assets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are as follows:</w:t>
      </w:r>
    </w:p>
    <w:p>
      <w:pPr>
        <w:pStyle w:val="TextBody"/>
        <w:bidi w:val="0"/>
        <w:spacing w:before="0" w:after="0"/>
        <w:ind w:left="0" w:right="0" w:hanging="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4100"/>
        <w:gridCol w:w="60"/>
        <w:gridCol w:w="125"/>
        <w:gridCol w:w="485"/>
        <w:gridCol w:w="60"/>
      </w:tblGrid>
      <w:tr>
        <w:trPr/>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Impact of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 June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Changes in the amount of the carrying value of finite-lived intangible assets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are as follows:</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100"/>
        <w:gridCol w:w="60"/>
        <w:gridCol w:w="125"/>
        <w:gridCol w:w="590"/>
        <w:gridCol w:w="80"/>
      </w:tblGrid>
      <w:tr>
        <w:trPr/>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Impact of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 June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Intangible assets were allocated to our reporting segments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as follows:</w:t>
      </w:r>
    </w:p>
    <w:p>
      <w:pPr>
        <w:pStyle w:val="TextBody"/>
        <w:bidi w:val="0"/>
        <w:spacing w:before="0" w:after="0"/>
        <w:ind w:left="0" w:right="0" w:hanging="0"/>
        <w:jc w:val="left"/>
        <w:rPr>
          <w:caps w:val="false"/>
          <w:smallCaps w:val="false"/>
        </w:rPr>
      </w:pPr>
      <w:r>
        <w:rPr>
          <w:caps w:val="false"/>
          <w:smallCaps w:val="false"/>
        </w:rPr>
        <w:t> </w:t>
      </w:r>
    </w:p>
    <w:tbl>
      <w:tblPr>
        <w:tblW w:w="4528" w:type="dxa"/>
        <w:jc w:val="left"/>
        <w:tblInd w:w="0" w:type="dxa"/>
        <w:tblLayout w:type="fixed"/>
        <w:tblCellMar>
          <w:top w:w="0" w:type="dxa"/>
          <w:left w:w="0" w:type="dxa"/>
          <w:bottom w:w="0" w:type="dxa"/>
          <w:right w:w="0" w:type="dxa"/>
        </w:tblCellMar>
      </w:tblPr>
      <w:tblGrid>
        <w:gridCol w:w="2390"/>
        <w:gridCol w:w="60"/>
        <w:gridCol w:w="126"/>
        <w:gridCol w:w="598"/>
        <w:gridCol w:w="60"/>
        <w:gridCol w:w="60"/>
        <w:gridCol w:w="204"/>
        <w:gridCol w:w="970"/>
        <w:gridCol w:w="6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Electronic Test: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Environmental Technologies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Process Technologies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13,588</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20" w:right="0" w:hanging="0"/>
        <w:jc w:val="left"/>
        <w:rPr/>
      </w:pPr>
      <w:r>
        <w:rPr>
          <w:rFonts w:ascii="Times New Roman" w:hAnsi="Times New Roman"/>
          <w:caps w:val="false"/>
          <w:smallCaps w:val="false"/>
          <w:sz w:val="20"/>
        </w:rPr>
        <w:t xml:space="preserve">The following tables provide further detail about our intangible assets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tbl>
      <w:tblPr>
        <w:tblW w:w="5974" w:type="dxa"/>
        <w:jc w:val="left"/>
        <w:tblInd w:w="0" w:type="dxa"/>
        <w:tblLayout w:type="fixed"/>
        <w:tblCellMar>
          <w:top w:w="0" w:type="dxa"/>
          <w:left w:w="0" w:type="dxa"/>
          <w:bottom w:w="0" w:type="dxa"/>
          <w:right w:w="0" w:type="dxa"/>
        </w:tblCellMar>
      </w:tblPr>
      <w:tblGrid>
        <w:gridCol w:w="2810"/>
        <w:gridCol w:w="60"/>
        <w:gridCol w:w="142"/>
        <w:gridCol w:w="673"/>
        <w:gridCol w:w="60"/>
        <w:gridCol w:w="60"/>
        <w:gridCol w:w="204"/>
        <w:gridCol w:w="970"/>
        <w:gridCol w:w="60"/>
        <w:gridCol w:w="60"/>
        <w:gridCol w:w="142"/>
        <w:gridCol w:w="673"/>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4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June 30, 2023 </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Accumulated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w:t>
              <w:br/>
              <w:t>Carrying</w:t>
              <w:br/>
              <w:t>Amount</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7,535</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1,683</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Patents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Trade name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finite-lived intangible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74" w:type="dxa"/>
        <w:jc w:val="left"/>
        <w:tblInd w:w="0" w:type="dxa"/>
        <w:tblLayout w:type="fixed"/>
        <w:tblCellMar>
          <w:top w:w="0" w:type="dxa"/>
          <w:left w:w="0" w:type="dxa"/>
          <w:bottom w:w="0" w:type="dxa"/>
          <w:right w:w="0" w:type="dxa"/>
        </w:tblCellMar>
      </w:tblPr>
      <w:tblGrid>
        <w:gridCol w:w="2810"/>
        <w:gridCol w:w="60"/>
        <w:gridCol w:w="142"/>
        <w:gridCol w:w="673"/>
        <w:gridCol w:w="60"/>
        <w:gridCol w:w="60"/>
        <w:gridCol w:w="204"/>
        <w:gridCol w:w="970"/>
        <w:gridCol w:w="60"/>
        <w:gridCol w:w="60"/>
        <w:gridCol w:w="142"/>
        <w:gridCol w:w="673"/>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4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2022 </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Accumulated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w:t>
              <w:br/>
              <w:t>Carrying</w:t>
              <w:br/>
              <w:t>Amount</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Finite-lived intangible assets: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8,323</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1,867</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Patents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Backlog</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28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Trade name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Indefinite-lived intangible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28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18,559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intangible assets have any residual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following table sets forth the estimated annual amortization expense for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tbl>
      <w:tblPr>
        <w:tblW w:w="2145" w:type="dxa"/>
        <w:jc w:val="left"/>
        <w:tblInd w:w="0" w:type="dxa"/>
        <w:tblLayout w:type="fixed"/>
        <w:tblCellMar>
          <w:top w:w="0" w:type="dxa"/>
          <w:left w:w="0" w:type="dxa"/>
          <w:bottom w:w="0" w:type="dxa"/>
          <w:right w:w="0" w:type="dxa"/>
        </w:tblCellMar>
      </w:tblPr>
      <w:tblGrid>
        <w:gridCol w:w="1415"/>
        <w:gridCol w:w="60"/>
        <w:gridCol w:w="125"/>
        <w:gridCol w:w="485"/>
        <w:gridCol w:w="60"/>
      </w:tblGrid>
      <w:tr>
        <w:trPr/>
        <w:tc>
          <w:tcPr>
            <w:tcW w:w="1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990" w:type="dxa"/>
        <w:jc w:val="left"/>
        <w:tblInd w:w="0" w:type="dxa"/>
        <w:tblLayout w:type="fixed"/>
        <w:tblCellMar>
          <w:top w:w="0" w:type="dxa"/>
          <w:left w:w="0" w:type="dxa"/>
          <w:bottom w:w="0" w:type="dxa"/>
          <w:right w:w="0" w:type="dxa"/>
        </w:tblCellMar>
      </w:tblPr>
      <w:tblGrid>
        <w:gridCol w:w="290"/>
        <w:gridCol w:w="4700"/>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5</w:t>
            </w:r>
            <w:r>
              <w:rPr>
                <w:rFonts w:ascii="Times New Roman;Times;serif" w:hAnsi="Times New Roman;Times;serif"/>
                <w:b/>
                <w:caps w:val="false"/>
                <w:smallCaps w:val="false"/>
                <w:sz w:val="20"/>
              </w:rPr>
              <w:t xml:space="preserve">) </w:t>
            </w:r>
          </w:p>
        </w:tc>
        <w:tc>
          <w:tcPr>
            <w:tcW w:w="47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FROM CONTRACTS WITH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following tables provide additional information about our revenue from contracts with customers, including revenue by customer and product type and revenue by market. The information about revenue by customer and product type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has been reclassified to be consistent with how the information for the current period is presented. See also Note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for information about revenue by operating segment and geographic region.</w:t>
      </w:r>
    </w:p>
    <w:p>
      <w:pPr>
        <w:pStyle w:val="TextBody"/>
        <w:bidi w:val="0"/>
        <w:spacing w:before="0" w:after="0"/>
        <w:ind w:left="0" w:right="0" w:hanging="0"/>
        <w:jc w:val="left"/>
        <w:rPr>
          <w:caps w:val="false"/>
          <w:smallCaps w:val="false"/>
        </w:rPr>
      </w:pPr>
      <w:r>
        <w:rPr>
          <w:caps w:val="false"/>
          <w:smallCaps w:val="false"/>
        </w:rPr>
        <w:t> </w:t>
      </w:r>
    </w:p>
    <w:tbl>
      <w:tblPr>
        <w:tblW w:w="6958" w:type="dxa"/>
        <w:jc w:val="left"/>
        <w:tblInd w:w="0" w:type="dxa"/>
        <w:tblLayout w:type="fixed"/>
        <w:tblCellMar>
          <w:top w:w="0" w:type="dxa"/>
          <w:left w:w="0" w:type="dxa"/>
          <w:bottom w:w="0" w:type="dxa"/>
          <w:right w:w="0" w:type="dxa"/>
        </w:tblCellMar>
      </w:tblPr>
      <w:tblGrid>
        <w:gridCol w:w="3380"/>
        <w:gridCol w:w="60"/>
        <w:gridCol w:w="144"/>
        <w:gridCol w:w="681"/>
        <w:gridCol w:w="69"/>
        <w:gridCol w:w="69"/>
        <w:gridCol w:w="144"/>
        <w:gridCol w:w="681"/>
        <w:gridCol w:w="60"/>
        <w:gridCol w:w="60"/>
        <w:gridCol w:w="125"/>
        <w:gridCol w:w="590"/>
        <w:gridCol w:w="60"/>
        <w:gridCol w:w="60"/>
        <w:gridCol w:w="125"/>
        <w:gridCol w:w="590"/>
        <w:gridCol w:w="6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br/>
              <w:t xml:space="preserve">June 30, </w:t>
            </w:r>
          </w:p>
        </w:tc>
        <w:tc>
          <w:tcPr>
            <w:tcW w:w="6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firstLine="14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by customer type: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 user</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21,877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39,237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OEM/Integrator</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14,415</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32,558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53,652</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by product type: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Thermal test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11,008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Thermal process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Semiconductor test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12,639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Video imaging</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Flying probe and in-circuit testers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Service/other</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5,019</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32,558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53,652</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by market: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Semiconductor</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18,833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29,799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Automotive (including Electric Vehicles)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Defense/aerospace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Life Sciences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5,622</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32,558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6</w:t>
            </w:r>
            <w:r>
              <w:rPr>
                <w:rFonts w:ascii="Times New Roman;Times;serif" w:hAnsi="Times New Roman;Times;serif"/>
                <w:b/>
                <w:caps w:val="false"/>
                <w:smallCaps w:val="false"/>
                <w:sz w:val="20"/>
              </w:rPr>
              <w:t xml:space="preserve">) </w:t>
            </w:r>
          </w:p>
        </w:tc>
        <w:tc>
          <w:tcPr>
            <w:tcW w:w="19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MAJOR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one customer accounted for 14% of our consolidated revenue. This revenue was primarily generated by our Electronic Test segment.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customers accounted for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our consolidated revenue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2022, no</w:t>
      </w:r>
      <w:r>
        <w:rPr>
          <w:rFonts w:ascii="Times New Roman" w:hAnsi="Times New Roman"/>
          <w:caps w:val="false"/>
          <w:smallCaps w:val="false"/>
          <w:sz w:val="20"/>
        </w:rPr>
        <w:t xml:space="preserve"> customer accounted for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our consolidated revenue.</w:t>
      </w:r>
    </w:p>
    <w:p>
      <w:pPr>
        <w:pStyle w:val="TextBody"/>
        <w:bidi w:val="0"/>
        <w:spacing w:before="0" w:after="0"/>
        <w:ind w:left="102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660" w:type="dxa"/>
        <w:jc w:val="left"/>
        <w:tblInd w:w="0" w:type="dxa"/>
        <w:tblLayout w:type="fixed"/>
        <w:tblCellMar>
          <w:top w:w="0" w:type="dxa"/>
          <w:left w:w="0" w:type="dxa"/>
          <w:bottom w:w="0" w:type="dxa"/>
          <w:right w:w="0" w:type="dxa"/>
        </w:tblCellMar>
      </w:tblPr>
      <w:tblGrid>
        <w:gridCol w:w="290"/>
        <w:gridCol w:w="1370"/>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7</w:t>
            </w:r>
            <w:r>
              <w:rPr>
                <w:rFonts w:ascii="Times New Roman;Times;serif" w:hAnsi="Times New Roman;Times;serif"/>
                <w:b/>
                <w:caps w:val="false"/>
                <w:smallCaps w:val="false"/>
                <w:sz w:val="20"/>
              </w:rPr>
              <w:t xml:space="preserve">) </w:t>
            </w:r>
          </w:p>
        </w:tc>
        <w:tc>
          <w:tcPr>
            <w:tcW w:w="13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Inventories held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4678" w:type="dxa"/>
        <w:jc w:val="left"/>
        <w:tblInd w:w="0" w:type="dxa"/>
        <w:tblLayout w:type="fixed"/>
        <w:tblCellMar>
          <w:top w:w="0" w:type="dxa"/>
          <w:left w:w="0" w:type="dxa"/>
          <w:bottom w:w="0" w:type="dxa"/>
          <w:right w:w="0" w:type="dxa"/>
        </w:tblCellMar>
      </w:tblPr>
      <w:tblGrid>
        <w:gridCol w:w="2450"/>
        <w:gridCol w:w="60"/>
        <w:gridCol w:w="134"/>
        <w:gridCol w:w="635"/>
        <w:gridCol w:w="60"/>
        <w:gridCol w:w="60"/>
        <w:gridCol w:w="211"/>
        <w:gridCol w:w="1008"/>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June 30,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16,888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consigned to others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22,565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31" w:type="dxa"/>
        <w:jc w:val="left"/>
        <w:tblInd w:w="0" w:type="dxa"/>
        <w:tblLayout w:type="fixed"/>
        <w:tblCellMar>
          <w:top w:w="0" w:type="dxa"/>
          <w:left w:w="0" w:type="dxa"/>
          <w:bottom w:w="0" w:type="dxa"/>
          <w:right w:w="0" w:type="dxa"/>
        </w:tblCellMar>
      </w:tblPr>
      <w:tblGrid>
        <w:gridCol w:w="3155"/>
        <w:gridCol w:w="60"/>
        <w:gridCol w:w="215"/>
        <w:gridCol w:w="576"/>
        <w:gridCol w:w="103"/>
        <w:gridCol w:w="103"/>
        <w:gridCol w:w="215"/>
        <w:gridCol w:w="576"/>
        <w:gridCol w:w="60"/>
        <w:gridCol w:w="60"/>
        <w:gridCol w:w="186"/>
        <w:gridCol w:w="499"/>
        <w:gridCol w:w="89"/>
        <w:gridCol w:w="89"/>
        <w:gridCol w:w="186"/>
        <w:gridCol w:w="499"/>
        <w:gridCol w:w="6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br/>
              <w:t xml:space="preserve">June 30, </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firstLine="14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Excess and obsolete inventory charges</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105" w:type="dxa"/>
        <w:jc w:val="left"/>
        <w:tblInd w:w="0" w:type="dxa"/>
        <w:tblLayout w:type="fixed"/>
        <w:tblCellMar>
          <w:top w:w="0" w:type="dxa"/>
          <w:left w:w="0" w:type="dxa"/>
          <w:bottom w:w="0" w:type="dxa"/>
          <w:right w:w="0" w:type="dxa"/>
        </w:tblCellMar>
      </w:tblPr>
      <w:tblGrid>
        <w:gridCol w:w="290"/>
        <w:gridCol w:w="815"/>
      </w:tblGrid>
      <w:tr>
        <w:trPr/>
        <w:tc>
          <w:tcPr>
            <w:tcW w:w="290" w:type="dxa"/>
            <w:tcBorders/>
            <w:vAlign w:val="center"/>
          </w:tcPr>
          <w:p>
            <w:pPr>
              <w:pStyle w:val="TableContents"/>
              <w:bidi w:val="0"/>
              <w:spacing w:before="0" w:after="0"/>
              <w:ind w:left="0" w:right="0" w:hanging="0"/>
              <w:jc w:val="left"/>
              <w:rPr/>
            </w:pPr>
            <w:r>
              <w:rPr>
                <w:rFonts w:ascii="Times New Roman" w:hAnsi="Times New Roman"/>
                <w:b/>
                <w:caps w:val="false"/>
                <w:smallCaps w:val="false"/>
                <w:sz w:val="20"/>
              </w:rPr>
              <w:t>(</w:t>
            </w:r>
            <w:r>
              <w:rPr>
                <w:rStyle w:val="Emphasis"/>
                <w:rFonts w:ascii="Times New Roman" w:hAnsi="Times New Roman"/>
                <w:b/>
                <w:caps w:val="false"/>
                <w:smallCaps w:val="false"/>
                <w:sz w:val="20"/>
              </w:rPr>
              <w:t>8</w:t>
            </w:r>
            <w:r>
              <w:rPr>
                <w:rFonts w:ascii="Times New Roman" w:hAnsi="Times New Roman"/>
                <w:b/>
                <w:caps w:val="false"/>
                <w:smallCaps w:val="false"/>
                <w:sz w:val="20"/>
              </w:rPr>
              <w:t>)</w:t>
            </w:r>
            <w:r>
              <w:rPr>
                <w:rFonts w:ascii="Times New Roman" w:hAnsi="Times New Roman"/>
                <w:caps w:val="false"/>
                <w:smallCaps w:val="false"/>
                <w:sz w:val="20"/>
              </w:rPr>
              <w:t> </w:t>
            </w:r>
          </w:p>
        </w:tc>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LEASES</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As previously discussed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we account for our leases in accordance with the guidance in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We lease our offices, warehouse facilities and certain equipment under non-cancellable operating leases that expire at various dates through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Total operating lease and short-term lease costs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as follows: </w:t>
      </w:r>
    </w:p>
    <w:p>
      <w:pPr>
        <w:pStyle w:val="TextBody"/>
        <w:bidi w:val="0"/>
        <w:spacing w:before="0" w:after="0"/>
        <w:ind w:left="0" w:right="0" w:hanging="0"/>
        <w:jc w:val="left"/>
        <w:rPr>
          <w:caps w:val="false"/>
          <w:smallCaps w:val="false"/>
        </w:rPr>
      </w:pPr>
      <w:r>
        <w:rPr>
          <w:caps w:val="false"/>
          <w:smallCaps w:val="false"/>
        </w:rPr>
        <w:t> </w:t>
      </w:r>
    </w:p>
    <w:tbl>
      <w:tblPr>
        <w:tblW w:w="5276" w:type="dxa"/>
        <w:jc w:val="left"/>
        <w:tblInd w:w="0" w:type="dxa"/>
        <w:tblLayout w:type="fixed"/>
        <w:tblCellMar>
          <w:top w:w="0" w:type="dxa"/>
          <w:left w:w="0" w:type="dxa"/>
          <w:bottom w:w="0" w:type="dxa"/>
          <w:right w:w="0" w:type="dxa"/>
        </w:tblCellMar>
      </w:tblPr>
      <w:tblGrid>
        <w:gridCol w:w="1700"/>
        <w:gridCol w:w="60"/>
        <w:gridCol w:w="215"/>
        <w:gridCol w:w="576"/>
        <w:gridCol w:w="103"/>
        <w:gridCol w:w="103"/>
        <w:gridCol w:w="215"/>
        <w:gridCol w:w="576"/>
        <w:gridCol w:w="60"/>
        <w:gridCol w:w="60"/>
        <w:gridCol w:w="186"/>
        <w:gridCol w:w="499"/>
        <w:gridCol w:w="89"/>
        <w:gridCol w:w="89"/>
        <w:gridCol w:w="186"/>
        <w:gridCol w:w="499"/>
        <w:gridCol w:w="6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br/>
              <w:t xml:space="preserve">June 30, </w:t>
            </w:r>
          </w:p>
        </w:tc>
        <w:tc>
          <w:tcPr>
            <w:tcW w:w="6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firstLine="14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Short-term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following is additional information about our leases as of </w:t>
      </w:r>
      <w:r>
        <w:rPr>
          <w:rStyle w:val="Emphasis"/>
          <w:rFonts w:ascii="Times New Roman" w:hAnsi="Times New Roman"/>
          <w:caps w:val="false"/>
          <w:smallCaps w:val="false"/>
          <w:sz w:val="20"/>
        </w:rPr>
        <w:t>June 30, 2023:</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4010"/>
        <w:gridCol w:w="60"/>
        <w:gridCol w:w="60"/>
        <w:gridCol w:w="275"/>
        <w:gridCol w:w="440"/>
        <w:gridCol w:w="275"/>
        <w:gridCol w:w="60"/>
      </w:tblGrid>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Range of remaining lease terms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440" w:type="dxa"/>
            <w:tcBorders/>
            <w:shd w:fill="CCEEFF" w:val="clear"/>
            <w:vAlign w:val="center"/>
          </w:tcPr>
          <w:p>
            <w:pPr>
              <w:pStyle w:val="TableContents"/>
              <w:bidi w:val="0"/>
              <w:spacing w:before="0" w:after="283"/>
              <w:ind w:left="0" w:right="0" w:hanging="0"/>
              <w:jc w:val="center"/>
              <w:rPr/>
            </w:pPr>
            <w:r>
              <w:rPr>
                <w:rStyle w:val="Emphasis"/>
                <w:rFonts w:ascii="Times New Roman" w:hAnsi="Times New Roman"/>
                <w:sz w:val="20"/>
              </w:rPr>
              <w:t>to</w:t>
            </w:r>
          </w:p>
        </w:tc>
        <w:tc>
          <w:tcPr>
            <w:tcW w:w="2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7.8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center"/>
              <w:rPr/>
            </w:pPr>
            <w:r>
              <w:rPr>
                <w:rStyle w:val="Emphasis"/>
              </w:rPr>
              <w:t> </w:t>
            </w:r>
          </w:p>
        </w:tc>
        <w:tc>
          <w:tcPr>
            <w:tcW w:w="440"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4.7</w:t>
            </w:r>
          </w:p>
        </w:tc>
        <w:tc>
          <w:tcPr>
            <w:tcW w:w="27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0"/>
              <w:jc w:val="center"/>
              <w:rPr/>
            </w:pPr>
            <w:r>
              <w:rPr>
                <w:rStyle w:val="Emphasis"/>
              </w:rPr>
              <w:t> </w:t>
            </w:r>
          </w:p>
        </w:tc>
        <w:tc>
          <w:tcPr>
            <w:tcW w:w="440"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4.5%</w:t>
            </w:r>
          </w:p>
        </w:tc>
        <w:tc>
          <w:tcPr>
            <w:tcW w:w="275"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20" w:right="0" w:hanging="0"/>
        <w:jc w:val="left"/>
        <w:rPr/>
      </w:pPr>
      <w:r>
        <w:rPr>
          <w:rFonts w:ascii="Times New Roman" w:hAnsi="Times New Roman"/>
          <w:caps w:val="false"/>
          <w:smallCaps w:val="false"/>
          <w:sz w:val="20"/>
        </w:rPr>
        <w:t xml:space="preserve">Maturities of lease liabilities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1745"/>
        <w:gridCol w:w="60"/>
        <w:gridCol w:w="125"/>
        <w:gridCol w:w="485"/>
        <w:gridCol w:w="80"/>
      </w:tblGrid>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w:t>
            </w:r>
          </w:p>
        </w:tc>
        <w:tc>
          <w:tcPr>
            <w:tcW w:w="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Flow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pPr>
      <w:r>
        <w:rPr>
          <w:rFonts w:ascii="Times New Roman" w:hAnsi="Times New Roman"/>
          <w:caps w:val="false"/>
          <w:smallCaps w:val="false"/>
          <w:sz w:val="20"/>
        </w:rPr>
        <w:t xml:space="preserve">Total amortization of ROU assets was $391 and $782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respectively, and $329 and $638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we entered into a 25-month lease for a facility for our Environmental Technologies segment’s operation in Germany. At the effective date of this lease, we recorded a non-cash increase in our ROU assets and operating lease liabilities of approximately $90. During this same period, we entered into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auto leases,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with a 36-month term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with a 48-month term, for employees of our Process Technologies segment both of whom are based in Europe. At the effective date of these leases, we recorded non-cash increases in our ROU assets and operating lease liabilities totaling approximately $71.</w:t>
      </w:r>
    </w:p>
    <w:p>
      <w:pPr>
        <w:pStyle w:val="TextBody"/>
        <w:bidi w:val="0"/>
        <w:spacing w:before="0" w:after="0"/>
        <w:ind w:left="102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850" w:type="dxa"/>
        <w:jc w:val="left"/>
        <w:tblInd w:w="0" w:type="dxa"/>
        <w:tblLayout w:type="fixed"/>
        <w:tblCellMar>
          <w:top w:w="0" w:type="dxa"/>
          <w:left w:w="0" w:type="dxa"/>
          <w:bottom w:w="0" w:type="dxa"/>
          <w:right w:w="0" w:type="dxa"/>
        </w:tblCellMar>
      </w:tblPr>
      <w:tblGrid>
        <w:gridCol w:w="290"/>
        <w:gridCol w:w="560"/>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xml:space="preserve">) </w:t>
            </w:r>
          </w:p>
        </w:tc>
        <w:tc>
          <w:tcPr>
            <w:tcW w:w="5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b/>
          <w:i/>
          <w:caps w:val="false"/>
          <w:smallCaps w:val="false"/>
          <w:sz w:val="20"/>
          <w:u w:val="single"/>
        </w:rPr>
        <w:t>Letters of Credit</w:t>
      </w:r>
      <w:r>
        <w:rPr>
          <w:rFonts w:ascii="Times New Roman" w:hAnsi="Times New Roman"/>
          <w:caps w:val="false"/>
          <w:smallCaps w:val="false"/>
          <w:sz w:val="20"/>
        </w:rPr>
        <w:br/>
        <w:br/>
        <w:t xml:space="preserve">We have issued letters of credit as the security deposits for certain of our domestic leases. These letters of credit are secured by pledged certificates of deposit which are classified as Restricted Certificates of Deposit on our consolidated balance sheets. The terms of our leases require us to renew these letters of credit at least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prior to their expiration dates for successive terms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until lease expiration. Our outstanding letters of credit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1265"/>
        <w:gridCol w:w="60"/>
        <w:gridCol w:w="1130"/>
        <w:gridCol w:w="60"/>
        <w:gridCol w:w="980"/>
        <w:gridCol w:w="60"/>
        <w:gridCol w:w="980"/>
        <w:gridCol w:w="60"/>
        <w:gridCol w:w="211"/>
        <w:gridCol w:w="570"/>
        <w:gridCol w:w="100"/>
        <w:gridCol w:w="100"/>
        <w:gridCol w:w="211"/>
        <w:gridCol w:w="578"/>
        <w:gridCol w:w="75"/>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center"/>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L/C</w:t>
            </w:r>
          </w:p>
        </w:tc>
        <w:tc>
          <w:tcPr>
            <w:tcW w:w="60" w:type="dxa"/>
            <w:tcBorders/>
            <w:vAlign w:val="center"/>
          </w:tcPr>
          <w:p>
            <w:pPr>
              <w:pStyle w:val="TableContents"/>
              <w:bidi w:val="0"/>
              <w:spacing w:before="0" w:after="283"/>
              <w:ind w:left="0" w:right="0" w:hanging="0"/>
              <w:jc w:val="center"/>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w:t>
            </w:r>
          </w:p>
        </w:tc>
        <w:tc>
          <w:tcPr>
            <w:tcW w:w="60" w:type="dxa"/>
            <w:tcBorders/>
            <w:vAlign w:val="center"/>
          </w:tcPr>
          <w:p>
            <w:pPr>
              <w:pStyle w:val="TableContents"/>
              <w:bidi w:val="0"/>
              <w:spacing w:before="0" w:after="283"/>
              <w:ind w:left="0" w:right="0" w:hanging="0"/>
              <w:jc w:val="left"/>
              <w:rPr/>
            </w:pPr>
            <w:r>
              <w:rPr/>
              <w:t> </w:t>
            </w:r>
          </w:p>
        </w:tc>
        <w:tc>
          <w:tcPr>
            <w:tcW w:w="17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Letters of Credit</w:t>
              <w:br/>
              <w:t>Amount Outstanding</w:t>
            </w:r>
          </w:p>
        </w:tc>
        <w:tc>
          <w:tcPr>
            <w:tcW w:w="75" w:type="dxa"/>
            <w:tcBorders/>
            <w:vAlign w:val="center"/>
          </w:tcPr>
          <w:p>
            <w:pPr>
              <w:pStyle w:val="TableContents"/>
              <w:bidi w:val="0"/>
              <w:spacing w:before="0" w:after="283"/>
              <w:jc w:val="left"/>
              <w:rPr/>
            </w:pPr>
            <w:r>
              <w:rPr/>
              <w:t> </w:t>
            </w:r>
          </w:p>
        </w:tc>
      </w:tr>
      <w:tr>
        <w:trPr/>
        <w:tc>
          <w:tcPr>
            <w:tcW w:w="1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Facility</w:t>
            </w:r>
          </w:p>
        </w:tc>
        <w:tc>
          <w:tcPr>
            <w:tcW w:w="60" w:type="dxa"/>
            <w:tcBorders/>
            <w:vAlign w:val="center"/>
          </w:tcPr>
          <w:p>
            <w:pPr>
              <w:pStyle w:val="TableContents"/>
              <w:bidi w:val="0"/>
              <w:spacing w:before="0" w:after="283"/>
              <w:ind w:left="0" w:right="0" w:hanging="0"/>
              <w:jc w:val="left"/>
              <w:rPr/>
            </w:pPr>
            <w:r>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Original L/C</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Issue Date</w:t>
            </w:r>
          </w:p>
        </w:tc>
        <w:tc>
          <w:tcPr>
            <w:tcW w:w="60" w:type="dxa"/>
            <w:tcBorders/>
            <w:vAlign w:val="center"/>
          </w:tcPr>
          <w:p>
            <w:pPr>
              <w:pStyle w:val="TableContents"/>
              <w:bidi w:val="0"/>
              <w:spacing w:before="0" w:after="283"/>
              <w:ind w:left="0" w:right="0" w:hanging="0"/>
              <w:jc w:val="center"/>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Expiration</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center"/>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Expiration</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br/>
              <w:t xml:space="preserve">2023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 31,</w:t>
              <w:br/>
              <w:t xml:space="preserve">2022 </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Mt. Laurel, NJ</w:t>
            </w:r>
          </w:p>
        </w:tc>
        <w:tc>
          <w:tcPr>
            <w:tcW w:w="60"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3/29/2010</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4/30/2024</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4/30/2031</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Mansfield, MA</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10/27/2010</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12/31/2024</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12/31/2024</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5"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October 15, 2021 (</w:t>
      </w:r>
      <w:r>
        <w:rPr>
          <w:rFonts w:ascii="Times New Roman" w:hAnsi="Times New Roman"/>
          <w:caps w:val="false"/>
          <w:smallCaps w:val="false"/>
          <w:sz w:val="20"/>
        </w:rPr>
        <w:t xml:space="preserve">the “Closing Date”), we entered into an Amended and Restated Loan and Security Agreement with M&amp;T Bank (“M&amp;T”) which, on </w:t>
      </w:r>
      <w:r>
        <w:rPr>
          <w:rStyle w:val="Emphasis"/>
          <w:rFonts w:ascii="Times New Roman" w:hAnsi="Times New Roman"/>
          <w:caps w:val="false"/>
          <w:smallCaps w:val="false"/>
          <w:sz w:val="20"/>
        </w:rPr>
        <w:t xml:space="preserve">October 28, 2021, </w:t>
      </w:r>
      <w:r>
        <w:rPr>
          <w:rFonts w:ascii="Times New Roman" w:hAnsi="Times New Roman"/>
          <w:caps w:val="false"/>
          <w:smallCaps w:val="false"/>
          <w:sz w:val="20"/>
        </w:rPr>
        <w:t xml:space="preserve">was amended by the Joinder and Amendment to Amended and Restated Loan and Security Agreement and which, on </w:t>
      </w:r>
      <w:r>
        <w:rPr>
          <w:rStyle w:val="Emphasis"/>
          <w:rFonts w:ascii="Times New Roman" w:hAnsi="Times New Roman"/>
          <w:caps w:val="false"/>
          <w:smallCaps w:val="false"/>
          <w:sz w:val="20"/>
        </w:rPr>
        <w:t xml:space="preserve">December 30, 2021, </w:t>
      </w:r>
      <w:r>
        <w:rPr>
          <w:rFonts w:ascii="Times New Roman" w:hAnsi="Times New Roman"/>
          <w:caps w:val="false"/>
          <w:smallCaps w:val="false"/>
          <w:sz w:val="20"/>
        </w:rPr>
        <w:t>was further amended by the Joinder and Second Amendment to Amended and Restated Loan and Security Agreement (as amended, the “Loan Agreement”).</w:t>
      </w:r>
    </w:p>
    <w:p>
      <w:pPr>
        <w:pStyle w:val="TextBody"/>
        <w:bidi w:val="0"/>
        <w:spacing w:before="0" w:after="0"/>
        <w:ind w:left="102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Loan Agreement included a $25,000 non-revolving delayed draw term note (the “Term Note”) and a $10,000 revolving credit facility (the “Revolving Facility” and together with the Term Note, the “Credit Facility”). The Credit Facility had a five-year contract period that began on the Closing Date and expired on </w:t>
      </w:r>
      <w:r>
        <w:rPr>
          <w:rStyle w:val="Emphasis"/>
          <w:rFonts w:ascii="Times New Roman" w:hAnsi="Times New Roman"/>
          <w:caps w:val="false"/>
          <w:smallCaps w:val="false"/>
          <w:sz w:val="20"/>
        </w:rPr>
        <w:t xml:space="preserve">October 15, 2026, </w:t>
      </w:r>
      <w:r>
        <w:rPr>
          <w:rFonts w:ascii="Times New Roman" w:hAnsi="Times New Roman"/>
          <w:caps w:val="false"/>
          <w:smallCaps w:val="false"/>
          <w:sz w:val="20"/>
        </w:rPr>
        <w:t>and draws under the Term Note were permissible for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20, 2022, </w:t>
      </w:r>
      <w:r>
        <w:rPr>
          <w:rFonts w:ascii="Times New Roman" w:hAnsi="Times New Roman"/>
          <w:caps w:val="false"/>
          <w:smallCaps w:val="false"/>
          <w:sz w:val="20"/>
        </w:rPr>
        <w:t xml:space="preserve">we further amended the Loan Agreement by entering into a Third Amendment to Amended and Restated Loan and Security Agreement (the Loan Agreement, as amended by the Third Amendment, the “Amended Loan Agreement”) and the Third Amended and Restated Delayed Draw Term Note. Under the Amended Loan Agreement, the maximum loan amount that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borrow under the Term Note increased from $25,000 to $50,500, which raises the available funding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to $30,000. Under the Amended Loan Agreement, the maturity date of the Term Note and Revolving Facility were also extended to </w:t>
      </w:r>
      <w:r>
        <w:rPr>
          <w:rStyle w:val="Emphasis"/>
          <w:rFonts w:ascii="Times New Roman" w:hAnsi="Times New Roman"/>
          <w:caps w:val="false"/>
          <w:smallCaps w:val="false"/>
          <w:sz w:val="20"/>
        </w:rPr>
        <w:t>September 19, 2027 (</w:t>
      </w:r>
      <w:r>
        <w:rPr>
          <w:rFonts w:ascii="Times New Roman" w:hAnsi="Times New Roman"/>
          <w:caps w:val="false"/>
          <w:smallCaps w:val="false"/>
          <w:sz w:val="20"/>
        </w:rPr>
        <w:t xml:space="preserve">the “Contract Period”).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we had not borrowed any amounts under the $10 million Revolving Facility. Our borrowings under the Term Note are discussed below and occurred prior to entering into the Amended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20" w:right="0" w:hanging="0"/>
        <w:jc w:val="left"/>
        <w:rPr/>
      </w:pPr>
      <w:r>
        <w:rPr>
          <w:rFonts w:ascii="Times New Roman" w:hAnsi="Times New Roman"/>
          <w:caps w:val="false"/>
          <w:smallCaps w:val="false"/>
          <w:sz w:val="20"/>
        </w:rPr>
        <w:t xml:space="preserve">The principal balance of the Revolving Facility and the principal balance of any amount drawn under the Term Note accrues interest based on the secured overnight financing rate for U.S. government securities (“SOFR”) or a bank-defined base rate plus an applicable margin, depending on leverage. Each draw under the Term Note will have an option for us of either (i) up to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 amortizing term loan with a balloon due at maturity, or (ii) up to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 term with up to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years amortization with a balloon due at maturity. Any amortization greater than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Amended Loan Agreement contains customary default provisions,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and a fixed charge coverage ratio. Our obligations under the Amended Loan Agreement are secured by liens on substantially all of our tangible and intangible assets that are owned as of the Closing Date or acquired thereafter.</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28, 2021, </w:t>
      </w:r>
      <w:r>
        <w:rPr>
          <w:rFonts w:ascii="Times New Roman" w:hAnsi="Times New Roman"/>
          <w:caps w:val="false"/>
          <w:smallCaps w:val="false"/>
          <w:sz w:val="20"/>
        </w:rPr>
        <w:t xml:space="preserve">we drew $12,000 under the Term Note to finance the acquisition of Videology as discussed above. We also entered into an interest rate swap agreement with M&amp;T as of this date which is designed to protect us against fluctuations in interest rates during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 repayment and amortization period. As a result, the annual interest rate we expect to pay for this draw under the Term Note is fixed at approximately 3.2% based on current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29, 2021, </w:t>
      </w:r>
      <w:r>
        <w:rPr>
          <w:rFonts w:ascii="Times New Roman" w:hAnsi="Times New Roman"/>
          <w:caps w:val="false"/>
          <w:smallCaps w:val="false"/>
          <w:sz w:val="20"/>
        </w:rPr>
        <w:t xml:space="preserve">we drew $8,500 under the Term Note to finance the acquisition of Acculogic as discussed above.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enter into an interest rate swap agreement with M&amp;T related to this draw. The annual interest rate we expect to pay for this draw under the Term Note is variable. At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it was approximately 7.2% based on current leverage. Effective </w:t>
      </w:r>
      <w:r>
        <w:rPr>
          <w:rStyle w:val="Emphasis"/>
          <w:rFonts w:ascii="Times New Roman" w:hAnsi="Times New Roman"/>
          <w:caps w:val="false"/>
          <w:smallCaps w:val="false"/>
          <w:sz w:val="20"/>
        </w:rPr>
        <w:t xml:space="preserve">August 1, 2023, </w:t>
      </w:r>
      <w:r>
        <w:rPr>
          <w:rFonts w:ascii="Times New Roman" w:hAnsi="Times New Roman"/>
          <w:caps w:val="false"/>
          <w:smallCaps w:val="false"/>
          <w:sz w:val="20"/>
        </w:rPr>
        <w:t>this rate remained the same.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following table sets forth the maturities of long-term debt for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tbl>
      <w:tblPr>
        <w:tblW w:w="2250" w:type="dxa"/>
        <w:jc w:val="left"/>
        <w:tblInd w:w="0" w:type="dxa"/>
        <w:tblLayout w:type="fixed"/>
        <w:tblCellMar>
          <w:top w:w="0" w:type="dxa"/>
          <w:left w:w="0" w:type="dxa"/>
          <w:bottom w:w="0" w:type="dxa"/>
          <w:right w:w="0" w:type="dxa"/>
        </w:tblCellMar>
      </w:tblPr>
      <w:tblGrid>
        <w:gridCol w:w="1415"/>
        <w:gridCol w:w="60"/>
        <w:gridCol w:w="125"/>
        <w:gridCol w:w="590"/>
        <w:gridCol w:w="60"/>
      </w:tblGrid>
      <w:tr>
        <w:trPr/>
        <w:tc>
          <w:tcPr>
            <w:tcW w:w="1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3,842</w:t>
            </w:r>
          </w:p>
        </w:tc>
        <w:tc>
          <w:tcPr>
            <w:tcW w:w="6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4000" w:type="dxa"/>
        <w:jc w:val="left"/>
        <w:tblInd w:w="0" w:type="dxa"/>
        <w:tblLayout w:type="fixed"/>
        <w:tblCellMar>
          <w:top w:w="0" w:type="dxa"/>
          <w:left w:w="0" w:type="dxa"/>
          <w:bottom w:w="0" w:type="dxa"/>
          <w:right w:w="0" w:type="dxa"/>
        </w:tblCellMar>
      </w:tblPr>
      <w:tblGrid>
        <w:gridCol w:w="395"/>
        <w:gridCol w:w="3605"/>
      </w:tblGrid>
      <w:tr>
        <w:trPr/>
        <w:tc>
          <w:tcPr>
            <w:tcW w:w="395" w:type="dxa"/>
            <w:tcBorders/>
            <w:vAlign w:val="center"/>
          </w:tcPr>
          <w:p>
            <w:pPr>
              <w:pStyle w:val="TableContents"/>
              <w:bidi w:val="0"/>
              <w:spacing w:before="0" w:after="0"/>
              <w:ind w:left="0" w:right="0" w:hanging="0"/>
              <w:jc w:val="left"/>
              <w:rPr/>
            </w:pPr>
            <w:r>
              <w:rPr>
                <w:rFonts w:ascii="Times New Roman" w:hAnsi="Times New Roman"/>
                <w:b/>
                <w:caps w:val="false"/>
                <w:smallCaps w:val="false"/>
                <w:sz w:val="20"/>
              </w:rPr>
              <w:t>(</w:t>
            </w:r>
            <w:r>
              <w:rPr>
                <w:rStyle w:val="Emphasis"/>
                <w:rFonts w:ascii="Times New Roman" w:hAnsi="Times New Roman"/>
                <w:b/>
                <w:caps w:val="false"/>
                <w:smallCaps w:val="false"/>
                <w:sz w:val="20"/>
              </w:rPr>
              <w:t>10</w:t>
            </w:r>
            <w:r>
              <w:rPr>
                <w:rFonts w:ascii="Times New Roman" w:hAnsi="Times New Roman"/>
                <w:b/>
                <w:caps w:val="false"/>
                <w:smallCaps w:val="false"/>
                <w:sz w:val="20"/>
              </w:rPr>
              <w:t>)</w:t>
            </w:r>
            <w:r>
              <w:rPr>
                <w:rFonts w:ascii="Times New Roman" w:hAnsi="Times New Roman"/>
                <w:caps w:val="false"/>
                <w:smallCaps w:val="false"/>
                <w:sz w:val="20"/>
              </w:rPr>
              <w:t> </w:t>
            </w:r>
          </w:p>
        </w:tc>
        <w:tc>
          <w:tcPr>
            <w:tcW w:w="36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STOCK-BASED COMPENSATION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we had unvested restricted stock awards and stock options granted under stock-based compensation plans that are described more fully in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to the consolidated financial statements in our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In addition, on </w:t>
      </w:r>
      <w:r>
        <w:rPr>
          <w:rStyle w:val="Emphasis"/>
          <w:rFonts w:ascii="Times New Roman" w:hAnsi="Times New Roman"/>
          <w:caps w:val="false"/>
          <w:smallCaps w:val="false"/>
          <w:sz w:val="20"/>
        </w:rPr>
        <w:t xml:space="preserve">June 21, 2023, </w:t>
      </w:r>
      <w:r>
        <w:rPr>
          <w:rFonts w:ascii="Times New Roman" w:hAnsi="Times New Roman"/>
          <w:caps w:val="false"/>
          <w:smallCaps w:val="false"/>
          <w:sz w:val="20"/>
        </w:rPr>
        <w:t xml:space="preserve">our stockholders approved the inTEST Corporation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Stock Incentive Plan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which replaces the Fourth Amended and Restated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Plan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awards can be granted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The maximum number of shares of common stock available for grant and issuance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will be (a) 350,000, plus (b) the number of shares of common stock available for issuance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on the date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was approved by stockholders, plus (c) any shares of common stock that are subject to awards granted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that expire, are forfeited or canceled or terminate for any other reason on or after the date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was approved by stockholders, without the issuance of shares. The number of shares available to be issued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as of the date of its approval was 1,117,942.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Our unvested restricted stock awards and stock options are accounted for based on their grant date fair value.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total compensation expense to be recognized in future periods is $4,127. The weighted average period over which this expense is expected to be recognized is 2.1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20" w:right="0" w:hanging="0"/>
        <w:jc w:val="left"/>
        <w:rPr/>
      </w:pPr>
      <w:r>
        <w:rPr>
          <w:rFonts w:ascii="Times New Roman" w:hAnsi="Times New Roman"/>
          <w:caps w:val="false"/>
          <w:smallCaps w:val="false"/>
          <w:sz w:val="20"/>
        </w:rPr>
        <w:t xml:space="preserve">The following table summarizes the compensation expense we recorded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related to unvested shares of restricted stock and stock options:</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3860"/>
        <w:gridCol w:w="60"/>
        <w:gridCol w:w="215"/>
        <w:gridCol w:w="576"/>
        <w:gridCol w:w="103"/>
        <w:gridCol w:w="103"/>
        <w:gridCol w:w="215"/>
        <w:gridCol w:w="576"/>
        <w:gridCol w:w="60"/>
        <w:gridCol w:w="60"/>
        <w:gridCol w:w="162"/>
        <w:gridCol w:w="631"/>
        <w:gridCol w:w="78"/>
        <w:gridCol w:w="78"/>
        <w:gridCol w:w="162"/>
        <w:gridCol w:w="436"/>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Three Months Ended</w:t>
            </w:r>
            <w:r>
              <w:rPr>
                <w:rFonts w:ascii="Times New Roman" w:hAnsi="Times New Roman"/>
                <w:caps w:val="false"/>
                <w:smallCaps w:val="false"/>
                <w:sz w:val="20"/>
              </w:rPr>
              <w:br/>
            </w:r>
            <w:r>
              <w:rPr>
                <w:rFonts w:ascii="Times New Roman" w:hAnsi="Times New Roman"/>
                <w:b/>
                <w:caps w:val="false"/>
                <w:smallCaps w:val="false"/>
                <w:sz w:val="20"/>
              </w:rPr>
              <w:t xml:space="preserve">June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Six Months Ended</w:t>
            </w:r>
            <w:r>
              <w:rPr>
                <w:rFonts w:ascii="Times New Roman" w:hAnsi="Times New Roman"/>
                <w:caps w:val="false"/>
                <w:smallCaps w:val="false"/>
                <w:sz w:val="20"/>
              </w:rPr>
              <w:br/>
            </w:r>
            <w:r>
              <w:rPr>
                <w:rFonts w:ascii="Times New Roman" w:hAnsi="Times New Roman"/>
                <w:b/>
                <w:caps w:val="false"/>
                <w:smallCaps w:val="false"/>
                <w:sz w:val="20"/>
              </w:rPr>
              <w:t xml:space="preserve">June 30, </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5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7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7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43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Engineering and product development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556</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846</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There was no compensation expense capitalized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2022.</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b/>
          <w:i/>
          <w:caps w:val="false"/>
          <w:smallCaps w:val="false"/>
          <w:sz w:val="20"/>
          <w:u w:val="single"/>
        </w:rPr>
        <w:t>Stock Options</w:t>
      </w:r>
      <w:r>
        <w:rPr>
          <w:rFonts w:ascii="Times New Roman" w:hAnsi="Times New Roman"/>
          <w:caps w:val="false"/>
          <w:smallCaps w:val="false"/>
          <w:sz w:val="20"/>
        </w:rPr>
        <w:br/>
        <w:br/>
        <w:t xml:space="preserve">We record compensation expense for stock options based on the fair market value of the options as of the grant 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option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granted with an exercise period in excess of ten years from the date of grant. Generally, stock options will be granted with an exercise price equal to the fair market value of our stock on the date of grant and will vest over four years.</w:t>
        <w:br/>
        <w:br/>
        <w:t xml:space="preserve">The fair value for stock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estimated at the date of grant using the Black-Scholes option pricing model with the following weighted average assumptions:</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4520"/>
        <w:gridCol w:w="60"/>
        <w:gridCol w:w="60"/>
        <w:gridCol w:w="380"/>
        <w:gridCol w:w="185"/>
        <w:gridCol w:w="60"/>
        <w:gridCol w:w="60"/>
        <w:gridCol w:w="380"/>
        <w:gridCol w:w="18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vAlign w:val="center"/>
          </w:tcPr>
          <w:p>
            <w:pPr>
              <w:pStyle w:val="TableContents"/>
              <w:bidi w:val="0"/>
              <w:spacing w:before="0" w:after="283"/>
              <w:ind w:left="0" w:right="0" w:hanging="0"/>
              <w:jc w:val="left"/>
              <w:rPr/>
            </w:pPr>
            <w:r>
              <w:rPr/>
              <w:t> </w:t>
            </w:r>
          </w:p>
        </w:tc>
      </w:tr>
      <w:tr>
        <w:trPr/>
        <w:tc>
          <w:tcPr>
            <w:tcW w:w="4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common stock market price volatility factor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expected life of stock options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per share weighted average fair value of stock options issued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$9.43 and $4.53,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following table summarizes the activity related to stock options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p>
    <w:p>
      <w:pPr>
        <w:pStyle w:val="TextBody"/>
        <w:bidi w:val="0"/>
        <w:spacing w:before="0" w:after="0"/>
        <w:ind w:left="0" w:right="0" w:hanging="0"/>
        <w:jc w:val="left"/>
        <w:rPr>
          <w:caps w:val="false"/>
          <w:smallCaps w:val="false"/>
        </w:rPr>
      </w:pPr>
      <w:r>
        <w:rPr>
          <w:caps w:val="false"/>
          <w:smallCaps w:val="false"/>
        </w:rPr>
        <w:t> </w:t>
      </w:r>
    </w:p>
    <w:tbl>
      <w:tblPr>
        <w:tblW w:w="7189" w:type="dxa"/>
        <w:jc w:val="left"/>
        <w:tblInd w:w="0" w:type="dxa"/>
        <w:tblLayout w:type="fixed"/>
        <w:tblCellMar>
          <w:top w:w="0" w:type="dxa"/>
          <w:left w:w="0" w:type="dxa"/>
          <w:bottom w:w="0" w:type="dxa"/>
          <w:right w:w="0" w:type="dxa"/>
        </w:tblCellMar>
      </w:tblPr>
      <w:tblGrid>
        <w:gridCol w:w="4865"/>
        <w:gridCol w:w="60"/>
        <w:gridCol w:w="60"/>
        <w:gridCol w:w="755"/>
        <w:gridCol w:w="80"/>
        <w:gridCol w:w="60"/>
        <w:gridCol w:w="137"/>
        <w:gridCol w:w="1112"/>
        <w:gridCol w:w="60"/>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b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br/>
              <w:t>Average</w:t>
              <w:br/>
              <w:t>Exercise Price</w:t>
            </w:r>
          </w:p>
        </w:tc>
        <w:tc>
          <w:tcPr>
            <w:tcW w:w="60" w:type="dxa"/>
            <w:tcBorders/>
            <w:vAlign w:val="center"/>
          </w:tcPr>
          <w:p>
            <w:pPr>
              <w:pStyle w:val="TableContents"/>
              <w:bidi w:val="0"/>
              <w:spacing w:before="0" w:after="283"/>
              <w:ind w:left="0" w:right="0" w:hanging="0"/>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January 1, 2023 (167,886 exercisable)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48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16.25</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48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(111,800</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48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Canceled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(23,859</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June 30, 2023 (187,981 exercisable)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b/>
          <w:i/>
          <w:caps w:val="false"/>
          <w:smallCaps w:val="false"/>
          <w:sz w:val="20"/>
          <w:u w:val="single"/>
        </w:rPr>
        <w:t>Restricted Stock Awards</w:t>
      </w:r>
      <w:r>
        <w:rPr>
          <w:rFonts w:ascii="Times New Roman" w:hAnsi="Times New Roman"/>
          <w:caps w:val="false"/>
          <w:smallCaps w:val="false"/>
          <w:sz w:val="20"/>
        </w:rPr>
        <w:br/>
        <w:br/>
        <w:t xml:space="preserve">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w:t>
      </w:r>
      <w:r>
        <w:rPr>
          <w:rStyle w:val="Emphasis"/>
          <w:rFonts w:ascii="Times New Roman" w:hAnsi="Times New Roman"/>
          <w:caps w:val="false"/>
          <w:smallCaps w:val="false"/>
          <w:sz w:val="20"/>
        </w:rPr>
        <w:t xml:space="preserve">March 31, June 30, September 30,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of the year in which they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Since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 The awards granted prior to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are discussed in more detail in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to the consolidated financial statement in our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changes to our assumptions related to the expected vesting percentages for any of these performance-based awards as of </w:t>
      </w:r>
      <w:r>
        <w:rPr>
          <w:rStyle w:val="Emphasis"/>
          <w:rFonts w:ascii="Times New Roman" w:hAnsi="Times New Roman"/>
          <w:caps w:val="false"/>
          <w:smallCaps w:val="false"/>
          <w:sz w:val="20"/>
        </w:rPr>
        <w:t>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04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8, 2023, </w:t>
      </w:r>
      <w:r>
        <w:rPr>
          <w:rFonts w:ascii="Times New Roman" w:hAnsi="Times New Roman"/>
          <w:caps w:val="false"/>
          <w:smallCaps w:val="false"/>
          <w:sz w:val="20"/>
        </w:rPr>
        <w:t xml:space="preserve">our Chief Executive Officer ("CEO"), Chief Financial Officer ("CFO") and certain other members of our senior management received restricted stock awards totaling 18,888 shares valued at $303 as of the date of grant. These shares vest on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 grant date at a vesting percentage that could range from 0% to 150% of the number of shares of restricted stock awarded on </w:t>
      </w:r>
      <w:r>
        <w:rPr>
          <w:rStyle w:val="Emphasis"/>
          <w:rFonts w:ascii="Times New Roman" w:hAnsi="Times New Roman"/>
          <w:caps w:val="false"/>
          <w:smallCaps w:val="false"/>
          <w:sz w:val="20"/>
        </w:rPr>
        <w:t xml:space="preserve">March 8, 2023. </w:t>
      </w:r>
      <w:r>
        <w:rPr>
          <w:rFonts w:ascii="Times New Roman" w:hAnsi="Times New Roman"/>
          <w:caps w:val="false"/>
          <w:smallCaps w:val="false"/>
          <w:sz w:val="20"/>
        </w:rPr>
        <w:t xml:space="preserve">The final vesting percentage will be based on the achievement of certain performance metrics related to consolidated revenue for specified time periods as determined by the Compensation Committee of our Board of Directors.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we have estimated that these shares will vest at 100% of the original amount. On </w:t>
      </w:r>
      <w:r>
        <w:rPr>
          <w:rStyle w:val="Emphasis"/>
          <w:rFonts w:ascii="Times New Roman" w:hAnsi="Times New Roman"/>
          <w:caps w:val="false"/>
          <w:smallCaps w:val="false"/>
          <w:sz w:val="20"/>
        </w:rPr>
        <w:t xml:space="preserve">May 8, 2023 </w:t>
      </w:r>
      <w:r>
        <w:rPr>
          <w:rFonts w:ascii="Times New Roman" w:hAnsi="Times New Roman"/>
          <w:caps w:val="false"/>
          <w:smallCaps w:val="false"/>
          <w:sz w:val="20"/>
        </w:rPr>
        <w:t xml:space="preserve">the newly appointed president of our Environmental Technologies segment received restricted stock awards totaling 5,081 shares valued at $108 as of the date of grant. These shares vest on the third anniversary of the grant date at a vesting percentage that could range from 0% to 150% of the number of shares of restricted stock awarded on </w:t>
      </w:r>
      <w:r>
        <w:rPr>
          <w:rStyle w:val="Emphasis"/>
          <w:rFonts w:ascii="Times New Roman" w:hAnsi="Times New Roman"/>
          <w:caps w:val="false"/>
          <w:smallCaps w:val="false"/>
          <w:sz w:val="20"/>
        </w:rPr>
        <w:t xml:space="preserve">May 8, 2023. </w:t>
      </w:r>
      <w:r>
        <w:rPr>
          <w:rFonts w:ascii="Times New Roman" w:hAnsi="Times New Roman"/>
          <w:caps w:val="false"/>
          <w:smallCaps w:val="false"/>
          <w:sz w:val="20"/>
        </w:rPr>
        <w:t>The final vesting percentage will be based on the achievement of certain performance metrics including revenue and income from operations for specified time periods as determined by the Compensation Committee of our Board of Directors in consultation with our CEO and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following table summarizes the activity related to unvested restricted stock awards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p>
    <w:tbl>
      <w:tblPr>
        <w:tblW w:w="5748" w:type="dxa"/>
        <w:jc w:val="left"/>
        <w:tblInd w:w="0" w:type="dxa"/>
        <w:tblLayout w:type="fixed"/>
        <w:tblCellMar>
          <w:top w:w="0" w:type="dxa"/>
          <w:left w:w="0" w:type="dxa"/>
          <w:bottom w:w="0" w:type="dxa"/>
          <w:right w:w="0" w:type="dxa"/>
        </w:tblCellMar>
      </w:tblPr>
      <w:tblGrid>
        <w:gridCol w:w="3725"/>
        <w:gridCol w:w="60"/>
        <w:gridCol w:w="63"/>
        <w:gridCol w:w="736"/>
        <w:gridCol w:w="80"/>
        <w:gridCol w:w="60"/>
        <w:gridCol w:w="105"/>
        <w:gridCol w:w="859"/>
        <w:gridCol w:w="6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b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br/>
              <w:t>Average</w:t>
              <w:br/>
              <w:t>Grant Date</w:t>
              <w:br/>
              <w:t>Fair Value</w:t>
            </w:r>
          </w:p>
        </w:tc>
        <w:tc>
          <w:tcPr>
            <w:tcW w:w="60" w:type="dxa"/>
            <w:tcBorders/>
            <w:vAlign w:val="center"/>
          </w:tcPr>
          <w:p>
            <w:pPr>
              <w:pStyle w:val="TableContents"/>
              <w:bidi w:val="0"/>
              <w:spacing w:before="0" w:after="283"/>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Unvested shares outstanding, January 1, 2023</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372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16.43</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372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(57,559</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10.99</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372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(13,271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Unvested shares outstanding, June 30, 2023</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315,081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The total fair value of the restricted stock awards that vested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$1,153 and $436, respectively, as of the vesting dates of these awards.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970" w:type="dxa"/>
        <w:jc w:val="left"/>
        <w:tblInd w:w="0" w:type="dxa"/>
        <w:tblLayout w:type="fixed"/>
        <w:tblCellMar>
          <w:top w:w="0" w:type="dxa"/>
          <w:left w:w="0" w:type="dxa"/>
          <w:bottom w:w="0" w:type="dxa"/>
          <w:right w:w="0" w:type="dxa"/>
        </w:tblCellMar>
      </w:tblPr>
      <w:tblGrid>
        <w:gridCol w:w="395"/>
        <w:gridCol w:w="3575"/>
      </w:tblGrid>
      <w:tr>
        <w:trPr/>
        <w:tc>
          <w:tcPr>
            <w:tcW w:w="39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11</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t>
            </w:r>
          </w:p>
        </w:tc>
        <w:tc>
          <w:tcPr>
            <w:tcW w:w="35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EMPLOYEE STOCK PURCHASE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The inTEST Corporation Employee Stock Purchase Plan (the “ESPP”) was adopted by the Board in </w:t>
      </w:r>
      <w:r>
        <w:rPr>
          <w:rStyle w:val="Emphasis"/>
          <w:rFonts w:ascii="Times New Roman" w:hAnsi="Times New Roman"/>
          <w:caps w:val="false"/>
          <w:smallCaps w:val="false"/>
          <w:sz w:val="20"/>
        </w:rPr>
        <w:t xml:space="preserve">April 2021 </w:t>
      </w:r>
      <w:r>
        <w:rPr>
          <w:rFonts w:ascii="Times New Roman" w:hAnsi="Times New Roman"/>
          <w:caps w:val="false"/>
          <w:smallCaps w:val="false"/>
          <w:sz w:val="20"/>
        </w:rPr>
        <w:t xml:space="preserve">subject to approval by our stockholders, which occurred on </w:t>
      </w:r>
      <w:r>
        <w:rPr>
          <w:rStyle w:val="Emphasis"/>
          <w:rFonts w:ascii="Times New Roman" w:hAnsi="Times New Roman"/>
          <w:caps w:val="false"/>
          <w:smallCaps w:val="false"/>
          <w:sz w:val="20"/>
        </w:rPr>
        <w:t xml:space="preserve">June 23, 2021 </w:t>
      </w:r>
      <w:r>
        <w:rPr>
          <w:rFonts w:ascii="Times New Roman" w:hAnsi="Times New Roman"/>
          <w:caps w:val="false"/>
          <w:smallCaps w:val="false"/>
          <w:sz w:val="20"/>
        </w:rPr>
        <w:t xml:space="preserve">at our Annual Meeting of Stockholders. The ESPP provides our eligible employees with an opportunity to purchase common stock through accumulated payroll deductions at a discounted purchase price. The ESPP became effective on </w:t>
      </w:r>
      <w:r>
        <w:rPr>
          <w:rStyle w:val="Emphasis"/>
          <w:rFonts w:ascii="Times New Roman" w:hAnsi="Times New Roman"/>
          <w:caps w:val="false"/>
          <w:smallCaps w:val="false"/>
          <w:sz w:val="20"/>
        </w:rPr>
        <w:t>October 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rFonts w:ascii="Times New Roman" w:hAnsi="Times New Roman"/>
          <w:caps w:val="false"/>
          <w:smallCaps w:val="false"/>
          <w:sz w:val="20"/>
        </w:rPr>
      </w:pPr>
      <w:r>
        <w:rPr>
          <w:rFonts w:ascii="Times New Roman" w:hAnsi="Times New Roman"/>
          <w:caps w:val="false"/>
          <w:smallCaps w:val="false"/>
          <w:sz w:val="20"/>
        </w:rPr>
        <w:t>The ESPP provides that an aggregate of up to 250,000 shares of our common stock will be available for issuance thereunder. The shares of our common stock purchasable under the ESPP will be shares of authorized but unissued or reacquired shares, including shares repurchased by us on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employees purchased 4,162 shares of our common stock through the ESPP at a cost of $97. The closing market price of our common stock on the dates of purchase were $20.74 and $26.26, respectively. The prices paid by employees were $17.63 and $22.32, respectively, which represented a 15% discount. The total amount of the discount of $14 was recorded as compensation expense in our consolidated statements of operations.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employees purchased 14,715 shares of our common stock through the ESPP at a cost of $121. The closing market price of our common stock on the dates of purchase were $10.73 and $6.82, respectively. The prices paid by employees were $9.12 and $5.80, respectively, which represented a 15% discount. The total amount of the discount of $18 was recorded as compensation expense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0" w:right="0" w:hanging="0"/>
        <w:jc w:val="left"/>
        <w:rPr/>
      </w:pPr>
      <w:r>
        <w:rPr>
          <w:rFonts w:ascii="Times New Roman" w:hAnsi="Times New Roman"/>
          <w:caps w:val="false"/>
          <w:smallCaps w:val="false"/>
          <w:sz w:val="20"/>
        </w:rPr>
        <w:t xml:space="preserve">From the effective date of the ESPP through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a total of 35,314 shares of our common stock have been purchased by employees through the ESPP at a cost of $379. We have recorded a total of $57 of compensation expense in our consolidated statements of operations related to these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130" w:type="dxa"/>
        <w:jc w:val="left"/>
        <w:tblInd w:w="0" w:type="dxa"/>
        <w:tblLayout w:type="fixed"/>
        <w:tblCellMar>
          <w:top w:w="0" w:type="dxa"/>
          <w:left w:w="0" w:type="dxa"/>
          <w:bottom w:w="0" w:type="dxa"/>
          <w:right w:w="0" w:type="dxa"/>
        </w:tblCellMar>
      </w:tblPr>
      <w:tblGrid>
        <w:gridCol w:w="395"/>
        <w:gridCol w:w="2735"/>
      </w:tblGrid>
      <w:tr>
        <w:trPr/>
        <w:tc>
          <w:tcPr>
            <w:tcW w:w="39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12</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t>
            </w:r>
          </w:p>
        </w:tc>
        <w:tc>
          <w:tcPr>
            <w:tcW w:w="27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have defined contribution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plans for our employees who work in the U.S. All permanent employees of inTEST Corporation, inTEST EMS LLC, Temptronic Corporation and Videology who are at least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we recorded $108 and $347 of expense for matching contributions,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we recorded $134 and $350 of expense for matching contributions,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All permanent employees of Ambrell are immediately eligible to participate in the Ambrell Corporation Savings &amp; Profit Sharing Plan (the "Ambrell Plan") upon employment and are eligible for employer matching contributions after completing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we recorded $91 and $224 of expense for matching contributions,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we recorded $85 and $186 of expense for matching contributions,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860" w:type="dxa"/>
        <w:jc w:val="left"/>
        <w:tblInd w:w="0" w:type="dxa"/>
        <w:tblLayout w:type="fixed"/>
        <w:tblCellMar>
          <w:top w:w="0" w:type="dxa"/>
          <w:left w:w="0" w:type="dxa"/>
          <w:bottom w:w="0" w:type="dxa"/>
          <w:right w:w="0" w:type="dxa"/>
        </w:tblCellMar>
      </w:tblPr>
      <w:tblGrid>
        <w:gridCol w:w="395"/>
        <w:gridCol w:w="2465"/>
      </w:tblGrid>
      <w:tr>
        <w:trPr/>
        <w:tc>
          <w:tcPr>
            <w:tcW w:w="39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13</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t>
            </w:r>
          </w:p>
        </w:tc>
        <w:tc>
          <w:tcPr>
            <w:tcW w:w="24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pP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w:t>
      </w:r>
      <w:r>
        <w:rPr>
          <w:rStyle w:val="Emphasis"/>
          <w:rFonts w:ascii="Times New Roman" w:hAnsi="Times New Roman"/>
          <w:caps w:val="false"/>
          <w:smallCaps w:val="false"/>
          <w:sz w:val="20"/>
        </w:rPr>
        <w:t>third</w:t>
      </w:r>
      <w:r>
        <w:rPr>
          <w:rFonts w:ascii="Times New Roman" w:hAnsi="Times New Roman"/>
          <w:caps w:val="false"/>
          <w:smallCaps w:val="false"/>
          <w:sz w:val="20"/>
        </w:rPr>
        <w:t>-party test and assembly houses and ATE manufacturers and to a variety of markets outside of the semi market, including the automotive, defense/aerospace, industrial, life sciences, security and other markets.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caps w:val="false"/>
          <w:smallCaps w:val="false"/>
          <w:sz w:val="20"/>
        </w:rPr>
      </w:pPr>
      <w:r>
        <w:rPr>
          <w:rFonts w:ascii="Times New Roman" w:hAnsi="Times New Roman"/>
          <w:caps w:val="false"/>
          <w:smallCaps w:val="false"/>
          <w:sz w:val="20"/>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and acquired intangible amortization.</w:t>
      </w:r>
    </w:p>
    <w:p>
      <w:pPr>
        <w:pStyle w:val="TextBody"/>
        <w:bidi w:val="0"/>
        <w:spacing w:before="0" w:after="0"/>
        <w:ind w:left="0" w:right="0" w:hanging="0"/>
        <w:jc w:val="left"/>
        <w:rPr>
          <w:caps w:val="false"/>
          <w:smallCaps w:val="false"/>
        </w:rPr>
      </w:pPr>
      <w:r>
        <w:rPr>
          <w:caps w:val="false"/>
          <w:smallCaps w:val="false"/>
        </w:rPr>
        <w:t> </w:t>
      </w:r>
    </w:p>
    <w:tbl>
      <w:tblPr>
        <w:tblW w:w="6957" w:type="dxa"/>
        <w:jc w:val="left"/>
        <w:tblInd w:w="0" w:type="dxa"/>
        <w:tblLayout w:type="fixed"/>
        <w:tblCellMar>
          <w:top w:w="0" w:type="dxa"/>
          <w:left w:w="0" w:type="dxa"/>
          <w:bottom w:w="0" w:type="dxa"/>
          <w:right w:w="0" w:type="dxa"/>
        </w:tblCellMar>
      </w:tblPr>
      <w:tblGrid>
        <w:gridCol w:w="3305"/>
        <w:gridCol w:w="60"/>
        <w:gridCol w:w="142"/>
        <w:gridCol w:w="672"/>
        <w:gridCol w:w="91"/>
        <w:gridCol w:w="68"/>
        <w:gridCol w:w="142"/>
        <w:gridCol w:w="672"/>
        <w:gridCol w:w="80"/>
        <w:gridCol w:w="60"/>
        <w:gridCol w:w="125"/>
        <w:gridCol w:w="590"/>
        <w:gridCol w:w="80"/>
        <w:gridCol w:w="60"/>
        <w:gridCol w:w="125"/>
        <w:gridCol w:w="590"/>
        <w:gridCol w:w="9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Three Months Ended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 xml:space="preserve">June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Six Months Ended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 xml:space="preserve">June 30, </w:t>
            </w:r>
          </w:p>
        </w:tc>
        <w:tc>
          <w:tcPr>
            <w:tcW w:w="9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2022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9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10,993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18,575</w:t>
            </w:r>
          </w:p>
        </w:tc>
        <w:tc>
          <w:tcPr>
            <w:tcW w:w="9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8,136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14,500</w:t>
            </w:r>
          </w:p>
        </w:tc>
        <w:tc>
          <w:tcPr>
            <w:tcW w:w="9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13,429</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26,935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20,577</w:t>
            </w:r>
          </w:p>
        </w:tc>
        <w:tc>
          <w:tcPr>
            <w:tcW w:w="9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32,558</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29,571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64,477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53,652</w:t>
            </w:r>
          </w:p>
        </w:tc>
        <w:tc>
          <w:tcPr>
            <w:tcW w:w="9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divisional operations: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2,641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4,080</w:t>
            </w:r>
          </w:p>
        </w:tc>
        <w:tc>
          <w:tcPr>
            <w:tcW w:w="9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943</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1,872</w:t>
            </w:r>
          </w:p>
        </w:tc>
        <w:tc>
          <w:tcPr>
            <w:tcW w:w="9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2,592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3,299</w:t>
            </w:r>
          </w:p>
        </w:tc>
        <w:tc>
          <w:tcPr>
            <w:tcW w:w="9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from divisional operations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6,176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9,251</w:t>
            </w:r>
          </w:p>
        </w:tc>
        <w:tc>
          <w:tcPr>
            <w:tcW w:w="9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expenses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(2,309</w:t>
            </w:r>
          </w:p>
        </w:tc>
        <w:tc>
          <w:tcPr>
            <w:tcW w:w="9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(2,339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(4,514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(4,174</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Acquired intangible amortization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(523</w:t>
            </w:r>
          </w:p>
        </w:tc>
        <w:tc>
          <w:tcPr>
            <w:tcW w:w="9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(765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(1,547</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(176</w:t>
            </w:r>
          </w:p>
        </w:tc>
        <w:tc>
          <w:tcPr>
            <w:tcW w:w="9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(278</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197</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3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 expense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3,365</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3,225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54" w:type="dxa"/>
        <w:jc w:val="left"/>
        <w:tblInd w:w="0" w:type="dxa"/>
        <w:tblLayout w:type="fixed"/>
        <w:tblCellMar>
          <w:top w:w="0" w:type="dxa"/>
          <w:left w:w="0" w:type="dxa"/>
          <w:bottom w:w="0" w:type="dxa"/>
          <w:right w:w="0" w:type="dxa"/>
        </w:tblCellMar>
      </w:tblPr>
      <w:tblGrid>
        <w:gridCol w:w="2405"/>
        <w:gridCol w:w="60"/>
        <w:gridCol w:w="125"/>
        <w:gridCol w:w="695"/>
        <w:gridCol w:w="60"/>
        <w:gridCol w:w="60"/>
        <w:gridCol w:w="178"/>
        <w:gridCol w:w="996"/>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75" w:type="dxa"/>
            <w:tcBorders/>
            <w:vAlign w:val="center"/>
          </w:tcPr>
          <w:p>
            <w:pPr>
              <w:pStyle w:val="TableContents"/>
              <w:bidi w:val="0"/>
              <w:spacing w:before="0" w:after="283"/>
              <w:ind w:left="0" w:right="0" w:hanging="0"/>
              <w:jc w:val="left"/>
              <w:rPr/>
            </w:pPr>
            <w:r>
              <w:rPr/>
              <w:t> </w:t>
            </w:r>
          </w:p>
        </w:tc>
      </w:tr>
      <w:tr>
        <w:trPr/>
        <w:tc>
          <w:tcPr>
            <w:tcW w:w="240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Identifiable assets: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31,143</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18,040</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56,866</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4,017</w:t>
            </w:r>
          </w:p>
        </w:tc>
        <w:tc>
          <w:tcPr>
            <w:tcW w:w="75"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information about our geographic areas of operation. Revenue is based on the location to which the goods are shipped.</w:t>
      </w:r>
    </w:p>
    <w:p>
      <w:pPr>
        <w:pStyle w:val="TextBody"/>
        <w:bidi w:val="0"/>
        <w:spacing w:before="0" w:after="0"/>
        <w:ind w:left="0" w:right="0" w:hanging="0"/>
        <w:jc w:val="left"/>
        <w:rPr>
          <w:caps w:val="false"/>
          <w:smallCaps w:val="false"/>
        </w:rPr>
      </w:pPr>
      <w:r>
        <w:rPr>
          <w:caps w:val="false"/>
          <w:smallCaps w:val="false"/>
        </w:rPr>
        <w:t> </w:t>
      </w:r>
    </w:p>
    <w:tbl>
      <w:tblPr>
        <w:tblW w:w="4363" w:type="dxa"/>
        <w:jc w:val="left"/>
        <w:tblInd w:w="0" w:type="dxa"/>
        <w:tblLayout w:type="fixed"/>
        <w:tblCellMar>
          <w:top w:w="0" w:type="dxa"/>
          <w:left w:w="0" w:type="dxa"/>
          <w:bottom w:w="0" w:type="dxa"/>
          <w:right w:w="0" w:type="dxa"/>
        </w:tblCellMar>
      </w:tblPr>
      <w:tblGrid>
        <w:gridCol w:w="785"/>
        <w:gridCol w:w="60"/>
        <w:gridCol w:w="144"/>
        <w:gridCol w:w="681"/>
        <w:gridCol w:w="69"/>
        <w:gridCol w:w="69"/>
        <w:gridCol w:w="144"/>
        <w:gridCol w:w="681"/>
        <w:gridCol w:w="60"/>
        <w:gridCol w:w="60"/>
        <w:gridCol w:w="125"/>
        <w:gridCol w:w="590"/>
        <w:gridCol w:w="60"/>
        <w:gridCol w:w="60"/>
        <w:gridCol w:w="125"/>
        <w:gridCol w:w="590"/>
        <w:gridCol w:w="6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br/>
              <w:t xml:space="preserve">June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br/>
              <w:t xml:space="preserve">June 30, </w:t>
            </w:r>
          </w:p>
        </w:tc>
        <w:tc>
          <w:tcPr>
            <w:tcW w:w="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2022 </w:t>
            </w:r>
          </w:p>
        </w:tc>
        <w:tc>
          <w:tcPr>
            <w:tcW w:w="60" w:type="dxa"/>
            <w:tcBorders/>
            <w:vAlign w:val="center"/>
          </w:tcPr>
          <w:p>
            <w:pPr>
              <w:pStyle w:val="TableContents"/>
              <w:bidi w:val="0"/>
              <w:spacing w:before="0" w:after="283"/>
              <w:ind w:left="0" w:right="0" w:hanging="0"/>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23,302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22,646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30,350</w:t>
            </w:r>
          </w:p>
        </w:tc>
        <w:tc>
          <w:tcPr>
            <w:tcW w:w="6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32,558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213" w:type="dxa"/>
        <w:jc w:val="left"/>
        <w:tblInd w:w="0" w:type="dxa"/>
        <w:tblLayout w:type="fixed"/>
        <w:tblCellMar>
          <w:top w:w="0" w:type="dxa"/>
          <w:left w:w="0" w:type="dxa"/>
          <w:bottom w:w="0" w:type="dxa"/>
          <w:right w:w="0" w:type="dxa"/>
        </w:tblCellMar>
      </w:tblPr>
      <w:tblGrid>
        <w:gridCol w:w="2075"/>
        <w:gridCol w:w="60"/>
        <w:gridCol w:w="148"/>
        <w:gridCol w:w="576"/>
        <w:gridCol w:w="60"/>
        <w:gridCol w:w="60"/>
        <w:gridCol w:w="240"/>
        <w:gridCol w:w="934"/>
        <w:gridCol w:w="6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ind w:left="0" w:right="0" w:hanging="0"/>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39"/>
        <w:gridCol w:w="9566"/>
      </w:tblGrid>
      <w:tr>
        <w:trPr/>
        <w:tc>
          <w:tcPr>
            <w:tcW w:w="63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2. </w:t>
            </w:r>
          </w:p>
        </w:tc>
        <w:tc>
          <w:tcPr>
            <w:tcW w:w="956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MANAGEMENT'S DISCUSSION AND ANALYSIS OF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 Factors and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to historical information, this Quarterly Report on Form 10-Q for the period ended June 30, 2023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“believes,” “expects,” “may,” “could,” “will,” “should,” “plans,” “depending,” “projects,” “forecasts,” “seeks,” “anticipates,” “goal,” “objective,” “target,” “estimates,” “future,” “strategy,”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execute on our 5-Point Strategy;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grow our presence in the life sciences, security, industrial and international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of future acquisitions or dispositions and the successful integration of any acquired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our strategy to diversify our business by entering markets outside the semiconductor and automated test equipment (“ATE”) markets, collectively the “semi market”;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indications of a change in the market cycles in the semi market, or other markets we serve;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and trends in the semi market, including changes in the demand for semiconductors;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convert backlog to sales and to ship product in a timely manner;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loss of any one or more of our largest customers, or a reduction in orders by a major customer;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materials used to manufacture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current global supply chain constraints or other interruptions in our supply chain caused by external factors;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sufficiency of cash balances, lines of credit and net cash from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fluctuations;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borrow funds or raise capital to finance potential acquisitions or for working capital;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rate of, and timing of, capital expenditures by our customers;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effects of exchange rate fluctuations;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progress of product development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anticipated market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and retention of key personnel or our ability to hire personnel at anticipated costs;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conditions both domestically and globally,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 factors included in Part I, Item 1A - "Risk Factors" in our 2022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Overview</w:t>
      </w:r>
      <w:r>
        <w:rPr>
          <w:rFonts w:ascii="Times New Roman" w:hAnsi="Times New Roman"/>
          <w:caps w:val="false"/>
          <w:smallCaps w:val="false"/>
          <w:sz w:val="20"/>
        </w:rPr>
        <w:b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MD&amp;A should be read in conjunction with the accompanying consolidated financial statements. In addition, please refer to the discussion of our business and markets contained in Part 1, Item 1 of our 2022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are a global supplier of innovative test and process technology solutions for use in manufacturing and testing across a wide range of markets including automotive, defense/aerospace, industrial, life sciences, security and semiconductor. We have three reportable segments which are also our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further in Part 1, Item 1 “Markets” of our 2022 Form 10-K, we are focused on specific target markets which include automotive, defense/aerospace, industrial, life sciences, security as well as both the front-end and back-end of the semi market.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portion of our business that is derived from the semi market is substantially dependent upon the demand for ATE by semiconductor manufacturers and companies that specialize in the testing of integrated circuits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further in Part I, Item 1 “Overview and Strategy” of our 2022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automotive, defense/aerospace, industrial, life sciences and 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Revenue</w:t>
      </w:r>
      <w:r>
        <w:rPr>
          <w:rFonts w:ascii="Times New Roman" w:hAnsi="Times New Roman"/>
          <w:caps w:val="false"/>
          <w:smallCaps w:val="false"/>
          <w:sz w:val="20"/>
        </w:rPr>
        <w:br/>
        <w:br/>
        <w:t>The following table sets forth, for the periods indicated, a breakdown of revenue by market (in thousands).</w:t>
      </w:r>
    </w:p>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60"/>
        <w:gridCol w:w="485"/>
        <w:gridCol w:w="185"/>
        <w:gridCol w:w="60"/>
        <w:gridCol w:w="125"/>
        <w:gridCol w:w="590"/>
        <w:gridCol w:w="60"/>
        <w:gridCol w:w="60"/>
        <w:gridCol w:w="60"/>
        <w:gridCol w:w="485"/>
        <w:gridCol w:w="185"/>
        <w:gridCol w:w="60"/>
        <w:gridCol w:w="125"/>
        <w:gridCol w:w="545"/>
        <w:gridCol w:w="80"/>
        <w:gridCol w:w="60"/>
        <w:gridCol w:w="60"/>
        <w:gridCol w:w="485"/>
        <w:gridCol w:w="185"/>
        <w:gridCol w:w="60"/>
        <w:gridCol w:w="125"/>
        <w:gridCol w:w="590"/>
        <w:gridCol w:w="60"/>
        <w:gridCol w:w="60"/>
        <w:gridCol w:w="60"/>
        <w:gridCol w:w="485"/>
        <w:gridCol w:w="185"/>
        <w:gridCol w:w="60"/>
        <w:gridCol w:w="125"/>
        <w:gridCol w:w="545"/>
        <w:gridCol w:w="80"/>
        <w:gridCol w:w="60"/>
        <w:gridCol w:w="60"/>
        <w:gridCol w:w="440"/>
        <w:gridCol w:w="18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85" w:type="dxa"/>
            <w:gridSpan w:val="38"/>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18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5"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0" w:type="dxa"/>
            <w:gridSpan w:val="6"/>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 w:hAnsi="Times New Roman"/>
                <w:b/>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 w:hAnsi="Times New Roman"/>
                <w:b/>
                <w:sz w:val="20"/>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3/31/2023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 w:hAnsi="Times New Roman"/>
                <w:b/>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 w:hAnsi="Times New Roman"/>
                <w:b/>
                <w:sz w:val="20"/>
              </w:rPr>
              <w:t>% </w:t>
            </w:r>
          </w:p>
        </w:tc>
        <w:tc>
          <w:tcPr>
            <w:tcW w:w="185" w:type="dxa"/>
            <w:tcBorders/>
            <w:vAlign w:val="center"/>
          </w:tcPr>
          <w:p>
            <w:pPr>
              <w:pStyle w:val="TableContents"/>
              <w:bidi w:val="0"/>
              <w:spacing w:before="0" w:after="283"/>
              <w:ind w:left="0" w:right="0" w:hanging="0"/>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(2,052</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32,558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60"/>
        <w:gridCol w:w="485"/>
        <w:gridCol w:w="185"/>
        <w:gridCol w:w="60"/>
        <w:gridCol w:w="125"/>
        <w:gridCol w:w="590"/>
        <w:gridCol w:w="60"/>
        <w:gridCol w:w="60"/>
        <w:gridCol w:w="60"/>
        <w:gridCol w:w="485"/>
        <w:gridCol w:w="185"/>
        <w:gridCol w:w="60"/>
        <w:gridCol w:w="125"/>
        <w:gridCol w:w="590"/>
        <w:gridCol w:w="80"/>
        <w:gridCol w:w="60"/>
        <w:gridCol w:w="60"/>
        <w:gridCol w:w="485"/>
        <w:gridCol w:w="18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50" w:type="dxa"/>
            <w:gridSpan w:val="2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18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0" w:type="dxa"/>
            <w:gridSpan w:val="6"/>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vAlign w:val="center"/>
          </w:tcPr>
          <w:p>
            <w:pPr>
              <w:pStyle w:val="TableContents"/>
              <w:bidi w:val="0"/>
              <w:spacing w:before="0" w:after="283"/>
              <w:ind w:left="0" w:right="0" w:hanging="0"/>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130.8</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64,477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consolidated revenue for the three months ended June 30, 2023 was $32.6 million compared to $29.6 million for the same period in 2022 and $31.9 million for the three months ended March 31, 2023. The increase in revenue for the second quarter of 2023 as compared to both the same period in 2022 and the first quarter of 2023 primarily reflects higher demand from the semi market. There was also strong demand for our thermal test solutions for the defense/aerospace markets. These increases were partially offset by a decline in revenue from the auto/EV market. We attribute this decline primarily to the variability in the timing of orders and customer delivery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Orders and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use the following key performance metrics to analyze and measure our financial performance and results of operations: orders and backlog.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a breakdown of the orders received by market (in thousands).</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1130"/>
        <w:gridCol w:w="60"/>
        <w:gridCol w:w="125"/>
        <w:gridCol w:w="590"/>
        <w:gridCol w:w="60"/>
        <w:gridCol w:w="60"/>
        <w:gridCol w:w="60"/>
        <w:gridCol w:w="485"/>
        <w:gridCol w:w="185"/>
        <w:gridCol w:w="60"/>
        <w:gridCol w:w="125"/>
        <w:gridCol w:w="590"/>
        <w:gridCol w:w="60"/>
        <w:gridCol w:w="60"/>
        <w:gridCol w:w="60"/>
        <w:gridCol w:w="485"/>
        <w:gridCol w:w="185"/>
        <w:gridCol w:w="60"/>
        <w:gridCol w:w="125"/>
        <w:gridCol w:w="650"/>
        <w:gridCol w:w="80"/>
        <w:gridCol w:w="60"/>
        <w:gridCol w:w="60"/>
        <w:gridCol w:w="485"/>
        <w:gridCol w:w="185"/>
        <w:gridCol w:w="60"/>
        <w:gridCol w:w="125"/>
        <w:gridCol w:w="590"/>
        <w:gridCol w:w="60"/>
        <w:gridCol w:w="60"/>
        <w:gridCol w:w="60"/>
        <w:gridCol w:w="485"/>
        <w:gridCol w:w="185"/>
        <w:gridCol w:w="60"/>
        <w:gridCol w:w="125"/>
        <w:gridCol w:w="545"/>
        <w:gridCol w:w="80"/>
        <w:gridCol w:w="60"/>
        <w:gridCol w:w="60"/>
        <w:gridCol w:w="485"/>
        <w:gridCol w:w="200"/>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35" w:type="dxa"/>
            <w:gridSpan w:val="38"/>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00"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5" w:type="dxa"/>
            <w:gridSpan w:val="6"/>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0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6/30/2023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6/30/2022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3/31/2023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00" w:type="dxa"/>
            <w:tcBorders/>
            <w:vAlign w:val="center"/>
          </w:tcPr>
          <w:p>
            <w:pPr>
              <w:pStyle w:val="TableContents"/>
              <w:bidi w:val="0"/>
              <w:spacing w:before="0" w:after="283"/>
              <w:ind w:left="0" w:right="0" w:hanging="0"/>
              <w:jc w:val="left"/>
              <w:rPr/>
            </w:pPr>
            <w:r>
              <w:rPr/>
              <w:t> </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Orders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1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143.3</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60"/>
        <w:gridCol w:w="485"/>
        <w:gridCol w:w="185"/>
        <w:gridCol w:w="60"/>
        <w:gridCol w:w="125"/>
        <w:gridCol w:w="590"/>
        <w:gridCol w:w="60"/>
        <w:gridCol w:w="60"/>
        <w:gridCol w:w="60"/>
        <w:gridCol w:w="485"/>
        <w:gridCol w:w="185"/>
        <w:gridCol w:w="60"/>
        <w:gridCol w:w="125"/>
        <w:gridCol w:w="545"/>
        <w:gridCol w:w="80"/>
        <w:gridCol w:w="60"/>
        <w:gridCol w:w="60"/>
        <w:gridCol w:w="440"/>
        <w:gridCol w:w="18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60" w:type="dxa"/>
            <w:gridSpan w:val="2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185"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0" w:type="dxa"/>
            <w:gridSpan w:val="6"/>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vAlign w:val="center"/>
          </w:tcPr>
          <w:p>
            <w:pPr>
              <w:pStyle w:val="TableContents"/>
              <w:bidi w:val="0"/>
              <w:spacing w:before="0" w:after="283"/>
              <w:ind w:left="0" w:right="0" w:hanging="0"/>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(6,047</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65,581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consolidated orders for the three months ended June 30, 2023 were $31.4 million compared to $40.5 million for the same period in 2022 and $30.8 million for the three months ended March 31, 2023. We continue to experience strength in demand across all of our markets, but the timing of the receipt of customer orders is unpredictable and typically more variable than the associated delivery schedules. In particular, in certain of our markets including the front-end of the semi market, the auto/EV market and the life sciences market for our image capture technology, our customers tend to place large orders with delivery schedules that extend over several quarters which results in the variability of quarterly order rates that is reflected in the total orders for the periods presented. In addition, during 2022 when supply chain constraints were prevalent across most industries, we saw a tendency for our customers to place orders earlier than they had historically done in the past, which we believe contributed in part to the significant increase in orders received in the second quarter of 2022 as compared to the amount in the same period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 June 30, 2023, our backlog of unfilled orders for all products was approximately $44.6 million compared with approximately $46.0 million at June 30, 2022 and $45.7 million at March 31, 2023. Our backlog includes customer orders that we have accepted, substantially all of which we expect to deliver in 2023.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War in Ukraine and Global Supply Chain Constraints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as described below. Acculogic purchases certain material from a key sole-source supplier in Belarus, which is bordered by Russia to the east and northeast and Ukraine to the south. We estimate that we currently have a six-to-nine-month supply of this material. We are currently in the process of qualifying an alternate supplier for this material. We expect to have a sample of the alternate supplier’s material to evaluate by the end of the third quarter of 2023 with the goal of having the material fully qualified by the end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while we were able to mitigate a significant portion of the supply chain and logistics challenges that we encountered throughout 2022, and conditions appear to have stabilized, uncertainty in the global trade environment and the possibility of future global health or other crises remain.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Please refer to Part 1, Item 1A of our 2022 Form 10-K for further discussion of the risks associated with our business operations, including risks associated with foreign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for all of our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Three Months Ended June 30, 2023 Compared to Three Months Ended June 30, 2022</w:t>
      </w:r>
      <w:r>
        <w:rPr>
          <w:rFonts w:ascii="Times New Roman" w:hAnsi="Times New Roman"/>
          <w:caps w:val="false"/>
          <w:smallCaps w:val="false"/>
          <w:sz w:val="20"/>
        </w:rPr>
        <w:br/>
        <w:br/>
      </w:r>
      <w:r>
        <w:rPr>
          <w:rFonts w:ascii="Times New Roman" w:hAnsi="Times New Roman"/>
          <w:i/>
          <w:caps w:val="false"/>
          <w:smallCaps w:val="false"/>
          <w:sz w:val="20"/>
        </w:rPr>
        <w:t>Revenue.</w:t>
      </w:r>
      <w:r>
        <w:rPr>
          <w:rFonts w:ascii="Times New Roman" w:hAnsi="Times New Roman"/>
          <w:caps w:val="false"/>
          <w:smallCaps w:val="false"/>
          <w:sz w:val="20"/>
        </w:rPr>
        <w:t xml:space="preserve"> Revenue was $32.6 million for the three months ended June 30, 2023 compared to $29.6 million for the same period in 2022, an increase of $3.0 million, or 10%. We believe the increase in our revenue during the second quarter of 2023 primarily reflects the factors previously discussed under “Revenue” in the Overview section above.</w:t>
        <w:br/>
        <w:br/>
      </w:r>
      <w:r>
        <w:rPr>
          <w:rFonts w:ascii="Times New Roman" w:hAnsi="Times New Roman"/>
          <w:i/>
          <w:caps w:val="false"/>
          <w:smallCaps w:val="false"/>
          <w:sz w:val="20"/>
        </w:rPr>
        <w:t>Gross Margin.</w:t>
      </w:r>
      <w:r>
        <w:rPr>
          <w:rFonts w:ascii="Times New Roman" w:hAnsi="Times New Roman"/>
          <w:caps w:val="false"/>
          <w:smallCaps w:val="false"/>
          <w:sz w:val="20"/>
        </w:rPr>
        <w:t xml:space="preserve"> Our consolidated gross margin was 46% of revenue in each of the three months ended June 30, 2023 and 2022. The average cost of component materials used in our products declined somewhat in 2023 as compared to 2022 as a result of changes in product mix, but this decline was offset by an increase in our fixed manufacturing costs. The increase in our fixed manufacturing costs primarily reflects annual merit adjustments to compensation levels and some additional investment in headcount. In addition, our facility related costs have increased in the second quarter of 2023 as compared to the same period in 2022.</w:t>
        <w:br/>
        <w:br/>
      </w:r>
      <w:r>
        <w:rPr>
          <w:rFonts w:ascii="Times New Roman" w:hAnsi="Times New Roman"/>
          <w:i/>
          <w:caps w:val="false"/>
          <w:smallCaps w:val="false"/>
          <w:sz w:val="20"/>
        </w:rPr>
        <w:t>Selling Expense.</w:t>
      </w:r>
      <w:r>
        <w:rPr>
          <w:rFonts w:ascii="Times New Roman" w:hAnsi="Times New Roman"/>
          <w:caps w:val="false"/>
          <w:smallCaps w:val="false"/>
          <w:sz w:val="20"/>
        </w:rPr>
        <w:t xml:space="preserve"> Selling expense was $4.7 million for the three months ended June 30, 2023 compared to $4.0 million for the same period in 2022, an increase of $628,000, or 16%. The increase reflects higher commissions as a result of the increase in revenue. In addition, we incurred higher salary and benefits expense reflecting annual merit adjustments and additional investment in headcount. To a lesser extent, we also incurred higher levels of travel costs reflecting an increase in customer visits and trade show attendance.</w:t>
        <w:br/>
        <w:br/>
      </w:r>
      <w:r>
        <w:rPr>
          <w:rFonts w:ascii="Times New Roman" w:hAnsi="Times New Roman"/>
          <w:i/>
          <w:caps w:val="false"/>
          <w:smallCaps w:val="false"/>
          <w:sz w:val="20"/>
        </w:rPr>
        <w:t>Engineering and Product Development Expense.</w:t>
      </w:r>
      <w:r>
        <w:rPr>
          <w:rFonts w:ascii="Times New Roman" w:hAnsi="Times New Roman"/>
          <w:caps w:val="false"/>
          <w:smallCaps w:val="false"/>
          <w:sz w:val="20"/>
        </w:rPr>
        <w:t xml:space="preserve"> Engineering and product development expense was $2.0 million for the three months ended June 30, 2023 compared to $1.9 million for the same period in 2022, an increase of $124,000, or 7%, primarily reflecting an increase in materials used in product development projects. This increase was offset somewhat by a decrease in salary and benefits expense as we had open positions in the second quarter of 2023 that we are in the process of re-hiring. These positions were filled in the comparable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General and Administrative Expense.</w:t>
      </w:r>
      <w:r>
        <w:rPr>
          <w:rFonts w:ascii="Times New Roman" w:hAnsi="Times New Roman"/>
          <w:caps w:val="false"/>
          <w:smallCaps w:val="false"/>
          <w:sz w:val="20"/>
        </w:rPr>
        <w:t xml:space="preserve"> General and administrative expense was $5.0 million for the three months ended June 30, 2023 compared to $4.9 million for the same period in 2022, an increase of $114,000, or 2%. The increase primarily reflects higher levels of salary and benefits expense as a result of annual merit adjustments and higher levels of travel costs which were partially offset by a reduction in amortization expense related to our acquired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Income Tax Expense.</w:t>
      </w:r>
      <w:r>
        <w:rPr>
          <w:rFonts w:ascii="Times New Roman" w:hAnsi="Times New Roman"/>
          <w:caps w:val="false"/>
          <w:smallCaps w:val="false"/>
          <w:sz w:val="20"/>
        </w:rPr>
        <w:t xml:space="preserve"> For the three months ended June 30, 2023, we recorded income tax expense of $572,000 compared to income tax expense of $454,000 for the same period in 2022. Our effective tax rate was 17% for the three months ended June 30, 2023 compared to 18% for the same period in 2022. On a quarterly basis, we record income tax expense or benefit based on the expected annualized effective tax rate for the various taxing jurisdictions in which we operate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Six Months Ended June 30, 2023 Compared to Six Months Ended June 30, 2022</w:t>
      </w:r>
      <w:r>
        <w:rPr>
          <w:rFonts w:ascii="Times New Roman" w:hAnsi="Times New Roman"/>
          <w:caps w:val="false"/>
          <w:smallCaps w:val="false"/>
          <w:sz w:val="20"/>
        </w:rPr>
        <w:br/>
        <w:br/>
      </w:r>
      <w:r>
        <w:rPr>
          <w:rFonts w:ascii="Times New Roman" w:hAnsi="Times New Roman"/>
          <w:i/>
          <w:caps w:val="false"/>
          <w:smallCaps w:val="false"/>
          <w:sz w:val="20"/>
        </w:rPr>
        <w:t>Revenue.</w:t>
      </w:r>
      <w:r>
        <w:rPr>
          <w:rFonts w:ascii="Times New Roman" w:hAnsi="Times New Roman"/>
          <w:caps w:val="false"/>
          <w:smallCaps w:val="false"/>
          <w:sz w:val="20"/>
        </w:rPr>
        <w:t xml:space="preserve"> Revenue was $64.5 million for the six months ended June 30, 2023 compared to $53.7 million for the same period in 2022, an increase of $10.8 million, or 20%. We believe the increase in our revenue during the first six months of 2023 primarily reflects the factors previously discussed under “Revenue” in the Overview section above.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i/>
          <w:sz w:val="20"/>
        </w:rPr>
        <w:t>Gross Margin.</w:t>
      </w:r>
      <w:r>
        <w:rPr>
          <w:rFonts w:ascii="Times New Roman;Times;serif" w:hAnsi="Times New Roman;Times;serif"/>
          <w:sz w:val="20"/>
        </w:rPr>
        <w:t xml:space="preserve"> Our consolidated gross margin was 47% of revenue for the six months ended June 30, 2023 as compared to 46% of revenue for the same period in 2022. The improvement in our gross margin primarily reflects a decrease in our component material costs as a percentage of revenue, reflecting changes in product mix, and a decline in our fixed manufacturing costs as a percent of revenue. Even though our fixed manufacturing costs increased in absolute dollar terms, they were more fully absorbed by the higher revenue levels. The increase in our fixed manufacturing costs in absolute dollar terms reflects increased salary and benefits expense as a result of annual merit adjustments. To a lesser extent we also had increased facility costs and depreciation reflecting new facilities and additions to our capitalized asset base.</w:t>
        <w:br/>
        <w:br/>
      </w:r>
      <w:r>
        <w:rPr>
          <w:rFonts w:ascii="Times New Roman;Times;serif" w:hAnsi="Times New Roman;Times;serif"/>
          <w:i/>
          <w:sz w:val="20"/>
        </w:rPr>
        <w:t>Selling Expense.</w:t>
      </w:r>
      <w:r>
        <w:rPr>
          <w:rFonts w:ascii="Times New Roman;Times;serif" w:hAnsi="Times New Roman;Times;serif"/>
          <w:sz w:val="20"/>
        </w:rPr>
        <w:t xml:space="preserve"> Selling expense was $9.1 million for the six months ended June 30, 2023 compared to $7.5 million for the same period in 2022, an increase of $1.6 million, or 22%. The increase primarily reflects higher commissions on the higher revenue level. We also had an increase in salary and benefits expense, reflecting annual merit adjustments and additional headcount investments, and higher levels of travel and advertising costs as we are increasing the number of customer visits and trade show attendance as we work to continue to grow our business.</w:t>
        <w:br/>
        <w:br/>
      </w:r>
      <w:r>
        <w:rPr>
          <w:rFonts w:ascii="Times New Roman;Times;serif" w:hAnsi="Times New Roman;Times;serif"/>
          <w:i/>
          <w:sz w:val="20"/>
        </w:rPr>
        <w:t>Engineering and Product Development Expense.</w:t>
      </w:r>
      <w:r>
        <w:rPr>
          <w:rFonts w:ascii="Times New Roman;Times;serif" w:hAnsi="Times New Roman;Times;serif"/>
          <w:sz w:val="20"/>
        </w:rPr>
        <w:t xml:space="preserve"> Engineering and product development expense was $3.9 million for the six months ended June 30, 2023 compared to $3.8 million for the same period in 2022, an increase of $104,000 or 3%, primarily reflecting an increase in materials used in product development projects and fees paid to third parties to assist in our development efforts. These increases were offset somewhat by a decrease in salary and benefits expense as we have open positions in the first half of 2023 that we are in the process of re-hiring. These positions were filled in the comparable prior period.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General and Administrative Expense.</w:t>
      </w:r>
      <w:r>
        <w:rPr>
          <w:rFonts w:ascii="Times New Roman" w:hAnsi="Times New Roman"/>
          <w:caps w:val="false"/>
          <w:smallCaps w:val="false"/>
          <w:sz w:val="20"/>
        </w:rPr>
        <w:t xml:space="preserve"> General and administrative expense was $10.2 million for the six months ended June 30, 2023 compared to $9.8 million for the same period in 2022, an increase of $458,000, or 5%. The increase primarily reflects higher levels of salary and benefits expense, bonus accruals and stock-based compensation expense. The increases reflect, in part, annual merit adjustments as well as increased accruals for profit-based bonuses. We also recorded higher costs related to audit fees in the first half of 2023 as compared to the same period in 2022 as a result of our anticipated transition to accelerated filer status for fiscal 2023. These increases were partially offset by a reduction in amortization expense related to our acquired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Income Tax Expense.</w:t>
      </w:r>
      <w:r>
        <w:rPr>
          <w:rFonts w:ascii="Times New Roman" w:hAnsi="Times New Roman"/>
          <w:caps w:val="false"/>
          <w:smallCaps w:val="false"/>
          <w:sz w:val="20"/>
        </w:rPr>
        <w:t xml:space="preserve"> For the six months ended June 30, 2023, we recorded income tax expense of $1.1 million compared to income tax expense of $532,000 for the same period in 2022. Our effective tax rate was 17% in both periods. On a quarterly basis, we record income tax expense or benefit based on the expected annualized effective tax rate for the various taxing jurisdictions in which we operate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Liquidity and Capital Resources</w:t>
      </w:r>
      <w:r>
        <w:rPr>
          <w:rFonts w:ascii="Times New Roman" w:hAnsi="Times New Roman"/>
          <w:caps w:val="false"/>
          <w:smallCaps w:val="false"/>
          <w:sz w:val="20"/>
        </w:rPr>
        <w:br/>
        <w:b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Proceeds from Sale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May 11, 2023, we entered into an At-the-Market Issuance Sales Agreement (the "Sales Agreement") pursuant to which we issued and sold 921,797 shares of our common stock having an aggregate offering price of $20.0 million between May 11, 2023 and May 31, 2023. We received net proceeds from the sale of these shares of $19.2 million after payment of commissions of 3.0% of the gross proceeds and other fees related to the sale of these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in the Overview and in Note 9 to our consolidated financial statements in this Report, on October 15, 2021, we entered into the Loan Agreement with M&amp;T. The Loan Agreement includes a $25 million non-revolving delayed draw term note (the “Term Note”) and a $10 million revolving credit facility (the “Revolving Facility and together with the Term Note, the “Credit Facility”). The Credit Facility had a five year contract period that began on the Closing Date and expired on October 15, 2026, and draws under the Term Note were permissible for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1A. Under the Amended Loan Agreement, the maximum loan amount that we may borrow under the Term Note increased from $25 million to $50.5 million, which raises the available funding at June 30, 2023 to $30 million. Under the Amended Loan Agreement, the maturity date of the Term Note and Revolving Facility were also extended to September 19, 2027 (the “Contract Period”). At June 30, 2023, we had not borrowed any amounts under the $10 million Revolving Facility. Our borrowings under the Term Note are discussed below and occurred prior to entering into the Amended Loan Agreement. The principal balance of the Revolving Facility and the principal balance of any amount drawn under the Term Note accrues interest based on the Secured Overnight Financing Rate or a bank-defined base rate plus an applicable margin, depending on leverage.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At June 30, 2023, we were in compliance with all of the covenants included in the Credit Facility. At this date, our consolidated funded debt to consolidated EBITDA ratio was 0.7 and our fixed charge coverage ratio was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June 30, 2023, it was approximately 7.2% based on current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 June 30, 2023, there were no amounts borrowed under our revolving credit facility. This facility has a total borrowing availability of $10.0 million. Interest expense for the six months ended June 30, 2023 and 2022 was $358,000 and $278,000, respectively.</w:t>
        <w:br/>
        <w:br/>
      </w:r>
      <w:r>
        <w:rPr>
          <w:rFonts w:ascii="Times New Roman" w:hAnsi="Times New Roman"/>
          <w:i/>
          <w:caps w:val="false"/>
          <w:smallCaps w:val="false"/>
          <w:sz w:val="20"/>
          <w:u w:val="single"/>
        </w:rPr>
        <w:t xml:space="preserve">Liquidity </w:t>
      </w:r>
      <w:r>
        <w:rPr>
          <w:rFonts w:ascii="Times New Roman" w:hAnsi="Times New Roman"/>
          <w:caps w:val="false"/>
          <w:smallCaps w:val="false"/>
          <w:sz w:val="20"/>
        </w:rPr>
        <w:br/>
        <w:br/>
        <w:t>Our cash and cash equivalents and working capital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303" w:type="dxa"/>
        <w:jc w:val="left"/>
        <w:tblInd w:w="0" w:type="dxa"/>
        <w:tblLayout w:type="fixed"/>
        <w:tblCellMar>
          <w:top w:w="0" w:type="dxa"/>
          <w:left w:w="0" w:type="dxa"/>
          <w:bottom w:w="0" w:type="dxa"/>
          <w:right w:w="0" w:type="dxa"/>
        </w:tblCellMar>
      </w:tblPr>
      <w:tblGrid>
        <w:gridCol w:w="2165"/>
        <w:gridCol w:w="60"/>
        <w:gridCol w:w="126"/>
        <w:gridCol w:w="598"/>
        <w:gridCol w:w="60"/>
        <w:gridCol w:w="60"/>
        <w:gridCol w:w="204"/>
        <w:gridCol w:w="970"/>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br/>
              <w:t>2022</w:t>
            </w:r>
          </w:p>
        </w:tc>
        <w:tc>
          <w:tcPr>
            <w:tcW w:w="60" w:type="dxa"/>
            <w:tcBorders/>
            <w:vAlign w:val="center"/>
          </w:tcPr>
          <w:p>
            <w:pPr>
              <w:pStyle w:val="TableContents"/>
              <w:bidi w:val="0"/>
              <w:spacing w:before="0" w:after="283"/>
              <w:ind w:left="0" w:right="0" w:hanging="0"/>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13,434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Working 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33,182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2023, $4.2 million, or 11%, of our cash and cash equivalents was held by our foreign subsidiaries. We currently expect our cash and cash equivalents, in combination with the borrowing capacity available under our revolving credit facility and the anticipated net cash to be provided by our operations in the next twelve months to be sufficient to support our short-term working capital requirements and other corporate requirements. Our revolving credit facility is discussed in Note 9 to our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also anticipate making investments in our business in the next twelve months including hiring of additional staff and other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current strategy for growth includes pursuing acquisition opportunities for complementary businesses, technologies or products. As discussed further in our 2022 Form 10-K, we acquired substantially all of the assets of Videology in October 2021 and we completed the acquisition of Acculogic in December 2021. We utilized $20.5 million under the Term Note to finance these acquisitions. The borrowing availability under the Term Note was expanded in September 2022 as discussed above and in Note 9 to our consolidated financial statements in this Report. Also discussed above, we raised $19.2 million from the sale of common stock in May 2023. We currently anticipate that any additional long-term cash requirements related to our strategy would be funded through a combination of our cash and cash equivalents, the remaining availability under the Term Note or by issuing additional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For the six months ended June 30, 2023, we recorded net earnings of $5.6 million. Net cash provided by operations during this period was $5.3 million. During the six months ended June 30, 2023, we had non-cash charges of $2.4 million for depreciation and amortization which included $782,000 of amortization related to our ROU assets. Our operating lease liabilities declined $849,000 during this same period. During the six months ended June 30, 2023, we recorded $1.1 million for amortization of deferred compensation expense related to stock-based awards and a deferred tax benefit of $685,000. During the first six months of 2023, inventories increased $693,000 as we secured inventory to fill the orders in our backlog at June 30, 2023. However, the level of increase in our inventories has slowed compared to the same period last year as backlog has leveled out and supply chain constraints have eased somewhat. We anticipate the level of our inventories will stabilize for the balance of 2023. Accounts payable decreased $1.6 million during the first six months of 2023 as we are slowing the pace of new purchases from our vendors. Customer deposits and deferred revenue declined $625,000 during the first six months of 2023 as we have now delivered all or substantially all of the large orders received in late 2022 where we collected sizable deposits from our customers as we needed to secure inventory in advance of the delivery schedule. We have not had as many large single orders placed in the first six months of 2023 where similar deposits were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Investing Activities</w:t>
      </w:r>
      <w:r>
        <w:rPr>
          <w:rFonts w:ascii="Times New Roman" w:hAnsi="Times New Roman"/>
          <w:caps w:val="false"/>
          <w:smallCaps w:val="false"/>
          <w:sz w:val="20"/>
        </w:rPr>
        <w:t>. During the six months ended June 30, 2023, purchases of property and equipment were $709,000, primarily reflecting leasehold improvements to our new facility for our Acculogic operation in Canada. These improvements were funded using our working capital. We have no significant commitments for capital expenditures for the balance of 2023;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Financing Activities</w:t>
      </w:r>
      <w:r>
        <w:rPr>
          <w:rFonts w:ascii="Times New Roman" w:hAnsi="Times New Roman"/>
          <w:caps w:val="false"/>
          <w:smallCaps w:val="false"/>
          <w:sz w:val="20"/>
        </w:rPr>
        <w:t>. During the six months ended June 30, 2023, we had net proceeds of $19.2 million from the sale of 921,797 shares of our common stock, as previously discussed. During this same period, we also received $900,000 as a result of the exercise of options to purchase our stock by employees and $83,000 as a result of purchases of our stock that were made by our employees under the inTEST Corporation Employee Stock Purchase Plan. During the six months ended June 30, 2023, we made principal payments on our Term Note totaling $2.1 million, and acquired $74,000 of stock as a result of shares withheld by us from employees to satisfy tax liabilities incurred by them as a result of vesting of restricted stock awards. These shares are classified as treasury stock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New or 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See the Notes to our consolidated financial statements in this Report for information concerning the implementation and impact of new or 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Critical Accounting Estimates</w:t>
      </w:r>
      <w:r>
        <w:rPr>
          <w:rFonts w:ascii="Times New Roman" w:hAnsi="Times New Roman"/>
          <w:caps w:val="false"/>
          <w:smallCaps w:val="false"/>
          <w:sz w:val="20"/>
        </w:rPr>
        <w:br/>
        <w:b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2023, there have been no significant changes to the accounting estimates that we have deemed critical. Our critical accounting estimates are more fully described in our 2022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Off -Balance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There were no off-balance sheet arrangements during the six months ended June 30, 2023 that have or are reasonably likely to have, a current or future effect on our financial condition, changes in financial condition, revenue or expenses, results of operations, liquidity, capital expenditures or capital resources that is material to our interests.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5"/>
        <w:gridCol w:w="69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disclosure is not required for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3565" w:type="dxa"/>
        <w:jc w:val="left"/>
        <w:tblInd w:w="0" w:type="dxa"/>
        <w:tblLayout w:type="fixed"/>
        <w:tblCellMar>
          <w:top w:w="0" w:type="dxa"/>
          <w:left w:w="0" w:type="dxa"/>
          <w:bottom w:w="0" w:type="dxa"/>
          <w:right w:w="0" w:type="dxa"/>
        </w:tblCellMar>
      </w:tblPr>
      <w:tblGrid>
        <w:gridCol w:w="650"/>
        <w:gridCol w:w="291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4. </w:t>
            </w:r>
          </w:p>
        </w:tc>
        <w:tc>
          <w:tcPr>
            <w:tcW w:w="29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Evaluation of Disclosure Controls and Procedures</w:t>
      </w:r>
      <w:r>
        <w:rPr>
          <w:rFonts w:ascii="Times New Roman" w:hAnsi="Times New Roman"/>
          <w:caps w:val="false"/>
          <w:smallCaps w:val="false"/>
          <w:sz w:val="20"/>
        </w:rPr>
        <w:br/>
        <w:br/>
        <w:t>We maintain disclosure controls and procedures, as such term is defined in Rule 13a-15(e) under the Exchange Act of 1934, as amended,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rPr>
        <w:t>CEO/CFO Conclusions about the Effectiveness of the Disclosure Controls and Procedures</w:t>
      </w:r>
      <w:r>
        <w:rPr>
          <w:rFonts w:ascii="Times New Roman" w:hAnsi="Times New Roman"/>
          <w:caps w:val="false"/>
          <w:smallCaps w:val="false"/>
          <w:sz w:val="20"/>
        </w:rPr>
        <w:t>. As required by Rule 13a-15(b) of the Exchange Act, inTEST management, including our CEO and CFO, conducted an evaluation as of the end of the period covered by this Report, of the effectiveness of our disclosure controls and procedures</w:t>
      </w:r>
      <w:r>
        <w:rPr>
          <w:rFonts w:ascii="Times New Roman" w:hAnsi="Times New Roman"/>
          <w:b/>
          <w:caps w:val="false"/>
          <w:smallCaps w:val="false"/>
          <w:sz w:val="20"/>
        </w:rPr>
        <w:t xml:space="preserve">. </w:t>
      </w:r>
      <w:r>
        <w:rPr>
          <w:rFonts w:ascii="Times New Roman" w:hAnsi="Times New Roman"/>
          <w:caps w:val="false"/>
          <w:smallCaps w:val="false"/>
          <w:sz w:val="20"/>
        </w:rPr>
        <w:t>Based on that evaluation, our CEO and CFO concluded that, as of the end of the period covered by this Report,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4"/>
        <w:gridCol w:w="9631"/>
      </w:tblGrid>
      <w:tr>
        <w:trPr/>
        <w:tc>
          <w:tcPr>
            <w:tcW w:w="574"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1. </w:t>
            </w:r>
          </w:p>
        </w:tc>
        <w:tc>
          <w:tcPr>
            <w:tcW w:w="9631"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Legal Proceedings</w:t>
            </w:r>
          </w:p>
        </w:tc>
      </w:tr>
      <w:tr>
        <w:trPr/>
        <w:tc>
          <w:tcPr>
            <w:tcW w:w="574"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0"/>
              <w:ind w:left="0" w:right="0" w:hanging="0"/>
              <w:jc w:val="left"/>
              <w:rPr/>
            </w:pPr>
            <w:r>
              <w:rPr/>
              <w:t> </w:t>
            </w:r>
          </w:p>
        </w:tc>
      </w:tr>
      <w:tr>
        <w:trPr/>
        <w:tc>
          <w:tcPr>
            <w:tcW w:w="574"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From time to time we may be a party to legal proceedings occurring in the ordinary course of business. We are not currently involved in any material 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1A. </w:t>
            </w:r>
          </w:p>
        </w:tc>
        <w:tc>
          <w:tcPr>
            <w:tcW w:w="970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Risk Factors</w:t>
            </w:r>
          </w:p>
        </w:tc>
      </w:tr>
      <w:tr>
        <w:trPr/>
        <w:tc>
          <w:tcPr>
            <w:tcW w:w="496" w:type="dxa"/>
            <w:tcBorders/>
            <w:vAlign w:val="center"/>
          </w:tcPr>
          <w:p>
            <w:pPr>
              <w:pStyle w:val="TableContents"/>
              <w:bidi w:val="0"/>
              <w:spacing w:before="0" w:after="283"/>
              <w:jc w:val="left"/>
              <w:rPr/>
            </w:pPr>
            <w:r>
              <w:rPr/>
              <w:t> </w:t>
            </w:r>
          </w:p>
        </w:tc>
        <w:tc>
          <w:tcPr>
            <w:tcW w:w="9709" w:type="dxa"/>
            <w:tcBorders/>
            <w:vAlign w:val="center"/>
          </w:tcPr>
          <w:p>
            <w:pPr>
              <w:pStyle w:val="TableContents"/>
              <w:bidi w:val="0"/>
              <w:spacing w:before="0" w:after="0"/>
              <w:ind w:left="0" w:right="0" w:hanging="0"/>
              <w:jc w:val="left"/>
              <w:rPr/>
            </w:pPr>
            <w:r>
              <w:rPr/>
              <w:t> </w:t>
            </w:r>
          </w:p>
        </w:tc>
      </w:tr>
      <w:tr>
        <w:trPr/>
        <w:tc>
          <w:tcPr>
            <w:tcW w:w="496" w:type="dxa"/>
            <w:tcBorders/>
            <w:vAlign w:val="center"/>
          </w:tcPr>
          <w:p>
            <w:pPr>
              <w:pStyle w:val="TableContents"/>
              <w:bidi w:val="0"/>
              <w:spacing w:before="0" w:after="283"/>
              <w:jc w:val="left"/>
              <w:rPr/>
            </w:pPr>
            <w:r>
              <w:rPr/>
              <w:t> </w:t>
            </w:r>
          </w:p>
        </w:tc>
        <w:tc>
          <w:tcPr>
            <w:tcW w:w="97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2022 Form 10-K filed with the Securities and Exchange Commission on March 22, 2023. There have been no material changes from the risk factors set forth in our 2022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
        <w:gridCol w:w="9595"/>
      </w:tblGrid>
      <w:tr>
        <w:trPr/>
        <w:tc>
          <w:tcPr>
            <w:tcW w:w="6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2. </w:t>
            </w:r>
          </w:p>
        </w:tc>
        <w:tc>
          <w:tcPr>
            <w:tcW w:w="95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Unregistered Sales of Equity Securities and Use of Proceeds</w:t>
            </w:r>
          </w:p>
        </w:tc>
      </w:tr>
      <w:tr>
        <w:trPr/>
        <w:tc>
          <w:tcPr>
            <w:tcW w:w="610"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0"/>
              <w:ind w:left="0" w:right="0" w:hanging="0"/>
              <w:jc w:val="left"/>
              <w:rPr/>
            </w:pPr>
            <w:r>
              <w:rPr/>
              <w:t> </w:t>
            </w:r>
          </w:p>
        </w:tc>
      </w:tr>
      <w:tr>
        <w:trPr/>
        <w:tc>
          <w:tcPr>
            <w:tcW w:w="610"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provides information with respect to shares of common stock withheld by the Company for the second quarter of 2023:</w:t>
            </w:r>
          </w:p>
        </w:tc>
      </w:tr>
    </w:tbl>
    <w:p>
      <w:pPr>
        <w:pStyle w:val="TextBody"/>
        <w:bidi w:val="0"/>
        <w:spacing w:before="0" w:after="0"/>
        <w:ind w:left="0" w:right="0" w:hanging="0"/>
        <w:jc w:val="left"/>
        <w:rPr>
          <w:caps w:val="false"/>
          <w:smallCaps w:val="false"/>
        </w:rPr>
      </w:pPr>
      <w:r>
        <w:rPr>
          <w:caps w:val="false"/>
          <w:smallCaps w:val="false"/>
        </w:rPr>
        <w:t> </w:t>
      </w:r>
    </w:p>
    <w:tbl>
      <w:tblPr>
        <w:tblW w:w="6327" w:type="dxa"/>
        <w:jc w:val="left"/>
        <w:tblInd w:w="0" w:type="dxa"/>
        <w:tblLayout w:type="fixed"/>
        <w:tblCellMar>
          <w:top w:w="0" w:type="dxa"/>
          <w:left w:w="0" w:type="dxa"/>
          <w:bottom w:w="28" w:type="dxa"/>
          <w:right w:w="0" w:type="dxa"/>
        </w:tblCellMar>
      </w:tblPr>
      <w:tblGrid>
        <w:gridCol w:w="860"/>
        <w:gridCol w:w="60"/>
        <w:gridCol w:w="99"/>
        <w:gridCol w:w="806"/>
        <w:gridCol w:w="245"/>
        <w:gridCol w:w="60"/>
        <w:gridCol w:w="184"/>
        <w:gridCol w:w="720"/>
        <w:gridCol w:w="60"/>
        <w:gridCol w:w="60"/>
        <w:gridCol w:w="650"/>
        <w:gridCol w:w="869"/>
        <w:gridCol w:w="60"/>
        <w:gridCol w:w="60"/>
        <w:gridCol w:w="631"/>
        <w:gridCol w:w="843"/>
        <w:gridCol w:w="60"/>
      </w:tblGrid>
      <w:tr>
        <w:trPr/>
        <w:tc>
          <w:tcPr>
            <w:tcW w:w="86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br/>
              <w:t>of Shares</w:t>
              <w:br/>
              <w:t>Purchased</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br/>
              <w:t>Price Paid</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 of</w:t>
              <w:br/>
              <w:t>Shares Purchased</w:t>
              <w:br/>
              <w:t>as Part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Publicly</w:t>
              <w:br/>
              <w:t>Announced Plans</w:t>
              <w:br/>
              <w:t xml:space="preserve">or Programs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Approximate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Dollar </w:t>
              <w:br/>
              <w:t>Value of Shares</w:t>
              <w:br/>
              <w:t>That May Yet Be</w:t>
              <w:br/>
              <w:t>Purchased Under</w:t>
              <w:br/>
              <w:t>the Plans 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Programs</w:t>
            </w:r>
          </w:p>
        </w:tc>
        <w:tc>
          <w:tcPr>
            <w:tcW w:w="60" w:type="dxa"/>
            <w:tcBorders/>
            <w:tcMar>
              <w:bottom w:w="0" w:type="dxa"/>
            </w:tcMar>
            <w:vAlign w:val="center"/>
          </w:tcPr>
          <w:p>
            <w:pPr>
              <w:pStyle w:val="TableContents"/>
              <w:bidi w:val="0"/>
              <w:spacing w:before="0" w:after="283"/>
              <w:ind w:left="0" w:right="0" w:hanging="0"/>
              <w:jc w:val="left"/>
              <w:rPr/>
            </w:pPr>
            <w:r>
              <w:rPr/>
              <w:t> </w:t>
            </w:r>
          </w:p>
        </w:tc>
      </w:tr>
      <w:tr>
        <w:trPr/>
        <w:tc>
          <w:tcPr>
            <w:tcW w:w="8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2,185</w:t>
            </w:r>
          </w:p>
        </w:tc>
        <w:tc>
          <w:tcPr>
            <w:tcW w:w="24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ind w:left="0" w:right="0" w:hanging="0"/>
              <w:jc w:val="left"/>
              <w:rPr/>
            </w:pPr>
            <w:r>
              <w:rPr/>
              <w:t> </w:t>
            </w:r>
          </w:p>
        </w:tc>
        <w:tc>
          <w:tcPr>
            <w:tcW w:w="86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left"/>
              <w:rPr/>
            </w:pPr>
            <w:r>
              <w:rPr/>
              <w:t> </w:t>
            </w:r>
          </w:p>
        </w:tc>
        <w:tc>
          <w:tcPr>
            <w:tcW w:w="84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8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4"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ind w:left="0" w:right="0" w:hanging="0"/>
              <w:jc w:val="left"/>
              <w:rPr/>
            </w:pPr>
            <w:r>
              <w:rPr/>
              <w:t> </w:t>
            </w:r>
          </w:p>
        </w:tc>
        <w:tc>
          <w:tcPr>
            <w:tcW w:w="869"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left"/>
              <w:rPr/>
            </w:pPr>
            <w:r>
              <w:rPr/>
              <w:t> </w:t>
            </w:r>
          </w:p>
        </w:tc>
        <w:tc>
          <w:tcPr>
            <w:tcW w:w="84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8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left"/>
              <w:rPr/>
            </w:pPr>
            <w:r>
              <w:rPr/>
              <w:t> </w:t>
            </w:r>
          </w:p>
        </w:tc>
        <w:tc>
          <w:tcPr>
            <w:tcW w:w="84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8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2,185</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4"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6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left"/>
              <w:rPr/>
            </w:pPr>
            <w:r>
              <w:rPr/>
              <w:t> </w:t>
            </w:r>
          </w:p>
        </w:tc>
        <w:tc>
          <w:tcPr>
            <w:tcW w:w="84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245"/>
        <w:gridCol w:w="96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to cover tax withholding obligations under the net settlement provisions of our restricted stock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3325" w:type="dxa"/>
        <w:jc w:val="left"/>
        <w:tblInd w:w="0" w:type="dxa"/>
        <w:tblLayout w:type="fixed"/>
        <w:tblCellMar>
          <w:top w:w="0" w:type="dxa"/>
          <w:left w:w="0" w:type="dxa"/>
          <w:bottom w:w="0" w:type="dxa"/>
          <w:right w:w="0" w:type="dxa"/>
        </w:tblCellMar>
      </w:tblPr>
      <w:tblGrid>
        <w:gridCol w:w="650"/>
        <w:gridCol w:w="267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3. </w:t>
            </w:r>
          </w:p>
        </w:tc>
        <w:tc>
          <w:tcPr>
            <w:tcW w:w="26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Defaults Upon Senior Securities</w:t>
            </w:r>
          </w:p>
        </w:tc>
      </w:tr>
      <w:tr>
        <w:trPr/>
        <w:tc>
          <w:tcPr>
            <w:tcW w:w="65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ind w:left="0" w:right="0" w:hanging="0"/>
              <w:jc w:val="left"/>
              <w:rPr/>
            </w:pPr>
            <w:r>
              <w:rPr/>
              <w:t> </w:t>
            </w:r>
          </w:p>
        </w:tc>
      </w:tr>
      <w:tr>
        <w:trPr/>
        <w:tc>
          <w:tcPr>
            <w:tcW w:w="65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50"/>
        <w:gridCol w:w="207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4. </w:t>
            </w:r>
          </w:p>
        </w:tc>
        <w:tc>
          <w:tcPr>
            <w:tcW w:w="20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Mine Safety Disclosures </w:t>
            </w:r>
          </w:p>
        </w:tc>
      </w:tr>
      <w:tr>
        <w:trPr/>
        <w:tc>
          <w:tcPr>
            <w:tcW w:w="65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left"/>
              <w:rPr/>
            </w:pPr>
            <w:r>
              <w:rPr/>
              <w:t> </w:t>
            </w:r>
          </w:p>
        </w:tc>
      </w:tr>
      <w:tr>
        <w:trPr/>
        <w:tc>
          <w:tcPr>
            <w:tcW w:w="65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50"/>
        <w:gridCol w:w="159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5. </w:t>
            </w:r>
          </w:p>
        </w:tc>
        <w:tc>
          <w:tcPr>
            <w:tcW w:w="15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Information</w:t>
            </w:r>
          </w:p>
        </w:tc>
      </w:tr>
      <w:tr>
        <w:trPr/>
        <w:tc>
          <w:tcPr>
            <w:tcW w:w="65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ind w:left="0" w:right="0" w:hanging="0"/>
              <w:jc w:val="left"/>
              <w:rPr/>
            </w:pPr>
            <w:r>
              <w:rPr/>
              <w:t> </w:t>
            </w:r>
          </w:p>
        </w:tc>
      </w:tr>
      <w:tr>
        <w:trPr/>
        <w:tc>
          <w:tcPr>
            <w:tcW w:w="65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650"/>
        <w:gridCol w:w="72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6. </w:t>
            </w:r>
          </w:p>
        </w:tc>
        <w:tc>
          <w:tcPr>
            <w:tcW w:w="7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63"/>
        <w:gridCol w:w="9482"/>
      </w:tblGrid>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482"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u w:val="single"/>
                <w:rFonts w:ascii="Times New Roman" w:hAnsi="Times New Roman"/>
              </w:rPr>
              <w:instrText xml:space="preserve"> HYPERLINK "http://www.sec.gov/Archives/edgar/data/1036262/000119312523122353/d483836ddef14a.htm" \l "toc483836_18"</w:instrText>
            </w:r>
            <w:r>
              <w:rPr>
                <w:rStyle w:val="InternetLink"/>
                <w:smallCaps w:val="false"/>
                <w:caps w:val="false"/>
                <w:sz w:val="20"/>
                <w:u w:val="single"/>
                <w:rFonts w:ascii="Times New Roman" w:hAnsi="Times New Roman"/>
              </w:rPr>
              <w:fldChar w:fldCharType="separate"/>
            </w:r>
            <w:r>
              <w:rPr>
                <w:rStyle w:val="InternetLink"/>
                <w:rFonts w:ascii="Times New Roman" w:hAnsi="Times New Roman"/>
                <w:caps w:val="false"/>
                <w:smallCaps w:val="false"/>
                <w:sz w:val="20"/>
                <w:u w:val="single"/>
              </w:rPr>
              <w:t>inTEST Corporation 2023 Stock Incentive Plan (1)(*)</w:t>
            </w:r>
            <w:r>
              <w:rPr>
                <w:rStyle w:val="InternetLink"/>
                <w:smallCaps w:val="false"/>
                <w:caps w:val="false"/>
                <w:sz w:val="20"/>
                <w:u w:val="single"/>
                <w:rFonts w:ascii="Times New Roman" w:hAnsi="Times New Roman"/>
              </w:rPr>
              <w:fldChar w:fldCharType="end"/>
            </w:r>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9482"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Sales Agreement, dated May 11, 2023, by and between inTEST Corporation and Lake Street Capital Markets, LLC (2)</w:t>
              </w:r>
            </w:hyperlink>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9482" w:type="dxa"/>
            <w:tcBorders/>
            <w:vAlign w:val="center"/>
          </w:tcPr>
          <w:p>
            <w:pPr>
              <w:pStyle w:val="TableContents"/>
              <w:bidi w:val="0"/>
              <w:spacing w:before="0" w:after="0"/>
              <w:ind w:left="0" w:right="0" w:hanging="0"/>
              <w:jc w:val="left"/>
              <w:rPr/>
            </w:pPr>
            <w:hyperlink w:anchor="ex_554729.htm">
              <w:r>
                <w:rPr>
                  <w:rStyle w:val="InternetLink"/>
                  <w:rFonts w:ascii="Times New Roman" w:hAnsi="Times New Roman"/>
                  <w:caps w:val="false"/>
                  <w:smallCaps w:val="false"/>
                  <w:sz w:val="20"/>
                </w:rPr>
                <w:t>Certification of Chief Executive Officer pursuant to Rule 13a-14(a).</w:t>
              </w:r>
            </w:hyperlink>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9482" w:type="dxa"/>
            <w:tcBorders/>
            <w:vAlign w:val="center"/>
          </w:tcPr>
          <w:p>
            <w:pPr>
              <w:pStyle w:val="TableContents"/>
              <w:bidi w:val="0"/>
              <w:spacing w:before="0" w:after="0"/>
              <w:ind w:left="0" w:right="0" w:hanging="0"/>
              <w:jc w:val="left"/>
              <w:rPr/>
            </w:pPr>
            <w:hyperlink w:anchor="ex_554732.htm">
              <w:r>
                <w:rPr>
                  <w:rStyle w:val="InternetLink"/>
                  <w:rFonts w:ascii="Times New Roman" w:hAnsi="Times New Roman"/>
                  <w:caps w:val="false"/>
                  <w:smallCaps w:val="false"/>
                  <w:sz w:val="20"/>
                </w:rPr>
                <w:t>Certification of Chief Financial Officer pursuant to Rule 13a-14(a).</w:t>
              </w:r>
            </w:hyperlink>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9482" w:type="dxa"/>
            <w:tcBorders/>
            <w:vAlign w:val="center"/>
          </w:tcPr>
          <w:p>
            <w:pPr>
              <w:pStyle w:val="TableContents"/>
              <w:bidi w:val="0"/>
              <w:spacing w:before="0" w:after="0"/>
              <w:ind w:left="0" w:right="0" w:hanging="0"/>
              <w:jc w:val="left"/>
              <w:rPr/>
            </w:pPr>
            <w:hyperlink w:anchor="ex_554731.htm">
              <w:r>
                <w:rPr>
                  <w:rStyle w:val="InternetLink"/>
                  <w:rFonts w:ascii="Times New Roman" w:hAnsi="Times New Roman"/>
                  <w:caps w:val="false"/>
                  <w:smallCaps w:val="false"/>
                  <w:sz w:val="20"/>
                </w:rPr>
                <w:t>Certification of Chief Executive Officer furnished pursuant to 18 U.S.C. Section 1350, as adopted pursuant to Section 906 of the Sarbanes-Oxley Act of 2002.</w:t>
              </w:r>
            </w:hyperlink>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9482" w:type="dxa"/>
            <w:tcBorders/>
            <w:vAlign w:val="center"/>
          </w:tcPr>
          <w:p>
            <w:pPr>
              <w:pStyle w:val="TableContents"/>
              <w:bidi w:val="0"/>
              <w:spacing w:before="0" w:after="0"/>
              <w:ind w:left="0" w:right="0" w:hanging="0"/>
              <w:jc w:val="left"/>
              <w:rPr/>
            </w:pPr>
            <w:hyperlink w:anchor="ex_554730.htm">
              <w:r>
                <w:rPr>
                  <w:rStyle w:val="InternetLink"/>
                  <w:rFonts w:ascii="Times New Roman" w:hAnsi="Times New Roman"/>
                  <w:caps w:val="false"/>
                  <w:smallCaps w:val="false"/>
                  <w:sz w:val="20"/>
                </w:rPr>
                <w:t>Certification of Chief Financial Officer furnished pursuant to 18 U.S.C. Section 1350, as adopted pursuant to Section 906 of the Sarbanes-Oxley Act of 2002.</w:t>
              </w:r>
            </w:hyperlink>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4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Instance Document</w:t>
            </w:r>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4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4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4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4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4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48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Previously filed by the Company as an appendix to the Company’s Proxy Statement filed April 27, 2023, and incorporated herein by reference.</w:t>
            </w:r>
          </w:p>
        </w:tc>
      </w:tr>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Previously filed by the Company as an exhibit to the Company’s Current Report on Form 8-K dated May 11, 2023, File No. 001-36117, filed May 11, 2023, and incorporated herein by reference.</w:t>
            </w:r>
          </w:p>
        </w:tc>
      </w:tr>
      <w:tr>
        <w:trPr/>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92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Indicates a management contract or compensatory plan, contract or arrangement in which directors or executive officers participate.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455"/>
        <w:gridCol w:w="1370"/>
        <w:gridCol w:w="4010"/>
      </w:tblGrid>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inTEST Corporation</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August 10, 2023</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Richard N. Grant, Jr.</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N. Grant, Jr.</w:t>
              <w:br/>
            </w:r>
            <w:r>
              <w:rPr>
                <w:rFonts w:ascii="Times New Roman" w:hAnsi="Times New Roman"/>
                <w:i/>
                <w:caps w:val="false"/>
                <w:smallCaps w:val="false"/>
                <w:sz w:val="20"/>
              </w:rPr>
              <w:t>President and Chief Executive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August 10, 2023</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Duncan Gilmour</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Duncan Gilmour</w:t>
              <w:br/>
            </w:r>
            <w:r>
              <w:rPr>
                <w:rFonts w:ascii="Times New Roman" w:hAnsi="Times New Roman"/>
                <w:i/>
                <w:caps w:val="false"/>
                <w:smallCaps w:val="false"/>
                <w:sz w:val="20"/>
              </w:rPr>
              <w:t>Chief Financial Officer, Treasurer and Secretary</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-33- </w:t>
      </w:r>
    </w:p>
    <w:p>
      <w:pPr>
        <w:pStyle w:val="TextBody"/>
        <w:bidi w:val="0"/>
        <w:spacing w:before="0" w:after="0"/>
        <w:ind w:left="0" w:right="0" w:hanging="0"/>
        <w:jc w:val="left"/>
        <w:rPr>
          <w:caps w:val="false"/>
          <w:smallCaps w:val="false"/>
        </w:rPr>
      </w:pPr>
      <w:bookmarkStart w:id="2" w:name="ex_554729.htm"/>
      <w:bookmarkStart w:id="3" w:name="ksex_554729"/>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Richard N. Grant, Jr.,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August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60" w:right="0" w:hanging="0"/>
        <w:jc w:val="left"/>
        <w:rPr>
          <w:rFonts w:ascii="Times New Roman" w:hAnsi="Times New Roman"/>
          <w:caps w:val="false"/>
          <w:smallCaps w:val="false"/>
          <w:sz w:val="20"/>
        </w:rPr>
      </w:pPr>
      <w:r>
        <w:rPr>
          <w:rFonts w:ascii="Times New Roman" w:hAnsi="Times New Roman"/>
          <w:caps w:val="false"/>
          <w:smallCaps w:val="false"/>
          <w:sz w:val="20"/>
          <w:u w:val="single"/>
        </w:rPr>
        <w:t>/s/ Richard N. Grant, Jr.</w:t>
      </w:r>
      <w:r>
        <w:rPr>
          <w:rFonts w:ascii="Times New Roman" w:hAnsi="Times New Roman"/>
          <w:caps w:val="false"/>
          <w:smallCaps w:val="false"/>
          <w:sz w:val="20"/>
        </w:rPr>
        <w:br/>
        <w:t>Richard N. Grant, Jr.</w:t>
        <w:br/>
        <w:t>President and Chief Executive Officer</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 w:name="ex_554732.htm"/>
      <w:bookmarkStart w:id="5" w:name="ksex_554732"/>
      <w:bookmarkEnd w:id="4"/>
      <w:bookmarkEnd w:id="5"/>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Duncan Gilmour,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August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60" w:right="0" w:hanging="0"/>
        <w:jc w:val="left"/>
        <w:rPr>
          <w:rFonts w:ascii="Times New Roman" w:hAnsi="Times New Roman"/>
          <w:caps w:val="false"/>
          <w:smallCaps w:val="false"/>
          <w:sz w:val="20"/>
        </w:rPr>
      </w:pPr>
      <w:r>
        <w:rPr>
          <w:rFonts w:ascii="Times New Roman" w:hAnsi="Times New Roman"/>
          <w:caps w:val="false"/>
          <w:smallCaps w:val="false"/>
          <w:sz w:val="20"/>
          <w:u w:val="single"/>
        </w:rPr>
        <w:t>/s/Duncan Gilmour</w:t>
      </w:r>
      <w:r>
        <w:rPr>
          <w:rFonts w:ascii="Times New Roman" w:hAnsi="Times New Roman"/>
          <w:caps w:val="false"/>
          <w:smallCaps w:val="false"/>
          <w:sz w:val="20"/>
        </w:rPr>
        <w:br/>
        <w:t>Duncan Gilmour</w:t>
        <w:br/>
        <w:t>Chief Financial Officer, Treasurer and Secretary</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6" w:name="ex_554731.htm"/>
      <w:bookmarkStart w:id="7" w:name="ksex_554731"/>
      <w:bookmarkEnd w:id="6"/>
      <w:bookmarkEnd w:id="7"/>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br/>
        <w:br/>
        <w:t>CERTIFICATION PURSUANT TO</w:t>
        <w:br/>
        <w:t>18 U.S.C. SECTION 1350,</w:t>
        <w:br/>
        <w:t>AS ADOPTED PURSUANT TO</w:t>
        <w:b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inTEST Corporation (the "Company") on Form 10-Q for the period ended June 30, 2023 as filed with the Securities and Exchange Commission on the date hereof (the "Report"), I, Richard N. Grant, Jr., President and Chief Executive Officer of the Company, certify, pursuant to 18 U.S.C. Section 1350, as adopted pursuant to Section 906 of the Sarbanes-Oxley Act of 2002, that:</w:t>
        <w:br/>
        <w:br/>
        <w:t>(1)         The Report fully complies with the requirements of Section 13(a) or 15(d) of the Securities Exchange Act of 1934; and</w:t>
        <w:br/>
        <w:br/>
        <w:t>(2)         The information contained in the Report fairly presents, in all material respects, the financial condition and results of operations of the Company.</w:t>
        <w:br/>
        <w:br/>
        <w:br/>
        <w:br/>
        <w:br/>
        <w:t>Date:         </w:t>
      </w:r>
      <w:r>
        <w:rPr>
          <w:rFonts w:ascii="Times New Roman" w:hAnsi="Times New Roman"/>
          <w:caps w:val="false"/>
          <w:smallCaps w:val="false"/>
          <w:sz w:val="20"/>
          <w:u w:val="single"/>
        </w:rPr>
        <w:t>August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75"/>
        <w:gridCol w:w="3095"/>
      </w:tblGrid>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Richard N. Grant, Jr.</w:t>
            </w:r>
            <w:r>
              <w:rPr>
                <w:rFonts w:ascii="Times New Roman;Times;serif" w:hAnsi="Times New Roman;Times;serif"/>
                <w:sz w:val="20"/>
              </w:rPr>
              <w:br/>
              <w:t>Richard N. Grant, Jr.</w:t>
              <w:br/>
              <w:t>President and Chief Executive Officer</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 w:name="ex_554730.htm"/>
      <w:bookmarkStart w:id="9" w:name="ksex_554730"/>
      <w:bookmarkEnd w:id="8"/>
      <w:bookmarkEnd w:id="9"/>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br/>
        <w:br/>
        <w:t>CERTIFICATION PURSUANT TO</w:t>
        <w:br/>
        <w:t>18 U.S.C. SECTION 1350,</w:t>
        <w:br/>
        <w:t>AS ADOPTED PURSUANT TO</w:t>
        <w:b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inTEST Corporation (the "Company") on Form 10-Q for the period ended June 30, 2023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br/>
        <w:br/>
        <w:t>(1) The Report fully complies with the requirements of Section 13(a) or 15(d) of the Securities Exchange Act of 1934; and</w:t>
        <w:br/>
        <w:br/>
        <w:t>(2) The information contained in the Report fairly presents, in all material respects, the financial condition and results of operations of the Company.</w:t>
        <w:br/>
        <w:br/>
        <w:br/>
        <w:br/>
        <w:t>Date:         </w:t>
      </w:r>
      <w:r>
        <w:rPr>
          <w:rFonts w:ascii="Times New Roman" w:hAnsi="Times New Roman"/>
          <w:caps w:val="false"/>
          <w:smallCaps w:val="false"/>
          <w:sz w:val="20"/>
          <w:u w:val="single"/>
        </w:rPr>
        <w:t>August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60"/>
        <w:gridCol w:w="4580"/>
      </w:tblGrid>
      <w:tr>
        <w:trPr/>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u w:val="single"/>
              </w:rPr>
              <w:t>/s/ Duncan Gilmour</w:t>
            </w:r>
            <w:r>
              <w:rPr/>
              <w:br/>
              <w:t>Duncan Gilmour</w:t>
              <w:br/>
              <w:t>Chief Financial Officer, Treasurer and Secretary</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36262/000143774923013753/ex_518648.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21492</Words>
  <Characters>113367</Characters>
  <CharactersWithSpaces>137800</CharactersWithSpaces>
  <Paragraphs>7820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