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131445</wp:posOffset>
            </wp:positionV>
            <wp:extent cx="11188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139700</wp:posOffset>
            </wp:positionV>
            <wp:extent cx="111887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September 30, 2010</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204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0-22529</w:t>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24"/>
          <w:szCs w:val="24"/>
          <w:u w:val="single" w:color="auto"/>
          <w:color w:val="0000FF"/>
        </w:rPr>
        <w:t>inTEST Corporation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 Esterbrook Lane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Cherry Hill, New Jersey 08003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1874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7440"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18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____ NO ____</w:t>
      </w:r>
    </w:p>
    <w:p>
      <w:pPr>
        <w:spacing w:after="0" w:line="194" w:lineRule="exact"/>
        <w:rPr>
          <w:sz w:val="24"/>
          <w:szCs w:val="24"/>
          <w:color w:val="auto"/>
        </w:rPr>
      </w:pPr>
    </w:p>
    <w:p>
      <w:pPr>
        <w:ind w:right="4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340" w:type="dxa"/>
            <w:vAlign w:val="bottom"/>
          </w:tcPr>
          <w:p>
            <w:pPr>
              <w:jc w:val="right"/>
              <w:ind w:right="2912"/>
              <w:spacing w:after="0"/>
              <w:rPr>
                <w:sz w:val="20"/>
                <w:szCs w:val="20"/>
                <w:color w:val="auto"/>
              </w:rPr>
            </w:pPr>
            <w:r>
              <w:rPr>
                <w:rFonts w:ascii="Arial" w:cs="Arial" w:eastAsia="Arial" w:hAnsi="Arial"/>
                <w:sz w:val="18"/>
                <w:szCs w:val="18"/>
                <w:color w:val="auto"/>
              </w:rPr>
              <w:t>___</w:t>
            </w:r>
          </w:p>
        </w:tc>
        <w:tc>
          <w:tcPr>
            <w:tcW w:w="2780" w:type="dxa"/>
            <w:vAlign w:val="bottom"/>
            <w:gridSpan w:val="2"/>
          </w:tcPr>
          <w:p>
            <w:pPr>
              <w:ind w:left="500"/>
              <w:spacing w:after="0"/>
              <w:rPr>
                <w:sz w:val="20"/>
                <w:szCs w:val="20"/>
                <w:color w:val="auto"/>
              </w:rPr>
            </w:pPr>
            <w:r>
              <w:rPr>
                <w:rFonts w:ascii="Arial" w:cs="Arial" w:eastAsia="Arial" w:hAnsi="Arial"/>
                <w:sz w:val="18"/>
                <w:szCs w:val="18"/>
                <w:color w:val="auto"/>
              </w:rPr>
              <w:t>Accelerated filer ___</w:t>
            </w:r>
          </w:p>
        </w:tc>
      </w:tr>
      <w:tr>
        <w:trPr>
          <w:trHeight w:val="184"/>
        </w:trPr>
        <w:tc>
          <w:tcPr>
            <w:tcW w:w="1600" w:type="dxa"/>
            <w:vAlign w:val="bottom"/>
          </w:tcPr>
          <w:p>
            <w:pPr>
              <w:spacing w:after="0" w:line="184" w:lineRule="exact"/>
              <w:rPr>
                <w:sz w:val="20"/>
                <w:szCs w:val="20"/>
                <w:color w:val="auto"/>
              </w:rPr>
            </w:pPr>
            <w:r>
              <w:rPr>
                <w:rFonts w:ascii="Arial" w:cs="Arial" w:eastAsia="Arial" w:hAnsi="Arial"/>
                <w:sz w:val="18"/>
                <w:szCs w:val="18"/>
                <w:color w:val="auto"/>
                <w:w w:val="95"/>
              </w:rPr>
              <w:t>Non-accelerated filer</w:t>
            </w:r>
          </w:p>
        </w:tc>
        <w:tc>
          <w:tcPr>
            <w:tcW w:w="3340" w:type="dxa"/>
            <w:vAlign w:val="bottom"/>
          </w:tcPr>
          <w:p>
            <w:pPr>
              <w:jc w:val="right"/>
              <w:ind w:right="412"/>
              <w:spacing w:after="0" w:line="184" w:lineRule="exact"/>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780" w:type="dxa"/>
            <w:vAlign w:val="bottom"/>
            <w:gridSpan w:val="2"/>
          </w:tcPr>
          <w:p>
            <w:pPr>
              <w:ind w:left="560"/>
              <w:spacing w:after="0" w:line="184" w:lineRule="exact"/>
              <w:rPr>
                <w:sz w:val="20"/>
                <w:szCs w:val="20"/>
                <w:color w:val="auto"/>
              </w:rPr>
            </w:pPr>
            <w:r>
              <w:rPr>
                <w:rFonts w:ascii="Arial" w:cs="Arial" w:eastAsia="Arial" w:hAnsi="Arial"/>
                <w:sz w:val="18"/>
                <w:szCs w:val="18"/>
                <w:color w:val="auto"/>
                <w:w w:val="94"/>
              </w:rPr>
              <w:t>Smaller reporting company X</w:t>
            </w:r>
          </w:p>
        </w:tc>
      </w:tr>
      <w:tr>
        <w:trPr>
          <w:trHeight w:val="20"/>
        </w:trPr>
        <w:tc>
          <w:tcPr>
            <w:tcW w:w="1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___</w:t>
        <w:tab/>
        <w:t xml:space="preserve">NO </w:t>
      </w:r>
      <w:r>
        <w:rPr>
          <w:rFonts w:ascii="Arial" w:cs="Arial" w:eastAsia="Arial" w:hAnsi="Arial"/>
          <w:sz w:val="18"/>
          <w:szCs w:val="18"/>
          <w:u w:val="single" w:color="auto"/>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October 31, 2010:</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10,345,476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61874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744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tbl>
      <w:tblPr>
        <w:tblLayout w:type="fixed"/>
        <w:tblInd w:w="2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860" w:type="dxa"/>
            <w:vAlign w:val="bottom"/>
          </w:tcPr>
          <w:p>
            <w:pPr>
              <w:ind w:left="120"/>
              <w:spacing w:after="0"/>
              <w:rPr>
                <w:sz w:val="20"/>
                <w:szCs w:val="20"/>
                <w:color w:val="auto"/>
              </w:rPr>
            </w:pPr>
            <w:r>
              <w:rPr>
                <w:rFonts w:ascii="Arial" w:cs="Arial" w:eastAsia="Arial" w:hAnsi="Arial"/>
                <w:sz w:val="18"/>
                <w:szCs w:val="18"/>
                <w:b w:val="1"/>
                <w:bCs w:val="1"/>
                <w:color w:val="auto"/>
              </w:rPr>
              <w:t>FINANCIAL INFORMATION</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5"/>
        </w:trPr>
        <w:tc>
          <w:tcPr>
            <w:tcW w:w="74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640" w:type="dxa"/>
            <w:vAlign w:val="bottom"/>
            <w:gridSpan w:val="2"/>
          </w:tcPr>
          <w:p>
            <w:pPr>
              <w:jc w:val="center"/>
              <w:ind w:left="172"/>
              <w:spacing w:after="0" w:line="205" w:lineRule="exact"/>
              <w:rPr>
                <w:sz w:val="20"/>
                <w:szCs w:val="20"/>
                <w:color w:val="auto"/>
              </w:rPr>
            </w:pPr>
            <w:r>
              <w:rPr>
                <w:rFonts w:ascii="Arial" w:cs="Arial" w:eastAsia="Arial" w:hAnsi="Arial"/>
                <w:sz w:val="18"/>
                <w:szCs w:val="18"/>
                <w:b w:val="1"/>
                <w:bCs w:val="1"/>
                <w:color w:val="auto"/>
                <w:w w:val="88"/>
              </w:rPr>
              <w:t>Page</w:t>
            </w:r>
          </w:p>
        </w:tc>
      </w:tr>
      <w:tr>
        <w:trPr>
          <w:trHeight w:val="262"/>
        </w:trPr>
        <w:tc>
          <w:tcPr>
            <w:tcW w:w="74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86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Financial Statements</w:t>
            </w:r>
          </w:p>
        </w:tc>
        <w:tc>
          <w:tcPr>
            <w:tcW w:w="26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r>
      <w:tr>
        <w:trPr>
          <w:trHeight w:val="486"/>
        </w:trPr>
        <w:tc>
          <w:tcPr>
            <w:tcW w:w="740" w:type="dxa"/>
            <w:vAlign w:val="bottom"/>
          </w:tcPr>
          <w:p>
            <w:pPr>
              <w:spacing w:after="0"/>
              <w:rPr>
                <w:sz w:val="24"/>
                <w:szCs w:val="24"/>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Consolidated Balance Sheets as of September 30, 2010 (Unaudited) and December 31, 2009</w:t>
            </w:r>
          </w:p>
        </w:tc>
        <w:tc>
          <w:tcPr>
            <w:tcW w:w="64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1</w:t>
            </w:r>
          </w:p>
        </w:tc>
      </w:tr>
      <w:tr>
        <w:trPr>
          <w:trHeight w:val="237"/>
        </w:trPr>
        <w:tc>
          <w:tcPr>
            <w:tcW w:w="740" w:type="dxa"/>
            <w:vAlign w:val="bottom"/>
          </w:tcPr>
          <w:p>
            <w:pPr>
              <w:spacing w:after="0"/>
              <w:rPr>
                <w:sz w:val="20"/>
                <w:szCs w:val="20"/>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Unaudited Consolidated Statements of Operations for the three months and nine months ended</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22"/>
        </w:trPr>
        <w:tc>
          <w:tcPr>
            <w:tcW w:w="74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September 30, 2010 and 2009</w:t>
            </w:r>
          </w:p>
        </w:tc>
        <w:tc>
          <w:tcPr>
            <w:tcW w:w="64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2</w:t>
            </w:r>
          </w:p>
        </w:tc>
      </w:tr>
      <w:tr>
        <w:trPr>
          <w:trHeight w:val="237"/>
        </w:trPr>
        <w:tc>
          <w:tcPr>
            <w:tcW w:w="740" w:type="dxa"/>
            <w:vAlign w:val="bottom"/>
          </w:tcPr>
          <w:p>
            <w:pPr>
              <w:spacing w:after="0"/>
              <w:rPr>
                <w:sz w:val="20"/>
                <w:szCs w:val="20"/>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Unaudited Consolidated Statements of Comprehensive Earnings (Loss) for the three months and</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22"/>
        </w:trPr>
        <w:tc>
          <w:tcPr>
            <w:tcW w:w="74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nine months ended September 30, 2010 and 2009</w:t>
            </w:r>
          </w:p>
        </w:tc>
        <w:tc>
          <w:tcPr>
            <w:tcW w:w="64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3</w:t>
            </w:r>
          </w:p>
        </w:tc>
      </w:tr>
      <w:tr>
        <w:trPr>
          <w:trHeight w:val="243"/>
        </w:trPr>
        <w:tc>
          <w:tcPr>
            <w:tcW w:w="740" w:type="dxa"/>
            <w:vAlign w:val="bottom"/>
          </w:tcPr>
          <w:p>
            <w:pPr>
              <w:spacing w:after="0"/>
              <w:rPr>
                <w:sz w:val="21"/>
                <w:szCs w:val="21"/>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w w:val="90"/>
              </w:rPr>
              <w:t>Unaudited Consolidated Statement of Stockholders' Equity for the nine months ended September 30, 2010</w:t>
            </w:r>
          </w:p>
        </w:tc>
        <w:tc>
          <w:tcPr>
            <w:tcW w:w="64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4</w:t>
            </w:r>
          </w:p>
        </w:tc>
      </w:tr>
    </w:tbl>
    <w:p>
      <w:pPr>
        <w:sectPr>
          <w:pgSz w:w="11900" w:h="16838" w:orient="portrait"/>
          <w:cols w:equalWidth="0" w:num="1">
            <w:col w:w="11400"/>
          </w:cols>
          <w:pgMar w:left="240" w:top="239" w:right="259" w:bottom="0" w:gutter="0" w:footer="0" w:header="0"/>
        </w:sectPr>
      </w:pPr>
    </w:p>
    <w:bookmarkStart w:id="1" w:name="page2"/>
    <w:bookmarkEnd w:id="1"/>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820" w:type="dxa"/>
            <w:vAlign w:val="bottom"/>
          </w:tcPr>
          <w:p>
            <w:pPr>
              <w:spacing w:after="0"/>
              <w:rPr>
                <w:sz w:val="19"/>
                <w:szCs w:val="19"/>
                <w:color w:val="auto"/>
              </w:rPr>
            </w:pPr>
          </w:p>
        </w:tc>
        <w:tc>
          <w:tcPr>
            <w:tcW w:w="726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91"/>
              </w:rPr>
              <w:t>6 - 17</w:t>
            </w:r>
          </w:p>
        </w:tc>
      </w:tr>
      <w:tr>
        <w:trPr>
          <w:trHeight w:val="486"/>
        </w:trPr>
        <w:tc>
          <w:tcPr>
            <w:tcW w:w="8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26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Management's Discussion and Analysis of Financial Condition and Results of Operations</w:t>
            </w: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89"/>
              </w:rPr>
              <w:t>18 - 25</w:t>
            </w:r>
          </w:p>
        </w:tc>
      </w:tr>
      <w:tr>
        <w:trPr>
          <w:trHeight w:val="486"/>
        </w:trPr>
        <w:tc>
          <w:tcPr>
            <w:tcW w:w="8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89"/>
              </w:rPr>
              <w:t>26</w:t>
            </w:r>
          </w:p>
        </w:tc>
      </w:tr>
      <w:tr>
        <w:trPr>
          <w:trHeight w:val="486"/>
        </w:trPr>
        <w:tc>
          <w:tcPr>
            <w:tcW w:w="8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Controls and Procedures</w:t>
            </w: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89"/>
              </w:rPr>
              <w:t>26</w:t>
            </w:r>
          </w:p>
        </w:tc>
      </w:tr>
      <w:tr>
        <w:trPr>
          <w:trHeight w:val="486"/>
        </w:trPr>
        <w:tc>
          <w:tcPr>
            <w:tcW w:w="8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2480" w:type="dxa"/>
            <w:vAlign w:val="bottom"/>
          </w:tcPr>
          <w:p>
            <w:pPr>
              <w:spacing w:after="0"/>
              <w:rPr>
                <w:sz w:val="24"/>
                <w:szCs w:val="24"/>
                <w:color w:val="auto"/>
              </w:rPr>
            </w:pPr>
          </w:p>
        </w:tc>
      </w:tr>
      <w:tr>
        <w:trPr>
          <w:trHeight w:val="486"/>
        </w:trPr>
        <w:tc>
          <w:tcPr>
            <w:tcW w:w="8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Legal Proceedings</w:t>
            </w: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89"/>
              </w:rPr>
              <w:t>27</w:t>
            </w:r>
          </w:p>
        </w:tc>
      </w:tr>
      <w:tr>
        <w:trPr>
          <w:trHeight w:val="486"/>
        </w:trPr>
        <w:tc>
          <w:tcPr>
            <w:tcW w:w="820" w:type="dxa"/>
            <w:vAlign w:val="bottom"/>
          </w:tcPr>
          <w:p>
            <w:pPr>
              <w:spacing w:after="0"/>
              <w:rPr>
                <w:sz w:val="20"/>
                <w:szCs w:val="20"/>
                <w:color w:val="auto"/>
              </w:rPr>
            </w:pPr>
            <w:r>
              <w:rPr>
                <w:rFonts w:ascii="Arial" w:cs="Arial" w:eastAsia="Arial" w:hAnsi="Arial"/>
                <w:sz w:val="18"/>
                <w:szCs w:val="18"/>
                <w:b w:val="1"/>
                <w:bCs w:val="1"/>
                <w:i w:val="1"/>
                <w:iCs w:val="1"/>
                <w:color w:val="auto"/>
              </w:rPr>
              <w:t>Item 1A.</w:t>
            </w:r>
          </w:p>
        </w:tc>
        <w:tc>
          <w:tcPr>
            <w:tcW w:w="7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Risk Factors</w:t>
            </w: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89"/>
              </w:rPr>
              <w:t>27</w:t>
            </w:r>
          </w:p>
        </w:tc>
      </w:tr>
      <w:tr>
        <w:trPr>
          <w:trHeight w:val="486"/>
        </w:trPr>
        <w:tc>
          <w:tcPr>
            <w:tcW w:w="8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89"/>
              </w:rPr>
              <w:t>27</w:t>
            </w:r>
          </w:p>
        </w:tc>
      </w:tr>
      <w:tr>
        <w:trPr>
          <w:trHeight w:val="486"/>
        </w:trPr>
        <w:tc>
          <w:tcPr>
            <w:tcW w:w="8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89"/>
              </w:rPr>
              <w:t>27</w:t>
            </w:r>
          </w:p>
        </w:tc>
      </w:tr>
      <w:tr>
        <w:trPr>
          <w:trHeight w:val="486"/>
        </w:trPr>
        <w:tc>
          <w:tcPr>
            <w:tcW w:w="8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(Removed and Reserved)</w:t>
            </w: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89"/>
              </w:rPr>
              <w:t>27</w:t>
            </w:r>
          </w:p>
        </w:tc>
      </w:tr>
      <w:tr>
        <w:trPr>
          <w:trHeight w:val="486"/>
        </w:trPr>
        <w:tc>
          <w:tcPr>
            <w:tcW w:w="8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Information</w:t>
            </w: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89"/>
              </w:rPr>
              <w:t>27</w:t>
            </w:r>
          </w:p>
        </w:tc>
      </w:tr>
      <w:tr>
        <w:trPr>
          <w:trHeight w:val="486"/>
        </w:trPr>
        <w:tc>
          <w:tcPr>
            <w:tcW w:w="8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Exhibits</w:t>
            </w: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89"/>
              </w:rPr>
              <w:t>27</w:t>
            </w:r>
          </w:p>
        </w:tc>
      </w:tr>
      <w:tr>
        <w:trPr>
          <w:trHeight w:val="486"/>
        </w:trPr>
        <w:tc>
          <w:tcPr>
            <w:tcW w:w="820" w:type="dxa"/>
            <w:vAlign w:val="bottom"/>
          </w:tcPr>
          <w:p>
            <w:pPr>
              <w:spacing w:after="0"/>
              <w:rPr>
                <w:sz w:val="20"/>
                <w:szCs w:val="20"/>
                <w:color w:val="auto"/>
              </w:rPr>
            </w:pPr>
            <w:r>
              <w:rPr>
                <w:rFonts w:ascii="Arial" w:cs="Arial" w:eastAsia="Arial" w:hAnsi="Arial"/>
                <w:sz w:val="18"/>
                <w:szCs w:val="18"/>
                <w:b w:val="1"/>
                <w:bCs w:val="1"/>
                <w:i w:val="1"/>
                <w:iCs w:val="1"/>
                <w:color w:val="auto"/>
                <w:w w:val="85"/>
              </w:rPr>
              <w:t>Signatures</w:t>
            </w:r>
          </w:p>
        </w:tc>
        <w:tc>
          <w:tcPr>
            <w:tcW w:w="7260" w:type="dxa"/>
            <w:vAlign w:val="bottom"/>
          </w:tcPr>
          <w:p>
            <w:pPr>
              <w:spacing w:after="0"/>
              <w:rPr>
                <w:sz w:val="24"/>
                <w:szCs w:val="24"/>
                <w:color w:val="auto"/>
              </w:rPr>
            </w:pP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89"/>
              </w:rPr>
              <w:t>28</w:t>
            </w:r>
          </w:p>
        </w:tc>
      </w:tr>
      <w:tr>
        <w:trPr>
          <w:trHeight w:val="243"/>
        </w:trPr>
        <w:tc>
          <w:tcPr>
            <w:tcW w:w="8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89"/>
              </w:rPr>
              <w:t>28</w:t>
            </w:r>
          </w:p>
        </w:tc>
      </w:tr>
      <w:tr>
        <w:trPr>
          <w:trHeight w:val="664"/>
        </w:trPr>
        <w:tc>
          <w:tcPr>
            <w:tcW w:w="820" w:type="dxa"/>
            <w:vAlign w:val="bottom"/>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6698615</wp:posOffset>
            </wp:positionH>
            <wp:positionV relativeFrom="paragraph">
              <wp:posOffset>-20955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80" w:type="dxa"/>
            <w:vAlign w:val="bottom"/>
            <w:gridSpan w:val="4"/>
          </w:tcPr>
          <w:p>
            <w:pPr>
              <w:jc w:val="center"/>
              <w:ind w:left="2952"/>
              <w:spacing w:after="0"/>
              <w:rPr>
                <w:sz w:val="20"/>
                <w:szCs w:val="20"/>
                <w:color w:val="auto"/>
              </w:rPr>
            </w:pPr>
            <w:r>
              <w:rPr>
                <w:rFonts w:ascii="Arial" w:cs="Arial" w:eastAsia="Arial" w:hAnsi="Arial"/>
                <w:sz w:val="18"/>
                <w:szCs w:val="18"/>
                <w:b w:val="1"/>
                <w:bCs w:val="1"/>
                <w:color w:val="auto"/>
                <w:w w:val="99"/>
              </w:rPr>
              <w:t>PART 1. FINANCIAL INFORMATION</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2"/>
        </w:trPr>
        <w:tc>
          <w:tcPr>
            <w:tcW w:w="69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6940" w:type="dxa"/>
            <w:vAlign w:val="bottom"/>
          </w:tcPr>
          <w:p>
            <w:pPr>
              <w:jc w:val="center"/>
              <w:ind w:left="4412"/>
              <w:spacing w:after="0"/>
              <w:rPr>
                <w:sz w:val="20"/>
                <w:szCs w:val="20"/>
                <w:color w:val="auto"/>
              </w:rPr>
            </w:pPr>
            <w:r>
              <w:rPr>
                <w:rFonts w:ascii="Arial" w:cs="Arial" w:eastAsia="Arial" w:hAnsi="Arial"/>
                <w:sz w:val="18"/>
                <w:szCs w:val="18"/>
                <w:b w:val="1"/>
                <w:bCs w:val="1"/>
                <w:color w:val="auto"/>
                <w:w w:val="96"/>
              </w:rPr>
              <w:t>inTEST CORPORATION</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80" w:type="dxa"/>
            <w:vAlign w:val="bottom"/>
            <w:gridSpan w:val="4"/>
          </w:tcPr>
          <w:p>
            <w:pPr>
              <w:jc w:val="center"/>
              <w:ind w:left="2972"/>
              <w:spacing w:after="0"/>
              <w:rPr>
                <w:sz w:val="20"/>
                <w:szCs w:val="20"/>
                <w:color w:val="auto"/>
              </w:rPr>
            </w:pPr>
            <w:r>
              <w:rPr>
                <w:rFonts w:ascii="Arial" w:cs="Arial" w:eastAsia="Arial" w:hAnsi="Arial"/>
                <w:sz w:val="18"/>
                <w:szCs w:val="18"/>
                <w:b w:val="1"/>
                <w:bCs w:val="1"/>
                <w:color w:val="auto"/>
                <w:w w:val="96"/>
              </w:rPr>
              <w:t>CONSOLIDATED BALANCE SHEETS</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80" w:type="dxa"/>
            <w:vAlign w:val="bottom"/>
            <w:gridSpan w:val="4"/>
          </w:tcPr>
          <w:p>
            <w:pPr>
              <w:jc w:val="center"/>
              <w:ind w:left="2972"/>
              <w:spacing w:after="0"/>
              <w:rPr>
                <w:sz w:val="20"/>
                <w:szCs w:val="20"/>
                <w:color w:val="auto"/>
              </w:rPr>
            </w:pPr>
            <w:r>
              <w:rPr>
                <w:rFonts w:ascii="Arial" w:cs="Arial" w:eastAsia="Arial" w:hAnsi="Arial"/>
                <w:sz w:val="18"/>
                <w:szCs w:val="18"/>
                <w:color w:val="auto"/>
                <w:w w:val="85"/>
              </w:rPr>
              <w:t>(In thousands, except share and per share data)</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940" w:type="dxa"/>
            <w:vAlign w:val="bottom"/>
          </w:tcPr>
          <w:p>
            <w:pPr>
              <w:spacing w:after="0"/>
              <w:rPr>
                <w:sz w:val="24"/>
                <w:szCs w:val="24"/>
                <w:color w:val="auto"/>
              </w:rPr>
            </w:pPr>
          </w:p>
        </w:tc>
        <w:tc>
          <w:tcPr>
            <w:tcW w:w="1440" w:type="dxa"/>
            <w:vAlign w:val="bottom"/>
            <w:gridSpan w:val="3"/>
          </w:tcPr>
          <w:p>
            <w:pPr>
              <w:jc w:val="right"/>
              <w:ind w:right="160"/>
              <w:spacing w:after="0"/>
              <w:rPr>
                <w:sz w:val="20"/>
                <w:szCs w:val="20"/>
                <w:color w:val="auto"/>
              </w:rPr>
            </w:pPr>
            <w:r>
              <w:rPr>
                <w:rFonts w:ascii="Courier New" w:cs="Courier New" w:eastAsia="Courier New" w:hAnsi="Courier New"/>
                <w:sz w:val="18"/>
                <w:szCs w:val="18"/>
                <w:color w:val="auto"/>
              </w:rPr>
              <w:t>Sept. 30,</w:t>
            </w:r>
          </w:p>
        </w:tc>
        <w:tc>
          <w:tcPr>
            <w:tcW w:w="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940" w:type="dxa"/>
            <w:vAlign w:val="bottom"/>
          </w:tcPr>
          <w:p>
            <w:pPr>
              <w:spacing w:after="0"/>
              <w:rPr>
                <w:sz w:val="17"/>
                <w:szCs w:val="17"/>
                <w:color w:val="auto"/>
              </w:rPr>
            </w:pPr>
          </w:p>
        </w:tc>
        <w:tc>
          <w:tcPr>
            <w:tcW w:w="10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2010</w:t>
            </w:r>
          </w:p>
        </w:tc>
        <w:tc>
          <w:tcPr>
            <w:tcW w:w="360" w:type="dxa"/>
            <w:vAlign w:val="bottom"/>
          </w:tcPr>
          <w:p>
            <w:pPr>
              <w:spacing w:after="0"/>
              <w:rPr>
                <w:sz w:val="17"/>
                <w:szCs w:val="17"/>
                <w:color w:val="auto"/>
              </w:rPr>
            </w:pPr>
          </w:p>
        </w:tc>
        <w:tc>
          <w:tcPr>
            <w:tcW w:w="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2009</w:t>
            </w:r>
          </w:p>
        </w:tc>
        <w:tc>
          <w:tcPr>
            <w:tcW w:w="100" w:type="dxa"/>
            <w:vAlign w:val="bottom"/>
          </w:tcPr>
          <w:p>
            <w:pPr>
              <w:spacing w:after="0"/>
              <w:rPr>
                <w:sz w:val="17"/>
                <w:szCs w:val="17"/>
                <w:color w:val="auto"/>
              </w:rPr>
            </w:pPr>
          </w:p>
        </w:tc>
      </w:tr>
      <w:tr>
        <w:trPr>
          <w:trHeight w:val="203"/>
        </w:trPr>
        <w:tc>
          <w:tcPr>
            <w:tcW w:w="6940" w:type="dxa"/>
            <w:vAlign w:val="bottom"/>
          </w:tcPr>
          <w:p>
            <w:pPr>
              <w:spacing w:after="0"/>
              <w:rPr>
                <w:sz w:val="17"/>
                <w:szCs w:val="17"/>
                <w:color w:val="auto"/>
              </w:rPr>
            </w:pPr>
          </w:p>
        </w:tc>
        <w:tc>
          <w:tcPr>
            <w:tcW w:w="1440" w:type="dxa"/>
            <w:vAlign w:val="bottom"/>
            <w:gridSpan w:val="3"/>
          </w:tcPr>
          <w:p>
            <w:pPr>
              <w:jc w:val="right"/>
              <w:ind w:right="26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40" w:type="dxa"/>
            <w:vAlign w:val="bottom"/>
            <w:gridSpan w:val="3"/>
          </w:tcPr>
          <w:p>
            <w:pPr>
              <w:jc w:val="right"/>
              <w:ind w:right="40"/>
              <w:spacing w:after="0" w:line="203" w:lineRule="exact"/>
              <w:rPr>
                <w:sz w:val="20"/>
                <w:szCs w:val="20"/>
                <w:color w:val="auto"/>
              </w:rPr>
            </w:pPr>
            <w:r>
              <w:rPr>
                <w:rFonts w:ascii="Courier New" w:cs="Courier New" w:eastAsia="Courier New" w:hAnsi="Courier New"/>
                <w:sz w:val="18"/>
                <w:szCs w:val="18"/>
                <w:color w:val="auto"/>
              </w:rPr>
              <w:t>(Unaudited)</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$ 6,197</w:t>
            </w:r>
          </w:p>
        </w:tc>
        <w:tc>
          <w:tcPr>
            <w:tcW w:w="36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$ 2,647</w:t>
            </w:r>
          </w:p>
        </w:tc>
        <w:tc>
          <w:tcPr>
            <w:tcW w:w="100" w:type="dxa"/>
            <w:vAlign w:val="bottom"/>
          </w:tcPr>
          <w:p>
            <w:pPr>
              <w:spacing w:after="0"/>
              <w:rPr>
                <w:sz w:val="17"/>
                <w:szCs w:val="17"/>
                <w:color w:val="auto"/>
              </w:rPr>
            </w:pPr>
          </w:p>
        </w:tc>
      </w:tr>
      <w:tr>
        <w:trPr>
          <w:trHeight w:val="203"/>
        </w:trPr>
        <w:tc>
          <w:tcPr>
            <w:tcW w:w="6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$238 and $154, respectively</w:t>
            </w: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7,940</w:t>
            </w:r>
          </w:p>
        </w:tc>
        <w:tc>
          <w:tcPr>
            <w:tcW w:w="36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5,413</w:t>
            </w:r>
          </w:p>
        </w:tc>
        <w:tc>
          <w:tcPr>
            <w:tcW w:w="100" w:type="dxa"/>
            <w:vAlign w:val="bottom"/>
          </w:tcPr>
          <w:p>
            <w:pPr>
              <w:spacing w:after="0"/>
              <w:rPr>
                <w:sz w:val="17"/>
                <w:szCs w:val="17"/>
                <w:color w:val="auto"/>
              </w:rPr>
            </w:pPr>
          </w:p>
        </w:tc>
      </w:tr>
      <w:tr>
        <w:trPr>
          <w:trHeight w:val="203"/>
        </w:trPr>
        <w:tc>
          <w:tcPr>
            <w:tcW w:w="6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3,188</w:t>
            </w:r>
          </w:p>
        </w:tc>
        <w:tc>
          <w:tcPr>
            <w:tcW w:w="36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3,064</w:t>
            </w:r>
          </w:p>
        </w:tc>
        <w:tc>
          <w:tcPr>
            <w:tcW w:w="100" w:type="dxa"/>
            <w:vAlign w:val="bottom"/>
          </w:tcPr>
          <w:p>
            <w:pPr>
              <w:spacing w:after="0"/>
              <w:rPr>
                <w:sz w:val="17"/>
                <w:szCs w:val="17"/>
                <w:color w:val="auto"/>
              </w:rPr>
            </w:pPr>
          </w:p>
        </w:tc>
      </w:tr>
      <w:tr>
        <w:trPr>
          <w:trHeight w:val="164"/>
        </w:trPr>
        <w:tc>
          <w:tcPr>
            <w:tcW w:w="694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465</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377</w:t>
            </w:r>
          </w:p>
        </w:tc>
        <w:tc>
          <w:tcPr>
            <w:tcW w:w="100" w:type="dxa"/>
            <w:vAlign w:val="bottom"/>
          </w:tcPr>
          <w:p>
            <w:pPr>
              <w:spacing w:after="0"/>
              <w:rPr>
                <w:sz w:val="14"/>
                <w:szCs w:val="14"/>
                <w:color w:val="auto"/>
              </w:rPr>
            </w:pPr>
          </w:p>
        </w:tc>
      </w:tr>
      <w:tr>
        <w:trPr>
          <w:trHeight w:val="183"/>
        </w:trPr>
        <w:tc>
          <w:tcPr>
            <w:tcW w:w="694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08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17,790</w:t>
            </w:r>
          </w:p>
        </w:tc>
        <w:tc>
          <w:tcPr>
            <w:tcW w:w="360" w:type="dxa"/>
            <w:vAlign w:val="bottom"/>
          </w:tcPr>
          <w:p>
            <w:pPr>
              <w:spacing w:after="0"/>
              <w:rPr>
                <w:sz w:val="15"/>
                <w:szCs w:val="15"/>
                <w:color w:val="auto"/>
              </w:rPr>
            </w:pPr>
          </w:p>
        </w:tc>
        <w:tc>
          <w:tcPr>
            <w:tcW w:w="9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11,501</w:t>
            </w:r>
          </w:p>
        </w:tc>
      </w:tr>
      <w:tr>
        <w:trPr>
          <w:trHeight w:val="221"/>
        </w:trPr>
        <w:tc>
          <w:tcPr>
            <w:tcW w:w="694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3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3,224</w:t>
            </w:r>
          </w:p>
        </w:tc>
        <w:tc>
          <w:tcPr>
            <w:tcW w:w="36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3,377</w:t>
            </w:r>
          </w:p>
        </w:tc>
        <w:tc>
          <w:tcPr>
            <w:tcW w:w="100" w:type="dxa"/>
            <w:vAlign w:val="bottom"/>
          </w:tcPr>
          <w:p>
            <w:pPr>
              <w:spacing w:after="0"/>
              <w:rPr>
                <w:sz w:val="17"/>
                <w:szCs w:val="17"/>
                <w:color w:val="auto"/>
              </w:rPr>
            </w:pPr>
          </w:p>
        </w:tc>
      </w:tr>
      <w:tr>
        <w:trPr>
          <w:trHeight w:val="164"/>
        </w:trPr>
        <w:tc>
          <w:tcPr>
            <w:tcW w:w="694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581</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533</w:t>
            </w:r>
          </w:p>
        </w:tc>
        <w:tc>
          <w:tcPr>
            <w:tcW w:w="100" w:type="dxa"/>
            <w:vAlign w:val="bottom"/>
          </w:tcPr>
          <w:p>
            <w:pPr>
              <w:spacing w:after="0"/>
              <w:rPr>
                <w:sz w:val="14"/>
                <w:szCs w:val="14"/>
                <w:color w:val="auto"/>
              </w:rPr>
            </w:pPr>
          </w:p>
        </w:tc>
      </w:tr>
      <w:tr>
        <w:trPr>
          <w:trHeight w:val="221"/>
        </w:trPr>
        <w:tc>
          <w:tcPr>
            <w:tcW w:w="694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0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3,805</w:t>
            </w:r>
          </w:p>
        </w:tc>
        <w:tc>
          <w:tcPr>
            <w:tcW w:w="3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3,910</w:t>
            </w:r>
          </w:p>
        </w:tc>
        <w:tc>
          <w:tcPr>
            <w:tcW w:w="100" w:type="dxa"/>
            <w:vAlign w:val="bottom"/>
          </w:tcPr>
          <w:p>
            <w:pPr>
              <w:spacing w:after="0"/>
              <w:rPr>
                <w:sz w:val="19"/>
                <w:szCs w:val="19"/>
                <w:color w:val="auto"/>
              </w:rPr>
            </w:pPr>
          </w:p>
        </w:tc>
      </w:tr>
      <w:tr>
        <w:trPr>
          <w:trHeight w:val="164"/>
        </w:trPr>
        <w:tc>
          <w:tcPr>
            <w:tcW w:w="694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340" w:type="dxa"/>
            <w:vAlign w:val="bottom"/>
          </w:tcPr>
          <w:p>
            <w:pPr>
              <w:spacing w:after="0"/>
              <w:rPr>
                <w:sz w:val="14"/>
                <w:szCs w:val="14"/>
                <w:color w:val="auto"/>
              </w:rPr>
            </w:pPr>
          </w:p>
        </w:tc>
        <w:tc>
          <w:tcPr>
            <w:tcW w:w="1100" w:type="dxa"/>
            <w:vAlign w:val="bottom"/>
            <w:gridSpan w:val="2"/>
          </w:tcPr>
          <w:p>
            <w:pPr>
              <w:jc w:val="right"/>
              <w:ind w:right="260"/>
              <w:spacing w:after="0" w:line="164" w:lineRule="exact"/>
              <w:rPr>
                <w:sz w:val="20"/>
                <w:szCs w:val="20"/>
                <w:color w:val="auto"/>
              </w:rPr>
            </w:pPr>
            <w:r>
              <w:rPr>
                <w:rFonts w:ascii="Courier New" w:cs="Courier New" w:eastAsia="Courier New" w:hAnsi="Courier New"/>
                <w:sz w:val="18"/>
                <w:szCs w:val="18"/>
                <w:color w:val="auto"/>
              </w:rPr>
              <w:t>(3,613)</w:t>
            </w:r>
          </w:p>
        </w:tc>
        <w:tc>
          <w:tcPr>
            <w:tcW w:w="9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(3,613)</w:t>
            </w:r>
          </w:p>
        </w:tc>
      </w:tr>
      <w:tr>
        <w:trPr>
          <w:trHeight w:val="183"/>
        </w:trPr>
        <w:tc>
          <w:tcPr>
            <w:tcW w:w="694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34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192</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297</w:t>
            </w:r>
          </w:p>
        </w:tc>
        <w:tc>
          <w:tcPr>
            <w:tcW w:w="100" w:type="dxa"/>
            <w:vAlign w:val="bottom"/>
          </w:tcPr>
          <w:p>
            <w:pPr>
              <w:spacing w:after="0"/>
              <w:rPr>
                <w:sz w:val="15"/>
                <w:szCs w:val="15"/>
                <w:color w:val="auto"/>
              </w:rPr>
            </w:pPr>
          </w:p>
        </w:tc>
      </w:tr>
      <w:tr>
        <w:trPr>
          <w:trHeight w:val="221"/>
        </w:trPr>
        <w:tc>
          <w:tcPr>
            <w:tcW w:w="6940" w:type="dxa"/>
            <w:vAlign w:val="bottom"/>
          </w:tcPr>
          <w:p>
            <w:pPr>
              <w:spacing w:after="0"/>
              <w:rPr>
                <w:sz w:val="20"/>
                <w:szCs w:val="20"/>
                <w:color w:val="auto"/>
              </w:rPr>
            </w:pPr>
            <w:r>
              <w:rPr>
                <w:rFonts w:ascii="Courier New" w:cs="Courier New" w:eastAsia="Courier New" w:hAnsi="Courier New"/>
                <w:sz w:val="18"/>
                <w:szCs w:val="18"/>
                <w:color w:val="auto"/>
              </w:rPr>
              <w:t>Goodwill</w:t>
            </w:r>
          </w:p>
        </w:tc>
        <w:tc>
          <w:tcPr>
            <w:tcW w:w="10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1,656</w:t>
            </w:r>
          </w:p>
        </w:tc>
        <w:tc>
          <w:tcPr>
            <w:tcW w:w="3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1,656</w:t>
            </w:r>
          </w:p>
        </w:tc>
        <w:tc>
          <w:tcPr>
            <w:tcW w:w="100" w:type="dxa"/>
            <w:vAlign w:val="bottom"/>
          </w:tcPr>
          <w:p>
            <w:pPr>
              <w:spacing w:after="0"/>
              <w:rPr>
                <w:sz w:val="19"/>
                <w:szCs w:val="19"/>
                <w:color w:val="auto"/>
              </w:rPr>
            </w:pPr>
          </w:p>
        </w:tc>
      </w:tr>
      <w:tr>
        <w:trPr>
          <w:trHeight w:val="203"/>
        </w:trPr>
        <w:tc>
          <w:tcPr>
            <w:tcW w:w="69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1,111</w:t>
            </w:r>
          </w:p>
        </w:tc>
        <w:tc>
          <w:tcPr>
            <w:tcW w:w="36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1,212</w:t>
            </w:r>
          </w:p>
        </w:tc>
        <w:tc>
          <w:tcPr>
            <w:tcW w:w="100" w:type="dxa"/>
            <w:vAlign w:val="bottom"/>
          </w:tcPr>
          <w:p>
            <w:pPr>
              <w:spacing w:after="0"/>
              <w:rPr>
                <w:sz w:val="17"/>
                <w:szCs w:val="17"/>
                <w:color w:val="auto"/>
              </w:rPr>
            </w:pPr>
          </w:p>
        </w:tc>
      </w:tr>
      <w:tr>
        <w:trPr>
          <w:trHeight w:val="203"/>
        </w:trPr>
        <w:tc>
          <w:tcPr>
            <w:tcW w:w="69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36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100" w:type="dxa"/>
            <w:vAlign w:val="bottom"/>
          </w:tcPr>
          <w:p>
            <w:pPr>
              <w:spacing w:after="0"/>
              <w:rPr>
                <w:sz w:val="17"/>
                <w:szCs w:val="17"/>
                <w:color w:val="auto"/>
              </w:rPr>
            </w:pPr>
          </w:p>
        </w:tc>
      </w:tr>
      <w:tr>
        <w:trPr>
          <w:trHeight w:val="164"/>
        </w:trPr>
        <w:tc>
          <w:tcPr>
            <w:tcW w:w="694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222</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228</w:t>
            </w:r>
          </w:p>
        </w:tc>
        <w:tc>
          <w:tcPr>
            <w:tcW w:w="100" w:type="dxa"/>
            <w:vAlign w:val="bottom"/>
          </w:tcPr>
          <w:p>
            <w:pPr>
              <w:spacing w:after="0"/>
              <w:rPr>
                <w:sz w:val="14"/>
                <w:szCs w:val="14"/>
                <w:color w:val="auto"/>
              </w:rPr>
            </w:pPr>
          </w:p>
        </w:tc>
      </w:tr>
      <w:tr>
        <w:trPr>
          <w:trHeight w:val="221"/>
        </w:trPr>
        <w:tc>
          <w:tcPr>
            <w:tcW w:w="694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0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$21,471</w:t>
            </w:r>
          </w:p>
        </w:tc>
        <w:tc>
          <w:tcPr>
            <w:tcW w:w="3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$15,144</w:t>
            </w:r>
          </w:p>
        </w:tc>
        <w:tc>
          <w:tcPr>
            <w:tcW w:w="100" w:type="dxa"/>
            <w:vAlign w:val="bottom"/>
          </w:tcPr>
          <w:p>
            <w:pPr>
              <w:spacing w:after="0"/>
              <w:rPr>
                <w:sz w:val="19"/>
                <w:szCs w:val="19"/>
                <w:color w:val="auto"/>
              </w:rPr>
            </w:pPr>
          </w:p>
        </w:tc>
      </w:tr>
      <w:tr>
        <w:trPr>
          <w:trHeight w:val="203"/>
        </w:trPr>
        <w:tc>
          <w:tcPr>
            <w:tcW w:w="6940" w:type="dxa"/>
            <w:vAlign w:val="bottom"/>
          </w:tcPr>
          <w:p>
            <w:pPr>
              <w:spacing w:after="0"/>
              <w:rPr>
                <w:sz w:val="17"/>
                <w:szCs w:val="17"/>
                <w:color w:val="auto"/>
              </w:rPr>
            </w:pP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9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$ 1,554</w:t>
            </w:r>
          </w:p>
        </w:tc>
        <w:tc>
          <w:tcPr>
            <w:tcW w:w="36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$ 2,576</w:t>
            </w:r>
          </w:p>
        </w:tc>
        <w:tc>
          <w:tcPr>
            <w:tcW w:w="100" w:type="dxa"/>
            <w:vAlign w:val="bottom"/>
          </w:tcPr>
          <w:p>
            <w:pPr>
              <w:spacing w:after="0"/>
              <w:rPr>
                <w:sz w:val="17"/>
                <w:szCs w:val="17"/>
                <w:color w:val="auto"/>
              </w:rPr>
            </w:pPr>
          </w:p>
        </w:tc>
      </w:tr>
      <w:tr>
        <w:trPr>
          <w:trHeight w:val="203"/>
        </w:trPr>
        <w:tc>
          <w:tcPr>
            <w:tcW w:w="6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1,511</w:t>
            </w:r>
          </w:p>
        </w:tc>
        <w:tc>
          <w:tcPr>
            <w:tcW w:w="36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653</w:t>
            </w:r>
          </w:p>
        </w:tc>
        <w:tc>
          <w:tcPr>
            <w:tcW w:w="100" w:type="dxa"/>
            <w:vAlign w:val="bottom"/>
          </w:tcPr>
          <w:p>
            <w:pPr>
              <w:spacing w:after="0"/>
              <w:rPr>
                <w:sz w:val="17"/>
                <w:szCs w:val="17"/>
                <w:color w:val="auto"/>
              </w:rPr>
            </w:pPr>
          </w:p>
        </w:tc>
      </w:tr>
      <w:tr>
        <w:trPr>
          <w:trHeight w:val="203"/>
        </w:trPr>
        <w:tc>
          <w:tcPr>
            <w:tcW w:w="6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405</w:t>
            </w:r>
          </w:p>
        </w:tc>
        <w:tc>
          <w:tcPr>
            <w:tcW w:w="36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375</w:t>
            </w:r>
          </w:p>
        </w:tc>
        <w:tc>
          <w:tcPr>
            <w:tcW w:w="100" w:type="dxa"/>
            <w:vAlign w:val="bottom"/>
          </w:tcPr>
          <w:p>
            <w:pPr>
              <w:spacing w:after="0"/>
              <w:rPr>
                <w:sz w:val="17"/>
                <w:szCs w:val="17"/>
                <w:color w:val="auto"/>
              </w:rPr>
            </w:pPr>
          </w:p>
        </w:tc>
      </w:tr>
      <w:tr>
        <w:trPr>
          <w:trHeight w:val="203"/>
        </w:trPr>
        <w:tc>
          <w:tcPr>
            <w:tcW w:w="6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warranty</w:t>
            </w: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266</w:t>
            </w:r>
          </w:p>
        </w:tc>
        <w:tc>
          <w:tcPr>
            <w:tcW w:w="36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228</w:t>
            </w:r>
          </w:p>
        </w:tc>
        <w:tc>
          <w:tcPr>
            <w:tcW w:w="100" w:type="dxa"/>
            <w:vAlign w:val="bottom"/>
          </w:tcPr>
          <w:p>
            <w:pPr>
              <w:spacing w:after="0"/>
              <w:rPr>
                <w:sz w:val="17"/>
                <w:szCs w:val="17"/>
                <w:color w:val="auto"/>
              </w:rPr>
            </w:pPr>
          </w:p>
        </w:tc>
      </w:tr>
      <w:tr>
        <w:trPr>
          <w:trHeight w:val="203"/>
        </w:trPr>
        <w:tc>
          <w:tcPr>
            <w:tcW w:w="6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628</w:t>
            </w:r>
          </w:p>
        </w:tc>
        <w:tc>
          <w:tcPr>
            <w:tcW w:w="36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315</w:t>
            </w:r>
          </w:p>
        </w:tc>
        <w:tc>
          <w:tcPr>
            <w:tcW w:w="100" w:type="dxa"/>
            <w:vAlign w:val="bottom"/>
          </w:tcPr>
          <w:p>
            <w:pPr>
              <w:spacing w:after="0"/>
              <w:rPr>
                <w:sz w:val="17"/>
                <w:szCs w:val="17"/>
                <w:color w:val="auto"/>
              </w:rPr>
            </w:pPr>
          </w:p>
        </w:tc>
      </w:tr>
      <w:tr>
        <w:trPr>
          <w:trHeight w:val="203"/>
        </w:trPr>
        <w:tc>
          <w:tcPr>
            <w:tcW w:w="6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restructuring and other charges</w:t>
            </w: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130</w:t>
            </w:r>
          </w:p>
        </w:tc>
        <w:tc>
          <w:tcPr>
            <w:tcW w:w="100" w:type="dxa"/>
            <w:vAlign w:val="bottom"/>
          </w:tcPr>
          <w:p>
            <w:pPr>
              <w:spacing w:after="0"/>
              <w:rPr>
                <w:sz w:val="17"/>
                <w:szCs w:val="17"/>
                <w:color w:val="auto"/>
              </w:rPr>
            </w:pPr>
          </w:p>
        </w:tc>
      </w:tr>
      <w:tr>
        <w:trPr>
          <w:trHeight w:val="203"/>
        </w:trPr>
        <w:tc>
          <w:tcPr>
            <w:tcW w:w="6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accrued expenses</w:t>
            </w: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595</w:t>
            </w:r>
          </w:p>
        </w:tc>
        <w:tc>
          <w:tcPr>
            <w:tcW w:w="36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455</w:t>
            </w:r>
          </w:p>
        </w:tc>
        <w:tc>
          <w:tcPr>
            <w:tcW w:w="100" w:type="dxa"/>
            <w:vAlign w:val="bottom"/>
          </w:tcPr>
          <w:p>
            <w:pPr>
              <w:spacing w:after="0"/>
              <w:rPr>
                <w:sz w:val="17"/>
                <w:szCs w:val="17"/>
                <w:color w:val="auto"/>
              </w:rPr>
            </w:pPr>
          </w:p>
        </w:tc>
      </w:tr>
      <w:tr>
        <w:trPr>
          <w:trHeight w:val="203"/>
        </w:trPr>
        <w:tc>
          <w:tcPr>
            <w:tcW w:w="6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36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100" w:type="dxa"/>
            <w:vAlign w:val="bottom"/>
          </w:tcPr>
          <w:p>
            <w:pPr>
              <w:spacing w:after="0"/>
              <w:rPr>
                <w:sz w:val="17"/>
                <w:szCs w:val="17"/>
                <w:color w:val="auto"/>
              </w:rPr>
            </w:pPr>
          </w:p>
        </w:tc>
      </w:tr>
    </w:tbl>
    <w:p>
      <w:pPr>
        <w:sectPr>
          <w:pgSz w:w="11900" w:h="16841" w:orient="portrait"/>
          <w:cols w:equalWidth="0" w:num="1">
            <w:col w:w="10580"/>
          </w:cols>
          <w:pgMar w:left="240" w:top="374" w:right="107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80" w:type="dxa"/>
            <w:vAlign w:val="bottom"/>
          </w:tcPr>
          <w:p>
            <w:pPr>
              <w:ind w:left="220"/>
              <w:spacing w:after="0"/>
              <w:rPr>
                <w:sz w:val="20"/>
                <w:szCs w:val="20"/>
                <w:color w:val="auto"/>
              </w:rPr>
            </w:pPr>
            <w:r>
              <w:rPr>
                <w:rFonts w:ascii="Courier New" w:cs="Courier New" w:eastAsia="Courier New" w:hAnsi="Courier New"/>
                <w:sz w:val="18"/>
                <w:szCs w:val="18"/>
                <w:color w:val="auto"/>
              </w:rPr>
              <w:t>Notes payable to stockholder</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381</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381</w:t>
            </w:r>
          </w:p>
        </w:tc>
        <w:tc>
          <w:tcPr>
            <w:tcW w:w="100" w:type="dxa"/>
            <w:vAlign w:val="bottom"/>
          </w:tcPr>
          <w:p>
            <w:pPr>
              <w:spacing w:after="0"/>
              <w:rPr>
                <w:sz w:val="17"/>
                <w:szCs w:val="17"/>
                <w:color w:val="auto"/>
              </w:rPr>
            </w:pPr>
          </w:p>
        </w:tc>
      </w:tr>
      <w:tr>
        <w:trPr>
          <w:trHeight w:val="164"/>
        </w:trPr>
        <w:tc>
          <w:tcPr>
            <w:tcW w:w="71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Deferred rent</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118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118</w:t>
            </w:r>
          </w:p>
        </w:tc>
        <w:tc>
          <w:tcPr>
            <w:tcW w:w="100" w:type="dxa"/>
            <w:vAlign w:val="bottom"/>
          </w:tcPr>
          <w:p>
            <w:pPr>
              <w:spacing w:after="0"/>
              <w:rPr>
                <w:sz w:val="14"/>
                <w:szCs w:val="14"/>
                <w:color w:val="auto"/>
              </w:rPr>
            </w:pPr>
          </w:p>
        </w:tc>
      </w:tr>
      <w:tr>
        <w:trPr>
          <w:trHeight w:val="183"/>
        </w:trPr>
        <w:tc>
          <w:tcPr>
            <w:tcW w:w="71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5,489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5,249</w:t>
            </w:r>
          </w:p>
        </w:tc>
        <w:tc>
          <w:tcPr>
            <w:tcW w:w="100" w:type="dxa"/>
            <w:vAlign w:val="bottom"/>
          </w:tcPr>
          <w:p>
            <w:pPr>
              <w:spacing w:after="0"/>
              <w:rPr>
                <w:sz w:val="15"/>
                <w:szCs w:val="15"/>
                <w:color w:val="auto"/>
              </w:rPr>
            </w:pPr>
          </w:p>
        </w:tc>
      </w:tr>
      <w:tr>
        <w:trPr>
          <w:trHeight w:val="221"/>
        </w:trPr>
        <w:tc>
          <w:tcPr>
            <w:tcW w:w="7180" w:type="dxa"/>
            <w:vAlign w:val="bottom"/>
          </w:tcPr>
          <w:p>
            <w:pPr>
              <w:spacing w:after="0"/>
              <w:rPr>
                <w:sz w:val="20"/>
                <w:szCs w:val="20"/>
                <w:color w:val="auto"/>
              </w:rPr>
            </w:pPr>
            <w:r>
              <w:rPr>
                <w:rFonts w:ascii="Courier New" w:cs="Courier New" w:eastAsia="Courier New" w:hAnsi="Courier New"/>
                <w:sz w:val="18"/>
                <w:szCs w:val="18"/>
                <w:color w:val="auto"/>
              </w:rPr>
              <w:t>Notes payable to stockholder, net of current portion</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1,144</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1,144</w:t>
            </w:r>
          </w:p>
        </w:tc>
        <w:tc>
          <w:tcPr>
            <w:tcW w:w="100" w:type="dxa"/>
            <w:vAlign w:val="bottom"/>
          </w:tcPr>
          <w:p>
            <w:pPr>
              <w:spacing w:after="0"/>
              <w:rPr>
                <w:sz w:val="19"/>
                <w:szCs w:val="19"/>
                <w:color w:val="auto"/>
              </w:rPr>
            </w:pPr>
          </w:p>
        </w:tc>
      </w:tr>
      <w:tr>
        <w:trPr>
          <w:trHeight w:val="164"/>
        </w:trPr>
        <w:tc>
          <w:tcPr>
            <w:tcW w:w="7180" w:type="dxa"/>
            <w:vAlign w:val="bottom"/>
          </w:tcPr>
          <w:p>
            <w:pPr>
              <w:spacing w:after="0" w:line="164" w:lineRule="exact"/>
              <w:rPr>
                <w:sz w:val="20"/>
                <w:szCs w:val="20"/>
                <w:color w:val="auto"/>
              </w:rPr>
            </w:pPr>
            <w:r>
              <w:rPr>
                <w:rFonts w:ascii="Courier New" w:cs="Courier New" w:eastAsia="Courier New" w:hAnsi="Courier New"/>
                <w:sz w:val="18"/>
                <w:szCs w:val="18"/>
                <w:color w:val="auto"/>
              </w:rPr>
              <w:t>Deferred rent, net of current portion</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157</w:t>
            </w:r>
          </w:p>
        </w:tc>
        <w:tc>
          <w:tcPr>
            <w:tcW w:w="100" w:type="dxa"/>
            <w:vAlign w:val="bottom"/>
          </w:tcPr>
          <w:p>
            <w:pPr>
              <w:spacing w:after="0"/>
              <w:rPr>
                <w:sz w:val="14"/>
                <w:szCs w:val="14"/>
                <w:color w:val="auto"/>
              </w:rPr>
            </w:pPr>
          </w:p>
        </w:tc>
      </w:tr>
      <w:tr>
        <w:trPr>
          <w:trHeight w:val="183"/>
        </w:trPr>
        <w:tc>
          <w:tcPr>
            <w:tcW w:w="71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liabilities</w:t>
            </w:r>
          </w:p>
        </w:tc>
        <w:tc>
          <w:tcPr>
            <w:tcW w:w="8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6,702</w:t>
            </w:r>
          </w:p>
        </w:tc>
        <w:tc>
          <w:tcPr>
            <w:tcW w:w="260" w:type="dxa"/>
            <w:vAlign w:val="bottom"/>
          </w:tcPr>
          <w:p>
            <w:pPr>
              <w:spacing w:after="0"/>
              <w:rPr>
                <w:sz w:val="15"/>
                <w:szCs w:val="15"/>
                <w:color w:val="auto"/>
              </w:rPr>
            </w:pPr>
          </w:p>
        </w:tc>
        <w:tc>
          <w:tcPr>
            <w:tcW w:w="10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6,550</w:t>
            </w:r>
          </w:p>
        </w:tc>
      </w:tr>
      <w:tr>
        <w:trPr>
          <w:trHeight w:val="221"/>
        </w:trPr>
        <w:tc>
          <w:tcPr>
            <w:tcW w:w="718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 (Notes 9 and 11)</w:t>
            </w: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10,464,505 and 10,193,255 shares issued, respectively</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102</w:t>
            </w:r>
          </w:p>
        </w:tc>
        <w:tc>
          <w:tcPr>
            <w:tcW w:w="100" w:type="dxa"/>
            <w:vAlign w:val="bottom"/>
          </w:tcPr>
          <w:p>
            <w:pPr>
              <w:spacing w:after="0"/>
              <w:rPr>
                <w:sz w:val="17"/>
                <w:szCs w:val="17"/>
                <w:color w:val="auto"/>
              </w:rPr>
            </w:pPr>
          </w:p>
        </w:tc>
      </w:tr>
      <w:tr>
        <w:trPr>
          <w:trHeight w:val="203"/>
        </w:trPr>
        <w:tc>
          <w:tcPr>
            <w:tcW w:w="7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25,911</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25,798</w:t>
            </w:r>
          </w:p>
        </w:tc>
        <w:tc>
          <w:tcPr>
            <w:tcW w:w="100" w:type="dxa"/>
            <w:vAlign w:val="bottom"/>
          </w:tcPr>
          <w:p>
            <w:pPr>
              <w:spacing w:after="0"/>
              <w:rPr>
                <w:sz w:val="17"/>
                <w:szCs w:val="17"/>
                <w:color w:val="auto"/>
              </w:rPr>
            </w:pPr>
          </w:p>
        </w:tc>
      </w:tr>
      <w:tr>
        <w:trPr>
          <w:trHeight w:val="203"/>
        </w:trPr>
        <w:tc>
          <w:tcPr>
            <w:tcW w:w="7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100" w:type="dxa"/>
            <w:vAlign w:val="bottom"/>
            <w:gridSpan w:val="3"/>
          </w:tcPr>
          <w:p>
            <w:pPr>
              <w:jc w:val="right"/>
              <w:ind w:right="160"/>
              <w:spacing w:after="0" w:line="203" w:lineRule="exact"/>
              <w:rPr>
                <w:sz w:val="20"/>
                <w:szCs w:val="20"/>
                <w:color w:val="auto"/>
              </w:rPr>
            </w:pPr>
            <w:r>
              <w:rPr>
                <w:rFonts w:ascii="Courier New" w:cs="Courier New" w:eastAsia="Courier New" w:hAnsi="Courier New"/>
                <w:sz w:val="18"/>
                <w:szCs w:val="18"/>
                <w:color w:val="auto"/>
              </w:rPr>
              <w:t>(11,843)</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(17,801)</w:t>
            </w:r>
          </w:p>
        </w:tc>
      </w:tr>
      <w:tr>
        <w:trPr>
          <w:trHeight w:val="203"/>
        </w:trPr>
        <w:tc>
          <w:tcPr>
            <w:tcW w:w="7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1,332</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1,356</w:t>
            </w:r>
          </w:p>
        </w:tc>
        <w:tc>
          <w:tcPr>
            <w:tcW w:w="100" w:type="dxa"/>
            <w:vAlign w:val="bottom"/>
          </w:tcPr>
          <w:p>
            <w:pPr>
              <w:spacing w:after="0"/>
              <w:rPr>
                <w:sz w:val="17"/>
                <w:szCs w:val="17"/>
                <w:color w:val="auto"/>
              </w:rPr>
            </w:pPr>
          </w:p>
        </w:tc>
      </w:tr>
      <w:tr>
        <w:trPr>
          <w:trHeight w:val="164"/>
        </w:trPr>
        <w:tc>
          <w:tcPr>
            <w:tcW w:w="71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w w:val="98"/>
              </w:rPr>
              <w:t>Treasury stock, at cost; 119,029 and 139,299 shares, respectively</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(736)</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(861)</w:t>
            </w:r>
          </w:p>
        </w:tc>
      </w:tr>
      <w:tr>
        <w:trPr>
          <w:trHeight w:val="183"/>
        </w:trPr>
        <w:tc>
          <w:tcPr>
            <w:tcW w:w="71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14,769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8,594</w:t>
            </w:r>
          </w:p>
        </w:tc>
        <w:tc>
          <w:tcPr>
            <w:tcW w:w="100" w:type="dxa"/>
            <w:vAlign w:val="bottom"/>
          </w:tcPr>
          <w:p>
            <w:pPr>
              <w:spacing w:after="0"/>
              <w:rPr>
                <w:sz w:val="15"/>
                <w:szCs w:val="15"/>
                <w:color w:val="auto"/>
              </w:rPr>
            </w:pPr>
          </w:p>
        </w:tc>
      </w:tr>
      <w:tr>
        <w:trPr>
          <w:trHeight w:val="221"/>
        </w:trPr>
        <w:tc>
          <w:tcPr>
            <w:tcW w:w="718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$21,471</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$15,144</w:t>
            </w:r>
          </w:p>
        </w:tc>
        <w:tc>
          <w:tcPr>
            <w:tcW w:w="100" w:type="dxa"/>
            <w:vAlign w:val="bottom"/>
          </w:tcPr>
          <w:p>
            <w:pPr>
              <w:spacing w:after="0"/>
              <w:rPr>
                <w:sz w:val="19"/>
                <w:szCs w:val="19"/>
                <w:color w:val="auto"/>
              </w:rPr>
            </w:pPr>
          </w:p>
        </w:tc>
      </w:tr>
      <w:tr>
        <w:trPr>
          <w:trHeight w:val="203"/>
        </w:trPr>
        <w:tc>
          <w:tcPr>
            <w:tcW w:w="718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5"/>
          </w:tcPr>
          <w:p>
            <w:pPr>
              <w:jc w:val="center"/>
              <w:ind w:left="3173"/>
              <w:spacing w:after="0"/>
              <w:rPr>
                <w:sz w:val="20"/>
                <w:szCs w:val="20"/>
                <w:color w:val="auto"/>
              </w:rPr>
            </w:pPr>
            <w:r>
              <w:rPr>
                <w:rFonts w:ascii="Arial" w:cs="Arial" w:eastAsia="Arial" w:hAnsi="Arial"/>
                <w:sz w:val="14"/>
                <w:szCs w:val="14"/>
                <w:color w:val="auto"/>
                <w:w w:val="86"/>
              </w:rPr>
              <w:t>See accompanying Notes to Consolidated Financial Statements.</w:t>
            </w:r>
          </w:p>
        </w:tc>
        <w:tc>
          <w:tcPr>
            <w:tcW w:w="1100" w:type="dxa"/>
            <w:vAlign w:val="bottom"/>
          </w:tcPr>
          <w:p>
            <w:pPr>
              <w:spacing w:after="0"/>
              <w:rPr>
                <w:sz w:val="14"/>
                <w:szCs w:val="14"/>
                <w:color w:val="auto"/>
              </w:rPr>
            </w:pPr>
          </w:p>
        </w:tc>
      </w:tr>
      <w:tr>
        <w:trPr>
          <w:trHeight w:val="172"/>
        </w:trPr>
        <w:tc>
          <w:tcPr>
            <w:tcW w:w="4640" w:type="dxa"/>
            <w:vAlign w:val="bottom"/>
          </w:tcPr>
          <w:p>
            <w:pPr>
              <w:spacing w:after="0"/>
              <w:rPr>
                <w:sz w:val="14"/>
                <w:szCs w:val="14"/>
                <w:color w:val="auto"/>
              </w:rPr>
            </w:pPr>
          </w:p>
        </w:tc>
        <w:tc>
          <w:tcPr>
            <w:tcW w:w="1240" w:type="dxa"/>
            <w:vAlign w:val="bottom"/>
          </w:tcPr>
          <w:p>
            <w:pPr>
              <w:jc w:val="center"/>
              <w:ind w:left="813"/>
              <w:spacing w:after="0"/>
              <w:rPr>
                <w:sz w:val="20"/>
                <w:szCs w:val="20"/>
                <w:color w:val="auto"/>
              </w:rPr>
            </w:pPr>
            <w:r>
              <w:rPr>
                <w:rFonts w:ascii="Arial" w:cs="Arial" w:eastAsia="Arial" w:hAnsi="Arial"/>
                <w:sz w:val="14"/>
                <w:szCs w:val="14"/>
                <w:color w:val="auto"/>
                <w:w w:val="89"/>
              </w:rPr>
              <w:t>- - 1 -</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64"/>
        </w:trPr>
        <w:tc>
          <w:tcPr>
            <w:tcW w:w="4640" w:type="dxa"/>
            <w:vAlign w:val="bottom"/>
          </w:tcPr>
          <w:p>
            <w:pPr>
              <w:spacing w:after="0"/>
              <w:rPr>
                <w:sz w:val="24"/>
                <w:szCs w:val="24"/>
                <w:color w:val="auto"/>
              </w:rPr>
            </w:pPr>
          </w:p>
        </w:tc>
        <w:tc>
          <w:tcPr>
            <w:tcW w:w="2260" w:type="dxa"/>
            <w:vAlign w:val="bottom"/>
            <w:gridSpan w:val="2"/>
          </w:tcPr>
          <w:p>
            <w:pPr>
              <w:jc w:val="center"/>
              <w:ind w:right="12"/>
              <w:spacing w:after="0"/>
              <w:rPr>
                <w:sz w:val="20"/>
                <w:szCs w:val="20"/>
                <w:color w:val="auto"/>
              </w:rPr>
            </w:pPr>
            <w:r>
              <w:rPr>
                <w:rFonts w:ascii="Arial" w:cs="Arial" w:eastAsia="Arial" w:hAnsi="Arial"/>
                <w:sz w:val="18"/>
                <w:szCs w:val="18"/>
                <w:b w:val="1"/>
                <w:bCs w:val="1"/>
                <w:color w:val="auto"/>
                <w:w w:val="96"/>
              </w:rPr>
              <w:t>inTEST CORPORATION</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2"/>
        </w:trPr>
        <w:tc>
          <w:tcPr>
            <w:tcW w:w="8180" w:type="dxa"/>
            <w:vAlign w:val="bottom"/>
            <w:gridSpan w:val="5"/>
          </w:tcPr>
          <w:p>
            <w:pPr>
              <w:jc w:val="center"/>
              <w:ind w:left="3153"/>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1100" w:type="dxa"/>
            <w:vAlign w:val="bottom"/>
          </w:tcPr>
          <w:p>
            <w:pPr>
              <w:spacing w:after="0"/>
              <w:rPr>
                <w:sz w:val="19"/>
                <w:szCs w:val="19"/>
                <w:color w:val="auto"/>
              </w:rPr>
            </w:pPr>
          </w:p>
        </w:tc>
      </w:tr>
      <w:tr>
        <w:trPr>
          <w:trHeight w:val="216"/>
        </w:trPr>
        <w:tc>
          <w:tcPr>
            <w:tcW w:w="8180" w:type="dxa"/>
            <w:vAlign w:val="bottom"/>
            <w:gridSpan w:val="5"/>
          </w:tcPr>
          <w:p>
            <w:pPr>
              <w:jc w:val="center"/>
              <w:ind w:left="3173"/>
              <w:spacing w:after="0"/>
              <w:rPr>
                <w:sz w:val="20"/>
                <w:szCs w:val="20"/>
                <w:color w:val="auto"/>
              </w:rPr>
            </w:pPr>
            <w:r>
              <w:rPr>
                <w:rFonts w:ascii="Arial" w:cs="Arial" w:eastAsia="Arial" w:hAnsi="Arial"/>
                <w:sz w:val="18"/>
                <w:szCs w:val="18"/>
                <w:color w:val="auto"/>
                <w:w w:val="85"/>
              </w:rPr>
              <w:t>(In thousands, except share and per share data)</w:t>
            </w:r>
          </w:p>
        </w:tc>
        <w:tc>
          <w:tcPr>
            <w:tcW w:w="1100" w:type="dxa"/>
            <w:vAlign w:val="bottom"/>
          </w:tcPr>
          <w:p>
            <w:pPr>
              <w:spacing w:after="0"/>
              <w:rPr>
                <w:sz w:val="18"/>
                <w:szCs w:val="18"/>
                <w:color w:val="auto"/>
              </w:rPr>
            </w:pPr>
          </w:p>
        </w:tc>
      </w:tr>
      <w:tr>
        <w:trPr>
          <w:trHeight w:val="222"/>
        </w:trPr>
        <w:tc>
          <w:tcPr>
            <w:tcW w:w="4640" w:type="dxa"/>
            <w:vAlign w:val="bottom"/>
          </w:tcPr>
          <w:p>
            <w:pPr>
              <w:spacing w:after="0"/>
              <w:rPr>
                <w:sz w:val="19"/>
                <w:szCs w:val="19"/>
                <w:color w:val="auto"/>
              </w:rPr>
            </w:pPr>
          </w:p>
        </w:tc>
        <w:tc>
          <w:tcPr>
            <w:tcW w:w="2260" w:type="dxa"/>
            <w:vAlign w:val="bottom"/>
            <w:gridSpan w:val="2"/>
          </w:tcPr>
          <w:p>
            <w:pPr>
              <w:jc w:val="center"/>
              <w:ind w:right="32"/>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783"/>
        </w:trPr>
        <w:tc>
          <w:tcPr>
            <w:tcW w:w="4640" w:type="dxa"/>
            <w:vAlign w:val="bottom"/>
          </w:tcPr>
          <w:p>
            <w:pPr>
              <w:spacing w:after="0"/>
              <w:rPr>
                <w:sz w:val="24"/>
                <w:szCs w:val="24"/>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 Months Ended</w:t>
            </w:r>
          </w:p>
        </w:tc>
        <w:tc>
          <w:tcPr>
            <w:tcW w:w="220" w:type="dxa"/>
            <w:vAlign w:val="bottom"/>
          </w:tcPr>
          <w:p>
            <w:pPr>
              <w:spacing w:after="0"/>
              <w:rPr>
                <w:sz w:val="24"/>
                <w:szCs w:val="24"/>
                <w:color w:val="auto"/>
              </w:rPr>
            </w:pPr>
          </w:p>
        </w:tc>
        <w:tc>
          <w:tcPr>
            <w:tcW w:w="2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640" w:type="dxa"/>
            <w:vAlign w:val="bottom"/>
          </w:tcPr>
          <w:p>
            <w:pPr>
              <w:spacing w:after="0"/>
              <w:rPr>
                <w:sz w:val="17"/>
                <w:szCs w:val="17"/>
                <w:color w:val="auto"/>
              </w:rPr>
            </w:pPr>
          </w:p>
        </w:tc>
        <w:tc>
          <w:tcPr>
            <w:tcW w:w="22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Sept. 30,</w:t>
            </w:r>
          </w:p>
        </w:tc>
        <w:tc>
          <w:tcPr>
            <w:tcW w:w="220" w:type="dxa"/>
            <w:vAlign w:val="bottom"/>
          </w:tcPr>
          <w:p>
            <w:pPr>
              <w:spacing w:after="0"/>
              <w:rPr>
                <w:sz w:val="17"/>
                <w:szCs w:val="17"/>
                <w:color w:val="auto"/>
              </w:rPr>
            </w:pP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Sept. 30,</w:t>
            </w:r>
          </w:p>
        </w:tc>
      </w:tr>
      <w:tr>
        <w:trPr>
          <w:trHeight w:val="203"/>
        </w:trPr>
        <w:tc>
          <w:tcPr>
            <w:tcW w:w="464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240" w:type="dxa"/>
            <w:vAlign w:val="bottom"/>
          </w:tcPr>
          <w:p>
            <w:pPr>
              <w:jc w:val="right"/>
              <w:ind w:right="193"/>
              <w:spacing w:after="0" w:line="203" w:lineRule="exact"/>
              <w:rPr>
                <w:sz w:val="20"/>
                <w:szCs w:val="20"/>
                <w:color w:val="auto"/>
              </w:rPr>
            </w:pPr>
            <w:r>
              <w:rPr>
                <w:rFonts w:ascii="Courier New" w:cs="Courier New" w:eastAsia="Courier New" w:hAnsi="Courier New"/>
                <w:sz w:val="18"/>
                <w:szCs w:val="18"/>
                <w:color w:val="auto"/>
              </w:rPr>
              <w:t>2010</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2009</w:t>
            </w:r>
          </w:p>
        </w:tc>
        <w:tc>
          <w:tcPr>
            <w:tcW w:w="2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2010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2009</w:t>
            </w:r>
          </w:p>
        </w:tc>
      </w:tr>
      <w:tr>
        <w:trPr>
          <w:trHeight w:val="203"/>
        </w:trPr>
        <w:tc>
          <w:tcPr>
            <w:tcW w:w="4640" w:type="dxa"/>
            <w:vAlign w:val="bottom"/>
          </w:tcPr>
          <w:p>
            <w:pPr>
              <w:spacing w:after="0"/>
              <w:rPr>
                <w:sz w:val="17"/>
                <w:szCs w:val="17"/>
                <w:color w:val="auto"/>
              </w:rPr>
            </w:pP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$11,305</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$ 6,009</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$36,094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$15,076</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5,853</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3,577</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18,737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10,425</w:t>
            </w:r>
          </w:p>
        </w:tc>
      </w:tr>
      <w:tr>
        <w:trPr>
          <w:trHeight w:val="203"/>
        </w:trPr>
        <w:tc>
          <w:tcPr>
            <w:tcW w:w="4640" w:type="dxa"/>
            <w:vAlign w:val="bottom"/>
          </w:tcPr>
          <w:p>
            <w:pPr>
              <w:spacing w:after="0"/>
              <w:rPr>
                <w:sz w:val="17"/>
                <w:szCs w:val="17"/>
                <w:color w:val="auto"/>
              </w:rPr>
            </w:pP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Gross margin</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5,452</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2,432</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17,357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4,651</w:t>
            </w:r>
          </w:p>
        </w:tc>
      </w:tr>
      <w:tr>
        <w:trPr>
          <w:trHeight w:val="203"/>
        </w:trPr>
        <w:tc>
          <w:tcPr>
            <w:tcW w:w="4640" w:type="dxa"/>
            <w:vAlign w:val="bottom"/>
          </w:tcPr>
          <w:p>
            <w:pPr>
              <w:spacing w:after="0"/>
              <w:rPr>
                <w:sz w:val="17"/>
                <w:szCs w:val="17"/>
                <w:color w:val="auto"/>
              </w:rPr>
            </w:pP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1,444</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988</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4,427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3,161</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w:t>
            </w: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767</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1,848</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1,555</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1,161</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4,689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4,219</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 and other charges</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w:t>
            </w:r>
          </w:p>
        </w:tc>
      </w:tr>
      <w:tr>
        <w:trPr>
          <w:trHeight w:val="203"/>
        </w:trPr>
        <w:tc>
          <w:tcPr>
            <w:tcW w:w="4640" w:type="dxa"/>
            <w:vAlign w:val="bottom"/>
          </w:tcPr>
          <w:p>
            <w:pPr>
              <w:spacing w:after="0"/>
              <w:rPr>
                <w:sz w:val="17"/>
                <w:szCs w:val="17"/>
                <w:color w:val="auto"/>
              </w:rPr>
            </w:pP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3,766</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2,691</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11,371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9,584</w:t>
            </w:r>
          </w:p>
        </w:tc>
      </w:tr>
      <w:tr>
        <w:trPr>
          <w:trHeight w:val="203"/>
        </w:trPr>
        <w:tc>
          <w:tcPr>
            <w:tcW w:w="4640" w:type="dxa"/>
            <w:vAlign w:val="bottom"/>
          </w:tcPr>
          <w:p>
            <w:pPr>
              <w:spacing w:after="0"/>
              <w:rPr>
                <w:sz w:val="17"/>
                <w:szCs w:val="17"/>
                <w:color w:val="auto"/>
              </w:rPr>
            </w:pP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1,686</w:t>
            </w:r>
          </w:p>
        </w:tc>
        <w:tc>
          <w:tcPr>
            <w:tcW w:w="12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(259)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5,986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(4,933)</w:t>
            </w:r>
          </w:p>
        </w:tc>
      </w:tr>
      <w:tr>
        <w:trPr>
          <w:trHeight w:val="203"/>
        </w:trPr>
        <w:tc>
          <w:tcPr>
            <w:tcW w:w="4640" w:type="dxa"/>
            <w:vAlign w:val="bottom"/>
          </w:tcPr>
          <w:p>
            <w:pPr>
              <w:spacing w:after="0"/>
              <w:rPr>
                <w:sz w:val="17"/>
                <w:szCs w:val="17"/>
                <w:color w:val="auto"/>
              </w:rPr>
            </w:pP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2</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2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12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24</w:t>
            </w:r>
          </w:p>
        </w:tc>
        <w:tc>
          <w:tcPr>
            <w:tcW w:w="12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4640" w:type="dxa"/>
            <w:vAlign w:val="bottom"/>
          </w:tcPr>
          <w:p>
            <w:pPr>
              <w:spacing w:after="0"/>
              <w:rPr>
                <w:sz w:val="17"/>
                <w:szCs w:val="17"/>
                <w:color w:val="auto"/>
              </w:rPr>
            </w:pP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8</w:t>
            </w:r>
          </w:p>
        </w:tc>
        <w:tc>
          <w:tcPr>
            <w:tcW w:w="12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4640" w:type="dxa"/>
            <w:vAlign w:val="bottom"/>
          </w:tcPr>
          <w:p>
            <w:pPr>
              <w:spacing w:after="0"/>
              <w:rPr>
                <w:sz w:val="17"/>
                <w:szCs w:val="17"/>
                <w:color w:val="auto"/>
              </w:rPr>
            </w:pP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before income tax</w:t>
            </w: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 (benefit)</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1,694</w:t>
            </w:r>
          </w:p>
        </w:tc>
        <w:tc>
          <w:tcPr>
            <w:tcW w:w="12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(277)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5,975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(4,991)</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 (benefit)</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16</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640" w:type="dxa"/>
            <w:vAlign w:val="bottom"/>
          </w:tcPr>
          <w:p>
            <w:pPr>
              <w:spacing w:after="0"/>
              <w:rPr>
                <w:sz w:val="17"/>
                <w:szCs w:val="17"/>
                <w:color w:val="auto"/>
              </w:rPr>
            </w:pP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 (loss)</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$ 1,678</w:t>
            </w:r>
          </w:p>
        </w:tc>
        <w:tc>
          <w:tcPr>
            <w:tcW w:w="12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(278)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$ 5,958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$(4,985)</w:t>
            </w:r>
          </w:p>
        </w:tc>
      </w:tr>
      <w:tr>
        <w:trPr>
          <w:trHeight w:val="203"/>
        </w:trPr>
        <w:tc>
          <w:tcPr>
            <w:tcW w:w="4640" w:type="dxa"/>
            <w:vAlign w:val="bottom"/>
          </w:tcPr>
          <w:p>
            <w:pPr>
              <w:spacing w:after="0"/>
              <w:rPr>
                <w:sz w:val="17"/>
                <w:szCs w:val="17"/>
                <w:color w:val="auto"/>
              </w:rPr>
            </w:pP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earnings (loss) per common share-basic</w:t>
            </w:r>
          </w:p>
        </w:tc>
        <w:tc>
          <w:tcPr>
            <w:tcW w:w="1240" w:type="dxa"/>
            <w:vAlign w:val="bottom"/>
          </w:tcPr>
          <w:p>
            <w:pPr>
              <w:jc w:val="right"/>
              <w:ind w:right="93"/>
              <w:spacing w:after="0"/>
              <w:rPr>
                <w:sz w:val="20"/>
                <w:szCs w:val="20"/>
                <w:color w:val="auto"/>
              </w:rPr>
            </w:pPr>
            <w:r>
              <w:rPr>
                <w:rFonts w:ascii="Courier New" w:cs="Courier New" w:eastAsia="Courier New" w:hAnsi="Courier New"/>
                <w:sz w:val="18"/>
                <w:szCs w:val="18"/>
                <w:color w:val="auto"/>
              </w:rPr>
              <w:t>$0.17</w:t>
            </w:r>
          </w:p>
        </w:tc>
        <w:tc>
          <w:tcPr>
            <w:tcW w:w="12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$(0.03)</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$0.60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$(0.50)</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outstanding-basic</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w w:val="96"/>
              </w:rPr>
              <w:t>10,033,034</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9,982,972</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10,011,173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9,971,157</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w w:val="97"/>
              </w:rPr>
              <w:t>Net earnings (loss) per common share-diluted</w:t>
            </w:r>
          </w:p>
        </w:tc>
        <w:tc>
          <w:tcPr>
            <w:tcW w:w="1240" w:type="dxa"/>
            <w:vAlign w:val="bottom"/>
          </w:tcPr>
          <w:p>
            <w:pPr>
              <w:jc w:val="right"/>
              <w:ind w:right="93"/>
              <w:spacing w:after="0"/>
              <w:rPr>
                <w:sz w:val="20"/>
                <w:szCs w:val="20"/>
                <w:color w:val="auto"/>
              </w:rPr>
            </w:pPr>
            <w:r>
              <w:rPr>
                <w:rFonts w:ascii="Courier New" w:cs="Courier New" w:eastAsia="Courier New" w:hAnsi="Courier New"/>
                <w:sz w:val="18"/>
                <w:szCs w:val="18"/>
                <w:color w:val="auto"/>
              </w:rPr>
              <w:t>$0.17</w:t>
            </w:r>
          </w:p>
        </w:tc>
        <w:tc>
          <w:tcPr>
            <w:tcW w:w="12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$(0.03)</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$0.59</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$(0.50)</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Weighted average common and common</w:t>
            </w: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equivalents outstanding-diluted</w:t>
            </w:r>
          </w:p>
        </w:tc>
        <w:tc>
          <w:tcPr>
            <w:tcW w:w="1240" w:type="dxa"/>
            <w:vAlign w:val="bottom"/>
          </w:tcPr>
          <w:p>
            <w:pPr>
              <w:jc w:val="right"/>
              <w:ind w:right="93"/>
              <w:spacing w:after="0" w:line="203" w:lineRule="exact"/>
              <w:rPr>
                <w:sz w:val="20"/>
                <w:szCs w:val="20"/>
                <w:color w:val="auto"/>
              </w:rPr>
            </w:pPr>
            <w:r>
              <w:rPr>
                <w:rFonts w:ascii="Courier New" w:cs="Courier New" w:eastAsia="Courier New" w:hAnsi="Courier New"/>
                <w:sz w:val="18"/>
                <w:szCs w:val="18"/>
                <w:color w:val="auto"/>
                <w:w w:val="96"/>
              </w:rPr>
              <w:t>10,194,580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9,982,972</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10,127,329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9,971,157</w:t>
            </w:r>
          </w:p>
        </w:tc>
      </w:tr>
    </w:tbl>
    <w:p>
      <w:pPr>
        <w:spacing w:after="0" w:line="200" w:lineRule="exact"/>
        <w:rPr>
          <w:sz w:val="20"/>
          <w:szCs w:val="20"/>
          <w:color w:val="auto"/>
        </w:rPr>
      </w:pPr>
    </w:p>
    <w:p>
      <w:pPr>
        <w:spacing w:after="0" w:line="36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- 2 -</w:t>
      </w:r>
    </w:p>
    <w:p>
      <w:pPr>
        <w:sectPr>
          <w:pgSz w:w="11900" w:h="16838" w:orient="portrait"/>
          <w:cols w:equalWidth="0" w:num="1">
            <w:col w:w="10219"/>
          </w:cols>
          <w:pgMar w:left="240" w:top="136" w:right="1440" w:bottom="0" w:gutter="0" w:footer="0" w:header="0"/>
        </w:sectPr>
      </w:pPr>
    </w:p>
    <w:bookmarkStart w:id="3" w:name="page4"/>
    <w:bookmarkEnd w:id="3"/>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688975</wp:posOffset>
            </wp:positionH>
            <wp:positionV relativeFrom="page">
              <wp:posOffset>88900</wp:posOffset>
            </wp:positionV>
            <wp:extent cx="61956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5695" cy="215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280" w:type="dxa"/>
            <w:vAlign w:val="bottom"/>
            <w:gridSpan w:val="4"/>
          </w:tcPr>
          <w:p>
            <w:pPr>
              <w:jc w:val="center"/>
              <w:ind w:right="392"/>
              <w:spacing w:after="0"/>
              <w:rPr>
                <w:sz w:val="20"/>
                <w:szCs w:val="20"/>
                <w:color w:val="auto"/>
              </w:rPr>
            </w:pPr>
            <w:r>
              <w:rPr>
                <w:rFonts w:ascii="Arial" w:cs="Arial" w:eastAsia="Arial" w:hAnsi="Arial"/>
                <w:sz w:val="18"/>
                <w:szCs w:val="18"/>
                <w:b w:val="1"/>
                <w:bCs w:val="1"/>
                <w:color w:val="auto"/>
                <w:w w:val="96"/>
              </w:rPr>
              <w:t>inTEST CORPORATION</w:t>
            </w:r>
          </w:p>
        </w:tc>
        <w:tc>
          <w:tcPr>
            <w:tcW w:w="1160" w:type="dxa"/>
            <w:vAlign w:val="bottom"/>
          </w:tcPr>
          <w:p>
            <w:pPr>
              <w:spacing w:after="0"/>
              <w:rPr>
                <w:sz w:val="18"/>
                <w:szCs w:val="18"/>
                <w:color w:val="auto"/>
              </w:rPr>
            </w:pPr>
          </w:p>
        </w:tc>
      </w:tr>
      <w:tr>
        <w:trPr>
          <w:trHeight w:val="222"/>
        </w:trPr>
        <w:tc>
          <w:tcPr>
            <w:tcW w:w="8760" w:type="dxa"/>
            <w:vAlign w:val="bottom"/>
            <w:gridSpan w:val="6"/>
          </w:tcPr>
          <w:p>
            <w:pPr>
              <w:jc w:val="center"/>
              <w:ind w:left="2572"/>
              <w:spacing w:after="0"/>
              <w:rPr>
                <w:sz w:val="20"/>
                <w:szCs w:val="20"/>
                <w:color w:val="auto"/>
              </w:rPr>
            </w:pPr>
            <w:r>
              <w:rPr>
                <w:rFonts w:ascii="Arial" w:cs="Arial" w:eastAsia="Arial" w:hAnsi="Arial"/>
                <w:sz w:val="18"/>
                <w:szCs w:val="18"/>
                <w:b w:val="1"/>
                <w:bCs w:val="1"/>
                <w:color w:val="auto"/>
                <w:w w:val="96"/>
              </w:rPr>
              <w:t>CONSOLIDATED STATEMENTS OF COMPREHENSIVE EARNINGS (LOSS)</w:t>
            </w:r>
          </w:p>
        </w:tc>
      </w:tr>
      <w:tr>
        <w:trPr>
          <w:trHeight w:val="216"/>
        </w:trPr>
        <w:tc>
          <w:tcPr>
            <w:tcW w:w="4320" w:type="dxa"/>
            <w:vAlign w:val="bottom"/>
          </w:tcPr>
          <w:p>
            <w:pPr>
              <w:spacing w:after="0"/>
              <w:rPr>
                <w:sz w:val="18"/>
                <w:szCs w:val="18"/>
                <w:color w:val="auto"/>
              </w:rPr>
            </w:pPr>
          </w:p>
        </w:tc>
        <w:tc>
          <w:tcPr>
            <w:tcW w:w="222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(In thousands)</w:t>
            </w: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4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gridSpan w:val="2"/>
          </w:tcPr>
          <w:p>
            <w:pPr>
              <w:jc w:val="center"/>
              <w:ind w:right="312"/>
              <w:spacing w:after="0"/>
              <w:rPr>
                <w:sz w:val="20"/>
                <w:szCs w:val="20"/>
                <w:color w:val="auto"/>
              </w:rPr>
            </w:pPr>
            <w:r>
              <w:rPr>
                <w:rFonts w:ascii="Arial" w:cs="Arial" w:eastAsia="Arial" w:hAnsi="Arial"/>
                <w:sz w:val="18"/>
                <w:szCs w:val="18"/>
                <w:color w:val="auto"/>
                <w:w w:val="91"/>
              </w:rPr>
              <w:t>(Unaudited)</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581"/>
        </w:trPr>
        <w:tc>
          <w:tcPr>
            <w:tcW w:w="4320" w:type="dxa"/>
            <w:vAlign w:val="bottom"/>
          </w:tcPr>
          <w:p>
            <w:pPr>
              <w:spacing w:after="0"/>
              <w:rPr>
                <w:sz w:val="24"/>
                <w:szCs w:val="24"/>
                <w:color w:val="auto"/>
              </w:rPr>
            </w:pPr>
          </w:p>
        </w:tc>
        <w:tc>
          <w:tcPr>
            <w:tcW w:w="222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c>
          <w:tcPr>
            <w:tcW w:w="22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320" w:type="dxa"/>
            <w:vAlign w:val="bottom"/>
          </w:tcPr>
          <w:p>
            <w:pPr>
              <w:spacing w:after="0"/>
              <w:rPr>
                <w:sz w:val="17"/>
                <w:szCs w:val="17"/>
                <w:color w:val="auto"/>
              </w:rPr>
            </w:pPr>
          </w:p>
        </w:tc>
        <w:tc>
          <w:tcPr>
            <w:tcW w:w="222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Sept. 30,</w:t>
            </w:r>
          </w:p>
        </w:tc>
        <w:tc>
          <w:tcPr>
            <w:tcW w:w="22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Sept. 30,</w:t>
            </w:r>
          </w:p>
        </w:tc>
      </w:tr>
      <w:tr>
        <w:trPr>
          <w:trHeight w:val="203"/>
        </w:trPr>
        <w:tc>
          <w:tcPr>
            <w:tcW w:w="4320" w:type="dxa"/>
            <w:vAlign w:val="bottom"/>
          </w:tcPr>
          <w:p>
            <w:pPr>
              <w:spacing w:after="0"/>
              <w:rPr>
                <w:sz w:val="17"/>
                <w:szCs w:val="17"/>
                <w:color w:val="auto"/>
              </w:rPr>
            </w:pPr>
          </w:p>
        </w:tc>
        <w:tc>
          <w:tcPr>
            <w:tcW w:w="22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2010</w:t>
            </w:r>
          </w:p>
        </w:tc>
        <w:tc>
          <w:tcPr>
            <w:tcW w:w="4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2009</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2010</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2009</w:t>
            </w:r>
          </w:p>
        </w:tc>
      </w:tr>
      <w:tr>
        <w:trPr>
          <w:trHeight w:val="203"/>
        </w:trPr>
        <w:tc>
          <w:tcPr>
            <w:tcW w:w="43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earnings (loss)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$ 1,678</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(278)</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$ 5,958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$(4,985)</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Foreign currency translation adjustments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96</w:t>
            </w:r>
          </w:p>
        </w:tc>
        <w:tc>
          <w:tcPr>
            <w:tcW w:w="4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114</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w:t>
            </w:r>
          </w:p>
        </w:tc>
      </w:tr>
      <w:tr>
        <w:trPr>
          <w:trHeight w:val="203"/>
        </w:trPr>
        <w:tc>
          <w:tcPr>
            <w:tcW w:w="43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Comprehensive earnings (loss)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$ 1,774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(164)</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$ 5,934</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$(4,939)</w:t>
            </w:r>
          </w:p>
        </w:tc>
      </w:tr>
      <w:tr>
        <w:trPr>
          <w:trHeight w:val="203"/>
        </w:trPr>
        <w:tc>
          <w:tcPr>
            <w:tcW w:w="43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384175</wp:posOffset>
            </wp:positionV>
            <wp:extent cx="619569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9569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00" w:type="dxa"/>
            <w:vAlign w:val="bottom"/>
            <w:gridSpan w:val="3"/>
          </w:tcPr>
          <w:p>
            <w:pPr>
              <w:jc w:val="center"/>
              <w:ind w:left="195"/>
              <w:spacing w:after="0"/>
              <w:rPr>
                <w:sz w:val="20"/>
                <w:szCs w:val="20"/>
                <w:color w:val="auto"/>
              </w:rPr>
            </w:pPr>
            <w:r>
              <w:rPr>
                <w:rFonts w:ascii="Arial" w:cs="Arial" w:eastAsia="Arial" w:hAnsi="Arial"/>
                <w:sz w:val="18"/>
                <w:szCs w:val="18"/>
                <w:b w:val="1"/>
                <w:bCs w:val="1"/>
                <w:color w:val="auto"/>
                <w:w w:val="96"/>
              </w:rPr>
              <w:t>inTEST CORPORATION</w:t>
            </w:r>
          </w:p>
        </w:tc>
        <w:tc>
          <w:tcPr>
            <w:tcW w:w="1340" w:type="dxa"/>
            <w:vAlign w:val="bottom"/>
          </w:tcPr>
          <w:p>
            <w:pPr>
              <w:spacing w:after="0"/>
              <w:rPr>
                <w:sz w:val="18"/>
                <w:szCs w:val="18"/>
                <w:color w:val="auto"/>
              </w:rPr>
            </w:pPr>
          </w:p>
        </w:tc>
      </w:tr>
      <w:tr>
        <w:trPr>
          <w:trHeight w:val="222"/>
        </w:trPr>
        <w:tc>
          <w:tcPr>
            <w:tcW w:w="2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0" w:type="dxa"/>
            <w:vAlign w:val="bottom"/>
            <w:gridSpan w:val="6"/>
          </w:tcPr>
          <w:p>
            <w:pPr>
              <w:jc w:val="center"/>
              <w:ind w:left="17"/>
              <w:spacing w:after="0"/>
              <w:rPr>
                <w:sz w:val="20"/>
                <w:szCs w:val="20"/>
                <w:color w:val="auto"/>
              </w:rPr>
            </w:pPr>
            <w:r>
              <w:rPr>
                <w:rFonts w:ascii="Arial" w:cs="Arial" w:eastAsia="Arial" w:hAnsi="Arial"/>
                <w:sz w:val="18"/>
                <w:szCs w:val="18"/>
                <w:b w:val="1"/>
                <w:bCs w:val="1"/>
                <w:color w:val="auto"/>
                <w:w w:val="98"/>
              </w:rPr>
              <w:t>CONSOLIDATED STATEMENT OF STOCKHOLDERS' EQUITY</w:t>
            </w:r>
          </w:p>
        </w:tc>
      </w:tr>
      <w:tr>
        <w:trPr>
          <w:trHeight w:val="216"/>
        </w:trPr>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00" w:type="dxa"/>
            <w:vAlign w:val="bottom"/>
            <w:gridSpan w:val="3"/>
          </w:tcPr>
          <w:p>
            <w:pPr>
              <w:jc w:val="center"/>
              <w:ind w:left="175"/>
              <w:spacing w:after="0"/>
              <w:rPr>
                <w:sz w:val="20"/>
                <w:szCs w:val="20"/>
                <w:color w:val="auto"/>
              </w:rPr>
            </w:pPr>
            <w:r>
              <w:rPr>
                <w:rFonts w:ascii="Arial" w:cs="Arial" w:eastAsia="Arial" w:hAnsi="Arial"/>
                <w:sz w:val="18"/>
                <w:szCs w:val="18"/>
                <w:color w:val="auto"/>
                <w:w w:val="85"/>
              </w:rPr>
              <w:t>(In thousands, except share data)</w:t>
            </w:r>
          </w:p>
        </w:tc>
        <w:tc>
          <w:tcPr>
            <w:tcW w:w="1340" w:type="dxa"/>
            <w:vAlign w:val="bottom"/>
          </w:tcPr>
          <w:p>
            <w:pPr>
              <w:spacing w:after="0"/>
              <w:rPr>
                <w:sz w:val="18"/>
                <w:szCs w:val="18"/>
                <w:color w:val="auto"/>
              </w:rPr>
            </w:pPr>
          </w:p>
        </w:tc>
      </w:tr>
      <w:tr>
        <w:trPr>
          <w:trHeight w:val="222"/>
        </w:trPr>
        <w:tc>
          <w:tcPr>
            <w:tcW w:w="2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jc w:val="center"/>
              <w:ind w:left="57"/>
              <w:spacing w:after="0"/>
              <w:rPr>
                <w:sz w:val="20"/>
                <w:szCs w:val="20"/>
                <w:color w:val="auto"/>
              </w:rPr>
            </w:pPr>
            <w:r>
              <w:rPr>
                <w:rFonts w:ascii="Arial" w:cs="Arial" w:eastAsia="Arial" w:hAnsi="Arial"/>
                <w:sz w:val="18"/>
                <w:szCs w:val="18"/>
                <w:color w:val="auto"/>
                <w:w w:val="91"/>
              </w:rPr>
              <w:t>(Unaudited)</w:t>
            </w: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06"/>
        </w:trPr>
        <w:tc>
          <w:tcPr>
            <w:tcW w:w="2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jc w:val="right"/>
              <w:ind w:right="137"/>
              <w:spacing w:after="0"/>
              <w:rPr>
                <w:sz w:val="20"/>
                <w:szCs w:val="20"/>
                <w:color w:val="auto"/>
              </w:rPr>
            </w:pPr>
            <w:r>
              <w:rPr>
                <w:rFonts w:ascii="Courier New" w:cs="Courier New" w:eastAsia="Courier New" w:hAnsi="Courier New"/>
                <w:sz w:val="12"/>
                <w:szCs w:val="12"/>
                <w:color w:val="auto"/>
              </w:rPr>
              <w:t>Accumulated</w:t>
            </w: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35"/>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Common</w:t>
            </w:r>
          </w:p>
        </w:tc>
        <w:tc>
          <w:tcPr>
            <w:tcW w:w="460" w:type="dxa"/>
            <w:vAlign w:val="bottom"/>
          </w:tcPr>
          <w:p>
            <w:pPr>
              <w:spacing w:after="0"/>
              <w:rPr>
                <w:sz w:val="20"/>
                <w:szCs w:val="20"/>
                <w:color w:val="auto"/>
              </w:rPr>
            </w:pPr>
            <w:r>
              <w:rPr>
                <w:rFonts w:ascii="Courier New" w:cs="Courier New" w:eastAsia="Courier New" w:hAnsi="Courier New"/>
                <w:sz w:val="12"/>
                <w:szCs w:val="12"/>
                <w:color w:val="auto"/>
              </w:rPr>
              <w:t>Stock</w:t>
            </w: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Addt'l</w:t>
            </w:r>
          </w:p>
        </w:tc>
        <w:tc>
          <w:tcPr>
            <w:tcW w:w="880" w:type="dxa"/>
            <w:vAlign w:val="bottom"/>
          </w:tcPr>
          <w:p>
            <w:pPr>
              <w:spacing w:after="0"/>
              <w:rPr>
                <w:sz w:val="11"/>
                <w:szCs w:val="11"/>
                <w:color w:val="auto"/>
              </w:rPr>
            </w:pPr>
          </w:p>
        </w:tc>
        <w:tc>
          <w:tcPr>
            <w:tcW w:w="1060" w:type="dxa"/>
            <w:vAlign w:val="bottom"/>
          </w:tcPr>
          <w:p>
            <w:pPr>
              <w:jc w:val="right"/>
              <w:ind w:right="417"/>
              <w:spacing w:after="0"/>
              <w:rPr>
                <w:sz w:val="20"/>
                <w:szCs w:val="20"/>
                <w:color w:val="auto"/>
              </w:rPr>
            </w:pPr>
            <w:r>
              <w:rPr>
                <w:rFonts w:ascii="Courier New" w:cs="Courier New" w:eastAsia="Courier New" w:hAnsi="Courier New"/>
                <w:sz w:val="12"/>
                <w:szCs w:val="12"/>
                <w:color w:val="auto"/>
              </w:rPr>
              <w:t>Other</w:t>
            </w:r>
          </w:p>
        </w:tc>
        <w:tc>
          <w:tcPr>
            <w:tcW w:w="760" w:type="dxa"/>
            <w:vAlign w:val="bottom"/>
          </w:tcPr>
          <w:p>
            <w:pPr>
              <w:spacing w:after="0"/>
              <w:rPr>
                <w:sz w:val="11"/>
                <w:szCs w:val="11"/>
                <w:color w:val="auto"/>
              </w:rPr>
            </w:pPr>
          </w:p>
        </w:tc>
        <w:tc>
          <w:tcPr>
            <w:tcW w:w="1340" w:type="dxa"/>
            <w:vAlign w:val="bottom"/>
          </w:tcPr>
          <w:p>
            <w:pPr>
              <w:jc w:val="right"/>
              <w:ind w:right="779"/>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160" w:type="dxa"/>
            <w:vAlign w:val="bottom"/>
          </w:tcPr>
          <w:p>
            <w:pPr>
              <w:spacing w:after="0"/>
              <w:rPr>
                <w:sz w:val="11"/>
                <w:szCs w:val="11"/>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Paid-In</w:t>
            </w:r>
          </w:p>
        </w:tc>
        <w:tc>
          <w:tcPr>
            <w:tcW w:w="4040" w:type="dxa"/>
            <w:vAlign w:val="bottom"/>
            <w:gridSpan w:val="4"/>
          </w:tcPr>
          <w:p>
            <w:pPr>
              <w:jc w:val="right"/>
              <w:ind w:right="479"/>
              <w:spacing w:after="0"/>
              <w:rPr>
                <w:sz w:val="20"/>
                <w:szCs w:val="20"/>
                <w:color w:val="auto"/>
              </w:rPr>
            </w:pPr>
            <w:r>
              <w:rPr>
                <w:rFonts w:ascii="Courier New" w:cs="Courier New" w:eastAsia="Courier New" w:hAnsi="Courier New"/>
                <w:sz w:val="12"/>
                <w:szCs w:val="12"/>
                <w:color w:val="auto"/>
              </w:rPr>
              <w:t>Accumulated Comprehensive Treasury Stockholders'</w:t>
            </w:r>
          </w:p>
        </w:tc>
      </w:tr>
      <w:tr>
        <w:trPr>
          <w:trHeight w:val="135"/>
        </w:trPr>
        <w:tc>
          <w:tcPr>
            <w:tcW w:w="2160" w:type="dxa"/>
            <w:vAlign w:val="bottom"/>
          </w:tcPr>
          <w:p>
            <w:pPr>
              <w:spacing w:after="0"/>
              <w:rPr>
                <w:sz w:val="11"/>
                <w:szCs w:val="11"/>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60" w:type="dxa"/>
            <w:vAlign w:val="bottom"/>
          </w:tcPr>
          <w:p>
            <w:pPr>
              <w:spacing w:after="0"/>
              <w:rPr>
                <w:sz w:val="20"/>
                <w:szCs w:val="20"/>
                <w:color w:val="auto"/>
              </w:rPr>
            </w:pPr>
            <w:r>
              <w:rPr>
                <w:rFonts w:ascii="Courier New" w:cs="Courier New" w:eastAsia="Courier New" w:hAnsi="Courier New"/>
                <w:sz w:val="12"/>
                <w:szCs w:val="12"/>
                <w:color w:val="auto"/>
              </w:rPr>
              <w:t>Amount</w:t>
            </w:r>
          </w:p>
        </w:tc>
        <w:tc>
          <w:tcPr>
            <w:tcW w:w="7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Capital</w:t>
            </w:r>
          </w:p>
        </w:tc>
        <w:tc>
          <w:tcPr>
            <w:tcW w:w="88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Deficit</w:t>
            </w:r>
          </w:p>
        </w:tc>
        <w:tc>
          <w:tcPr>
            <w:tcW w:w="1060" w:type="dxa"/>
            <w:vAlign w:val="bottom"/>
          </w:tcPr>
          <w:p>
            <w:pPr>
              <w:jc w:val="right"/>
              <w:ind w:right="277"/>
              <w:spacing w:after="0"/>
              <w:rPr>
                <w:sz w:val="20"/>
                <w:szCs w:val="20"/>
                <w:color w:val="auto"/>
              </w:rPr>
            </w:pPr>
            <w:r>
              <w:rPr>
                <w:rFonts w:ascii="Courier New" w:cs="Courier New" w:eastAsia="Courier New" w:hAnsi="Courier New"/>
                <w:sz w:val="12"/>
                <w:szCs w:val="12"/>
                <w:color w:val="auto"/>
              </w:rPr>
              <w:t>Earnings</w:t>
            </w:r>
          </w:p>
        </w:tc>
        <w:tc>
          <w:tcPr>
            <w:tcW w:w="7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Stock</w:t>
            </w:r>
          </w:p>
        </w:tc>
        <w:tc>
          <w:tcPr>
            <w:tcW w:w="1340" w:type="dxa"/>
            <w:vAlign w:val="bottom"/>
          </w:tcPr>
          <w:p>
            <w:pPr>
              <w:jc w:val="right"/>
              <w:ind w:right="779"/>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w w:val="92"/>
              </w:rPr>
              <w:t>------</w:t>
            </w:r>
          </w:p>
        </w:tc>
        <w:tc>
          <w:tcPr>
            <w:tcW w:w="4740" w:type="dxa"/>
            <w:vAlign w:val="bottom"/>
            <w:gridSpan w:val="5"/>
          </w:tcPr>
          <w:p>
            <w:pPr>
              <w:jc w:val="right"/>
              <w:ind w:right="479"/>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Balance, January 1, 2010</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10,193,255</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$ 102</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$25,798</w:t>
            </w:r>
          </w:p>
        </w:tc>
        <w:tc>
          <w:tcPr>
            <w:tcW w:w="880" w:type="dxa"/>
            <w:vAlign w:val="bottom"/>
          </w:tcPr>
          <w:p>
            <w:pPr>
              <w:jc w:val="right"/>
              <w:ind w:right="15"/>
              <w:spacing w:after="0"/>
              <w:rPr>
                <w:sz w:val="20"/>
                <w:szCs w:val="20"/>
                <w:color w:val="auto"/>
              </w:rPr>
            </w:pPr>
            <w:r>
              <w:rPr>
                <w:rFonts w:ascii="Courier New" w:cs="Courier New" w:eastAsia="Courier New" w:hAnsi="Courier New"/>
                <w:sz w:val="12"/>
                <w:szCs w:val="12"/>
                <w:color w:val="auto"/>
              </w:rPr>
              <w:t>$(17,801)</w:t>
            </w:r>
          </w:p>
        </w:tc>
        <w:tc>
          <w:tcPr>
            <w:tcW w:w="1060" w:type="dxa"/>
            <w:vAlign w:val="bottom"/>
          </w:tcPr>
          <w:p>
            <w:pPr>
              <w:jc w:val="right"/>
              <w:ind w:right="357"/>
              <w:spacing w:after="0"/>
              <w:rPr>
                <w:sz w:val="20"/>
                <w:szCs w:val="20"/>
                <w:color w:val="auto"/>
              </w:rPr>
            </w:pPr>
            <w:r>
              <w:rPr>
                <w:rFonts w:ascii="Courier New" w:cs="Courier New" w:eastAsia="Courier New" w:hAnsi="Courier New"/>
                <w:sz w:val="12"/>
                <w:szCs w:val="12"/>
                <w:color w:val="auto"/>
              </w:rPr>
              <w:t>$1,356</w:t>
            </w:r>
          </w:p>
        </w:tc>
        <w:tc>
          <w:tcPr>
            <w:tcW w:w="7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$(861)</w:t>
            </w:r>
          </w:p>
        </w:tc>
        <w:tc>
          <w:tcPr>
            <w:tcW w:w="1340" w:type="dxa"/>
            <w:vAlign w:val="bottom"/>
          </w:tcPr>
          <w:p>
            <w:pPr>
              <w:jc w:val="right"/>
              <w:ind w:right="699"/>
              <w:spacing w:after="0"/>
              <w:rPr>
                <w:sz w:val="20"/>
                <w:szCs w:val="20"/>
                <w:color w:val="auto"/>
              </w:rPr>
            </w:pPr>
            <w:r>
              <w:rPr>
                <w:rFonts w:ascii="Courier New" w:cs="Courier New" w:eastAsia="Courier New" w:hAnsi="Courier New"/>
                <w:sz w:val="12"/>
                <w:szCs w:val="12"/>
                <w:color w:val="auto"/>
              </w:rPr>
              <w:t>$ 8,594</w:t>
            </w: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95"/>
              <w:spacing w:after="0"/>
              <w:rPr>
                <w:sz w:val="20"/>
                <w:szCs w:val="20"/>
                <w:color w:val="auto"/>
              </w:rPr>
            </w:pPr>
            <w:r>
              <w:rPr>
                <w:rFonts w:ascii="Courier New" w:cs="Courier New" w:eastAsia="Courier New" w:hAnsi="Courier New"/>
                <w:sz w:val="12"/>
                <w:szCs w:val="12"/>
                <w:color w:val="auto"/>
              </w:rPr>
              <w:t>5,958</w:t>
            </w:r>
          </w:p>
        </w:tc>
        <w:tc>
          <w:tcPr>
            <w:tcW w:w="1060" w:type="dxa"/>
            <w:vAlign w:val="bottom"/>
          </w:tcPr>
          <w:p>
            <w:pPr>
              <w:jc w:val="right"/>
              <w:ind w:right="35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699"/>
              <w:spacing w:after="0"/>
              <w:rPr>
                <w:sz w:val="20"/>
                <w:szCs w:val="20"/>
                <w:color w:val="auto"/>
              </w:rPr>
            </w:pPr>
            <w:r>
              <w:rPr>
                <w:rFonts w:ascii="Courier New" w:cs="Courier New" w:eastAsia="Courier New" w:hAnsi="Courier New"/>
                <w:sz w:val="12"/>
                <w:szCs w:val="12"/>
                <w:color w:val="auto"/>
              </w:rPr>
              <w:t>5,958</w:t>
            </w: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77"/>
              <w:spacing w:after="0"/>
              <w:rPr>
                <w:sz w:val="20"/>
                <w:szCs w:val="20"/>
                <w:color w:val="auto"/>
              </w:rPr>
            </w:pPr>
            <w:r>
              <w:rPr>
                <w:rFonts w:ascii="Courier New" w:cs="Courier New" w:eastAsia="Courier New" w:hAnsi="Courier New"/>
                <w:sz w:val="12"/>
                <w:szCs w:val="12"/>
                <w:color w:val="auto"/>
              </w:rPr>
              <w:t>(24)</w:t>
            </w:r>
          </w:p>
        </w:tc>
        <w:tc>
          <w:tcPr>
            <w:tcW w:w="7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619"/>
              <w:spacing w:after="0"/>
              <w:rPr>
                <w:sz w:val="20"/>
                <w:szCs w:val="20"/>
                <w:color w:val="auto"/>
              </w:rPr>
            </w:pPr>
            <w:r>
              <w:rPr>
                <w:rFonts w:ascii="Courier New" w:cs="Courier New" w:eastAsia="Courier New" w:hAnsi="Courier New"/>
                <w:sz w:val="12"/>
                <w:szCs w:val="12"/>
                <w:color w:val="auto"/>
              </w:rPr>
              <w:t>(24)</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7"/>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166</w:t>
            </w:r>
          </w:p>
        </w:tc>
        <w:tc>
          <w:tcPr>
            <w:tcW w:w="88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5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699"/>
              <w:spacing w:after="0"/>
              <w:rPr>
                <w:sz w:val="20"/>
                <w:szCs w:val="20"/>
                <w:color w:val="auto"/>
              </w:rPr>
            </w:pPr>
            <w:r>
              <w:rPr>
                <w:rFonts w:ascii="Courier New" w:cs="Courier New" w:eastAsia="Courier New" w:hAnsi="Courier New"/>
                <w:sz w:val="12"/>
                <w:szCs w:val="12"/>
                <w:color w:val="auto"/>
              </w:rPr>
              <w:t>166</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Issuance of non-vested</w:t>
            </w: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137"/>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273,750</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3</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(3)</w:t>
            </w:r>
          </w:p>
        </w:tc>
        <w:tc>
          <w:tcPr>
            <w:tcW w:w="88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5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699"/>
              <w:spacing w:after="0"/>
              <w:rPr>
                <w:sz w:val="20"/>
                <w:szCs w:val="20"/>
                <w:color w:val="auto"/>
              </w:rPr>
            </w:pPr>
            <w:r>
              <w:rPr>
                <w:rFonts w:ascii="Courier New" w:cs="Courier New" w:eastAsia="Courier New" w:hAnsi="Courier New"/>
                <w:sz w:val="12"/>
                <w:szCs w:val="12"/>
                <w:color w:val="auto"/>
              </w:rPr>
              <w:t>-</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Forfeiture of non-vested</w:t>
            </w: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137"/>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(2,500)</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5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699"/>
              <w:spacing w:after="0"/>
              <w:rPr>
                <w:sz w:val="20"/>
                <w:szCs w:val="20"/>
                <w:color w:val="auto"/>
              </w:rPr>
            </w:pPr>
            <w:r>
              <w:rPr>
                <w:rFonts w:ascii="Courier New" w:cs="Courier New" w:eastAsia="Courier New" w:hAnsi="Courier New"/>
                <w:sz w:val="12"/>
                <w:szCs w:val="12"/>
                <w:color w:val="auto"/>
              </w:rPr>
              <w:t>-</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Issuance of 20,270 shares of</w:t>
            </w: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treasury stock to satisfy</w:t>
            </w: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profit sharing liability</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(50)</w:t>
            </w:r>
          </w:p>
        </w:tc>
        <w:tc>
          <w:tcPr>
            <w:tcW w:w="88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5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125</w:t>
            </w:r>
          </w:p>
        </w:tc>
        <w:tc>
          <w:tcPr>
            <w:tcW w:w="1340" w:type="dxa"/>
            <w:vAlign w:val="bottom"/>
          </w:tcPr>
          <w:p>
            <w:pPr>
              <w:jc w:val="right"/>
              <w:ind w:right="699"/>
              <w:spacing w:after="0"/>
              <w:rPr>
                <w:sz w:val="20"/>
                <w:szCs w:val="20"/>
                <w:color w:val="auto"/>
              </w:rPr>
            </w:pPr>
            <w:r>
              <w:rPr>
                <w:rFonts w:ascii="Courier New" w:cs="Courier New" w:eastAsia="Courier New" w:hAnsi="Courier New"/>
                <w:sz w:val="12"/>
                <w:szCs w:val="12"/>
                <w:color w:val="auto"/>
              </w:rPr>
              <w:t>75</w:t>
            </w:r>
          </w:p>
        </w:tc>
      </w:tr>
      <w:tr>
        <w:trPr>
          <w:trHeight w:val="137"/>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5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699"/>
              <w:spacing w:after="0"/>
              <w:rPr>
                <w:sz w:val="20"/>
                <w:szCs w:val="20"/>
                <w:color w:val="auto"/>
              </w:rPr>
            </w:pPr>
            <w:r>
              <w:rPr>
                <w:rFonts w:ascii="Courier New" w:cs="Courier New" w:eastAsia="Courier New" w:hAnsi="Courier New"/>
                <w:sz w:val="12"/>
                <w:szCs w:val="12"/>
                <w:color w:val="auto"/>
              </w:rPr>
              <w:t>-------</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Balance, September 30, 2010</w:t>
            </w: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10,464,505</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$25,911</w:t>
            </w:r>
          </w:p>
        </w:tc>
        <w:tc>
          <w:tcPr>
            <w:tcW w:w="880" w:type="dxa"/>
            <w:vAlign w:val="bottom"/>
          </w:tcPr>
          <w:p>
            <w:pPr>
              <w:jc w:val="right"/>
              <w:ind w:right="15"/>
              <w:spacing w:after="0"/>
              <w:rPr>
                <w:sz w:val="20"/>
                <w:szCs w:val="20"/>
                <w:color w:val="auto"/>
              </w:rPr>
            </w:pPr>
            <w:r>
              <w:rPr>
                <w:rFonts w:ascii="Courier New" w:cs="Courier New" w:eastAsia="Courier New" w:hAnsi="Courier New"/>
                <w:sz w:val="12"/>
                <w:szCs w:val="12"/>
                <w:color w:val="auto"/>
              </w:rPr>
              <w:t>$(11,843)</w:t>
            </w:r>
          </w:p>
        </w:tc>
        <w:tc>
          <w:tcPr>
            <w:tcW w:w="1060" w:type="dxa"/>
            <w:vAlign w:val="bottom"/>
          </w:tcPr>
          <w:p>
            <w:pPr>
              <w:jc w:val="right"/>
              <w:ind w:right="357"/>
              <w:spacing w:after="0"/>
              <w:rPr>
                <w:sz w:val="20"/>
                <w:szCs w:val="20"/>
                <w:color w:val="auto"/>
              </w:rPr>
            </w:pPr>
            <w:r>
              <w:rPr>
                <w:rFonts w:ascii="Courier New" w:cs="Courier New" w:eastAsia="Courier New" w:hAnsi="Courier New"/>
                <w:sz w:val="12"/>
                <w:szCs w:val="12"/>
                <w:color w:val="auto"/>
              </w:rPr>
              <w:t>$1,332</w:t>
            </w:r>
          </w:p>
        </w:tc>
        <w:tc>
          <w:tcPr>
            <w:tcW w:w="7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$(736)</w:t>
            </w:r>
          </w:p>
        </w:tc>
        <w:tc>
          <w:tcPr>
            <w:tcW w:w="1340" w:type="dxa"/>
            <w:vAlign w:val="bottom"/>
          </w:tcPr>
          <w:p>
            <w:pPr>
              <w:jc w:val="right"/>
              <w:ind w:right="699"/>
              <w:spacing w:after="0"/>
              <w:rPr>
                <w:sz w:val="20"/>
                <w:szCs w:val="20"/>
                <w:color w:val="auto"/>
              </w:rPr>
            </w:pPr>
            <w:r>
              <w:rPr>
                <w:rFonts w:ascii="Courier New" w:cs="Courier New" w:eastAsia="Courier New" w:hAnsi="Courier New"/>
                <w:sz w:val="12"/>
                <w:szCs w:val="12"/>
                <w:color w:val="auto"/>
              </w:rPr>
              <w:t>$14,769</w:t>
            </w:r>
          </w:p>
        </w:tc>
      </w:tr>
      <w:tr>
        <w:trPr>
          <w:trHeight w:val="137"/>
        </w:trPr>
        <w:tc>
          <w:tcPr>
            <w:tcW w:w="2160" w:type="dxa"/>
            <w:vAlign w:val="bottom"/>
          </w:tcPr>
          <w:p>
            <w:pPr>
              <w:spacing w:after="0"/>
              <w:rPr>
                <w:sz w:val="11"/>
                <w:szCs w:val="11"/>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35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699"/>
              <w:spacing w:after="0"/>
              <w:rPr>
                <w:sz w:val="20"/>
                <w:szCs w:val="20"/>
                <w:color w:val="auto"/>
              </w:rPr>
            </w:pPr>
            <w:r>
              <w:rPr>
                <w:rFonts w:ascii="Courier New" w:cs="Courier New" w:eastAsia="Courier New" w:hAnsi="Courier New"/>
                <w:sz w:val="12"/>
                <w:szCs w:val="12"/>
                <w:color w:val="auto"/>
              </w:rPr>
              <w:t>=======</w:t>
            </w:r>
          </w:p>
        </w:tc>
      </w:tr>
    </w:tbl>
    <w:p>
      <w:pPr>
        <w:spacing w:after="0" w:line="17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135890</wp:posOffset>
            </wp:positionV>
            <wp:extent cx="619569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569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ind w:left="5180"/>
        <w:spacing w:after="0"/>
        <w:rPr>
          <w:sz w:val="20"/>
          <w:szCs w:val="20"/>
          <w:color w:val="auto"/>
        </w:rPr>
      </w:pPr>
      <w:r>
        <w:rPr>
          <w:rFonts w:ascii="Courier New" w:cs="Courier New" w:eastAsia="Courier New" w:hAnsi="Courier New"/>
          <w:sz w:val="12"/>
          <w:szCs w:val="12"/>
          <w:color w:val="auto"/>
        </w:rPr>
        <w:t>Nine Months Ended</w:t>
      </w:r>
    </w:p>
    <w:p>
      <w:pPr>
        <w:ind w:left="5480"/>
        <w:spacing w:after="0"/>
        <w:rPr>
          <w:sz w:val="20"/>
          <w:szCs w:val="20"/>
          <w:color w:val="auto"/>
        </w:rPr>
      </w:pPr>
      <w:r>
        <w:rPr>
          <w:rFonts w:ascii="Courier New" w:cs="Courier New" w:eastAsia="Courier New" w:hAnsi="Courier New"/>
          <w:sz w:val="12"/>
          <w:szCs w:val="12"/>
          <w:color w:val="auto"/>
        </w:rPr>
        <w:t>Sept. 30,</w:t>
      </w:r>
    </w:p>
    <w:p>
      <w:pPr>
        <w:ind w:left="5180"/>
        <w:spacing w:after="0"/>
        <w:rPr>
          <w:sz w:val="20"/>
          <w:szCs w:val="20"/>
          <w:color w:val="auto"/>
        </w:rPr>
      </w:pPr>
      <w:r>
        <w:rPr>
          <w:rFonts w:ascii="Courier New" w:cs="Courier New" w:eastAsia="Courier New" w:hAnsi="Courier New"/>
          <w:sz w:val="12"/>
          <w:szCs w:val="12"/>
          <w:color w:val="auto"/>
        </w:rPr>
        <w:t>------------------</w:t>
      </w:r>
    </w:p>
    <w:p>
      <w:pPr>
        <w:ind w:left="5340"/>
        <w:spacing w:after="0"/>
        <w:tabs>
          <w:tab w:leader="none" w:pos="6120" w:val="left"/>
        </w:tabs>
        <w:rPr>
          <w:sz w:val="20"/>
          <w:szCs w:val="20"/>
          <w:color w:val="auto"/>
        </w:rPr>
      </w:pPr>
      <w:r>
        <w:rPr>
          <w:rFonts w:ascii="Courier New" w:cs="Courier New" w:eastAsia="Courier New" w:hAnsi="Courier New"/>
          <w:sz w:val="12"/>
          <w:szCs w:val="12"/>
          <w:color w:val="auto"/>
        </w:rPr>
        <w:t>2010</w:t>
      </w:r>
      <w:r>
        <w:rPr>
          <w:sz w:val="20"/>
          <w:szCs w:val="20"/>
          <w:color w:val="auto"/>
        </w:rPr>
        <w:tab/>
      </w:r>
      <w:r>
        <w:rPr>
          <w:rFonts w:ascii="Courier New" w:cs="Courier New" w:eastAsia="Courier New" w:hAnsi="Courier New"/>
          <w:sz w:val="12"/>
          <w:szCs w:val="12"/>
          <w:color w:val="auto"/>
        </w:rPr>
        <w:t>2009</w:t>
      </w:r>
    </w:p>
    <w:p>
      <w:pPr>
        <w:ind w:left="5180"/>
        <w:spacing w:after="0"/>
        <w:tabs>
          <w:tab w:leader="none" w:pos="596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ectPr>
          <w:pgSz w:w="11900" w:h="16905" w:orient="portrait"/>
          <w:cols w:equalWidth="0" w:num="1">
            <w:col w:w="10219"/>
          </w:cols>
          <w:pgMar w:left="240" w:top="746" w:right="1440" w:bottom="0" w:gutter="0" w:footer="0" w:header="0"/>
        </w:sectPr>
      </w:pP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CASH FLOWS FROM OPERATING ACTIVITIES</w:t>
      </w:r>
    </w:p>
    <w:p>
      <w:pPr>
        <w:ind w:left="160"/>
        <w:spacing w:after="0"/>
        <w:tabs>
          <w:tab w:leader="none" w:pos="5160" w:val="left"/>
        </w:tabs>
        <w:rPr>
          <w:sz w:val="20"/>
          <w:szCs w:val="20"/>
          <w:color w:val="auto"/>
        </w:rPr>
      </w:pPr>
      <w:r>
        <w:rPr>
          <w:rFonts w:ascii="Courier New" w:cs="Courier New" w:eastAsia="Courier New" w:hAnsi="Courier New"/>
          <w:sz w:val="12"/>
          <w:szCs w:val="12"/>
          <w:color w:val="auto"/>
        </w:rPr>
        <w:t>Net earnings (loss)</w:t>
      </w:r>
      <w:r>
        <w:rPr>
          <w:sz w:val="20"/>
          <w:szCs w:val="20"/>
          <w:color w:val="auto"/>
        </w:rPr>
        <w:tab/>
      </w:r>
      <w:r>
        <w:rPr>
          <w:rFonts w:ascii="Courier New" w:cs="Courier New" w:eastAsia="Courier New" w:hAnsi="Courier New"/>
          <w:sz w:val="12"/>
          <w:szCs w:val="12"/>
          <w:color w:val="auto"/>
        </w:rPr>
        <w:t>$ 5,958</w:t>
      </w:r>
    </w:p>
    <w:p>
      <w:pPr>
        <w:ind w:left="160"/>
        <w:spacing w:after="0"/>
        <w:rPr>
          <w:sz w:val="20"/>
          <w:szCs w:val="20"/>
          <w:color w:val="auto"/>
        </w:rPr>
      </w:pPr>
      <w:r>
        <w:rPr>
          <w:rFonts w:ascii="Courier New" w:cs="Courier New" w:eastAsia="Courier New" w:hAnsi="Courier New"/>
          <w:sz w:val="12"/>
          <w:szCs w:val="12"/>
          <w:color w:val="auto"/>
        </w:rPr>
        <w:t>Adjustments to reconcile net earnings (loss) to net cash</w:t>
      </w:r>
    </w:p>
    <w:p>
      <w:pPr>
        <w:ind w:left="220"/>
        <w:spacing w:after="0"/>
        <w:rPr>
          <w:sz w:val="20"/>
          <w:szCs w:val="20"/>
          <w:color w:val="auto"/>
        </w:rPr>
      </w:pPr>
      <w:r>
        <w:rPr>
          <w:rFonts w:ascii="Courier New" w:cs="Courier New" w:eastAsia="Courier New" w:hAnsi="Courier New"/>
          <w:sz w:val="12"/>
          <w:szCs w:val="12"/>
          <w:color w:val="auto"/>
        </w:rPr>
        <w:t>provided by (used in) operating activities:</w:t>
      </w:r>
    </w:p>
    <w:p>
      <w:pPr>
        <w:ind w:left="300"/>
        <w:spacing w:after="0"/>
        <w:tabs>
          <w:tab w:leader="none" w:pos="5460" w:val="left"/>
        </w:tabs>
        <w:rPr>
          <w:sz w:val="20"/>
          <w:szCs w:val="20"/>
          <w:color w:val="auto"/>
        </w:rPr>
      </w:pPr>
      <w:r>
        <w:rPr>
          <w:rFonts w:ascii="Courier New" w:cs="Courier New" w:eastAsia="Courier New" w:hAnsi="Courier New"/>
          <w:sz w:val="12"/>
          <w:szCs w:val="12"/>
          <w:color w:val="auto"/>
        </w:rPr>
        <w:t>Depreciation and amortization</w:t>
      </w:r>
      <w:r>
        <w:rPr>
          <w:sz w:val="20"/>
          <w:szCs w:val="20"/>
          <w:color w:val="auto"/>
        </w:rPr>
        <w:tab/>
      </w:r>
      <w:r>
        <w:rPr>
          <w:rFonts w:ascii="Courier New" w:cs="Courier New" w:eastAsia="Courier New" w:hAnsi="Courier New"/>
          <w:sz w:val="12"/>
          <w:szCs w:val="12"/>
          <w:color w:val="auto"/>
        </w:rPr>
        <w:t>281</w:t>
      </w:r>
    </w:p>
    <w:p>
      <w:pPr>
        <w:ind w:left="300"/>
        <w:spacing w:after="0"/>
        <w:tabs>
          <w:tab w:leader="none" w:pos="5540" w:val="left"/>
        </w:tabs>
        <w:rPr>
          <w:sz w:val="20"/>
          <w:szCs w:val="20"/>
          <w:color w:val="auto"/>
        </w:rPr>
      </w:pPr>
      <w:r>
        <w:rPr>
          <w:rFonts w:ascii="Courier New" w:cs="Courier New" w:eastAsia="Courier New" w:hAnsi="Courier New"/>
          <w:sz w:val="12"/>
          <w:szCs w:val="12"/>
          <w:color w:val="auto"/>
        </w:rPr>
        <w:t>Foreign exchange loss</w:t>
      </w:r>
      <w:r>
        <w:rPr>
          <w:sz w:val="20"/>
          <w:szCs w:val="20"/>
          <w:color w:val="auto"/>
        </w:rPr>
        <w:tab/>
      </w:r>
      <w:r>
        <w:rPr>
          <w:rFonts w:ascii="Courier New" w:cs="Courier New" w:eastAsia="Courier New" w:hAnsi="Courier New"/>
          <w:sz w:val="11"/>
          <w:szCs w:val="11"/>
          <w:color w:val="auto"/>
        </w:rPr>
        <w:t>10</w:t>
      </w:r>
    </w:p>
    <w:p>
      <w:pPr>
        <w:ind w:left="300"/>
        <w:spacing w:after="0"/>
        <w:tabs>
          <w:tab w:leader="none" w:pos="5460" w:val="left"/>
        </w:tabs>
        <w:rPr>
          <w:sz w:val="20"/>
          <w:szCs w:val="20"/>
          <w:color w:val="auto"/>
        </w:rPr>
      </w:pPr>
      <w:r>
        <w:rPr>
          <w:rFonts w:ascii="Courier New" w:cs="Courier New" w:eastAsia="Courier New" w:hAnsi="Courier New"/>
          <w:sz w:val="12"/>
          <w:szCs w:val="12"/>
          <w:color w:val="auto"/>
        </w:rPr>
        <w:t>Amortization of deferred compensation related to restricted stock</w:t>
      </w:r>
      <w:r>
        <w:rPr>
          <w:sz w:val="20"/>
          <w:szCs w:val="20"/>
          <w:color w:val="auto"/>
        </w:rPr>
        <w:tab/>
      </w:r>
      <w:r>
        <w:rPr>
          <w:rFonts w:ascii="Courier New" w:cs="Courier New" w:eastAsia="Courier New" w:hAnsi="Courier New"/>
          <w:sz w:val="12"/>
          <w:szCs w:val="12"/>
          <w:color w:val="auto"/>
        </w:rPr>
        <w:t>166</w:t>
      </w:r>
    </w:p>
    <w:p>
      <w:pPr>
        <w:ind w:left="300"/>
        <w:spacing w:after="0"/>
        <w:tabs>
          <w:tab w:leader="none" w:pos="5540" w:val="left"/>
        </w:tabs>
        <w:rPr>
          <w:sz w:val="20"/>
          <w:szCs w:val="20"/>
          <w:color w:val="auto"/>
        </w:rPr>
      </w:pPr>
      <w:r>
        <w:rPr>
          <w:rFonts w:ascii="Courier New" w:cs="Courier New" w:eastAsia="Courier New" w:hAnsi="Courier New"/>
          <w:sz w:val="12"/>
          <w:szCs w:val="12"/>
          <w:color w:val="auto"/>
        </w:rPr>
        <w:t>Profit sharing expense funded through the issuance of treasury stock</w:t>
      </w:r>
      <w:r>
        <w:rPr>
          <w:sz w:val="20"/>
          <w:szCs w:val="20"/>
          <w:color w:val="auto"/>
        </w:rPr>
        <w:tab/>
      </w:r>
      <w:r>
        <w:rPr>
          <w:rFonts w:ascii="Courier New" w:cs="Courier New" w:eastAsia="Courier New" w:hAnsi="Courier New"/>
          <w:sz w:val="11"/>
          <w:szCs w:val="11"/>
          <w:color w:val="auto"/>
        </w:rPr>
        <w:t>75</w:t>
      </w:r>
    </w:p>
    <w:p>
      <w:pPr>
        <w:ind w:left="300"/>
        <w:spacing w:after="0"/>
        <w:tabs>
          <w:tab w:leader="none" w:pos="5540" w:val="left"/>
        </w:tabs>
        <w:rPr>
          <w:sz w:val="20"/>
          <w:szCs w:val="20"/>
          <w:color w:val="auto"/>
        </w:rPr>
      </w:pPr>
      <w:r>
        <w:rPr>
          <w:rFonts w:ascii="Courier New" w:cs="Courier New" w:eastAsia="Courier New" w:hAnsi="Courier New"/>
          <w:sz w:val="12"/>
          <w:szCs w:val="12"/>
          <w:color w:val="auto"/>
        </w:rPr>
        <w:t>(Gain) loss on disposal of property and equipment</w:t>
      </w:r>
      <w:r>
        <w:rPr>
          <w:sz w:val="20"/>
          <w:szCs w:val="20"/>
          <w:color w:val="auto"/>
        </w:rPr>
        <w:tab/>
      </w:r>
      <w:r>
        <w:rPr>
          <w:rFonts w:ascii="Courier New" w:cs="Courier New" w:eastAsia="Courier New" w:hAnsi="Courier New"/>
          <w:sz w:val="11"/>
          <w:szCs w:val="11"/>
          <w:color w:val="auto"/>
        </w:rPr>
        <w:t>(5)</w:t>
      </w:r>
    </w:p>
    <w:p>
      <w:pPr>
        <w:ind w:left="300"/>
        <w:spacing w:after="0"/>
        <w:tabs>
          <w:tab w:leader="none" w:pos="5600" w:val="left"/>
        </w:tabs>
        <w:rPr>
          <w:sz w:val="20"/>
          <w:szCs w:val="20"/>
          <w:color w:val="auto"/>
        </w:rPr>
      </w:pPr>
      <w:r>
        <w:rPr>
          <w:rFonts w:ascii="Courier New" w:cs="Courier New" w:eastAsia="Courier New" w:hAnsi="Courier New"/>
          <w:sz w:val="12"/>
          <w:szCs w:val="12"/>
          <w:color w:val="auto"/>
        </w:rPr>
        <w:t>Proceeds from sale of demonstration equipment, net of gain</w:t>
      </w:r>
      <w:r>
        <w:rPr>
          <w:sz w:val="20"/>
          <w:szCs w:val="20"/>
          <w:color w:val="auto"/>
        </w:rPr>
        <w:tab/>
      </w:r>
      <w:r>
        <w:rPr>
          <w:rFonts w:ascii="Courier New" w:cs="Courier New" w:eastAsia="Courier New" w:hAnsi="Courier New"/>
          <w:sz w:val="12"/>
          <w:szCs w:val="12"/>
          <w:color w:val="auto"/>
        </w:rPr>
        <w:t>8</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$(4,985)</w:t>
      </w:r>
    </w:p>
    <w:p>
      <w:pPr>
        <w:spacing w:after="0" w:line="268" w:lineRule="exact"/>
        <w:rPr>
          <w:sz w:val="20"/>
          <w:szCs w:val="20"/>
          <w:color w:val="auto"/>
        </w:rPr>
      </w:pPr>
    </w:p>
    <w:p>
      <w:pPr>
        <w:ind w:left="300"/>
        <w:spacing w:after="0"/>
        <w:rPr>
          <w:sz w:val="20"/>
          <w:szCs w:val="20"/>
          <w:color w:val="auto"/>
        </w:rPr>
      </w:pPr>
      <w:r>
        <w:rPr>
          <w:rFonts w:ascii="Courier New" w:cs="Courier New" w:eastAsia="Courier New" w:hAnsi="Courier New"/>
          <w:sz w:val="12"/>
          <w:szCs w:val="12"/>
          <w:color w:val="auto"/>
        </w:rPr>
        <w:t>389</w:t>
      </w:r>
    </w:p>
    <w:p>
      <w:pPr>
        <w:ind w:left="300"/>
        <w:spacing w:after="0"/>
        <w:rPr>
          <w:sz w:val="20"/>
          <w:szCs w:val="20"/>
          <w:color w:val="auto"/>
        </w:rPr>
      </w:pPr>
      <w:r>
        <w:rPr>
          <w:rFonts w:ascii="Courier New" w:cs="Courier New" w:eastAsia="Courier New" w:hAnsi="Courier New"/>
          <w:sz w:val="12"/>
          <w:szCs w:val="12"/>
          <w:color w:val="auto"/>
        </w:rPr>
        <w:t>113</w:t>
      </w:r>
    </w:p>
    <w:p>
      <w:pPr>
        <w:ind w:left="300"/>
        <w:spacing w:after="0"/>
        <w:rPr>
          <w:sz w:val="20"/>
          <w:szCs w:val="20"/>
          <w:color w:val="auto"/>
        </w:rPr>
      </w:pPr>
      <w:r>
        <w:rPr>
          <w:rFonts w:ascii="Courier New" w:cs="Courier New" w:eastAsia="Courier New" w:hAnsi="Courier New"/>
          <w:sz w:val="12"/>
          <w:szCs w:val="12"/>
          <w:color w:val="auto"/>
        </w:rPr>
        <w:t>100</w:t>
      </w:r>
    </w:p>
    <w:p>
      <w:pPr>
        <w:ind w:left="440"/>
        <w:spacing w:after="0"/>
        <w:rPr>
          <w:sz w:val="20"/>
          <w:szCs w:val="20"/>
          <w:color w:val="auto"/>
        </w:rPr>
      </w:pPr>
      <w:r>
        <w:rPr>
          <w:rFonts w:ascii="Courier New" w:cs="Courier New" w:eastAsia="Courier New" w:hAnsi="Courier New"/>
          <w:sz w:val="12"/>
          <w:szCs w:val="12"/>
          <w:color w:val="auto"/>
        </w:rPr>
        <w:t>-</w:t>
      </w:r>
    </w:p>
    <w:p>
      <w:pPr>
        <w:ind w:left="380"/>
        <w:spacing w:after="0"/>
        <w:rPr>
          <w:sz w:val="20"/>
          <w:szCs w:val="20"/>
          <w:color w:val="auto"/>
        </w:rPr>
      </w:pPr>
      <w:r>
        <w:rPr>
          <w:rFonts w:ascii="Courier New" w:cs="Courier New" w:eastAsia="Courier New" w:hAnsi="Courier New"/>
          <w:sz w:val="12"/>
          <w:szCs w:val="12"/>
          <w:color w:val="auto"/>
        </w:rPr>
        <w:t>33</w:t>
      </w:r>
    </w:p>
    <w:p>
      <w:pPr>
        <w:ind w:left="440"/>
        <w:spacing w:after="0"/>
        <w:rPr>
          <w:sz w:val="20"/>
          <w:szCs w:val="20"/>
          <w:color w:val="auto"/>
        </w:rPr>
      </w:pPr>
      <w:r>
        <w:rPr>
          <w:rFonts w:ascii="Courier New" w:cs="Courier New" w:eastAsia="Courier New" w:hAnsi="Courier New"/>
          <w:sz w:val="12"/>
          <w:szCs w:val="12"/>
          <w:color w:val="auto"/>
        </w:rPr>
        <w:t>3</w:t>
      </w:r>
    </w:p>
    <w:p>
      <w:pPr>
        <w:sectPr>
          <w:pgSz w:w="11900" w:h="16905" w:orient="portrait"/>
          <w:cols w:equalWidth="0" w:num="2">
            <w:col w:w="5760" w:space="220"/>
            <w:col w:w="4239"/>
          </w:cols>
          <w:pgMar w:left="240" w:top="746"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36"/>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5"/>
              </w:rPr>
              <w:t>(2,540)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(116)</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(131)</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963</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(89)</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336</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Restricted certificates of deposit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(250)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(250)</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661</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5"/>
              </w:rPr>
              <w:t>(1,025)</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420</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865</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(779)</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31</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(56)</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warranty</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38</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(42)</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314</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140</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restructuring and other charges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(130)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(136)</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accrued expenses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141</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(78)</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(159)</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Deferred rent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(88)</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(88)</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(used in) operating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3,643</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(3,531)</w:t>
            </w:r>
          </w:p>
        </w:tc>
      </w:tr>
      <w:tr>
        <w:trPr>
          <w:trHeight w:val="137"/>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(84)</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(61)</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(84)</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(61)</w:t>
            </w:r>
          </w:p>
        </w:tc>
      </w:tr>
      <w:tr>
        <w:trPr>
          <w:trHeight w:val="137"/>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Repayment of capital lease obligations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financing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(9)</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(361)</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(used in) all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3,550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(3,959)</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2,647</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7,137</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$ 6,197</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$ 3,178</w:t>
            </w:r>
          </w:p>
        </w:tc>
      </w:tr>
      <w:tr>
        <w:trPr>
          <w:trHeight w:val="137"/>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SUPPLEMENTAL SCHEDULE OF NON-CASH INVESTING AND FINANCING ACTIVITIES:</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Issuance of non-vested shares of restricted stock</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448</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7"/>
        </w:trPr>
        <w:tc>
          <w:tcPr>
            <w:tcW w:w="5120" w:type="dxa"/>
            <w:vAlign w:val="bottom"/>
          </w:tcPr>
          <w:p>
            <w:pPr>
              <w:spacing w:after="0"/>
              <w:rPr>
                <w:sz w:val="20"/>
                <w:szCs w:val="20"/>
                <w:color w:val="auto"/>
              </w:rPr>
            </w:pPr>
            <w:r>
              <w:rPr>
                <w:rFonts w:ascii="Courier New" w:cs="Courier New" w:eastAsia="Courier New" w:hAnsi="Courier New"/>
                <w:sz w:val="12"/>
                <w:szCs w:val="12"/>
                <w:color w:val="auto"/>
              </w:rPr>
              <w:t>Forfeitures of non-vested shares of restricted stock</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(11)</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(64)</w:t>
            </w: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payments for:</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160</w:t>
            </w:r>
          </w:p>
        </w:tc>
      </w:tr>
      <w:tr>
        <w:trPr>
          <w:trHeight w:val="137"/>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w:t>
            </w:r>
          </w:p>
        </w:tc>
      </w:tr>
    </w:tbl>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135890</wp:posOffset>
            </wp:positionV>
            <wp:extent cx="619569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95695"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40"/>
        <w:spacing w:after="0" w:line="332" w:lineRule="auto"/>
        <w:rPr>
          <w:sz w:val="20"/>
          <w:szCs w:val="20"/>
          <w:color w:val="auto"/>
        </w:rPr>
      </w:pPr>
      <w:r>
        <w:rPr>
          <w:rFonts w:ascii="Arial" w:cs="Arial" w:eastAsia="Arial" w:hAnsi="Arial"/>
          <w:sz w:val="16"/>
          <w:szCs w:val="16"/>
          <w:color w:val="auto"/>
        </w:rPr>
        <w:t>We are an independent designer, manufacturer and marketer of mechanical, thermal and electrical products that are primarily used by semiconductor manufacturers in conjunction with automatic test equipment ("ATE") in the testing of integrated circuits ("ICs" or "semiconductors").</w:t>
      </w:r>
    </w:p>
    <w:p>
      <w:pPr>
        <w:spacing w:after="0" w:line="139"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Mechanical Products, Thermal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During the second quarter of 2009, we approved reductions in workforce in our Singaporean operation. In connection with this action, we centralized manufacturing of mechanical products in our Cherry Hill, New Jersey operation. During the fourth quarter of 2009, we closed our Japanese operation. Sales of our mechanical products that had been handled through this operation are now handled through our operation in Cherry Hill, New Jersey. Both of these operations were included in our Mechanical Products segment. In addition, during the third quarter of 2009, we approved the relocation of Sigma Systems Corporation ("Sigma") to Sharon, Massachusetts. We completed the relocation of Sigma during the first quarter of 2010 and have combined Sigma's operations with those of Temptronic Corporation. Temptronic Corporation, along with an operation in Germany and the remaining sales and support operations of our subsidiary in Singapore, comprise our Thermal Products segment. All of these actions, including the costs assoc iated with them, are discussed further in Note 4.</w:t>
      </w:r>
    </w:p>
    <w:p>
      <w:pPr>
        <w:spacing w:after="0" w:line="172" w:lineRule="exact"/>
        <w:rPr>
          <w:sz w:val="20"/>
          <w:szCs w:val="20"/>
          <w:color w:val="auto"/>
        </w:rPr>
      </w:pPr>
    </w:p>
    <w:p>
      <w:pPr>
        <w:ind w:left="540" w:right="40"/>
        <w:spacing w:after="0" w:line="290" w:lineRule="auto"/>
        <w:rPr>
          <w:sz w:val="20"/>
          <w:szCs w:val="20"/>
          <w:color w:val="auto"/>
        </w:rPr>
      </w:pPr>
      <w:r>
        <w:rPr>
          <w:rFonts w:ascii="Arial" w:cs="Arial" w:eastAsia="Arial" w:hAnsi="Arial"/>
          <w:sz w:val="16"/>
          <w:szCs w:val="16"/>
          <w:color w:val="auto"/>
        </w:rPr>
        <w:t>The semiconductor industry in which we operate is characterized by rapid technological change, competitive pricing pressures and cyclical market patterns. This industry is subject to significant economic downturns at various times. Our financial results are affected by a wide variety of factors, including, but not limited to, general economic conditions worldwide or in the markets in which we operate, economic conditions specific to the semiconductor industry, our ability to safeguard patents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industry. As a result of these or other factors, we may experience significant period-to-period fluctuations in future operating results.</w:t>
      </w:r>
    </w:p>
    <w:p>
      <w:pPr>
        <w:spacing w:after="0" w:line="342" w:lineRule="exact"/>
        <w:rPr>
          <w:sz w:val="20"/>
          <w:szCs w:val="20"/>
          <w:color w:val="auto"/>
        </w:rPr>
      </w:pPr>
    </w:p>
    <w:p>
      <w:pPr>
        <w:ind w:left="540" w:right="654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20"/>
        <w:spacing w:after="0" w:line="291" w:lineRule="auto"/>
        <w:rPr>
          <w:sz w:val="20"/>
          <w:szCs w:val="20"/>
          <w:color w:val="auto"/>
        </w:rPr>
      </w:pPr>
      <w:r>
        <w:rPr>
          <w:rFonts w:ascii="Arial" w:cs="Arial" w:eastAsia="Arial" w:hAnsi="Arial"/>
          <w:sz w:val="16"/>
          <w:szCs w:val="16"/>
          <w:color w:val="auto"/>
        </w:rPr>
        <w:t>The accompanying unaudited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income tax valuation allowances and product warranty reserves, are particularly affected by estimates.</w:t>
      </w:r>
    </w:p>
    <w:p>
      <w:pPr>
        <w:sectPr>
          <w:pgSz w:w="11900" w:h="16838" w:orient="portrait"/>
          <w:cols w:equalWidth="0" w:num="1">
            <w:col w:w="11420"/>
          </w:cols>
          <w:pgMar w:left="240" w:top="132" w:right="239" w:bottom="0" w:gutter="0" w:footer="0" w:header="0"/>
        </w:sectPr>
      </w:pPr>
    </w:p>
    <w:bookmarkStart w:id="5" w:name="page6"/>
    <w:bookmarkEnd w:id="5"/>
    <w:p>
      <w:pPr>
        <w:spacing w:after="0" w:line="26"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2009 filed with the Securities and Exchange Commission on March 31, 2010 (the "2009 Form 10-K").</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prior year amounts have been reclassified to be comparable with the current year's presentation.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Inventory is valued at standard cost, which approximates actual cost computed on a first-in, first-out basis, not in excess of market value. Cash flows from the sale of inventory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industry conditions, anticipated product life cycles, new product introductions and expected future use of the inventory. The charges for excess and obsolete inventory we record establish a new cost basis for the related inventory. We incurred excess and obsolete inventory charges of $421 and $804 for the nine months ended September 30, 2010 and 2009, respectively.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40" w:right="80"/>
        <w:spacing w:after="0" w:line="288" w:lineRule="auto"/>
        <w:rPr>
          <w:sz w:val="20"/>
          <w:szCs w:val="20"/>
          <w:color w:val="auto"/>
        </w:rPr>
      </w:pPr>
      <w:r>
        <w:rPr>
          <w:rFonts w:ascii="Arial" w:cs="Arial" w:eastAsia="Arial" w:hAnsi="Arial"/>
          <w:sz w:val="16"/>
          <w:szCs w:val="16"/>
          <w:color w:val="auto"/>
        </w:rPr>
        <w:t>Goodwill is assessed for impairment at least annually in the fourth quarter, on a reporting unit basis, or more frequently when events and circumstances occur indicating that the recorded goodwill may be impaired.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rates,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74" w:lineRule="exact"/>
        <w:rPr>
          <w:sz w:val="20"/>
          <w:szCs w:val="20"/>
          <w:color w:val="auto"/>
        </w:rPr>
      </w:pPr>
    </w:p>
    <w:p>
      <w:pPr>
        <w:ind w:left="540" w:right="100"/>
        <w:spacing w:after="0" w:line="253" w:lineRule="auto"/>
        <w:rPr>
          <w:sz w:val="20"/>
          <w:szCs w:val="20"/>
          <w:color w:val="auto"/>
        </w:rPr>
      </w:pPr>
      <w:r>
        <w:rPr>
          <w:rFonts w:ascii="Arial" w:cs="Arial" w:eastAsia="Arial" w:hAnsi="Arial"/>
          <w:sz w:val="18"/>
          <w:szCs w:val="18"/>
          <w:color w:val="auto"/>
        </w:rPr>
        <w:t>During the goodwill impairment assessment, we perform a step I test to identify potential impairment, in which the fair value of a reporting unit is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w:t>
      </w:r>
    </w:p>
    <w:p>
      <w:pPr>
        <w:spacing w:after="0" w:line="201"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the time made.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40" w:right="240"/>
        <w:spacing w:after="0" w:line="256" w:lineRule="auto"/>
        <w:rPr>
          <w:sz w:val="20"/>
          <w:szCs w:val="20"/>
          <w:color w:val="auto"/>
        </w:rPr>
      </w:pPr>
      <w:r>
        <w:rPr>
          <w:rFonts w:ascii="Arial" w:cs="Arial" w:eastAsia="Arial" w:hAnsi="Arial"/>
          <w:sz w:val="18"/>
          <w:szCs w:val="18"/>
          <w:color w:val="auto"/>
        </w:rPr>
        <w:t>We account for stock-based compensation in accordance with Accounting Standards Codification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10.</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40" w:right="300"/>
        <w:spacing w:after="0" w:line="332" w:lineRule="auto"/>
        <w:rPr>
          <w:sz w:val="20"/>
          <w:szCs w:val="20"/>
          <w:color w:val="auto"/>
        </w:rPr>
      </w:pPr>
      <w:r>
        <w:rPr>
          <w:rFonts w:ascii="Arial" w:cs="Arial" w:eastAsia="Arial" w:hAnsi="Arial"/>
          <w:sz w:val="16"/>
          <w:szCs w:val="16"/>
          <w:color w:val="auto"/>
        </w:rPr>
        <w:t>We have made an assessment of our operations and determined there were no material subsequent events requiring adjustment to, or disclosure in, our consolidated financial statements for the three and nine months ended September 30, 2010, except as discussed in Note 13.</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ectPr>
          <w:pgSz w:w="11900" w:h="16864" w:orient="portrait"/>
          <w:cols w:equalWidth="0" w:num="1">
            <w:col w:w="11400"/>
          </w:cols>
          <w:pgMar w:left="240" w:top="347" w:right="259" w:bottom="0"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SUMMARY OF SIGNIFICANT ACCOUNTING POLICIES </w:t>
      </w:r>
      <w:r>
        <w:rPr>
          <w:rFonts w:ascii="Arial" w:cs="Arial" w:eastAsia="Arial" w:hAnsi="Arial"/>
          <w:sz w:val="16"/>
          <w:szCs w:val="16"/>
          <w:color w:val="auto"/>
        </w:rPr>
        <w:t>(Continued)</w:t>
      </w:r>
    </w:p>
    <w:p>
      <w:pPr>
        <w:sectPr>
          <w:pgSz w:w="11900" w:h="16864" w:orient="portrait"/>
          <w:cols w:equalWidth="0" w:num="1">
            <w:col w:w="11400"/>
          </w:cols>
          <w:pgMar w:left="240" w:top="347" w:right="259" w:bottom="0" w:gutter="0" w:footer="0" w:header="0"/>
          <w:type w:val="continuous"/>
        </w:sectPr>
      </w:pPr>
    </w:p>
    <w:bookmarkStart w:id="6" w:name="page7"/>
    <w:bookmarkEnd w:id="6"/>
    <w:p>
      <w:pPr>
        <w:ind w:left="532"/>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32"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collectability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32" w:right="28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32" w:right="34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32" w:right="60"/>
        <w:spacing w:after="0" w:line="288" w:lineRule="auto"/>
        <w:rPr>
          <w:sz w:val="20"/>
          <w:szCs w:val="20"/>
          <w:color w:val="auto"/>
        </w:rPr>
      </w:pPr>
      <w:r>
        <w:rPr>
          <w:rFonts w:ascii="Arial" w:cs="Arial" w:eastAsia="Arial" w:hAnsi="Arial"/>
          <w:sz w:val="16"/>
          <w:szCs w:val="16"/>
          <w:color w:val="auto"/>
        </w:rPr>
        <w:t>We recognize a liability for restructuring costs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 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 sets that may be impaired consist of property, plant and equipment and intangible assets. Asset impairment charges are based on an estimate of the amounts and timing of future cash flows related to the expected future remaining use and ultimate sale or disposal of the asset.</w:t>
      </w:r>
    </w:p>
    <w:p>
      <w:pPr>
        <w:spacing w:after="0" w:line="174"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32" w:right="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74" w:lineRule="exact"/>
        <w:rPr>
          <w:sz w:val="20"/>
          <w:szCs w:val="20"/>
          <w:color w:val="auto"/>
        </w:rPr>
      </w:pPr>
    </w:p>
    <w:p>
      <w:pPr>
        <w:ind w:left="532"/>
        <w:spacing w:after="0" w:line="294" w:lineRule="auto"/>
        <w:rPr>
          <w:sz w:val="20"/>
          <w:szCs w:val="20"/>
          <w:color w:val="auto"/>
        </w:rPr>
      </w:pPr>
      <w:r>
        <w:rPr>
          <w:rFonts w:ascii="Arial" w:cs="Arial" w:eastAsia="Arial" w:hAnsi="Arial"/>
          <w:sz w:val="16"/>
          <w:szCs w:val="16"/>
          <w:color w:val="auto"/>
        </w:rPr>
        <w:t>For the nine months ended September 30, 2010 we recorded income tax expense of $17 compared to an income tax benefit of $6 for the same period in 2009. On a quarterly basis, we record income tax expense or benefit based on the expected annualized effective tax rate for the various taxing jurisdictions in which we operate our businesses. Due to our history of operating losses in both our domestic and certain of our foreign operations, we have recorded a full valuation allowance against the deferred tax assets of these operations, including net operating loss carryforwards, where we believe it is more likely than not that we will not have sufficient taxable income to utilize these assets before they expire.</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- 8 -</w:t>
      </w: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ind w:left="292" w:hanging="292"/>
        <w:spacing w:after="0"/>
        <w:tabs>
          <w:tab w:leader="none" w:pos="2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left="532" w:right="20"/>
        <w:spacing w:after="0" w:line="255"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97" w:lineRule="exact"/>
        <w:rPr>
          <w:sz w:val="20"/>
          <w:szCs w:val="20"/>
          <w:color w:val="auto"/>
        </w:rPr>
      </w:pPr>
    </w:p>
    <w:p>
      <w:pPr>
        <w:jc w:val="both"/>
        <w:ind w:left="532" w:right="620"/>
        <w:spacing w:after="0" w:line="335" w:lineRule="auto"/>
        <w:rPr>
          <w:sz w:val="20"/>
          <w:szCs w:val="20"/>
          <w:color w:val="auto"/>
        </w:rPr>
      </w:pPr>
      <w:r>
        <w:rPr>
          <w:rFonts w:ascii="Arial" w:cs="Arial" w:eastAsia="Arial" w:hAnsi="Arial"/>
          <w:sz w:val="15"/>
          <w:szCs w:val="15"/>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and their respective weighted average exercise prices that were excluded from the calculation of diluted earnings per share because their effect was anti-dilutive:</w:t>
      </w:r>
    </w:p>
    <w:p>
      <w:pPr>
        <w:spacing w:after="0" w:line="100" w:lineRule="exact"/>
        <w:rPr>
          <w:sz w:val="20"/>
          <w:szCs w:val="20"/>
          <w:color w:val="auto"/>
        </w:rPr>
      </w:pPr>
    </w:p>
    <w:tbl>
      <w:tblPr>
        <w:tblLayout w:type="fixed"/>
        <w:tblInd w:w="552"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640" w:type="dxa"/>
            <w:vAlign w:val="bottom"/>
            <w:gridSpan w:val="9"/>
          </w:tcPr>
          <w:p>
            <w:pPr>
              <w:jc w:val="center"/>
              <w:ind w:right="14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60" w:type="dxa"/>
            <w:vAlign w:val="bottom"/>
          </w:tcPr>
          <w:p>
            <w:pPr>
              <w:spacing w:after="0"/>
              <w:rPr>
                <w:sz w:val="13"/>
                <w:szCs w:val="13"/>
                <w:color w:val="auto"/>
              </w:rPr>
            </w:pPr>
          </w:p>
        </w:tc>
        <w:tc>
          <w:tcPr>
            <w:tcW w:w="1640" w:type="dxa"/>
            <w:vAlign w:val="bottom"/>
            <w:gridSpan w:val="9"/>
          </w:tcPr>
          <w:p>
            <w:pPr>
              <w:ind w:left="180"/>
              <w:spacing w:after="0"/>
              <w:rPr>
                <w:sz w:val="20"/>
                <w:szCs w:val="20"/>
                <w:color w:val="auto"/>
              </w:rPr>
            </w:pPr>
            <w:r>
              <w:rPr>
                <w:rFonts w:ascii="Arial" w:cs="Arial" w:eastAsia="Arial" w:hAnsi="Arial"/>
                <w:sz w:val="14"/>
                <w:szCs w:val="14"/>
                <w:b w:val="1"/>
                <w:bCs w:val="1"/>
                <w:i w:val="1"/>
                <w:iCs w:val="1"/>
                <w:color w:val="auto"/>
              </w:rPr>
              <w:t>Nine Months Ended</w:t>
            </w:r>
          </w:p>
        </w:tc>
      </w:tr>
      <w:tr>
        <w:trPr>
          <w:trHeight w:val="146"/>
        </w:trPr>
        <w:tc>
          <w:tcPr>
            <w:tcW w:w="5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jc w:val="center"/>
              <w:ind w:right="260"/>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3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ind w:left="40"/>
              <w:spacing w:after="0" w:line="146" w:lineRule="exact"/>
              <w:rPr>
                <w:sz w:val="20"/>
                <w:szCs w:val="20"/>
                <w:color w:val="auto"/>
              </w:rPr>
            </w:pPr>
            <w:r>
              <w:rPr>
                <w:rFonts w:ascii="Arial" w:cs="Arial" w:eastAsia="Arial" w:hAnsi="Arial"/>
                <w:sz w:val="14"/>
                <w:szCs w:val="14"/>
                <w:b w:val="1"/>
                <w:bCs w:val="1"/>
                <w:i w:val="1"/>
                <w:iCs w:val="1"/>
                <w:color w:val="auto"/>
              </w:rPr>
              <w:t>Sept. 30,</w:t>
            </w:r>
          </w:p>
        </w:tc>
        <w:tc>
          <w:tcPr>
            <w:tcW w:w="360" w:type="dxa"/>
            <w:vAlign w:val="bottom"/>
            <w:gridSpan w:val="2"/>
          </w:tcPr>
          <w:p>
            <w:pPr>
              <w:spacing w:after="0"/>
              <w:rPr>
                <w:sz w:val="12"/>
                <w:szCs w:val="12"/>
                <w:color w:val="auto"/>
              </w:rPr>
            </w:pPr>
          </w:p>
        </w:tc>
      </w:tr>
      <w:tr>
        <w:trPr>
          <w:trHeight w:val="156"/>
        </w:trPr>
        <w:tc>
          <w:tcPr>
            <w:tcW w:w="5480" w:type="dxa"/>
            <w:vAlign w:val="bottom"/>
          </w:tcPr>
          <w:p>
            <w:pPr>
              <w:spacing w:after="0"/>
              <w:rPr>
                <w:sz w:val="13"/>
                <w:szCs w:val="13"/>
                <w:color w:val="auto"/>
              </w:rPr>
            </w:pPr>
          </w:p>
        </w:tc>
        <w:tc>
          <w:tcPr>
            <w:tcW w:w="4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320" w:type="dxa"/>
            <w:vAlign w:val="bottom"/>
          </w:tcPr>
          <w:p>
            <w:pPr>
              <w:spacing w:after="0"/>
              <w:rPr>
                <w:sz w:val="13"/>
                <w:szCs w:val="13"/>
                <w:color w:val="auto"/>
              </w:rPr>
            </w:pPr>
          </w:p>
        </w:tc>
        <w:tc>
          <w:tcPr>
            <w:tcW w:w="860" w:type="dxa"/>
            <w:vAlign w:val="bottom"/>
            <w:gridSpan w:val="5"/>
          </w:tcPr>
          <w:p>
            <w:pPr>
              <w:jc w:val="right"/>
              <w:ind w:right="280"/>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620" w:type="dxa"/>
            <w:vAlign w:val="bottom"/>
            <w:gridSpan w:val="4"/>
          </w:tcPr>
          <w:p>
            <w:pPr>
              <w:ind w:left="360"/>
              <w:spacing w:after="0" w:line="155" w:lineRule="exact"/>
              <w:rPr>
                <w:sz w:val="20"/>
                <w:szCs w:val="20"/>
                <w:color w:val="auto"/>
              </w:rPr>
            </w:pPr>
            <w:r>
              <w:rPr>
                <w:rFonts w:ascii="Arial" w:cs="Arial" w:eastAsia="Arial" w:hAnsi="Arial"/>
                <w:sz w:val="14"/>
                <w:szCs w:val="14"/>
                <w:b w:val="1"/>
                <w:bCs w:val="1"/>
                <w:i w:val="1"/>
                <w:iCs w:val="1"/>
                <w:color w:val="auto"/>
                <w:w w:val="76"/>
              </w:rPr>
              <w:t>2010</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4"/>
          </w:tcPr>
          <w:p>
            <w:pPr>
              <w:jc w:val="right"/>
              <w:ind w:right="280"/>
              <w:spacing w:after="0" w:line="155" w:lineRule="exact"/>
              <w:rPr>
                <w:sz w:val="20"/>
                <w:szCs w:val="20"/>
                <w:color w:val="auto"/>
              </w:rPr>
            </w:pPr>
            <w:r>
              <w:rPr>
                <w:rFonts w:ascii="Arial" w:cs="Arial" w:eastAsia="Arial" w:hAnsi="Arial"/>
                <w:sz w:val="14"/>
                <w:szCs w:val="14"/>
                <w:b w:val="1"/>
                <w:bCs w:val="1"/>
                <w:i w:val="1"/>
                <w:iCs w:val="1"/>
                <w:color w:val="auto"/>
              </w:rPr>
              <w:t>2009</w:t>
            </w:r>
          </w:p>
        </w:tc>
      </w:tr>
      <w:tr>
        <w:trPr>
          <w:trHeight w:val="20"/>
        </w:trPr>
        <w:tc>
          <w:tcPr>
            <w:tcW w:w="5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5"/>
        </w:trPr>
        <w:tc>
          <w:tcPr>
            <w:tcW w:w="54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84"/>
              </w:rPr>
              <w:t>10,033,034</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9,982,972</w:t>
            </w:r>
          </w:p>
        </w:tc>
        <w:tc>
          <w:tcPr>
            <w:tcW w:w="1120" w:type="dxa"/>
            <w:vAlign w:val="bottom"/>
            <w:gridSpan w:val="6"/>
          </w:tcPr>
          <w:p>
            <w:pPr>
              <w:jc w:val="right"/>
              <w:ind w:right="180"/>
              <w:spacing w:after="0"/>
              <w:rPr>
                <w:sz w:val="20"/>
                <w:szCs w:val="20"/>
                <w:color w:val="auto"/>
              </w:rPr>
            </w:pPr>
            <w:r>
              <w:rPr>
                <w:rFonts w:ascii="Arial" w:cs="Arial" w:eastAsia="Arial" w:hAnsi="Arial"/>
                <w:sz w:val="18"/>
                <w:szCs w:val="18"/>
                <w:color w:val="auto"/>
              </w:rPr>
              <w:t>10,011,173</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82"/>
              </w:rPr>
              <w:t>9,971,157</w:t>
            </w:r>
          </w:p>
        </w:tc>
      </w:tr>
      <w:tr>
        <w:trPr>
          <w:trHeight w:val="459"/>
        </w:trPr>
        <w:tc>
          <w:tcPr>
            <w:tcW w:w="548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21"/>
        </w:trPr>
        <w:tc>
          <w:tcPr>
            <w:tcW w:w="5480" w:type="dxa"/>
            <w:vAlign w:val="bottom"/>
          </w:tcPr>
          <w:p>
            <w:pPr>
              <w:ind w:left="220"/>
              <w:spacing w:after="0"/>
              <w:rPr>
                <w:sz w:val="20"/>
                <w:szCs w:val="20"/>
                <w:color w:val="auto"/>
              </w:rPr>
            </w:pPr>
            <w:r>
              <w:rPr>
                <w:rFonts w:ascii="Arial" w:cs="Arial" w:eastAsia="Arial" w:hAnsi="Arial"/>
                <w:sz w:val="18"/>
                <w:szCs w:val="18"/>
                <w:color w:val="auto"/>
              </w:rPr>
              <w:t>Employee stock options and unvested shares of restricted stock</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161,546</w:t>
            </w:r>
          </w:p>
        </w:tc>
        <w:tc>
          <w:tcPr>
            <w:tcW w:w="18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5"/>
          </w:tcPr>
          <w:p>
            <w:pPr>
              <w:jc w:val="right"/>
              <w:ind w:right="180"/>
              <w:spacing w:after="0"/>
              <w:rPr>
                <w:sz w:val="20"/>
                <w:szCs w:val="20"/>
                <w:color w:val="auto"/>
              </w:rPr>
            </w:pPr>
            <w:r>
              <w:rPr>
                <w:rFonts w:ascii="Arial" w:cs="Arial" w:eastAsia="Arial" w:hAnsi="Arial"/>
                <w:sz w:val="18"/>
                <w:szCs w:val="18"/>
                <w:color w:val="auto"/>
              </w:rPr>
              <w:t>116,156</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480" w:type="dxa"/>
            <w:vAlign w:val="bottom"/>
            <w:tcBorders>
              <w:right w:val="single" w:sz="8" w:color="auto"/>
            </w:tcBorders>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r>
      <w:tr>
        <w:trPr>
          <w:trHeight w:val="439"/>
        </w:trPr>
        <w:tc>
          <w:tcPr>
            <w:tcW w:w="548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84"/>
              </w:rPr>
              <w:t>10,194,580</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9,982,972</w:t>
            </w:r>
          </w:p>
        </w:tc>
        <w:tc>
          <w:tcPr>
            <w:tcW w:w="1120" w:type="dxa"/>
            <w:vAlign w:val="bottom"/>
            <w:gridSpan w:val="6"/>
          </w:tcPr>
          <w:p>
            <w:pPr>
              <w:jc w:val="right"/>
              <w:ind w:right="180"/>
              <w:spacing w:after="0"/>
              <w:rPr>
                <w:sz w:val="20"/>
                <w:szCs w:val="20"/>
                <w:color w:val="auto"/>
              </w:rPr>
            </w:pPr>
            <w:r>
              <w:rPr>
                <w:rFonts w:ascii="Arial" w:cs="Arial" w:eastAsia="Arial" w:hAnsi="Arial"/>
                <w:sz w:val="18"/>
                <w:szCs w:val="18"/>
                <w:color w:val="auto"/>
              </w:rPr>
              <w:t>10,127,329</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82"/>
              </w:rPr>
              <w:t>9,971,157</w:t>
            </w:r>
          </w:p>
        </w:tc>
      </w:tr>
      <w:tr>
        <w:trPr>
          <w:trHeight w:val="20"/>
        </w:trPr>
        <w:tc>
          <w:tcPr>
            <w:tcW w:w="5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392"/>
          </w:cols>
          <w:pgMar w:left="248" w:top="131" w:right="259" w:bottom="0" w:gutter="0" w:footer="0" w:header="0"/>
        </w:sectPr>
      </w:pPr>
    </w:p>
    <w:bookmarkStart w:id="7" w:name="page8"/>
    <w:bookmarkEnd w:id="7"/>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w:t>
            </w: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900" w:type="dxa"/>
            <w:vAlign w:val="bottom"/>
          </w:tcPr>
          <w:p>
            <w:pPr>
              <w:ind w:left="140"/>
              <w:spacing w:after="0"/>
              <w:rPr>
                <w:sz w:val="20"/>
                <w:szCs w:val="20"/>
                <w:color w:val="auto"/>
              </w:rPr>
            </w:pPr>
            <w:r>
              <w:rPr>
                <w:rFonts w:ascii="Arial" w:cs="Arial" w:eastAsia="Arial" w:hAnsi="Arial"/>
                <w:sz w:val="18"/>
                <w:szCs w:val="18"/>
                <w:color w:val="auto"/>
              </w:rPr>
              <w:t>from calculation</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155,861</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479,690</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255,835</w:t>
            </w:r>
          </w:p>
        </w:tc>
        <w:tc>
          <w:tcPr>
            <w:tcW w:w="720" w:type="dxa"/>
            <w:vAlign w:val="bottom"/>
          </w:tcPr>
          <w:p>
            <w:pPr>
              <w:jc w:val="right"/>
              <w:spacing w:after="0"/>
              <w:rPr>
                <w:sz w:val="20"/>
                <w:szCs w:val="20"/>
                <w:color w:val="auto"/>
              </w:rPr>
            </w:pPr>
            <w:r>
              <w:rPr>
                <w:rFonts w:ascii="Arial" w:cs="Arial" w:eastAsia="Arial" w:hAnsi="Arial"/>
                <w:sz w:val="18"/>
                <w:szCs w:val="18"/>
                <w:color w:val="auto"/>
              </w:rPr>
              <w:t>505,125</w:t>
            </w:r>
          </w:p>
        </w:tc>
      </w:tr>
      <w:tr>
        <w:trPr>
          <w:trHeight w:val="459"/>
        </w:trPr>
        <w:tc>
          <w:tcPr>
            <w:tcW w:w="4900" w:type="dxa"/>
            <w:vAlign w:val="bottom"/>
          </w:tcPr>
          <w:p>
            <w:pPr>
              <w:spacing w:after="0"/>
              <w:rPr>
                <w:sz w:val="20"/>
                <w:szCs w:val="20"/>
                <w:color w:val="auto"/>
              </w:rPr>
            </w:pPr>
            <w:r>
              <w:rPr>
                <w:rFonts w:ascii="Arial" w:cs="Arial" w:eastAsia="Arial" w:hAnsi="Arial"/>
                <w:sz w:val="18"/>
                <w:szCs w:val="18"/>
                <w:color w:val="auto"/>
              </w:rPr>
              <w:t>Weighted average exercise price of excluded securities</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$3.91</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$3.55</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$3.72</w:t>
            </w:r>
          </w:p>
        </w:tc>
        <w:tc>
          <w:tcPr>
            <w:tcW w:w="720" w:type="dxa"/>
            <w:vAlign w:val="bottom"/>
          </w:tcPr>
          <w:p>
            <w:pPr>
              <w:jc w:val="right"/>
              <w:spacing w:after="0"/>
              <w:rPr>
                <w:sz w:val="20"/>
                <w:szCs w:val="20"/>
                <w:color w:val="auto"/>
              </w:rPr>
            </w:pPr>
            <w:r>
              <w:rPr>
                <w:rFonts w:ascii="Arial" w:cs="Arial" w:eastAsia="Arial" w:hAnsi="Arial"/>
                <w:sz w:val="18"/>
                <w:szCs w:val="18"/>
                <w:color w:val="auto"/>
              </w:rPr>
              <w:t>$3.57</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New Accounting Standards</w:t>
      </w:r>
    </w:p>
    <w:p>
      <w:pPr>
        <w:spacing w:after="0" w:line="225"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 xml:space="preserve">In January 2010, the Financial Accounting Standards Board ("FASB") issued Accounting Standards Update ("ASU") No. 2010-06,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and Disclosures (Topic 820): Improving Disclosures about Fair Value Measurements </w:t>
      </w:r>
      <w:r>
        <w:rPr>
          <w:rFonts w:ascii="Arial" w:cs="Arial" w:eastAsia="Arial" w:hAnsi="Arial"/>
          <w:sz w:val="16"/>
          <w:szCs w:val="16"/>
          <w:color w:val="auto"/>
        </w:rPr>
        <w:t>("ASU 2010-06"), which amends the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with respect to fair value measurements. Specifically, the new guidance requires disclosure of amounts transferred in and out of Levels 1 and 2 fair value measurements, a reconciliation presented on a gross basis rather than a net basis of activity in Level 3 fair value measurements, greater disaggregation of the assets and liabilities for which fair value measurements are presented and more robust disclosure of the valuation techniques and inputs used to measure Level 2 and 3 fair value measurements. ASU 2010-06 is effective for interim and annual reporting periods beginning after December 15, 2009, with the exception of the new guidance around the Level 3 activity reconciliations, which is effective for fi scal years beginning after December 15, 2010. The adoption of ASU 2010-06 for reporting as of March 31, 2010 did not have any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At each of September 30, 2010 and December 31, 2009, our goodwill totaled $1,656 and our indefinite-lived intangible asset totaled $510. The goodwill and indefinite-lived intangible asset are both a result of our acquisition of Sigma in October 2008 and are allocated to our Thermal Products reporting unit, as discussed in Note 3 to the consolidated financial statements in our 2009 Form 10-K.</w:t>
      </w:r>
    </w:p>
    <w:p>
      <w:pPr>
        <w:spacing w:after="0" w:line="194" w:lineRule="exact"/>
        <w:rPr>
          <w:sz w:val="20"/>
          <w:szCs w:val="20"/>
          <w:color w:val="auto"/>
        </w:rPr>
      </w:pPr>
    </w:p>
    <w:p>
      <w:pPr>
        <w:ind w:left="540" w:right="80"/>
        <w:spacing w:after="0" w:line="291" w:lineRule="auto"/>
        <w:rPr>
          <w:sz w:val="20"/>
          <w:szCs w:val="20"/>
          <w:color w:val="auto"/>
        </w:rPr>
      </w:pPr>
      <w:r>
        <w:rPr>
          <w:rFonts w:ascii="Arial" w:cs="Arial" w:eastAsia="Arial" w:hAnsi="Arial"/>
          <w:sz w:val="16"/>
          <w:szCs w:val="16"/>
          <w:color w:val="auto"/>
        </w:rPr>
        <w:t>As of September 30, 2010 and December 31, 2009, we had finite-lived intangible assets which totaled $601 and $701, net of accumulated amortization of $269 and $169, respectively. At September 30, 2010 and December 31, 2009, we had three finite-lived intangible assets which consisted of customer relationships, software and patents held by Sigma at the time of our acquisition of this operation in October 2008, as discussed further in Note 3 to the consolidated financial statements in our 2009 Form 10-K. These intangible assets are being amortized on a straight-line basis over estimated useful lives of 72 months, 120 months and 60 months, respectively. As of September 30, 2010, these assets had remaining estimated useful lives of 48 months, 96 months, and 36 months, respectively. These intangible assets are allocated to our Thermal Products segment.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changes in the amount of the carrying value of finite-lived intangible assets for the nine months ended September 30, 2010:</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320" w:type="dxa"/>
            <w:vAlign w:val="bottom"/>
          </w:tcPr>
          <w:p>
            <w:pPr>
              <w:spacing w:after="0"/>
              <w:rPr>
                <w:sz w:val="20"/>
                <w:szCs w:val="20"/>
                <w:color w:val="auto"/>
              </w:rPr>
            </w:pPr>
            <w:r>
              <w:rPr>
                <w:rFonts w:ascii="Arial" w:cs="Arial" w:eastAsia="Arial" w:hAnsi="Arial"/>
                <w:sz w:val="16"/>
                <w:szCs w:val="16"/>
                <w:color w:val="auto"/>
                <w:w w:val="78"/>
              </w:rPr>
              <w:t>$701</w:t>
            </w:r>
          </w:p>
        </w:tc>
        <w:tc>
          <w:tcPr>
            <w:tcW w:w="60" w:type="dxa"/>
            <w:vAlign w:val="bottom"/>
          </w:tcPr>
          <w:p>
            <w:pPr>
              <w:spacing w:after="0"/>
              <w:rPr>
                <w:sz w:val="19"/>
                <w:szCs w:val="19"/>
                <w:color w:val="auto"/>
              </w:rPr>
            </w:pPr>
          </w:p>
        </w:tc>
      </w:tr>
      <w:tr>
        <w:trPr>
          <w:trHeight w:val="421"/>
        </w:trPr>
        <w:tc>
          <w:tcPr>
            <w:tcW w:w="3640" w:type="dxa"/>
            <w:vAlign w:val="bottom"/>
          </w:tcPr>
          <w:p>
            <w:pPr>
              <w:spacing w:after="0"/>
              <w:rPr>
                <w:sz w:val="20"/>
                <w:szCs w:val="20"/>
                <w:color w:val="auto"/>
              </w:rPr>
            </w:pPr>
            <w:r>
              <w:rPr>
                <w:rFonts w:ascii="Arial" w:cs="Arial" w:eastAsia="Arial" w:hAnsi="Arial"/>
                <w:sz w:val="18"/>
                <w:szCs w:val="18"/>
                <w:color w:val="auto"/>
              </w:rPr>
              <w:t>Amortization</w:t>
            </w:r>
          </w:p>
        </w:tc>
        <w:tc>
          <w:tcPr>
            <w:tcW w:w="380" w:type="dxa"/>
            <w:vAlign w:val="bottom"/>
            <w:gridSpan w:val="2"/>
          </w:tcPr>
          <w:p>
            <w:pPr>
              <w:spacing w:after="0"/>
              <w:rPr>
                <w:sz w:val="20"/>
                <w:szCs w:val="20"/>
                <w:color w:val="auto"/>
              </w:rPr>
            </w:pPr>
            <w:r>
              <w:rPr>
                <w:rFonts w:ascii="Arial" w:cs="Arial" w:eastAsia="Arial" w:hAnsi="Arial"/>
                <w:sz w:val="18"/>
                <w:szCs w:val="18"/>
                <w:color w:val="auto"/>
                <w:w w:val="85"/>
              </w:rPr>
              <w:t>(100)</w:t>
            </w:r>
          </w:p>
        </w:tc>
      </w:tr>
      <w:tr>
        <w:trPr>
          <w:trHeight w:val="20"/>
        </w:trPr>
        <w:tc>
          <w:tcPr>
            <w:tcW w:w="3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3640" w:type="dxa"/>
            <w:vAlign w:val="bottom"/>
          </w:tcPr>
          <w:p>
            <w:pPr>
              <w:spacing w:after="0"/>
              <w:rPr>
                <w:sz w:val="20"/>
                <w:szCs w:val="20"/>
                <w:color w:val="auto"/>
              </w:rPr>
            </w:pPr>
            <w:r>
              <w:rPr>
                <w:rFonts w:ascii="Arial" w:cs="Arial" w:eastAsia="Arial" w:hAnsi="Arial"/>
                <w:sz w:val="18"/>
                <w:szCs w:val="18"/>
                <w:color w:val="auto"/>
              </w:rPr>
              <w:t>Balance - September 30, 2010</w:t>
            </w:r>
          </w:p>
        </w:tc>
        <w:tc>
          <w:tcPr>
            <w:tcW w:w="320" w:type="dxa"/>
            <w:vAlign w:val="bottom"/>
          </w:tcPr>
          <w:p>
            <w:pPr>
              <w:spacing w:after="0"/>
              <w:rPr>
                <w:sz w:val="20"/>
                <w:szCs w:val="20"/>
                <w:color w:val="auto"/>
              </w:rPr>
            </w:pPr>
            <w:r>
              <w:rPr>
                <w:rFonts w:ascii="Arial" w:cs="Arial" w:eastAsia="Arial" w:hAnsi="Arial"/>
                <w:sz w:val="16"/>
                <w:szCs w:val="16"/>
                <w:u w:val="single" w:color="auto"/>
                <w:color w:val="auto"/>
                <w:w w:val="78"/>
              </w:rPr>
              <w:t>$</w:t>
            </w:r>
            <w:r>
              <w:rPr>
                <w:rFonts w:ascii="Arial" w:cs="Arial" w:eastAsia="Arial" w:hAnsi="Arial"/>
                <w:sz w:val="16"/>
                <w:szCs w:val="16"/>
                <w:color w:val="auto"/>
                <w:w w:val="78"/>
              </w:rPr>
              <w:t>601</w:t>
            </w:r>
          </w:p>
        </w:tc>
        <w:tc>
          <w:tcPr>
            <w:tcW w:w="60" w:type="dxa"/>
            <w:vAlign w:val="bottom"/>
          </w:tcPr>
          <w:p>
            <w:pPr>
              <w:spacing w:after="0"/>
              <w:rPr>
                <w:sz w:val="24"/>
                <w:szCs w:val="24"/>
                <w:color w:val="auto"/>
              </w:rPr>
            </w:pPr>
          </w:p>
        </w:tc>
      </w:tr>
      <w:tr>
        <w:trPr>
          <w:trHeight w:val="20"/>
        </w:trPr>
        <w:tc>
          <w:tcPr>
            <w:tcW w:w="3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the estimated annual amortization expense for our finite-lived intangible assets for each of the next five years:</w:t>
      </w:r>
    </w:p>
    <w:p>
      <w:pPr>
        <w:spacing w:after="0" w:line="262"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2020" w:type="dxa"/>
            <w:vAlign w:val="bottom"/>
          </w:tcPr>
          <w:p>
            <w:pPr>
              <w:jc w:val="right"/>
              <w:ind w:right="1592"/>
              <w:spacing w:after="0"/>
              <w:rPr>
                <w:sz w:val="20"/>
                <w:szCs w:val="20"/>
                <w:color w:val="auto"/>
              </w:rPr>
            </w:pPr>
            <w:r>
              <w:rPr>
                <w:rFonts w:ascii="Arial" w:cs="Arial" w:eastAsia="Arial" w:hAnsi="Arial"/>
                <w:sz w:val="18"/>
                <w:szCs w:val="18"/>
                <w:color w:val="auto"/>
                <w:w w:val="79"/>
              </w:rPr>
              <w:t>2011</w:t>
            </w:r>
          </w:p>
        </w:tc>
        <w:tc>
          <w:tcPr>
            <w:tcW w:w="20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9"/>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2012</w:t>
            </w:r>
          </w:p>
        </w:tc>
        <w:tc>
          <w:tcPr>
            <w:tcW w:w="20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9"/>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2013</w:t>
            </w:r>
          </w:p>
        </w:tc>
        <w:tc>
          <w:tcPr>
            <w:tcW w:w="20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59"/>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2014</w:t>
            </w:r>
          </w:p>
        </w:tc>
        <w:tc>
          <w:tcPr>
            <w:tcW w:w="2000" w:type="dxa"/>
            <w:vAlign w:val="bottom"/>
          </w:tcPr>
          <w:p>
            <w:pPr>
              <w:jc w:val="right"/>
              <w:spacing w:after="0"/>
              <w:rPr>
                <w:sz w:val="20"/>
                <w:szCs w:val="20"/>
                <w:color w:val="auto"/>
              </w:rPr>
            </w:pPr>
            <w:r>
              <w:rPr>
                <w:rFonts w:ascii="Arial" w:cs="Arial" w:eastAsia="Arial" w:hAnsi="Arial"/>
                <w:sz w:val="18"/>
                <w:szCs w:val="18"/>
                <w:color w:val="auto"/>
              </w:rPr>
              <w:t>$ 73</w:t>
            </w:r>
          </w:p>
        </w:tc>
      </w:tr>
      <w:tr>
        <w:trPr>
          <w:trHeight w:val="459"/>
        </w:trPr>
        <w:tc>
          <w:tcPr>
            <w:tcW w:w="2020" w:type="dxa"/>
            <w:vAlign w:val="bottom"/>
          </w:tcPr>
          <w:p>
            <w:pPr>
              <w:jc w:val="right"/>
              <w:ind w:right="1572"/>
              <w:spacing w:after="0"/>
              <w:rPr>
                <w:sz w:val="20"/>
                <w:szCs w:val="20"/>
                <w:color w:val="auto"/>
              </w:rPr>
            </w:pPr>
            <w:r>
              <w:rPr>
                <w:rFonts w:ascii="Arial" w:cs="Arial" w:eastAsia="Arial" w:hAnsi="Arial"/>
                <w:sz w:val="18"/>
                <w:szCs w:val="18"/>
                <w:color w:val="auto"/>
                <w:w w:val="84"/>
              </w:rPr>
              <w:t>2015</w:t>
            </w:r>
          </w:p>
        </w:tc>
        <w:tc>
          <w:tcPr>
            <w:tcW w:w="2000" w:type="dxa"/>
            <w:vAlign w:val="bottom"/>
          </w:tcPr>
          <w:p>
            <w:pPr>
              <w:jc w:val="right"/>
              <w:spacing w:after="0"/>
              <w:rPr>
                <w:sz w:val="20"/>
                <w:szCs w:val="20"/>
                <w:color w:val="auto"/>
              </w:rPr>
            </w:pPr>
            <w:r>
              <w:rPr>
                <w:rFonts w:ascii="Arial" w:cs="Arial" w:eastAsia="Arial" w:hAnsi="Arial"/>
                <w:sz w:val="18"/>
                <w:szCs w:val="18"/>
                <w:color w:val="auto"/>
              </w:rPr>
              <w:t>$ 27</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CHARGES</w:t>
      </w:r>
    </w:p>
    <w:p>
      <w:pPr>
        <w:spacing w:after="0" w:line="191"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In response to the significant decline in our orders and net revenues during 2008 and 2009, we took actions to reduce our cost structure. The actions taken in 2009 are discussed below. Actions taken in 2008 are discussed in Note 5 to the consolidated financial statements in our 2009 Form 10-K. We continue to explore methods to further reduce our costs and we may incur additional restructuring charges in future periods; however, we cannot predict the amount of such charges at this time.</w:t>
      </w:r>
    </w:p>
    <w:p>
      <w:pPr>
        <w:spacing w:after="0" w:line="197" w:lineRule="exact"/>
        <w:rPr>
          <w:sz w:val="20"/>
          <w:szCs w:val="20"/>
          <w:color w:val="auto"/>
        </w:rPr>
      </w:pPr>
    </w:p>
    <w:p>
      <w:pPr>
        <w:jc w:val="both"/>
        <w:ind w:left="540" w:right="40"/>
        <w:spacing w:after="0" w:line="298" w:lineRule="auto"/>
        <w:rPr>
          <w:sz w:val="20"/>
          <w:szCs w:val="20"/>
          <w:color w:val="auto"/>
        </w:rPr>
      </w:pPr>
      <w:r>
        <w:rPr>
          <w:rFonts w:ascii="Arial" w:cs="Arial" w:eastAsia="Arial" w:hAnsi="Arial"/>
          <w:sz w:val="16"/>
          <w:szCs w:val="16"/>
          <w:color w:val="auto"/>
        </w:rPr>
        <w:t>We consider some of the actions we took to be temporary in nature, such as certain salary and benefits reductions for current employees. At the time we took these temporary actions, it was generally our intent to restore all or a portion of the reduced salary and benefits in future periods when our results of operations and our cash flows improved sufficiently so as to allow us to do so. Any such restoration would impact the ultimate level of savings which will result from our restructuring actions. Effective January 1, 2010, we restored all of the temporary salary reductions we implemented in 2008 and 2009 for</w:t>
      </w:r>
    </w:p>
    <w:p>
      <w:pPr>
        <w:sectPr>
          <w:pgSz w:w="11900" w:h="16838" w:orient="portrait"/>
          <w:cols w:equalWidth="0" w:num="1">
            <w:col w:w="11420"/>
          </w:cols>
          <w:pgMar w:left="240" w:top="590" w:right="239" w:bottom="0" w:gutter="0" w:footer="0" w:header="0"/>
        </w:sectPr>
      </w:pPr>
    </w:p>
    <w:bookmarkStart w:id="8" w:name="page9"/>
    <w:bookmarkEnd w:id="8"/>
    <w:p>
      <w:pPr>
        <w:ind w:left="540"/>
        <w:spacing w:after="0" w:line="256" w:lineRule="auto"/>
        <w:rPr>
          <w:sz w:val="20"/>
          <w:szCs w:val="20"/>
          <w:color w:val="auto"/>
        </w:rPr>
      </w:pPr>
      <w:r>
        <w:rPr>
          <w:rFonts w:ascii="Arial" w:cs="Arial" w:eastAsia="Arial" w:hAnsi="Arial"/>
          <w:sz w:val="18"/>
          <w:szCs w:val="18"/>
          <w:color w:val="auto"/>
        </w:rPr>
        <w:t>our domestic employees, with the exception of the salary of our Executive Chairman, which was restored to approximately 65% of its full reinstated level, reflecting a voluntary continued 35% reduction in his salary. Effective April 1, 2010, we restored the 401(k) Plan discretionary matching contribution for all domestic employees and the Temptronic profit sharing contributions which had been suspended for most of these employees at the beginning of 2009. There are no other temporary actions remaining to be restored.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2009 Restructuring Actions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Thermal Products Segment</w:t>
      </w:r>
    </w:p>
    <w:p>
      <w:pPr>
        <w:spacing w:after="0" w:line="15" w:lineRule="exact"/>
        <w:rPr>
          <w:sz w:val="20"/>
          <w:szCs w:val="20"/>
          <w:color w:val="auto"/>
        </w:rPr>
      </w:pPr>
    </w:p>
    <w:p>
      <w:pPr>
        <w:ind w:left="540" w:right="40"/>
        <w:spacing w:after="0" w:line="287" w:lineRule="auto"/>
        <w:rPr>
          <w:sz w:val="20"/>
          <w:szCs w:val="20"/>
          <w:color w:val="auto"/>
        </w:rPr>
      </w:pPr>
      <w:r>
        <w:rPr>
          <w:rFonts w:ascii="Arial" w:cs="Arial" w:eastAsia="Arial" w:hAnsi="Arial"/>
          <w:sz w:val="16"/>
          <w:szCs w:val="16"/>
          <w:color w:val="auto"/>
        </w:rPr>
        <w:t>During 2009, we approved three separate workforce reductions in our Thermal Products segment. On January 15, 2009, we approved a reduction of five employees, representing approximately 6% of the total employees in this segment and on February 19, 2009, we approved a reduction in workforce of six employees, representing approximately 8% of the total employees in this segment (collectively the "Q1 2009 TP Workforce Reduction"). We completed the communications of these actions to our employees on January 22, 2009 and February 19, 2009, respectively. We incurred $60 in total costs related to these actions for one-time termination benefits. These costs were incurred in the first quarter of 2009. On April 8, 2009, we approved a reduction of 11 employees, representing approximately 15% of the total employees in this segment (the "Q2 2009 TP Workforce Reduction"). We completed the communication of this action to our employees on April 15, 2009. We incurred approximately $62 in total costs related to these ac tions for one-time termination benefits. These costs were incurred in the second quarter of 2009. These actions were taken to reduce the operating expenses of this segment in response to current business conditions.</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- 10 -</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RESTRUCTURING AND OTHER CHARGES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In September 2009, we approved the relocation of Sigma from El Cajon, California to Sharon, Massachusetts (the "Sigma Relocation") where Temptronic Corporation's manufacturing operations are located. As a result of the relocation, Sigma now shares a facility with Temptronic (both of these operations are part of our Thermal Products segment). On September 30, 2009, we announced this relocation to the Sigma employees. In connection with the facility closure in El Cajon, we terminated 18 Sigma employees, representing approximately 32% of the employees in this segment, and incurred approximately $115 in one-time termination benefits related to this action during the fourth quarter of 2009. We completed the facility closure in El Cajon during the fourth quarter of 2009 and completed the relocation of the product line to our facility in Sharon during the first quarter of 2010. During the fourth quarter of 2009, we incurred approximately $195 of facility closure costs related to this action. These costs included lease termination fees of approximately $62 and other costs associated with this consolidation of facilities, including the cost to relocate inventory, equipment and personnel, of approximately $133. This action was taken to reduce the operating expenses of this segment in response to current business conditions.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Mechanical Products Segment</w:t>
      </w:r>
    </w:p>
    <w:p>
      <w:pPr>
        <w:spacing w:after="0" w:line="15" w:lineRule="exact"/>
        <w:rPr>
          <w:sz w:val="20"/>
          <w:szCs w:val="20"/>
          <w:color w:val="auto"/>
        </w:rPr>
      </w:pPr>
    </w:p>
    <w:p>
      <w:pPr>
        <w:ind w:left="540" w:right="140"/>
        <w:spacing w:after="0" w:line="302" w:lineRule="auto"/>
        <w:rPr>
          <w:sz w:val="20"/>
          <w:szCs w:val="20"/>
          <w:color w:val="auto"/>
        </w:rPr>
      </w:pPr>
      <w:r>
        <w:rPr>
          <w:rFonts w:ascii="Arial" w:cs="Arial" w:eastAsia="Arial" w:hAnsi="Arial"/>
          <w:sz w:val="16"/>
          <w:szCs w:val="16"/>
          <w:color w:val="auto"/>
        </w:rPr>
        <w:t>On April 8, 2009, we approved a reduction in workforce in our Mechanical Products segment of 13 employees which represented approximately 20% of the employees in this segment. We incurred approximately $71 in total costs related to this action for one-time termination benefits. These costs were incurred in the second quarter of 2009. We completed the communication of this action to our employees on April 15, 2009.</w:t>
      </w:r>
    </w:p>
    <w:p>
      <w:pPr>
        <w:spacing w:after="0" w:line="163" w:lineRule="exact"/>
        <w:rPr>
          <w:sz w:val="20"/>
          <w:szCs w:val="20"/>
          <w:color w:val="auto"/>
        </w:rPr>
      </w:pPr>
    </w:p>
    <w:p>
      <w:pPr>
        <w:jc w:val="both"/>
        <w:ind w:left="540" w:right="100"/>
        <w:spacing w:after="0" w:line="294" w:lineRule="auto"/>
        <w:rPr>
          <w:sz w:val="20"/>
          <w:szCs w:val="20"/>
          <w:color w:val="auto"/>
        </w:rPr>
      </w:pPr>
      <w:r>
        <w:rPr>
          <w:rFonts w:ascii="Arial" w:cs="Arial" w:eastAsia="Arial" w:hAnsi="Arial"/>
          <w:sz w:val="16"/>
          <w:szCs w:val="16"/>
          <w:color w:val="auto"/>
        </w:rPr>
        <w:t>Also on April 8, 2009, we approved the closure of our Japanese operation, which was part of our Mechanical Products segment. The four full-time and one part-time employees were notified of this planned closure on April 24, 2009. Three full-time employees were terminated on May 31, 2009. The two remaining employees were terminated during the fourth quarter of 2009. No one-time termination benefits were paid to these employees when they were terminated. During the third quarter of 2009, we recorded facility closure costs of $27 for our Japanese operation. We vacated our Japanese facility at the end of the third quarter of 2009. We completed the closure of this operation during the fourth quarter of 2009.</w:t>
      </w:r>
    </w:p>
    <w:p>
      <w:pPr>
        <w:spacing w:after="0" w:line="170" w:lineRule="exact"/>
        <w:rPr>
          <w:sz w:val="20"/>
          <w:szCs w:val="20"/>
          <w:color w:val="auto"/>
        </w:rPr>
      </w:pPr>
    </w:p>
    <w:p>
      <w:pPr>
        <w:ind w:left="540" w:right="200"/>
        <w:spacing w:after="0" w:line="294" w:lineRule="auto"/>
        <w:rPr>
          <w:sz w:val="20"/>
          <w:szCs w:val="20"/>
          <w:color w:val="auto"/>
        </w:rPr>
      </w:pPr>
      <w:r>
        <w:rPr>
          <w:rFonts w:ascii="Arial" w:cs="Arial" w:eastAsia="Arial" w:hAnsi="Arial"/>
          <w:sz w:val="16"/>
          <w:szCs w:val="16"/>
          <w:color w:val="auto"/>
        </w:rPr>
        <w:t>On April 14, 2009, we approved reductions in workforce in our Singaporean operation, which was also part of our Mechanical Products segment at that time, of eight employees and notified these employees of their planned termination on April 20, 2009. We terminated four employees on May 15, 2009, one employee on May 31, 2009, and three employees on June 30, 2009. We incurred approximately $51 in total costs related to this action for one-time termination benefits. We incurred these costs during the second quarter of 2009. In connection with this action, we centralized manufacturing of all mechanical products in our Cherry Hill, New Jersey operation.</w:t>
      </w:r>
    </w:p>
    <w:p>
      <w:pPr>
        <w:spacing w:after="0" w:line="170"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The reductions in force noted above for our Japanese and Singaporean operations totaled 13 employees, representing 26% of the employees in our Mechanical Products segment.</w:t>
      </w:r>
    </w:p>
    <w:p>
      <w:pPr>
        <w:spacing w:after="0" w:line="186" w:lineRule="exact"/>
        <w:rPr>
          <w:sz w:val="20"/>
          <w:szCs w:val="20"/>
          <w:color w:val="auto"/>
        </w:rPr>
      </w:pPr>
    </w:p>
    <w:p>
      <w:pPr>
        <w:ind w:left="540" w:right="460"/>
        <w:spacing w:after="0" w:line="268" w:lineRule="auto"/>
        <w:rPr>
          <w:sz w:val="20"/>
          <w:szCs w:val="20"/>
          <w:color w:val="auto"/>
        </w:rPr>
      </w:pPr>
      <w:r>
        <w:rPr>
          <w:rFonts w:ascii="Arial" w:cs="Arial" w:eastAsia="Arial" w:hAnsi="Arial"/>
          <w:sz w:val="18"/>
          <w:szCs w:val="18"/>
          <w:color w:val="auto"/>
        </w:rPr>
        <w:t>All of the actions discussed above (collectively, the "Q2 2009 MP Plan") were taken to reduce the operating expenses of this segment in response to current business conditions.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Electrical Products Segment</w:t>
      </w:r>
    </w:p>
    <w:p>
      <w:pPr>
        <w:spacing w:after="0" w:line="15" w:lineRule="exact"/>
        <w:rPr>
          <w:sz w:val="20"/>
          <w:szCs w:val="20"/>
          <w:color w:val="auto"/>
        </w:rPr>
      </w:pPr>
    </w:p>
    <w:p>
      <w:pPr>
        <w:ind w:left="540" w:right="100"/>
        <w:spacing w:after="0" w:line="295" w:lineRule="auto"/>
        <w:rPr>
          <w:sz w:val="20"/>
          <w:szCs w:val="20"/>
          <w:color w:val="auto"/>
        </w:rPr>
      </w:pPr>
      <w:r>
        <w:rPr>
          <w:rFonts w:ascii="Arial" w:cs="Arial" w:eastAsia="Arial" w:hAnsi="Arial"/>
          <w:sz w:val="16"/>
          <w:szCs w:val="16"/>
          <w:color w:val="auto"/>
        </w:rPr>
        <w:t>On April 27, 2009, we approved workforce reductions in our Electrical Products segment (the "Q2 2009 EP Workforce Reduction"). On April 30, 2009, we terminated 10 employees and an additional staff person was terminated on May 15, 2009, which represented 61% of the employees in this segment. We incurred approximately $77 in total costs related to these actions for one-time termination benefits. We incurred these costs during the second quarter of 2009. These actions were taken to reduce the operating expenses of this segment in response to current business conditions.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Corporate Segment</w:t>
      </w:r>
    </w:p>
    <w:p>
      <w:pPr>
        <w:spacing w:after="0" w:line="15" w:lineRule="exact"/>
        <w:rPr>
          <w:sz w:val="20"/>
          <w:szCs w:val="20"/>
          <w:color w:val="auto"/>
        </w:rPr>
      </w:pPr>
    </w:p>
    <w:p>
      <w:pPr>
        <w:ind w:left="540" w:right="240"/>
        <w:spacing w:after="0" w:line="292" w:lineRule="auto"/>
        <w:rPr>
          <w:sz w:val="20"/>
          <w:szCs w:val="20"/>
          <w:color w:val="auto"/>
        </w:rPr>
      </w:pPr>
      <w:r>
        <w:rPr>
          <w:rFonts w:ascii="Arial" w:cs="Arial" w:eastAsia="Arial" w:hAnsi="Arial"/>
          <w:sz w:val="16"/>
          <w:szCs w:val="16"/>
          <w:color w:val="auto"/>
        </w:rPr>
        <w:t>On April 8, 2009, we approved a reduction in workforce in our Corporate segment of one employee which represented approximately 20% of the employees in this segment (the "Q2 2009 Corporate Workforce Reduction"). We incurred approximately $6 in total costs related to this action for one-time termination benefits. These costs were incurred in the second quarter of 2009. We also approved a reduction in the base salary of our Executive Chairman of approximately $152. We completed the communications of these actions to our employees on April 15, 2009. These actions were taken to reduce the operating expenses of this segment in response to current business conditions.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131" w:right="25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RESTRUCTURING AND OTHER CHARGES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restructuring costs for the nine months ended September 30, 2010 are summarized as follows:</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5"/>
              </w:rPr>
              <w:t>Sigma</w:t>
            </w:r>
          </w:p>
        </w:tc>
      </w:tr>
      <w:tr>
        <w:trPr>
          <w:trHeight w:val="146"/>
        </w:trPr>
        <w:tc>
          <w:tcPr>
            <w:tcW w:w="4220" w:type="dxa"/>
            <w:vAlign w:val="bottom"/>
          </w:tcPr>
          <w:p>
            <w:pPr>
              <w:spacing w:after="0"/>
              <w:rPr>
                <w:sz w:val="12"/>
                <w:szCs w:val="12"/>
                <w:color w:val="auto"/>
              </w:rPr>
            </w:pPr>
          </w:p>
        </w:tc>
        <w:tc>
          <w:tcPr>
            <w:tcW w:w="980" w:type="dxa"/>
            <w:vAlign w:val="bottom"/>
            <w:gridSpan w:val="4"/>
          </w:tcPr>
          <w:p>
            <w:pPr>
              <w:jc w:val="center"/>
              <w:ind w:left="232"/>
              <w:spacing w:after="0" w:line="146" w:lineRule="exact"/>
              <w:rPr>
                <w:sz w:val="20"/>
                <w:szCs w:val="20"/>
                <w:color w:val="auto"/>
              </w:rPr>
            </w:pPr>
            <w:r>
              <w:rPr>
                <w:rFonts w:ascii="Arial" w:cs="Arial" w:eastAsia="Arial" w:hAnsi="Arial"/>
                <w:sz w:val="14"/>
                <w:szCs w:val="14"/>
                <w:b w:val="1"/>
                <w:bCs w:val="1"/>
                <w:i w:val="1"/>
                <w:iCs w:val="1"/>
                <w:color w:val="auto"/>
                <w:w w:val="83"/>
              </w:rPr>
              <w:t>Relocation</w:t>
            </w:r>
          </w:p>
        </w:tc>
      </w:tr>
      <w:tr>
        <w:trPr>
          <w:trHeight w:val="235"/>
        </w:trPr>
        <w:tc>
          <w:tcPr>
            <w:tcW w:w="422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340" w:type="dxa"/>
            <w:vAlign w:val="bottom"/>
          </w:tcPr>
          <w:p>
            <w:pPr>
              <w:spacing w:after="0"/>
              <w:rPr>
                <w:sz w:val="20"/>
                <w:szCs w:val="20"/>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0"/>
                <w:szCs w:val="20"/>
                <w:color w:val="auto"/>
              </w:rPr>
            </w:pPr>
          </w:p>
        </w:tc>
      </w:tr>
      <w:tr>
        <w:trPr>
          <w:trHeight w:val="453"/>
        </w:trPr>
        <w:tc>
          <w:tcPr>
            <w:tcW w:w="4220" w:type="dxa"/>
            <w:vAlign w:val="bottom"/>
          </w:tcPr>
          <w:p>
            <w:pPr>
              <w:spacing w:after="0"/>
              <w:rPr>
                <w:sz w:val="20"/>
                <w:szCs w:val="20"/>
                <w:color w:val="auto"/>
              </w:rPr>
            </w:pPr>
            <w:r>
              <w:rPr>
                <w:rFonts w:ascii="Arial" w:cs="Arial" w:eastAsia="Arial" w:hAnsi="Arial"/>
                <w:sz w:val="18"/>
                <w:szCs w:val="18"/>
                <w:color w:val="auto"/>
                <w:w w:val="93"/>
              </w:rPr>
              <w:t>Severance and other cash payments related to one-time</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4"/>
        </w:trPr>
        <w:tc>
          <w:tcPr>
            <w:tcW w:w="4220" w:type="dxa"/>
            <w:vAlign w:val="bottom"/>
          </w:tcPr>
          <w:p>
            <w:pPr>
              <w:ind w:left="80"/>
              <w:spacing w:after="0" w:line="184" w:lineRule="exact"/>
              <w:rPr>
                <w:sz w:val="20"/>
                <w:szCs w:val="20"/>
                <w:color w:val="auto"/>
              </w:rPr>
            </w:pPr>
            <w:r>
              <w:rPr>
                <w:rFonts w:ascii="Arial" w:cs="Arial" w:eastAsia="Arial" w:hAnsi="Arial"/>
                <w:sz w:val="18"/>
                <w:szCs w:val="18"/>
                <w:color w:val="auto"/>
              </w:rPr>
              <w:t>termination benefits and facility closure costs</w:t>
            </w:r>
          </w:p>
        </w:tc>
        <w:tc>
          <w:tcPr>
            <w:tcW w:w="620" w:type="dxa"/>
            <w:vAlign w:val="bottom"/>
            <w:gridSpan w:val="2"/>
          </w:tcPr>
          <w:p>
            <w:pPr>
              <w:spacing w:after="0"/>
              <w:rPr>
                <w:sz w:val="15"/>
                <w:szCs w:val="15"/>
                <w:color w:val="auto"/>
              </w:rPr>
            </w:pPr>
          </w:p>
        </w:tc>
        <w:tc>
          <w:tcPr>
            <w:tcW w:w="36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0"/>
              </w:rPr>
              <w:t>(130)</w:t>
            </w:r>
          </w:p>
        </w:tc>
      </w:tr>
      <w:tr>
        <w:trPr>
          <w:trHeight w:val="20"/>
        </w:trPr>
        <w:tc>
          <w:tcPr>
            <w:tcW w:w="4220" w:type="dxa"/>
            <w:vAlign w:val="bottom"/>
          </w:tcPr>
          <w:p>
            <w:pPr>
              <w:spacing w:after="0" w:line="20" w:lineRule="exact"/>
              <w:rPr>
                <w:sz w:val="1"/>
                <w:szCs w:val="1"/>
                <w:color w:val="auto"/>
              </w:rPr>
            </w:pPr>
          </w:p>
        </w:tc>
        <w:tc>
          <w:tcPr>
            <w:tcW w:w="62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220" w:type="dxa"/>
            <w:vAlign w:val="bottom"/>
          </w:tcPr>
          <w:p>
            <w:pPr>
              <w:spacing w:after="0"/>
              <w:rPr>
                <w:sz w:val="20"/>
                <w:szCs w:val="20"/>
                <w:color w:val="auto"/>
              </w:rPr>
            </w:pPr>
            <w:r>
              <w:rPr>
                <w:rFonts w:ascii="Arial" w:cs="Arial" w:eastAsia="Arial" w:hAnsi="Arial"/>
                <w:sz w:val="18"/>
                <w:szCs w:val="18"/>
                <w:color w:val="auto"/>
              </w:rPr>
              <w:t>Balance - September 30, 2010</w:t>
            </w:r>
          </w:p>
        </w:tc>
        <w:tc>
          <w:tcPr>
            <w:tcW w:w="62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4"/>
                <w:szCs w:val="24"/>
                <w:color w:val="auto"/>
              </w:rPr>
            </w:pPr>
          </w:p>
        </w:tc>
      </w:tr>
      <w:tr>
        <w:trPr>
          <w:trHeight w:val="20"/>
        </w:trPr>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restructuring costs for the nine months ended September 30, 2009 are summarized as follows:</w:t>
      </w:r>
    </w:p>
    <w:p>
      <w:pPr>
        <w:spacing w:after="0" w:line="37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5"/>
          </w:tcPr>
          <w:p>
            <w:pPr>
              <w:jc w:val="center"/>
              <w:ind w:right="60"/>
              <w:spacing w:after="0"/>
              <w:rPr>
                <w:sz w:val="20"/>
                <w:szCs w:val="20"/>
                <w:color w:val="auto"/>
              </w:rPr>
            </w:pPr>
            <w:r>
              <w:rPr>
                <w:rFonts w:ascii="Arial" w:cs="Arial" w:eastAsia="Arial" w:hAnsi="Arial"/>
                <w:sz w:val="14"/>
                <w:szCs w:val="14"/>
                <w:b w:val="1"/>
                <w:bCs w:val="1"/>
                <w:i w:val="1"/>
                <w:iCs w:val="1"/>
                <w:color w:val="auto"/>
                <w:w w:val="70"/>
              </w:rPr>
              <w:t>Q3 2008</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7"/>
          </w:tcPr>
          <w:p>
            <w:pPr>
              <w:jc w:val="right"/>
              <w:ind w:right="80"/>
              <w:spacing w:after="0"/>
              <w:rPr>
                <w:sz w:val="20"/>
                <w:szCs w:val="20"/>
                <w:color w:val="auto"/>
              </w:rPr>
            </w:pPr>
            <w:r>
              <w:rPr>
                <w:rFonts w:ascii="Arial" w:cs="Arial" w:eastAsia="Arial" w:hAnsi="Arial"/>
                <w:sz w:val="14"/>
                <w:szCs w:val="14"/>
                <w:b w:val="1"/>
                <w:bCs w:val="1"/>
                <w:i w:val="1"/>
                <w:iCs w:val="1"/>
                <w:color w:val="auto"/>
                <w:w w:val="81"/>
              </w:rPr>
              <w:t>Q4 2008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8"/>
          </w:tcPr>
          <w:p>
            <w:pPr>
              <w:jc w:val="right"/>
              <w:ind w:right="320"/>
              <w:spacing w:after="0"/>
              <w:rPr>
                <w:sz w:val="20"/>
                <w:szCs w:val="20"/>
                <w:color w:val="auto"/>
              </w:rPr>
            </w:pPr>
            <w:r>
              <w:rPr>
                <w:rFonts w:ascii="Arial" w:cs="Arial" w:eastAsia="Arial" w:hAnsi="Arial"/>
                <w:sz w:val="14"/>
                <w:szCs w:val="14"/>
                <w:b w:val="1"/>
                <w:bCs w:val="1"/>
                <w:i w:val="1"/>
                <w:iCs w:val="1"/>
                <w:color w:val="auto"/>
                <w:w w:val="93"/>
              </w:rPr>
              <w:t>Q3 2008</w:t>
            </w:r>
          </w:p>
        </w:tc>
        <w:tc>
          <w:tcPr>
            <w:tcW w:w="820" w:type="dxa"/>
            <w:vAlign w:val="bottom"/>
            <w:gridSpan w:val="10"/>
          </w:tcPr>
          <w:p>
            <w:pPr>
              <w:jc w:val="right"/>
              <w:ind w:right="220"/>
              <w:spacing w:after="0"/>
              <w:rPr>
                <w:sz w:val="20"/>
                <w:szCs w:val="20"/>
                <w:color w:val="auto"/>
              </w:rPr>
            </w:pPr>
            <w:r>
              <w:rPr>
                <w:rFonts w:ascii="Arial" w:cs="Arial" w:eastAsia="Arial" w:hAnsi="Arial"/>
                <w:sz w:val="14"/>
                <w:szCs w:val="14"/>
                <w:b w:val="1"/>
                <w:bCs w:val="1"/>
                <w:i w:val="1"/>
                <w:iCs w:val="1"/>
                <w:color w:val="auto"/>
              </w:rPr>
              <w:t>Q4 2008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95"/>
              </w:rPr>
              <w:t>MP</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6"/>
          </w:tcPr>
          <w:p>
            <w:pPr>
              <w:jc w:val="right"/>
              <w:ind w:right="220"/>
              <w:spacing w:after="0" w:line="149" w:lineRule="exact"/>
              <w:rPr>
                <w:sz w:val="20"/>
                <w:szCs w:val="20"/>
                <w:color w:val="auto"/>
              </w:rPr>
            </w:pPr>
            <w:r>
              <w:rPr>
                <w:rFonts w:ascii="Arial" w:cs="Arial" w:eastAsia="Arial" w:hAnsi="Arial"/>
                <w:sz w:val="14"/>
                <w:szCs w:val="14"/>
                <w:b w:val="1"/>
                <w:bCs w:val="1"/>
                <w:i w:val="1"/>
                <w:iCs w:val="1"/>
                <w:color w:val="auto"/>
                <w:w w:val="95"/>
              </w:rPr>
              <w:t>MP</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i w:val="1"/>
                <w:iCs w:val="1"/>
                <w:color w:val="auto"/>
              </w:rPr>
              <w:t>EP</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6"/>
          </w:tcPr>
          <w:p>
            <w:pPr>
              <w:jc w:val="right"/>
              <w:ind w:right="360"/>
              <w:spacing w:after="0" w:line="149" w:lineRule="exact"/>
              <w:rPr>
                <w:sz w:val="20"/>
                <w:szCs w:val="20"/>
                <w:color w:val="auto"/>
              </w:rPr>
            </w:pPr>
            <w:r>
              <w:rPr>
                <w:rFonts w:ascii="Arial" w:cs="Arial" w:eastAsia="Arial" w:hAnsi="Arial"/>
                <w:sz w:val="14"/>
                <w:szCs w:val="14"/>
                <w:b w:val="1"/>
                <w:bCs w:val="1"/>
                <w:i w:val="1"/>
                <w:iCs w:val="1"/>
                <w:color w:val="auto"/>
              </w:rPr>
              <w:t>EP</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w w:val="80"/>
              </w:rPr>
              <w:t>Sub-Total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bottom w:val="single" w:sz="8" w:color="auto"/>
            </w:tcBorders>
            <w:gridSpan w:val="4"/>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7"/>
              </w:rPr>
              <w:t>Plan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5"/>
          </w:tcPr>
          <w:p>
            <w:pPr>
              <w:jc w:val="right"/>
              <w:ind w:right="100"/>
              <w:spacing w:after="0" w:line="146" w:lineRule="exact"/>
              <w:rPr>
                <w:sz w:val="20"/>
                <w:szCs w:val="20"/>
                <w:color w:val="auto"/>
              </w:rPr>
            </w:pPr>
            <w:r>
              <w:rPr>
                <w:rFonts w:ascii="Arial" w:cs="Arial" w:eastAsia="Arial" w:hAnsi="Arial"/>
                <w:sz w:val="14"/>
                <w:szCs w:val="14"/>
                <w:b w:val="1"/>
                <w:bCs w:val="1"/>
                <w:i w:val="1"/>
                <w:iCs w:val="1"/>
                <w:color w:val="auto"/>
                <w:w w:val="81"/>
              </w:rPr>
              <w:t>Plan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3"/>
          </w:tcPr>
          <w:p>
            <w:pPr>
              <w:jc w:val="right"/>
              <w:ind w:right="40"/>
              <w:spacing w:after="0" w:line="146" w:lineRule="exact"/>
              <w:rPr>
                <w:sz w:val="20"/>
                <w:szCs w:val="20"/>
                <w:color w:val="auto"/>
              </w:rPr>
            </w:pPr>
            <w:r>
              <w:rPr>
                <w:rFonts w:ascii="Arial" w:cs="Arial" w:eastAsia="Arial" w:hAnsi="Arial"/>
                <w:sz w:val="14"/>
                <w:szCs w:val="14"/>
                <w:b w:val="1"/>
                <w:bCs w:val="1"/>
                <w:i w:val="1"/>
                <w:iCs w:val="1"/>
                <w:color w:val="auto"/>
              </w:rPr>
              <w:t>Plan</w:t>
            </w:r>
          </w:p>
        </w:tc>
        <w:tc>
          <w:tcPr>
            <w:tcW w:w="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4"/>
          </w:tcPr>
          <w:p>
            <w:pPr>
              <w:jc w:val="right"/>
              <w:ind w:right="100"/>
              <w:spacing w:after="0" w:line="146" w:lineRule="exact"/>
              <w:rPr>
                <w:sz w:val="20"/>
                <w:szCs w:val="20"/>
                <w:color w:val="auto"/>
              </w:rPr>
            </w:pPr>
            <w:r>
              <w:rPr>
                <w:rFonts w:ascii="Arial" w:cs="Arial" w:eastAsia="Arial" w:hAnsi="Arial"/>
                <w:sz w:val="14"/>
                <w:szCs w:val="14"/>
                <w:b w:val="1"/>
                <w:bCs w:val="1"/>
                <w:i w:val="1"/>
                <w:iCs w:val="1"/>
                <w:color w:val="auto"/>
                <w:w w:val="87"/>
              </w:rPr>
              <w:t>Plan</w:t>
            </w:r>
          </w:p>
        </w:tc>
        <w:tc>
          <w:tcPr>
            <w:tcW w:w="2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gridSpan w:val="5"/>
          </w:tcPr>
          <w:p>
            <w:pPr>
              <w:jc w:val="right"/>
              <w:spacing w:after="0" w:line="146" w:lineRule="exact"/>
              <w:rPr>
                <w:sz w:val="20"/>
                <w:szCs w:val="20"/>
                <w:color w:val="auto"/>
              </w:rPr>
            </w:pPr>
            <w:r>
              <w:rPr>
                <w:rFonts w:ascii="Arial" w:cs="Arial" w:eastAsia="Arial" w:hAnsi="Arial"/>
                <w:sz w:val="14"/>
                <w:szCs w:val="14"/>
                <w:b w:val="1"/>
                <w:bCs w:val="1"/>
                <w:i w:val="1"/>
                <w:iCs w:val="1"/>
                <w:color w:val="auto"/>
                <w:w w:val="82"/>
              </w:rPr>
              <w:t>2008 Plans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5"/>
        </w:trPr>
        <w:tc>
          <w:tcPr>
            <w:tcW w:w="4080" w:type="dxa"/>
            <w:vAlign w:val="bottom"/>
          </w:tcPr>
          <w:p>
            <w:pPr>
              <w:spacing w:after="0"/>
              <w:rPr>
                <w:sz w:val="20"/>
                <w:szCs w:val="20"/>
                <w:color w:val="auto"/>
              </w:rPr>
            </w:pPr>
            <w:r>
              <w:rPr>
                <w:rFonts w:ascii="Arial" w:cs="Arial" w:eastAsia="Arial" w:hAnsi="Arial"/>
                <w:sz w:val="18"/>
                <w:szCs w:val="18"/>
                <w:color w:val="auto"/>
              </w:rPr>
              <w:t>Balance - January 1, 2009</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$ 72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6"/>
          </w:tcPr>
          <w:p>
            <w:pPr>
              <w:jc w:val="right"/>
              <w:ind w:right="80"/>
              <w:spacing w:after="0"/>
              <w:rPr>
                <w:sz w:val="20"/>
                <w:szCs w:val="20"/>
                <w:color w:val="auto"/>
              </w:rPr>
            </w:pPr>
            <w:r>
              <w:rPr>
                <w:rFonts w:ascii="Arial" w:cs="Arial" w:eastAsia="Arial" w:hAnsi="Arial"/>
                <w:sz w:val="18"/>
                <w:szCs w:val="18"/>
                <w:color w:val="auto"/>
                <w:w w:val="96"/>
              </w:rPr>
              <w:t>$ 28</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7"/>
          </w:tcPr>
          <w:p>
            <w:pPr>
              <w:jc w:val="right"/>
              <w:ind w:right="127"/>
              <w:spacing w:after="0"/>
              <w:rPr>
                <w:sz w:val="20"/>
                <w:szCs w:val="20"/>
                <w:color w:val="auto"/>
              </w:rPr>
            </w:pPr>
            <w:r>
              <w:rPr>
                <w:rFonts w:ascii="Arial" w:cs="Arial" w:eastAsia="Arial" w:hAnsi="Arial"/>
                <w:sz w:val="18"/>
                <w:szCs w:val="18"/>
                <w:color w:val="auto"/>
              </w:rPr>
              <w:t>$ 3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$ 38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080" w:type="dxa"/>
            <w:vAlign w:val="bottom"/>
          </w:tcPr>
          <w:p>
            <w:pPr>
              <w:spacing w:after="0"/>
              <w:rPr>
                <w:sz w:val="20"/>
                <w:szCs w:val="20"/>
                <w:color w:val="auto"/>
              </w:rPr>
            </w:pPr>
            <w:r>
              <w:rPr>
                <w:rFonts w:ascii="Arial" w:cs="Arial" w:eastAsia="Arial" w:hAnsi="Arial"/>
                <w:sz w:val="18"/>
                <w:szCs w:val="18"/>
                <w:color w:val="auto"/>
                <w:w w:val="91"/>
              </w:rPr>
              <w:t>Accruals for (reversals of) one-time termination benefits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6"/>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7"/>
          </w:tcPr>
          <w:p>
            <w:pPr>
              <w:jc w:val="right"/>
              <w:ind w:right="87"/>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5"/>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4080" w:type="dxa"/>
            <w:vAlign w:val="bottom"/>
          </w:tcPr>
          <w:p>
            <w:pPr>
              <w:spacing w:after="0"/>
              <w:rPr>
                <w:sz w:val="20"/>
                <w:szCs w:val="20"/>
                <w:color w:val="auto"/>
              </w:rPr>
            </w:pPr>
            <w:r>
              <w:rPr>
                <w:rFonts w:ascii="Arial" w:cs="Arial" w:eastAsia="Arial" w:hAnsi="Arial"/>
                <w:sz w:val="18"/>
                <w:szCs w:val="18"/>
                <w:color w:val="auto"/>
                <w:w w:val="90"/>
              </w:rPr>
              <w:t>Severance and other cash payments related to one-time</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4080" w:type="dxa"/>
            <w:vAlign w:val="bottom"/>
          </w:tcPr>
          <w:p>
            <w:pPr>
              <w:ind w:left="80"/>
              <w:spacing w:after="0" w:line="184" w:lineRule="exact"/>
              <w:rPr>
                <w:sz w:val="20"/>
                <w:szCs w:val="20"/>
                <w:color w:val="auto"/>
              </w:rPr>
            </w:pPr>
            <w:r>
              <w:rPr>
                <w:rFonts w:ascii="Arial" w:cs="Arial" w:eastAsia="Arial" w:hAnsi="Arial"/>
                <w:sz w:val="18"/>
                <w:szCs w:val="18"/>
                <w:color w:val="auto"/>
              </w:rPr>
              <w:t>termination benefits</w:t>
            </w:r>
          </w:p>
        </w:tc>
        <w:tc>
          <w:tcPr>
            <w:tcW w:w="440" w:type="dxa"/>
            <w:vAlign w:val="bottom"/>
            <w:gridSpan w:val="2"/>
          </w:tcPr>
          <w:p>
            <w:pPr>
              <w:spacing w:after="0"/>
              <w:rPr>
                <w:sz w:val="15"/>
                <w:szCs w:val="15"/>
                <w:color w:val="auto"/>
              </w:rPr>
            </w:pPr>
          </w:p>
        </w:tc>
        <w:tc>
          <w:tcPr>
            <w:tcW w:w="380" w:type="dxa"/>
            <w:vAlign w:val="bottom"/>
            <w:gridSpan w:val="4"/>
          </w:tcPr>
          <w:p>
            <w:pPr>
              <w:jc w:val="right"/>
              <w:ind w:right="40"/>
              <w:spacing w:after="0" w:line="184" w:lineRule="exact"/>
              <w:rPr>
                <w:sz w:val="20"/>
                <w:szCs w:val="20"/>
                <w:color w:val="auto"/>
              </w:rPr>
            </w:pPr>
            <w:r>
              <w:rPr>
                <w:rFonts w:ascii="Arial" w:cs="Arial" w:eastAsia="Arial" w:hAnsi="Arial"/>
                <w:sz w:val="18"/>
                <w:szCs w:val="18"/>
                <w:color w:val="auto"/>
                <w:w w:val="99"/>
              </w:rPr>
              <w:t>(82)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6"/>
          </w:tcPr>
          <w:p>
            <w:pPr>
              <w:jc w:val="right"/>
              <w:ind w:right="40"/>
              <w:spacing w:after="0" w:line="184"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gridSpan w:val="2"/>
          </w:tcPr>
          <w:p>
            <w:pPr>
              <w:jc w:val="right"/>
              <w:ind w:right="127"/>
              <w:spacing w:after="0" w:line="184"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5"/>
          </w:tcPr>
          <w:p>
            <w:pPr>
              <w:jc w:val="right"/>
              <w:ind w:right="100"/>
              <w:spacing w:after="0" w:line="184" w:lineRule="exact"/>
              <w:rPr>
                <w:sz w:val="20"/>
                <w:szCs w:val="20"/>
                <w:color w:val="auto"/>
              </w:rPr>
            </w:pPr>
            <w:r>
              <w:rPr>
                <w:rFonts w:ascii="Arial" w:cs="Arial" w:eastAsia="Arial" w:hAnsi="Arial"/>
                <w:sz w:val="18"/>
                <w:szCs w:val="18"/>
                <w:color w:val="auto"/>
              </w:rPr>
              <w:t>(33)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5"/>
          </w:tcPr>
          <w:p>
            <w:pPr>
              <w:jc w:val="right"/>
              <w:ind w:right="52"/>
              <w:spacing w:after="0" w:line="184" w:lineRule="exact"/>
              <w:rPr>
                <w:sz w:val="20"/>
                <w:szCs w:val="20"/>
                <w:color w:val="auto"/>
              </w:rPr>
            </w:pPr>
            <w:r>
              <w:rPr>
                <w:rFonts w:ascii="Arial" w:cs="Arial" w:eastAsia="Arial" w:hAnsi="Arial"/>
                <w:sz w:val="18"/>
                <w:szCs w:val="18"/>
                <w:color w:val="auto"/>
              </w:rPr>
              <w:t>(139)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080" w:type="dxa"/>
            <w:vAlign w:val="bottom"/>
          </w:tcPr>
          <w:p>
            <w:pPr>
              <w:spacing w:after="0"/>
              <w:rPr>
                <w:sz w:val="20"/>
                <w:szCs w:val="20"/>
                <w:color w:val="auto"/>
              </w:rPr>
            </w:pPr>
            <w:r>
              <w:rPr>
                <w:rFonts w:ascii="Arial" w:cs="Arial" w:eastAsia="Arial" w:hAnsi="Arial"/>
                <w:sz w:val="18"/>
                <w:szCs w:val="18"/>
                <w:color w:val="auto"/>
              </w:rPr>
              <w:t>Balance - September 30, 2009</w:t>
            </w:r>
          </w:p>
        </w:tc>
        <w:tc>
          <w:tcPr>
            <w:tcW w:w="440" w:type="dxa"/>
            <w:vAlign w:val="bottom"/>
            <w:gridSpan w:val="2"/>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6"/>
          </w:tcPr>
          <w:p>
            <w:pPr>
              <w:jc w:val="right"/>
              <w:ind w:right="80"/>
              <w:spacing w:after="0"/>
              <w:rPr>
                <w:sz w:val="20"/>
                <w:szCs w:val="20"/>
                <w:color w:val="auto"/>
              </w:rPr>
            </w:pPr>
            <w:r>
              <w:rPr>
                <w:rFonts w:ascii="Arial" w:cs="Arial" w:eastAsia="Arial" w:hAnsi="Arial"/>
                <w:sz w:val="18"/>
                <w:szCs w:val="18"/>
                <w:color w:val="auto"/>
              </w:rPr>
              <w:t>$  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  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7"/>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6"/>
          </w:tcPr>
          <w:p>
            <w:pPr>
              <w:jc w:val="center"/>
              <w:ind w:right="200"/>
              <w:spacing w:after="0"/>
              <w:rPr>
                <w:sz w:val="20"/>
                <w:szCs w:val="20"/>
                <w:color w:val="auto"/>
              </w:rPr>
            </w:pPr>
            <w:r>
              <w:rPr>
                <w:rFonts w:ascii="Arial" w:cs="Arial" w:eastAsia="Arial" w:hAnsi="Arial"/>
                <w:sz w:val="14"/>
                <w:szCs w:val="14"/>
                <w:b w:val="1"/>
                <w:bCs w:val="1"/>
                <w:i w:val="1"/>
                <w:iCs w:val="1"/>
                <w:color w:val="auto"/>
                <w:w w:val="85"/>
              </w:rPr>
              <w:t>Q1 2009</w:t>
            </w:r>
          </w:p>
        </w:tc>
        <w:tc>
          <w:tcPr>
            <w:tcW w:w="40" w:type="dxa"/>
            <w:vAlign w:val="bottom"/>
          </w:tcPr>
          <w:p>
            <w:pPr>
              <w:spacing w:after="0"/>
              <w:rPr>
                <w:sz w:val="24"/>
                <w:szCs w:val="24"/>
                <w:color w:val="auto"/>
              </w:rPr>
            </w:pPr>
          </w:p>
        </w:tc>
        <w:tc>
          <w:tcPr>
            <w:tcW w:w="820" w:type="dxa"/>
            <w:vAlign w:val="bottom"/>
            <w:gridSpan w:val="8"/>
          </w:tcPr>
          <w:p>
            <w:pPr>
              <w:jc w:val="center"/>
              <w:ind w:right="240"/>
              <w:spacing w:after="0"/>
              <w:rPr>
                <w:sz w:val="20"/>
                <w:szCs w:val="20"/>
                <w:color w:val="auto"/>
              </w:rPr>
            </w:pPr>
            <w:r>
              <w:rPr>
                <w:rFonts w:ascii="Arial" w:cs="Arial" w:eastAsia="Arial" w:hAnsi="Arial"/>
                <w:sz w:val="14"/>
                <w:szCs w:val="14"/>
                <w:b w:val="1"/>
                <w:bCs w:val="1"/>
                <w:i w:val="1"/>
                <w:iCs w:val="1"/>
                <w:color w:val="auto"/>
                <w:w w:val="85"/>
              </w:rPr>
              <w:t>Q2 2009</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6"/>
          </w:tcPr>
          <w:p>
            <w:pPr>
              <w:jc w:val="center"/>
              <w:ind w:right="40"/>
              <w:spacing w:after="0"/>
              <w:rPr>
                <w:sz w:val="20"/>
                <w:szCs w:val="20"/>
                <w:color w:val="auto"/>
              </w:rPr>
            </w:pPr>
            <w:r>
              <w:rPr>
                <w:rFonts w:ascii="Arial" w:cs="Arial" w:eastAsia="Arial" w:hAnsi="Arial"/>
                <w:sz w:val="14"/>
                <w:szCs w:val="14"/>
                <w:b w:val="1"/>
                <w:bCs w:val="1"/>
                <w:i w:val="1"/>
                <w:iCs w:val="1"/>
                <w:color w:val="auto"/>
                <w:w w:val="89"/>
              </w:rPr>
              <w:t>Q2 2009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8"/>
          </w:tcPr>
          <w:p>
            <w:pPr>
              <w:jc w:val="center"/>
              <w:ind w:right="20"/>
              <w:spacing w:after="0"/>
              <w:rPr>
                <w:sz w:val="20"/>
                <w:szCs w:val="20"/>
                <w:color w:val="auto"/>
              </w:rPr>
            </w:pPr>
            <w:r>
              <w:rPr>
                <w:rFonts w:ascii="Arial" w:cs="Arial" w:eastAsia="Arial" w:hAnsi="Arial"/>
                <w:sz w:val="14"/>
                <w:szCs w:val="14"/>
                <w:b w:val="1"/>
                <w:bCs w:val="1"/>
                <w:i w:val="1"/>
                <w:iCs w:val="1"/>
                <w:color w:val="auto"/>
                <w:w w:val="85"/>
              </w:rPr>
              <w:t>Q2 2009</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ind w:left="67"/>
              <w:spacing w:after="0" w:line="149" w:lineRule="exact"/>
              <w:rPr>
                <w:sz w:val="20"/>
                <w:szCs w:val="20"/>
                <w:color w:val="auto"/>
              </w:rPr>
            </w:pPr>
            <w:r>
              <w:rPr>
                <w:rFonts w:ascii="Arial" w:cs="Arial" w:eastAsia="Arial" w:hAnsi="Arial"/>
                <w:sz w:val="14"/>
                <w:szCs w:val="14"/>
                <w:b w:val="1"/>
                <w:bCs w:val="1"/>
                <w:i w:val="1"/>
                <w:iCs w:val="1"/>
                <w:color w:val="auto"/>
                <w:w w:val="89"/>
              </w:rPr>
              <w:t>TP</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gridSpan w:val="2"/>
          </w:tcPr>
          <w:p>
            <w:pPr>
              <w:jc w:val="center"/>
              <w:ind w:left="127"/>
              <w:spacing w:after="0" w:line="149" w:lineRule="exact"/>
              <w:rPr>
                <w:sz w:val="20"/>
                <w:szCs w:val="20"/>
                <w:color w:val="auto"/>
              </w:rPr>
            </w:pPr>
            <w:r>
              <w:rPr>
                <w:rFonts w:ascii="Arial" w:cs="Arial" w:eastAsia="Arial" w:hAnsi="Arial"/>
                <w:sz w:val="14"/>
                <w:szCs w:val="14"/>
                <w:b w:val="1"/>
                <w:bCs w:val="1"/>
                <w:i w:val="1"/>
                <w:iCs w:val="1"/>
                <w:color w:val="auto"/>
              </w:rPr>
              <w:t>TP</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8"/>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5"/>
              </w:rPr>
              <w:t>Q2 2009</w:t>
            </w:r>
          </w:p>
        </w:tc>
        <w:tc>
          <w:tcPr>
            <w:tcW w:w="60" w:type="dxa"/>
            <w:vAlign w:val="bottom"/>
          </w:tcPr>
          <w:p>
            <w:pPr>
              <w:spacing w:after="0"/>
              <w:rPr>
                <w:sz w:val="12"/>
                <w:szCs w:val="12"/>
                <w:color w:val="auto"/>
              </w:rPr>
            </w:pPr>
          </w:p>
        </w:tc>
        <w:tc>
          <w:tcPr>
            <w:tcW w:w="340" w:type="dxa"/>
            <w:vAlign w:val="bottom"/>
            <w:gridSpan w:val="2"/>
          </w:tcPr>
          <w:p>
            <w:pPr>
              <w:jc w:val="center"/>
              <w:ind w:left="107"/>
              <w:spacing w:after="0" w:line="149" w:lineRule="exact"/>
              <w:rPr>
                <w:sz w:val="20"/>
                <w:szCs w:val="20"/>
                <w:color w:val="auto"/>
              </w:rPr>
            </w:pPr>
            <w:r>
              <w:rPr>
                <w:rFonts w:ascii="Arial" w:cs="Arial" w:eastAsia="Arial" w:hAnsi="Arial"/>
                <w:sz w:val="14"/>
                <w:szCs w:val="14"/>
                <w:b w:val="1"/>
                <w:bCs w:val="1"/>
                <w:i w:val="1"/>
                <w:iCs w:val="1"/>
                <w:color w:val="auto"/>
                <w:w w:val="85"/>
              </w:rPr>
              <w:t>EP</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8"/>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3"/>
              </w:rPr>
              <w:t>Corporate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080" w:type="dxa"/>
            <w:vAlign w:val="bottom"/>
          </w:tcPr>
          <w:p>
            <w:pPr>
              <w:spacing w:after="0"/>
              <w:rPr>
                <w:sz w:val="12"/>
                <w:szCs w:val="12"/>
                <w:color w:val="auto"/>
              </w:rPr>
            </w:pPr>
          </w:p>
        </w:tc>
        <w:tc>
          <w:tcPr>
            <w:tcW w:w="88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83"/>
              </w:rPr>
              <w:t>Workforce</w:t>
            </w:r>
          </w:p>
        </w:tc>
        <w:tc>
          <w:tcPr>
            <w:tcW w:w="860" w:type="dxa"/>
            <w:vAlign w:val="bottom"/>
            <w:gridSpan w:val="9"/>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3"/>
              </w:rPr>
              <w:t>Workforce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i w:val="1"/>
                <w:iCs w:val="1"/>
                <w:color w:val="auto"/>
                <w:w w:val="75"/>
              </w:rPr>
              <w:t>MP</w:t>
            </w:r>
          </w:p>
        </w:tc>
        <w:tc>
          <w:tcPr>
            <w:tcW w:w="62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Workforce</w:t>
            </w:r>
          </w:p>
        </w:tc>
        <w:tc>
          <w:tcPr>
            <w:tcW w:w="100" w:type="dxa"/>
            <w:vAlign w:val="bottom"/>
          </w:tcPr>
          <w:p>
            <w:pPr>
              <w:spacing w:after="0"/>
              <w:rPr>
                <w:sz w:val="12"/>
                <w:szCs w:val="12"/>
                <w:color w:val="auto"/>
              </w:rPr>
            </w:pPr>
          </w:p>
        </w:tc>
        <w:tc>
          <w:tcPr>
            <w:tcW w:w="720" w:type="dxa"/>
            <w:vAlign w:val="bottom"/>
            <w:gridSpan w:val="9"/>
          </w:tcPr>
          <w:p>
            <w:pPr>
              <w:jc w:val="center"/>
              <w:ind w:left="32"/>
              <w:spacing w:after="0" w:line="149" w:lineRule="exact"/>
              <w:rPr>
                <w:sz w:val="20"/>
                <w:szCs w:val="20"/>
                <w:color w:val="auto"/>
              </w:rPr>
            </w:pPr>
            <w:r>
              <w:rPr>
                <w:rFonts w:ascii="Arial" w:cs="Arial" w:eastAsia="Arial" w:hAnsi="Arial"/>
                <w:sz w:val="14"/>
                <w:szCs w:val="14"/>
                <w:b w:val="1"/>
                <w:bCs w:val="1"/>
                <w:i w:val="1"/>
                <w:iCs w:val="1"/>
                <w:color w:val="auto"/>
                <w:w w:val="83"/>
              </w:rPr>
              <w:t>Workforce</w:t>
            </w:r>
          </w:p>
        </w:tc>
        <w:tc>
          <w:tcPr>
            <w:tcW w:w="240" w:type="dxa"/>
            <w:vAlign w:val="bottom"/>
          </w:tcPr>
          <w:p>
            <w:pPr>
              <w:spacing w:after="0"/>
              <w:rPr>
                <w:sz w:val="12"/>
                <w:szCs w:val="12"/>
                <w:color w:val="auto"/>
              </w:rPr>
            </w:pPr>
          </w:p>
        </w:tc>
        <w:tc>
          <w:tcPr>
            <w:tcW w:w="8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3"/>
              </w:rPr>
              <w:t>Sub-Total</w:t>
            </w:r>
          </w:p>
        </w:tc>
        <w:tc>
          <w:tcPr>
            <w:tcW w:w="220" w:type="dxa"/>
            <w:vAlign w:val="bottom"/>
          </w:tcPr>
          <w:p>
            <w:pPr>
              <w:spacing w:after="0"/>
              <w:rPr>
                <w:sz w:val="12"/>
                <w:szCs w:val="12"/>
                <w:color w:val="auto"/>
              </w:rPr>
            </w:pPr>
          </w:p>
        </w:tc>
        <w:tc>
          <w:tcPr>
            <w:tcW w:w="32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w w:val="89"/>
              </w:rPr>
              <w:t>Total</w:t>
            </w:r>
          </w:p>
        </w:tc>
      </w:tr>
      <w:tr>
        <w:trPr>
          <w:trHeight w:val="146"/>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4"/>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4"/>
              </w:rPr>
              <w:t>Reduction</w:t>
            </w: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Reduction</w:t>
            </w:r>
          </w:p>
        </w:tc>
        <w:tc>
          <w:tcPr>
            <w:tcW w:w="240" w:type="dxa"/>
            <w:vAlign w:val="bottom"/>
            <w:gridSpan w:val="3"/>
          </w:tcPr>
          <w:p>
            <w:pPr>
              <w:spacing w:after="0"/>
              <w:rPr>
                <w:sz w:val="12"/>
                <w:szCs w:val="12"/>
                <w:color w:val="auto"/>
              </w:rPr>
            </w:pPr>
          </w:p>
        </w:tc>
        <w:tc>
          <w:tcPr>
            <w:tcW w:w="780" w:type="dxa"/>
            <w:vAlign w:val="bottom"/>
            <w:gridSpan w:val="8"/>
          </w:tcPr>
          <w:p>
            <w:pPr>
              <w:jc w:val="center"/>
              <w:ind w:right="200"/>
              <w:spacing w:after="0" w:line="146" w:lineRule="exact"/>
              <w:rPr>
                <w:sz w:val="20"/>
                <w:szCs w:val="20"/>
                <w:color w:val="auto"/>
              </w:rPr>
            </w:pPr>
            <w:r>
              <w:rPr>
                <w:rFonts w:ascii="Arial" w:cs="Arial" w:eastAsia="Arial" w:hAnsi="Arial"/>
                <w:sz w:val="14"/>
                <w:szCs w:val="14"/>
                <w:b w:val="1"/>
                <w:bCs w:val="1"/>
                <w:i w:val="1"/>
                <w:iCs w:val="1"/>
                <w:color w:val="auto"/>
                <w:w w:val="87"/>
              </w:rPr>
              <w:t>Plan</w:t>
            </w:r>
          </w:p>
        </w:tc>
        <w:tc>
          <w:tcPr>
            <w:tcW w:w="60" w:type="dxa"/>
            <w:vAlign w:val="bottom"/>
          </w:tcPr>
          <w:p>
            <w:pPr>
              <w:spacing w:after="0"/>
              <w:rPr>
                <w:sz w:val="12"/>
                <w:szCs w:val="12"/>
                <w:color w:val="auto"/>
              </w:rPr>
            </w:pPr>
          </w:p>
        </w:tc>
        <w:tc>
          <w:tcPr>
            <w:tcW w:w="560" w:type="dxa"/>
            <w:vAlign w:val="bottom"/>
            <w:gridSpan w:val="6"/>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78"/>
              </w:rPr>
              <w:t>Reduction</w:t>
            </w:r>
          </w:p>
        </w:tc>
        <w:tc>
          <w:tcPr>
            <w:tcW w:w="100" w:type="dxa"/>
            <w:vAlign w:val="bottom"/>
          </w:tcPr>
          <w:p>
            <w:pPr>
              <w:spacing w:after="0"/>
              <w:rPr>
                <w:sz w:val="12"/>
                <w:szCs w:val="12"/>
                <w:color w:val="auto"/>
              </w:rPr>
            </w:pPr>
          </w:p>
        </w:tc>
        <w:tc>
          <w:tcPr>
            <w:tcW w:w="720" w:type="dxa"/>
            <w:vAlign w:val="bottom"/>
            <w:gridSpan w:val="9"/>
          </w:tcPr>
          <w:p>
            <w:pPr>
              <w:jc w:val="center"/>
              <w:ind w:left="32"/>
              <w:spacing w:after="0" w:line="146" w:lineRule="exact"/>
              <w:rPr>
                <w:sz w:val="20"/>
                <w:szCs w:val="20"/>
                <w:color w:val="auto"/>
              </w:rPr>
            </w:pPr>
            <w:r>
              <w:rPr>
                <w:rFonts w:ascii="Arial" w:cs="Arial" w:eastAsia="Arial" w:hAnsi="Arial"/>
                <w:sz w:val="14"/>
                <w:szCs w:val="14"/>
                <w:b w:val="1"/>
                <w:bCs w:val="1"/>
                <w:i w:val="1"/>
                <w:iCs w:val="1"/>
                <w:color w:val="auto"/>
                <w:w w:val="84"/>
              </w:rPr>
              <w:t>Reduction</w:t>
            </w:r>
          </w:p>
        </w:tc>
        <w:tc>
          <w:tcPr>
            <w:tcW w:w="240" w:type="dxa"/>
            <w:vAlign w:val="bottom"/>
          </w:tcPr>
          <w:p>
            <w:pPr>
              <w:spacing w:after="0"/>
              <w:rPr>
                <w:sz w:val="12"/>
                <w:szCs w:val="12"/>
                <w:color w:val="auto"/>
              </w:rPr>
            </w:pPr>
          </w:p>
        </w:tc>
        <w:tc>
          <w:tcPr>
            <w:tcW w:w="820" w:type="dxa"/>
            <w:vAlign w:val="bottom"/>
            <w:gridSpan w:val="5"/>
          </w:tcPr>
          <w:p>
            <w:pPr>
              <w:jc w:val="center"/>
              <w:ind w:right="200"/>
              <w:spacing w:after="0" w:line="146" w:lineRule="exact"/>
              <w:rPr>
                <w:sz w:val="20"/>
                <w:szCs w:val="20"/>
                <w:color w:val="auto"/>
              </w:rPr>
            </w:pPr>
            <w:r>
              <w:rPr>
                <w:rFonts w:ascii="Arial" w:cs="Arial" w:eastAsia="Arial" w:hAnsi="Arial"/>
                <w:sz w:val="14"/>
                <w:szCs w:val="14"/>
                <w:b w:val="1"/>
                <w:bCs w:val="1"/>
                <w:i w:val="1"/>
                <w:iCs w:val="1"/>
                <w:color w:val="auto"/>
                <w:w w:val="85"/>
              </w:rPr>
              <w:t>2009 Plans</w:t>
            </w:r>
          </w:p>
        </w:tc>
        <w:tc>
          <w:tcPr>
            <w:tcW w:w="540" w:type="dxa"/>
            <w:vAlign w:val="bottom"/>
            <w:gridSpan w:val="4"/>
          </w:tcPr>
          <w:p>
            <w:pPr>
              <w:spacing w:after="0" w:line="146" w:lineRule="exact"/>
              <w:rPr>
                <w:sz w:val="20"/>
                <w:szCs w:val="20"/>
                <w:color w:val="auto"/>
              </w:rPr>
            </w:pPr>
            <w:r>
              <w:rPr>
                <w:rFonts w:ascii="Arial" w:cs="Arial" w:eastAsia="Arial" w:hAnsi="Arial"/>
                <w:sz w:val="14"/>
                <w:szCs w:val="14"/>
                <w:b w:val="1"/>
                <w:bCs w:val="1"/>
                <w:i w:val="1"/>
                <w:iCs w:val="1"/>
                <w:color w:val="auto"/>
                <w:w w:val="87"/>
              </w:rPr>
              <w:t>All Plans</w:t>
            </w:r>
          </w:p>
        </w:tc>
      </w:tr>
      <w:tr>
        <w:trPr>
          <w:trHeight w:val="235"/>
        </w:trPr>
        <w:tc>
          <w:tcPr>
            <w:tcW w:w="4080" w:type="dxa"/>
            <w:vAlign w:val="bottom"/>
          </w:tcPr>
          <w:p>
            <w:pPr>
              <w:spacing w:after="0"/>
              <w:rPr>
                <w:sz w:val="20"/>
                <w:szCs w:val="20"/>
                <w:color w:val="auto"/>
              </w:rPr>
            </w:pPr>
            <w:r>
              <w:rPr>
                <w:rFonts w:ascii="Arial" w:cs="Arial" w:eastAsia="Arial" w:hAnsi="Arial"/>
                <w:sz w:val="18"/>
                <w:szCs w:val="18"/>
                <w:color w:val="auto"/>
              </w:rPr>
              <w:t>Balance - January 1, 2009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center"/>
              <w:ind w:left="147"/>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gridSpan w:val="2"/>
          </w:tcPr>
          <w:p>
            <w:pPr>
              <w:jc w:val="center"/>
              <w:ind w:left="107"/>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gridSpan w:val="2"/>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gridSpan w:val="2"/>
          </w:tcPr>
          <w:p>
            <w:pPr>
              <w:jc w:val="center"/>
              <w:ind w:left="67"/>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8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top w:val="single" w:sz="8" w:color="auto"/>
            </w:tcBorders>
            <w:gridSpan w:val="3"/>
          </w:tcPr>
          <w:p>
            <w:pPr>
              <w:jc w:val="center"/>
              <w:ind w:left="10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141</w:t>
            </w:r>
          </w:p>
        </w:tc>
        <w:tc>
          <w:tcPr>
            <w:tcW w:w="20" w:type="dxa"/>
            <w:vAlign w:val="bottom"/>
          </w:tcPr>
          <w:p>
            <w:pPr>
              <w:spacing w:after="0"/>
              <w:rPr>
                <w:sz w:val="20"/>
                <w:szCs w:val="20"/>
                <w:color w:val="auto"/>
              </w:rPr>
            </w:pPr>
          </w:p>
        </w:tc>
      </w:tr>
      <w:tr>
        <w:trPr>
          <w:trHeight w:val="459"/>
        </w:trPr>
        <w:tc>
          <w:tcPr>
            <w:tcW w:w="4080" w:type="dxa"/>
            <w:vAlign w:val="bottom"/>
          </w:tcPr>
          <w:p>
            <w:pPr>
              <w:spacing w:after="0"/>
              <w:rPr>
                <w:sz w:val="20"/>
                <w:szCs w:val="20"/>
                <w:color w:val="auto"/>
              </w:rPr>
            </w:pPr>
            <w:r>
              <w:rPr>
                <w:rFonts w:ascii="Arial" w:cs="Arial" w:eastAsia="Arial" w:hAnsi="Arial"/>
                <w:sz w:val="18"/>
                <w:szCs w:val="18"/>
                <w:color w:val="auto"/>
              </w:rPr>
              <w:t>Accruals for one-time termination benefits</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62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77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329</w:t>
            </w:r>
          </w:p>
        </w:tc>
        <w:tc>
          <w:tcPr>
            <w:tcW w:w="20" w:type="dxa"/>
            <w:vAlign w:val="bottom"/>
          </w:tcPr>
          <w:p>
            <w:pPr>
              <w:spacing w:after="0"/>
              <w:rPr>
                <w:sz w:val="24"/>
                <w:szCs w:val="24"/>
                <w:color w:val="auto"/>
              </w:rPr>
            </w:pPr>
          </w:p>
        </w:tc>
      </w:tr>
      <w:tr>
        <w:trPr>
          <w:trHeight w:val="459"/>
        </w:trPr>
        <w:tc>
          <w:tcPr>
            <w:tcW w:w="4080" w:type="dxa"/>
            <w:vAlign w:val="bottom"/>
          </w:tcPr>
          <w:p>
            <w:pPr>
              <w:spacing w:after="0"/>
              <w:rPr>
                <w:sz w:val="20"/>
                <w:szCs w:val="20"/>
                <w:color w:val="auto"/>
              </w:rPr>
            </w:pPr>
            <w:r>
              <w:rPr>
                <w:rFonts w:ascii="Arial" w:cs="Arial" w:eastAsia="Arial" w:hAnsi="Arial"/>
                <w:sz w:val="18"/>
                <w:szCs w:val="18"/>
                <w:color w:val="auto"/>
              </w:rPr>
              <w:t>Accruals for facility closure costs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89"/>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27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r>
      <w:tr>
        <w:trPr>
          <w:trHeight w:val="453"/>
        </w:trPr>
        <w:tc>
          <w:tcPr>
            <w:tcW w:w="4080" w:type="dxa"/>
            <w:vAlign w:val="bottom"/>
          </w:tcPr>
          <w:p>
            <w:pPr>
              <w:spacing w:after="0"/>
              <w:rPr>
                <w:sz w:val="20"/>
                <w:szCs w:val="20"/>
                <w:color w:val="auto"/>
              </w:rPr>
            </w:pPr>
            <w:r>
              <w:rPr>
                <w:rFonts w:ascii="Arial" w:cs="Arial" w:eastAsia="Arial" w:hAnsi="Arial"/>
                <w:sz w:val="18"/>
                <w:szCs w:val="18"/>
                <w:color w:val="auto"/>
              </w:rPr>
              <w:t>Severance and other cash payments related to</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4080" w:type="dxa"/>
            <w:vAlign w:val="bottom"/>
          </w:tcPr>
          <w:p>
            <w:pPr>
              <w:ind w:left="80"/>
              <w:spacing w:after="0" w:line="184" w:lineRule="exact"/>
              <w:rPr>
                <w:sz w:val="20"/>
                <w:szCs w:val="20"/>
                <w:color w:val="auto"/>
              </w:rPr>
            </w:pPr>
            <w:r>
              <w:rPr>
                <w:rFonts w:ascii="Arial" w:cs="Arial" w:eastAsia="Arial" w:hAnsi="Arial"/>
                <w:sz w:val="18"/>
                <w:szCs w:val="18"/>
                <w:color w:val="auto"/>
              </w:rPr>
              <w:t>one-time termination benefits</w:t>
            </w:r>
          </w:p>
        </w:tc>
        <w:tc>
          <w:tcPr>
            <w:tcW w:w="440" w:type="dxa"/>
            <w:vAlign w:val="bottom"/>
            <w:gridSpan w:val="2"/>
          </w:tcPr>
          <w:p>
            <w:pPr>
              <w:spacing w:after="0"/>
              <w:rPr>
                <w:sz w:val="15"/>
                <w:szCs w:val="15"/>
                <w:color w:val="auto"/>
              </w:rPr>
            </w:pPr>
          </w:p>
        </w:tc>
        <w:tc>
          <w:tcPr>
            <w:tcW w:w="280" w:type="dxa"/>
            <w:vAlign w:val="bottom"/>
            <w:gridSpan w:val="3"/>
          </w:tcPr>
          <w:p>
            <w:pPr>
              <w:spacing w:after="0" w:line="184" w:lineRule="exact"/>
              <w:rPr>
                <w:sz w:val="20"/>
                <w:szCs w:val="20"/>
                <w:color w:val="auto"/>
              </w:rPr>
            </w:pPr>
            <w:r>
              <w:rPr>
                <w:rFonts w:ascii="Arial" w:cs="Arial" w:eastAsia="Arial" w:hAnsi="Arial"/>
                <w:sz w:val="18"/>
                <w:szCs w:val="18"/>
                <w:color w:val="auto"/>
                <w:w w:val="74"/>
              </w:rPr>
              <w:t>(60)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7"/>
          </w:tcPr>
          <w:p>
            <w:pPr>
              <w:jc w:val="right"/>
              <w:ind w:right="120"/>
              <w:spacing w:after="0" w:line="184"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7"/>
          </w:tcPr>
          <w:p>
            <w:pPr>
              <w:jc w:val="right"/>
              <w:ind w:right="60"/>
              <w:spacing w:after="0" w:line="184" w:lineRule="exact"/>
              <w:rPr>
                <w:sz w:val="20"/>
                <w:szCs w:val="20"/>
                <w:color w:val="auto"/>
              </w:rPr>
            </w:pPr>
            <w:r>
              <w:rPr>
                <w:rFonts w:ascii="Arial" w:cs="Arial" w:eastAsia="Arial" w:hAnsi="Arial"/>
                <w:sz w:val="18"/>
                <w:szCs w:val="18"/>
                <w:color w:val="auto"/>
              </w:rPr>
              <w:t>(149)</w:t>
            </w:r>
          </w:p>
        </w:tc>
        <w:tc>
          <w:tcPr>
            <w:tcW w:w="120" w:type="dxa"/>
            <w:vAlign w:val="bottom"/>
          </w:tcPr>
          <w:p>
            <w:pPr>
              <w:spacing w:after="0"/>
              <w:rPr>
                <w:sz w:val="15"/>
                <w:szCs w:val="15"/>
                <w:color w:val="auto"/>
              </w:rPr>
            </w:pPr>
          </w:p>
        </w:tc>
        <w:tc>
          <w:tcPr>
            <w:tcW w:w="620" w:type="dxa"/>
            <w:vAlign w:val="bottom"/>
            <w:gridSpan w:val="7"/>
          </w:tcPr>
          <w:p>
            <w:pPr>
              <w:jc w:val="right"/>
              <w:spacing w:after="0" w:line="184" w:lineRule="exact"/>
              <w:rPr>
                <w:sz w:val="20"/>
                <w:szCs w:val="20"/>
                <w:color w:val="auto"/>
              </w:rPr>
            </w:pPr>
            <w:r>
              <w:rPr>
                <w:rFonts w:ascii="Arial" w:cs="Arial" w:eastAsia="Arial" w:hAnsi="Arial"/>
                <w:sz w:val="18"/>
                <w:szCs w:val="18"/>
                <w:color w:val="auto"/>
              </w:rPr>
              <w:t>(77)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4"/>
          </w:tcPr>
          <w:p>
            <w:pPr>
              <w:jc w:val="right"/>
              <w:spacing w:after="0" w:line="184" w:lineRule="exact"/>
              <w:rPr>
                <w:sz w:val="20"/>
                <w:szCs w:val="20"/>
                <w:color w:val="auto"/>
              </w:rPr>
            </w:pPr>
            <w:r>
              <w:rPr>
                <w:rFonts w:ascii="Arial" w:cs="Arial" w:eastAsia="Arial" w:hAnsi="Arial"/>
                <w:sz w:val="18"/>
                <w:szCs w:val="18"/>
                <w:color w:val="auto"/>
                <w:w w:val="90"/>
              </w:rPr>
              <w:t>(6)</w:t>
            </w:r>
          </w:p>
        </w:tc>
        <w:tc>
          <w:tcPr>
            <w:tcW w:w="1060" w:type="dxa"/>
            <w:vAlign w:val="bottom"/>
            <w:gridSpan w:val="6"/>
          </w:tcPr>
          <w:p>
            <w:pPr>
              <w:jc w:val="right"/>
              <w:ind w:right="160"/>
              <w:spacing w:after="0" w:line="184" w:lineRule="exact"/>
              <w:rPr>
                <w:sz w:val="20"/>
                <w:szCs w:val="20"/>
                <w:color w:val="auto"/>
              </w:rPr>
            </w:pPr>
            <w:r>
              <w:rPr>
                <w:rFonts w:ascii="Arial" w:cs="Arial" w:eastAsia="Arial" w:hAnsi="Arial"/>
                <w:sz w:val="18"/>
                <w:szCs w:val="18"/>
                <w:color w:val="auto"/>
              </w:rPr>
              <w:t>(354)</w:t>
            </w:r>
          </w:p>
        </w:tc>
        <w:tc>
          <w:tcPr>
            <w:tcW w:w="54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(493)</w:t>
            </w:r>
          </w:p>
        </w:tc>
      </w:tr>
      <w:tr>
        <w:trPr>
          <w:trHeight w:val="20"/>
        </w:trPr>
        <w:tc>
          <w:tcPr>
            <w:tcW w:w="4080" w:type="dxa"/>
            <w:vAlign w:val="bottom"/>
          </w:tcPr>
          <w:p>
            <w:pPr>
              <w:spacing w:after="0" w:line="20" w:lineRule="exact"/>
              <w:rPr>
                <w:sz w:val="1"/>
                <w:szCs w:val="1"/>
                <w:color w:val="auto"/>
              </w:rPr>
            </w:pPr>
          </w:p>
        </w:tc>
        <w:tc>
          <w:tcPr>
            <w:tcW w:w="4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auto"/>
            </w:tcBorders>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080" w:type="dxa"/>
            <w:vAlign w:val="bottom"/>
          </w:tcPr>
          <w:p>
            <w:pPr>
              <w:spacing w:after="0"/>
              <w:rPr>
                <w:sz w:val="20"/>
                <w:szCs w:val="20"/>
                <w:color w:val="auto"/>
              </w:rPr>
            </w:pPr>
            <w:r>
              <w:rPr>
                <w:rFonts w:ascii="Arial" w:cs="Arial" w:eastAsia="Arial" w:hAnsi="Arial"/>
                <w:sz w:val="18"/>
                <w:szCs w:val="18"/>
                <w:color w:val="auto"/>
              </w:rPr>
              <w:t>Balance - September 30, 2009</w:t>
            </w:r>
          </w:p>
        </w:tc>
        <w:tc>
          <w:tcPr>
            <w:tcW w:w="440" w:type="dxa"/>
            <w:vAlign w:val="bottom"/>
            <w:gridSpan w:val="2"/>
          </w:tcPr>
          <w:p>
            <w:pPr>
              <w:jc w:val="center"/>
              <w:ind w:left="237"/>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3"/>
          </w:tcPr>
          <w:p>
            <w:pPr>
              <w:jc w:val="center"/>
              <w:ind w:left="139"/>
              <w:spacing w:after="0"/>
              <w:rPr>
                <w:sz w:val="20"/>
                <w:szCs w:val="20"/>
                <w:color w:val="auto"/>
              </w:rPr>
            </w:pPr>
            <w:r>
              <w:rPr>
                <w:rFonts w:ascii="Arial" w:cs="Arial" w:eastAsia="Arial" w:hAnsi="Arial"/>
                <w:sz w:val="18"/>
                <w:szCs w:val="18"/>
                <w:color w:val="auto"/>
                <w:w w:val="79"/>
              </w:rPr>
              <w:t>$</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3"/>
          </w:tcPr>
          <w:p>
            <w:pPr>
              <w:jc w:val="center"/>
              <w:ind w:left="120"/>
              <w:spacing w:after="0"/>
              <w:rPr>
                <w:sz w:val="20"/>
                <w:szCs w:val="20"/>
                <w:color w:val="auto"/>
              </w:rPr>
            </w:pPr>
            <w:r>
              <w:rPr>
                <w:rFonts w:ascii="Arial" w:cs="Arial" w:eastAsia="Arial" w:hAnsi="Arial"/>
                <w:sz w:val="18"/>
                <w:szCs w:val="18"/>
                <w:color w:val="auto"/>
                <w:w w:val="99"/>
              </w:rPr>
              <w:t>$</w:t>
            </w:r>
          </w:p>
        </w:tc>
        <w:tc>
          <w:tcPr>
            <w:tcW w:w="3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00" w:type="dxa"/>
            <w:vAlign w:val="bottom"/>
            <w:gridSpan w:val="3"/>
          </w:tcPr>
          <w:p>
            <w:pPr>
              <w:jc w:val="center"/>
              <w:ind w:left="116"/>
              <w:spacing w:after="0"/>
              <w:rPr>
                <w:sz w:val="20"/>
                <w:szCs w:val="20"/>
                <w:color w:val="auto"/>
              </w:rPr>
            </w:pPr>
            <w:r>
              <w:rPr>
                <w:rFonts w:ascii="Arial" w:cs="Arial" w:eastAsia="Arial" w:hAnsi="Arial"/>
                <w:sz w:val="18"/>
                <w:szCs w:val="18"/>
                <w:color w:val="auto"/>
                <w:w w:val="79"/>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6"/>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MAJOR CUSTOMERS</w:t>
      </w:r>
    </w:p>
    <w:p>
      <w:pPr>
        <w:spacing w:after="0" w:line="191" w:lineRule="exact"/>
        <w:rPr>
          <w:sz w:val="20"/>
          <w:szCs w:val="20"/>
          <w:color w:val="auto"/>
        </w:rPr>
      </w:pPr>
    </w:p>
    <w:p>
      <w:pPr>
        <w:ind w:left="540"/>
        <w:spacing w:after="0" w:line="323" w:lineRule="auto"/>
        <w:rPr>
          <w:sz w:val="20"/>
          <w:szCs w:val="20"/>
          <w:color w:val="auto"/>
        </w:rPr>
      </w:pPr>
      <w:r>
        <w:rPr>
          <w:rFonts w:ascii="Arial" w:cs="Arial" w:eastAsia="Arial" w:hAnsi="Arial"/>
          <w:sz w:val="15"/>
          <w:szCs w:val="15"/>
          <w:color w:val="auto"/>
        </w:rPr>
        <w:t>Teradyne, Inc. accounted for 14% of our consolidated net revenues for the nine months ended September 30, 2010. Texas Instruments Incorporated accounted for 13% and 12% of our consolidated net revenues for the nine months ended September 30, 2010 and 2009, respectively. While all three of our operating segments sold products to these customers, these revenues were primarily generated by our Mechanical Products and Electrical Products segments. During the nine months ended September 30, 2010 and 2009, no other customer accounted for 10% or more of our consolidated net revenues.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September 30, 2010 and December 31, 2009 were comprised of the following:</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440" w:type="dxa"/>
            <w:vAlign w:val="bottom"/>
            <w:gridSpan w:val="4"/>
          </w:tcPr>
          <w:p>
            <w:pPr>
              <w:ind w:left="680"/>
              <w:spacing w:after="0"/>
              <w:rPr>
                <w:sz w:val="20"/>
                <w:szCs w:val="20"/>
                <w:color w:val="auto"/>
              </w:rPr>
            </w:pPr>
            <w:r>
              <w:rPr>
                <w:rFonts w:ascii="Arial" w:cs="Arial" w:eastAsia="Arial" w:hAnsi="Arial"/>
                <w:sz w:val="14"/>
                <w:szCs w:val="14"/>
                <w:b w:val="1"/>
                <w:bCs w:val="1"/>
                <w:i w:val="1"/>
                <w:iCs w:val="1"/>
                <w:color w:val="auto"/>
              </w:rPr>
              <w:t>Sept. 30,</w:t>
            </w:r>
          </w:p>
        </w:tc>
        <w:tc>
          <w:tcPr>
            <w:tcW w:w="580" w:type="dxa"/>
            <w:vAlign w:val="bottom"/>
            <w:gridSpan w:val="5"/>
          </w:tcPr>
          <w:p>
            <w:pPr>
              <w:jc w:val="center"/>
              <w:ind w:right="8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72"/>
              <w:spacing w:after="0" w:line="146" w:lineRule="exact"/>
              <w:rPr>
                <w:sz w:val="20"/>
                <w:szCs w:val="20"/>
                <w:color w:val="auto"/>
              </w:rPr>
            </w:pPr>
            <w:r>
              <w:rPr>
                <w:rFonts w:ascii="Arial" w:cs="Arial" w:eastAsia="Arial" w:hAnsi="Arial"/>
                <w:sz w:val="14"/>
                <w:szCs w:val="14"/>
                <w:b w:val="1"/>
                <w:bCs w:val="1"/>
                <w:i w:val="1"/>
                <w:iCs w:val="1"/>
                <w:color w:val="auto"/>
              </w:rPr>
              <w:t>2010</w:t>
            </w:r>
          </w:p>
        </w:tc>
        <w:tc>
          <w:tcPr>
            <w:tcW w:w="220" w:type="dxa"/>
            <w:vAlign w:val="bottom"/>
          </w:tcPr>
          <w:p>
            <w:pPr>
              <w:spacing w:after="0"/>
              <w:rPr>
                <w:sz w:val="12"/>
                <w:szCs w:val="12"/>
                <w:color w:val="auto"/>
              </w:rPr>
            </w:pPr>
          </w:p>
        </w:tc>
        <w:tc>
          <w:tcPr>
            <w:tcW w:w="480" w:type="dxa"/>
            <w:vAlign w:val="bottom"/>
            <w:tcBorders>
              <w:bottom w:val="single" w:sz="8" w:color="auto"/>
            </w:tcBorders>
            <w:gridSpan w:val="3"/>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2009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35"/>
        </w:trPr>
        <w:tc>
          <w:tcPr>
            <w:tcW w:w="2780" w:type="dxa"/>
            <w:vAlign w:val="bottom"/>
          </w:tcPr>
          <w:p>
            <w:pPr>
              <w:spacing w:after="0"/>
              <w:rPr>
                <w:sz w:val="20"/>
                <w:szCs w:val="20"/>
                <w:color w:val="auto"/>
              </w:rPr>
            </w:pPr>
            <w:r>
              <w:rPr>
                <w:rFonts w:ascii="Arial" w:cs="Arial" w:eastAsia="Arial" w:hAnsi="Arial"/>
                <w:sz w:val="18"/>
                <w:szCs w:val="18"/>
                <w:color w:val="auto"/>
              </w:rPr>
              <w:t>Raw materials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$2,237</w:t>
            </w:r>
          </w:p>
        </w:tc>
        <w:tc>
          <w:tcPr>
            <w:tcW w:w="220" w:type="dxa"/>
            <w:vAlign w:val="bottom"/>
          </w:tcPr>
          <w:p>
            <w:pPr>
              <w:spacing w:after="0"/>
              <w:rPr>
                <w:sz w:val="20"/>
                <w:szCs w:val="20"/>
                <w:color w:val="auto"/>
              </w:rPr>
            </w:pPr>
          </w:p>
        </w:tc>
        <w:tc>
          <w:tcPr>
            <w:tcW w:w="580" w:type="dxa"/>
            <w:vAlign w:val="bottom"/>
            <w:gridSpan w:val="5"/>
          </w:tcPr>
          <w:p>
            <w:pPr>
              <w:jc w:val="right"/>
              <w:ind w:right="40"/>
              <w:spacing w:after="0"/>
              <w:rPr>
                <w:sz w:val="20"/>
                <w:szCs w:val="20"/>
                <w:color w:val="auto"/>
              </w:rPr>
            </w:pPr>
            <w:r>
              <w:rPr>
                <w:rFonts w:ascii="Arial" w:cs="Arial" w:eastAsia="Arial" w:hAnsi="Arial"/>
                <w:sz w:val="18"/>
                <w:szCs w:val="18"/>
                <w:color w:val="auto"/>
                <w:w w:val="94"/>
              </w:rPr>
              <w:t>$2,176</w:t>
            </w: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Work in process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24"/>
                <w:szCs w:val="24"/>
                <w:color w:val="auto"/>
              </w:rPr>
            </w:pPr>
          </w:p>
        </w:tc>
        <w:tc>
          <w:tcPr>
            <w:tcW w:w="580" w:type="dxa"/>
            <w:vAlign w:val="bottom"/>
            <w:gridSpan w:val="5"/>
          </w:tcPr>
          <w:p>
            <w:pPr>
              <w:jc w:val="right"/>
              <w:ind w:right="40"/>
              <w:spacing w:after="0"/>
              <w:rPr>
                <w:sz w:val="20"/>
                <w:szCs w:val="20"/>
                <w:color w:val="auto"/>
              </w:rPr>
            </w:pPr>
            <w:r>
              <w:rPr>
                <w:rFonts w:ascii="Arial" w:cs="Arial" w:eastAsia="Arial" w:hAnsi="Arial"/>
                <w:sz w:val="18"/>
                <w:szCs w:val="18"/>
                <w:color w:val="auto"/>
              </w:rPr>
              <w:t>285</w:t>
            </w: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4"/>
                <w:szCs w:val="24"/>
                <w:color w:val="auto"/>
              </w:rPr>
            </w:pPr>
          </w:p>
        </w:tc>
        <w:tc>
          <w:tcPr>
            <w:tcW w:w="580" w:type="dxa"/>
            <w:vAlign w:val="bottom"/>
            <w:gridSpan w:val="5"/>
          </w:tcPr>
          <w:p>
            <w:pPr>
              <w:jc w:val="right"/>
              <w:ind w:right="40"/>
              <w:spacing w:after="0"/>
              <w:rPr>
                <w:sz w:val="20"/>
                <w:szCs w:val="20"/>
                <w:color w:val="auto"/>
              </w:rPr>
            </w:pPr>
            <w:r>
              <w:rPr>
                <w:rFonts w:ascii="Arial" w:cs="Arial" w:eastAsia="Arial" w:hAnsi="Arial"/>
                <w:sz w:val="18"/>
                <w:szCs w:val="18"/>
                <w:color w:val="auto"/>
              </w:rPr>
              <w:t>72</w:t>
            </w:r>
          </w:p>
        </w:tc>
      </w:tr>
      <w:tr>
        <w:trPr>
          <w:trHeight w:val="421"/>
        </w:trPr>
        <w:tc>
          <w:tcPr>
            <w:tcW w:w="2780" w:type="dxa"/>
            <w:vAlign w:val="bottom"/>
          </w:tcPr>
          <w:p>
            <w:pPr>
              <w:spacing w:after="0"/>
              <w:rPr>
                <w:sz w:val="20"/>
                <w:szCs w:val="20"/>
                <w:color w:val="auto"/>
              </w:rPr>
            </w:pPr>
            <w:r>
              <w:rPr>
                <w:rFonts w:ascii="Arial" w:cs="Arial" w:eastAsia="Arial" w:hAnsi="Arial"/>
                <w:sz w:val="18"/>
                <w:szCs w:val="18"/>
                <w:color w:val="auto"/>
              </w:rPr>
              <w:t>Finished goods</w:t>
            </w:r>
          </w:p>
        </w:tc>
        <w:tc>
          <w:tcPr>
            <w:tcW w:w="78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531</w:t>
            </w:r>
          </w:p>
        </w:tc>
      </w:tr>
      <w:tr>
        <w:trPr>
          <w:trHeight w:val="20"/>
        </w:trPr>
        <w:tc>
          <w:tcPr>
            <w:tcW w:w="2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278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3,188</w:t>
            </w:r>
          </w:p>
        </w:tc>
        <w:tc>
          <w:tcPr>
            <w:tcW w:w="220" w:type="dxa"/>
            <w:vAlign w:val="bottom"/>
          </w:tcPr>
          <w:p>
            <w:pPr>
              <w:spacing w:after="0"/>
              <w:rPr>
                <w:sz w:val="24"/>
                <w:szCs w:val="24"/>
                <w:color w:val="auto"/>
              </w:rPr>
            </w:pPr>
          </w:p>
        </w:tc>
        <w:tc>
          <w:tcPr>
            <w:tcW w:w="58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3,064</w:t>
            </w:r>
          </w:p>
        </w:tc>
      </w:tr>
      <w:tr>
        <w:trPr>
          <w:trHeight w:val="20"/>
        </w:trPr>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4"/>
        </w:trPr>
        <w:tc>
          <w:tcPr>
            <w:tcW w:w="2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- 12 -</w:t>
            </w:r>
          </w:p>
        </w:tc>
      </w:tr>
    </w:tbl>
    <w:p>
      <w:pPr>
        <w:spacing w:after="0" w:line="200" w:lineRule="exact"/>
        <w:rPr>
          <w:sz w:val="20"/>
          <w:szCs w:val="20"/>
          <w:color w:val="auto"/>
        </w:rPr>
      </w:pPr>
    </w:p>
    <w:p>
      <w:pPr>
        <w:sectPr>
          <w:pgSz w:w="11900" w:h="16838" w:orient="portrait"/>
          <w:cols w:equalWidth="0" w:num="1">
            <w:col w:w="11400"/>
          </w:cols>
          <w:pgMar w:left="240" w:top="341" w:right="259" w:bottom="15" w:gutter="0" w:footer="0" w:header="0"/>
        </w:sectPr>
      </w:pP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inTEST CORPORATION</w:t>
      </w:r>
    </w:p>
    <w:p>
      <w:pPr>
        <w:sectPr>
          <w:pgSz w:w="11900" w:h="16838" w:orient="portrait"/>
          <w:cols w:equalWidth="0" w:num="1">
            <w:col w:w="11400"/>
          </w:cols>
          <w:pgMar w:left="240" w:top="341" w:right="259" w:bottom="15"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91"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As a result of our acquisition of Sigma as more fully discussed in Note 3 to the consolidated financial statements in our 2009 Form 10-K, we have non-negotiable promissory notes in an aggregate principal amount of $1,525 outstanding at September 30, 2010 and December 31, 2009. The notes bear interest at the prime rate plus 1.25% and are secured by the assets of Sigma. Interest is payable annually on the anniversary of closing. Principal is payable in four equal annual installments of $381 beginning on October 6, 2010.</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Line of Credit</w:t>
      </w:r>
    </w:p>
    <w:p>
      <w:pPr>
        <w:spacing w:after="0" w:line="22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At each of September 30, 2010 and December 31, 2009, we have a secured credit facility that provides for maximum borrowings of $250. We have not used this credit facility to borrow any funds. Our usage consists of the issuance of letters of credit in the face amount of $250. This facility had been secured by all assets of inTEST Corporation, Temptronic Corporation and inTEST Silicon Valley Corporation, excluding all patents, trademarks and applications for same. During the quarter ended September 30, 2009, we agreed with the lender who provides this secured credit facility to release their liens against the assets of our operations in exchange for pledged certificates of deposit in amounts equal to the face amount of the letters of credit issued under this facility. These certificates of deposit are included in Restricted Certificates of Deposit on our balance sheet. We pay a quarterly fee of 1.5% per annum on the total amount of the outstanding letters of credit. This credit facility expires on September 30 , 2011.</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40"/>
        <w:spacing w:after="0" w:line="298" w:lineRule="auto"/>
        <w:rPr>
          <w:sz w:val="20"/>
          <w:szCs w:val="20"/>
          <w:color w:val="auto"/>
        </w:rPr>
      </w:pPr>
      <w:r>
        <w:rPr>
          <w:rFonts w:ascii="Arial" w:cs="Arial" w:eastAsia="Arial" w:hAnsi="Arial"/>
          <w:sz w:val="16"/>
          <w:szCs w:val="16"/>
          <w:color w:val="auto"/>
        </w:rPr>
        <w:t>At each of September 30, 2010 and December 31, 2009, we had an outstanding letter of credit in the amount of $200. This letter of credit was originally issued in December 2000 as a security deposit under a lease that our Temptronic subsidiary entered into for its facility in Sharon, Massachusetts. This letter of credit expires January 1, 2011; however, the terms of the lease require that the letter of credit be renewed at least thirty days prior to its expiration date for successive terms of not less than one year throughout the entire lease term, which ends February 28, 2011.</w:t>
      </w:r>
    </w:p>
    <w:p>
      <w:pPr>
        <w:spacing w:after="0" w:line="167" w:lineRule="exact"/>
        <w:rPr>
          <w:sz w:val="20"/>
          <w:szCs w:val="20"/>
          <w:color w:val="auto"/>
        </w:rPr>
      </w:pPr>
    </w:p>
    <w:p>
      <w:pPr>
        <w:ind w:left="540"/>
        <w:spacing w:after="0" w:line="323" w:lineRule="auto"/>
        <w:rPr>
          <w:sz w:val="20"/>
          <w:szCs w:val="20"/>
          <w:color w:val="auto"/>
        </w:rPr>
      </w:pPr>
      <w:r>
        <w:rPr>
          <w:rFonts w:ascii="Arial" w:cs="Arial" w:eastAsia="Arial" w:hAnsi="Arial"/>
          <w:sz w:val="15"/>
          <w:szCs w:val="15"/>
          <w:color w:val="auto"/>
        </w:rPr>
        <w:t>At each of September 30, 2010 and December 31, 2009, we also had an outstanding letter of credit in the amount of $50. This letter of credit was issued in September 2004 as a portion of the security deposit under a lease that we entered into for a facility for our Electrical Products operation based in northern California. This letter of credit expires September 13, 2011, however, the terms of the lease require that the letter of credit be renewed at least thirty days prior to its expiration date for successive terms of not less than one year until June 30, 2012, which is sixty days after the expiration of the lease term.</w:t>
      </w:r>
    </w:p>
    <w:p>
      <w:pPr>
        <w:spacing w:after="0" w:line="152"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On April 1, 2010, an additional letter of credit in the amount of $250 was issued. This letter of credit is secured by a separate pledged certificate of deposit in the amount of $250. This letter of credit was issued as a security deposit under a lease that we have entered into for a facility in Mount Laurel, New Jersey. Our Mechanical Products operation which is currently located in Cherry Hill, New Jersey will be relocating to this smaller facility in Mount Laurel, New Jersey during the fourth quarter of 2010. This letter of credit expires April 1, 2011; however, the terms of the lease require that the letter of credit be renewed at least thirty days prior to its expiration date for successive terms of not less than one year throughout the entire lease term, which ends 123 months after we take occupancy of the facility. Provided that there is no event of default as defined under the terms and conditions of the lease, the required amount of the letter of credit shall decrease to $125 as of the sixty-fourth month of the term of the lease and to $90 as of the one-hundredth month of the term of the lease.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LEASEHOLD IMPROVEMENTS AND DEFERRED RENT</w:t>
      </w:r>
    </w:p>
    <w:p>
      <w:pPr>
        <w:spacing w:after="0" w:line="191" w:lineRule="exact"/>
        <w:rPr>
          <w:sz w:val="20"/>
          <w:szCs w:val="20"/>
          <w:color w:val="auto"/>
        </w:rPr>
      </w:pPr>
    </w:p>
    <w:p>
      <w:pPr>
        <w:ind w:left="540" w:right="60"/>
        <w:spacing w:after="0" w:line="298" w:lineRule="auto"/>
        <w:rPr>
          <w:sz w:val="20"/>
          <w:szCs w:val="20"/>
          <w:color w:val="auto"/>
        </w:rPr>
      </w:pPr>
      <w:r>
        <w:rPr>
          <w:rFonts w:ascii="Arial" w:cs="Arial" w:eastAsia="Arial" w:hAnsi="Arial"/>
          <w:sz w:val="16"/>
          <w:szCs w:val="16"/>
          <w:color w:val="auto"/>
        </w:rPr>
        <w:t>We record tenant improvements made to our leased facilities based on the amount of the total cost to construct the improvements regardless of whether a portion of that cost was paid through an allowance provided by the facility's landlord. The amount of the allowance, if any, is recorded as deferred rent. We amortize deferred rent on a straight-line basis over the lease term and record the amortization as a reduction of rent expense. Amortization of deferred rent was $88 for the nine months ended September 30 during both 2010 and 2009.</w:t>
      </w:r>
    </w:p>
    <w:p>
      <w:pPr>
        <w:spacing w:after="0" w:line="167" w:lineRule="exact"/>
        <w:rPr>
          <w:sz w:val="20"/>
          <w:szCs w:val="20"/>
          <w:color w:val="auto"/>
        </w:rPr>
      </w:pPr>
    </w:p>
    <w:p>
      <w:pPr>
        <w:ind w:left="540" w:right="200"/>
        <w:spacing w:after="0" w:line="306" w:lineRule="auto"/>
        <w:rPr>
          <w:sz w:val="20"/>
          <w:szCs w:val="20"/>
          <w:color w:val="auto"/>
        </w:rPr>
      </w:pPr>
      <w:r>
        <w:rPr>
          <w:rFonts w:ascii="Arial" w:cs="Arial" w:eastAsia="Arial" w:hAnsi="Arial"/>
          <w:sz w:val="16"/>
          <w:szCs w:val="16"/>
          <w:color w:val="auto"/>
        </w:rPr>
        <w:t>In addition, certain of our operating leases contain predetermined fixed escalations of minimum rentals during the original lease terms. For these leases, we recognize the related rental expense on a straight-line basis over the life of the lease and record the difference between the amounts charged to operations and amounts paid as accrued rent which is included in other accrued expenses on our balance sheet.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ind w:left="540" w:right="9440" w:hanging="532"/>
        <w:spacing w:after="0" w:line="577" w:lineRule="auto"/>
        <w:tabs>
          <w:tab w:leader="none" w:pos="29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GUARANTEES </w:t>
      </w:r>
      <w:r>
        <w:rPr>
          <w:rFonts w:ascii="Arial" w:cs="Arial" w:eastAsia="Arial" w:hAnsi="Arial"/>
          <w:sz w:val="15"/>
          <w:szCs w:val="15"/>
          <w:b w:val="1"/>
          <w:bCs w:val="1"/>
          <w:i w:val="1"/>
          <w:iCs w:val="1"/>
          <w:u w:val="single" w:color="auto"/>
          <w:color w:val="auto"/>
        </w:rPr>
        <w:t>Product Warranties</w:t>
      </w:r>
    </w:p>
    <w:p>
      <w:pPr>
        <w:ind w:left="540" w:right="120"/>
        <w:spacing w:after="0" w:line="268" w:lineRule="auto"/>
        <w:rPr>
          <w:sz w:val="20"/>
          <w:szCs w:val="20"/>
          <w:color w:val="auto"/>
        </w:rPr>
      </w:pPr>
      <w:r>
        <w:rPr>
          <w:rFonts w:ascii="Arial" w:cs="Arial" w:eastAsia="Arial" w:hAnsi="Arial"/>
          <w:sz w:val="18"/>
          <w:szCs w:val="18"/>
          <w:color w:val="auto"/>
        </w:rPr>
        <w:t>Warranty expense for the nine months ended September 30, 2010 and 2009 was $144 and $49, respectively. The following table sets forth the changes in the liability for product warranties for the nine months ended September 30, 2010:</w:t>
      </w:r>
    </w:p>
    <w:p>
      <w:pPr>
        <w:spacing w:after="0" w:line="159"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$228</w:t>
            </w:r>
          </w:p>
        </w:tc>
        <w:tc>
          <w:tcPr>
            <w:tcW w:w="40" w:type="dxa"/>
            <w:vAlign w:val="bottom"/>
          </w:tcPr>
          <w:p>
            <w:pPr>
              <w:spacing w:after="0"/>
              <w:rPr>
                <w:sz w:val="19"/>
                <w:szCs w:val="19"/>
                <w:color w:val="auto"/>
              </w:rPr>
            </w:pPr>
          </w:p>
        </w:tc>
      </w:tr>
      <w:tr>
        <w:trPr>
          <w:trHeight w:val="459"/>
        </w:trPr>
        <w:tc>
          <w:tcPr>
            <w:tcW w:w="4980" w:type="dxa"/>
            <w:vAlign w:val="bottom"/>
          </w:tcPr>
          <w:p>
            <w:pPr>
              <w:spacing w:after="0"/>
              <w:rPr>
                <w:sz w:val="20"/>
                <w:szCs w:val="20"/>
                <w:color w:val="auto"/>
              </w:rPr>
            </w:pPr>
            <w:r>
              <w:rPr>
                <w:rFonts w:ascii="Arial" w:cs="Arial" w:eastAsia="Arial" w:hAnsi="Arial"/>
                <w:sz w:val="18"/>
                <w:szCs w:val="18"/>
                <w:color w:val="auto"/>
              </w:rPr>
              <w:t>Payments made under product warranty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(106)</w:t>
            </w:r>
          </w:p>
        </w:tc>
      </w:tr>
      <w:tr>
        <w:trPr>
          <w:trHeight w:val="421"/>
        </w:trPr>
        <w:tc>
          <w:tcPr>
            <w:tcW w:w="4980" w:type="dxa"/>
            <w:vAlign w:val="bottom"/>
          </w:tcPr>
          <w:p>
            <w:pPr>
              <w:spacing w:after="0"/>
              <w:rPr>
                <w:sz w:val="20"/>
                <w:szCs w:val="20"/>
                <w:color w:val="auto"/>
              </w:rPr>
            </w:pPr>
            <w:r>
              <w:rPr>
                <w:rFonts w:ascii="Arial" w:cs="Arial" w:eastAsia="Arial" w:hAnsi="Arial"/>
                <w:sz w:val="18"/>
                <w:szCs w:val="18"/>
                <w:color w:val="auto"/>
              </w:rPr>
              <w:t>Accruals for product warranty</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24"/>
                <w:szCs w:val="24"/>
                <w:color w:val="auto"/>
              </w:rPr>
            </w:pPr>
          </w:p>
        </w:tc>
      </w:tr>
      <w:tr>
        <w:trPr>
          <w:trHeight w:val="439"/>
        </w:trPr>
        <w:tc>
          <w:tcPr>
            <w:tcW w:w="4980" w:type="dxa"/>
            <w:vAlign w:val="bottom"/>
          </w:tcPr>
          <w:p>
            <w:pPr>
              <w:spacing w:after="0"/>
              <w:rPr>
                <w:sz w:val="20"/>
                <w:szCs w:val="20"/>
                <w:color w:val="auto"/>
              </w:rPr>
            </w:pPr>
            <w:r>
              <w:rPr>
                <w:rFonts w:ascii="Arial" w:cs="Arial" w:eastAsia="Arial" w:hAnsi="Arial"/>
                <w:sz w:val="18"/>
                <w:szCs w:val="18"/>
                <w:color w:val="auto"/>
              </w:rPr>
              <w:t>Balance - September 30, 2010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266</w:t>
            </w:r>
          </w:p>
        </w:tc>
        <w:tc>
          <w:tcPr>
            <w:tcW w:w="40" w:type="dxa"/>
            <w:vAlign w:val="bottom"/>
          </w:tcPr>
          <w:p>
            <w:pPr>
              <w:spacing w:after="0"/>
              <w:rPr>
                <w:sz w:val="24"/>
                <w:szCs w:val="24"/>
                <w:color w:val="auto"/>
              </w:rPr>
            </w:pPr>
          </w:p>
        </w:tc>
      </w:tr>
    </w:tbl>
    <w:p>
      <w:pPr>
        <w:sectPr>
          <w:pgSz w:w="11900" w:h="16838" w:orient="portrait"/>
          <w:cols w:equalWidth="0" w:num="1">
            <w:col w:w="11400"/>
          </w:cols>
          <w:pgMar w:left="240" w:top="125" w:right="259" w:bottom="441" w:gutter="0" w:footer="0" w:header="0"/>
        </w:sectPr>
      </w:pPr>
    </w:p>
    <w:bookmarkStart w:id="11" w:name="page12"/>
    <w:bookmarkEnd w:id="11"/>
    <w:p>
      <w:pPr>
        <w:ind w:left="540"/>
        <w:spacing w:after="0"/>
        <w:rPr>
          <w:sz w:val="20"/>
          <w:szCs w:val="20"/>
          <w:color w:val="auto"/>
        </w:rPr>
      </w:pPr>
      <w:r>
        <w:rPr>
          <w:rFonts w:ascii="Arial" w:cs="Arial" w:eastAsia="Arial" w:hAnsi="Arial"/>
          <w:sz w:val="18"/>
          <w:szCs w:val="18"/>
          <w:b w:val="1"/>
          <w:bCs w:val="1"/>
          <w:i w:val="1"/>
          <w:iCs w:val="1"/>
          <w:u w:val="single" w:color="auto"/>
          <w:color w:val="auto"/>
        </w:rPr>
        <w:t>U.K. Lease Guarantee</w:t>
      </w:r>
    </w:p>
    <w:p>
      <w:pPr>
        <w:spacing w:after="0" w:line="225"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In connection with the closure of our U.K. manufacturing operation, we have entered into a sub-leasing arrangement for the facility which was occupied by this operation prior to its closure. As a condition of the sub-lease, the landlord of this facility has required that we guarantee the performance of the sub-lessee with respect to the lease payments. We have performed a credit analysis of the sub-lessee and believe that a default by them with regard to their obligations under the sub-lease agreement is remote. However, as of September 30, 2010, there was approximately $22 of future payments that we would be obligated to make if the sub-lessee were to default and we were unable to enter into a new sub-lease agreement with another party. Our original lease on this facility extends through December 31, 2010. As of September 30, 2010 we have not recorded any amounts in our financial statements related to this guarantee.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91" w:lineRule="exact"/>
        <w:rPr>
          <w:sz w:val="20"/>
          <w:szCs w:val="20"/>
          <w:color w:val="auto"/>
        </w:rPr>
      </w:pPr>
    </w:p>
    <w:p>
      <w:pPr>
        <w:ind w:left="540" w:right="260"/>
        <w:spacing w:after="0" w:line="332" w:lineRule="auto"/>
        <w:rPr>
          <w:sz w:val="20"/>
          <w:szCs w:val="20"/>
          <w:color w:val="auto"/>
        </w:rPr>
      </w:pPr>
      <w:r>
        <w:rPr>
          <w:rFonts w:ascii="Arial" w:cs="Arial" w:eastAsia="Arial" w:hAnsi="Arial"/>
          <w:sz w:val="16"/>
          <w:szCs w:val="16"/>
          <w:color w:val="auto"/>
        </w:rPr>
        <w:t>As of September 30, 2010, we have outstanding stock options and unvested restricted stock awards granted under stock-based employee compensation plans that are described more fully in Note 16 to the consolidated financial statements in our 2009 Form 10-K.</w:t>
      </w:r>
    </w:p>
    <w:p>
      <w:pPr>
        <w:spacing w:after="0" w:line="139"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As of September 30, 2010, total compensation expense to be recognized in future periods was $458. The weighted average period over which this expense is expected to be recognized is 3.1 years. All of this expense is related to nonvested shares of restricted stock.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540" w:right="400"/>
        <w:spacing w:after="0" w:line="256" w:lineRule="auto"/>
        <w:rPr>
          <w:sz w:val="20"/>
          <w:szCs w:val="20"/>
          <w:color w:val="auto"/>
        </w:rPr>
      </w:pPr>
      <w:r>
        <w:rPr>
          <w:rFonts w:ascii="Arial" w:cs="Arial" w:eastAsia="Arial" w:hAnsi="Arial"/>
          <w:sz w:val="18"/>
          <w:szCs w:val="18"/>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shows the allocation of the compensation expense we recorded during the three months and nine months ended September 30, 2010 and 2009, respectively, related to nonvested shares: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00" w:type="dxa"/>
            <w:vAlign w:val="bottom"/>
            <w:gridSpan w:val="10"/>
          </w:tcPr>
          <w:p>
            <w:pPr>
              <w:jc w:val="center"/>
              <w:ind w:left="54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240" w:type="dxa"/>
            <w:vAlign w:val="bottom"/>
            <w:gridSpan w:val="9"/>
          </w:tcPr>
          <w:p>
            <w:pPr>
              <w:jc w:val="center"/>
              <w:spacing w:after="0"/>
              <w:rPr>
                <w:sz w:val="20"/>
                <w:szCs w:val="20"/>
                <w:color w:val="auto"/>
              </w:rPr>
            </w:pPr>
            <w:r>
              <w:rPr>
                <w:rFonts w:ascii="Arial" w:cs="Arial" w:eastAsia="Arial" w:hAnsi="Arial"/>
                <w:sz w:val="14"/>
                <w:szCs w:val="14"/>
                <w:b w:val="1"/>
                <w:bCs w:val="1"/>
                <w:i w:val="1"/>
                <w:iCs w:val="1"/>
                <w:color w:val="auto"/>
                <w:w w:val="85"/>
              </w:rPr>
              <w:t>Nine Months Ended</w:t>
            </w:r>
          </w:p>
        </w:tc>
      </w:tr>
      <w:tr>
        <w:trPr>
          <w:trHeight w:val="146"/>
        </w:trPr>
        <w:tc>
          <w:tcPr>
            <w:tcW w:w="4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6"/>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100" w:type="dxa"/>
            <w:vAlign w:val="bottom"/>
          </w:tcPr>
          <w:p>
            <w:pPr>
              <w:spacing w:after="0"/>
              <w:rPr>
                <w:sz w:val="12"/>
                <w:szCs w:val="12"/>
                <w:color w:val="auto"/>
              </w:rPr>
            </w:pPr>
          </w:p>
        </w:tc>
      </w:tr>
      <w:tr>
        <w:trPr>
          <w:trHeight w:val="156"/>
        </w:trPr>
        <w:tc>
          <w:tcPr>
            <w:tcW w:w="4020" w:type="dxa"/>
            <w:vAlign w:val="bottom"/>
          </w:tcPr>
          <w:p>
            <w:pPr>
              <w:spacing w:after="0"/>
              <w:rPr>
                <w:sz w:val="13"/>
                <w:szCs w:val="13"/>
                <w:color w:val="auto"/>
              </w:rPr>
            </w:pPr>
          </w:p>
        </w:tc>
        <w:tc>
          <w:tcPr>
            <w:tcW w:w="1300" w:type="dxa"/>
            <w:vAlign w:val="bottom"/>
            <w:gridSpan w:val="5"/>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300" w:type="dxa"/>
            <w:vAlign w:val="bottom"/>
          </w:tcPr>
          <w:p>
            <w:pPr>
              <w:spacing w:after="0"/>
              <w:rPr>
                <w:sz w:val="13"/>
                <w:szCs w:val="13"/>
                <w:color w:val="auto"/>
              </w:rPr>
            </w:pPr>
          </w:p>
        </w:tc>
        <w:tc>
          <w:tcPr>
            <w:tcW w:w="2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2009</w:t>
            </w:r>
          </w:p>
        </w:tc>
        <w:tc>
          <w:tcPr>
            <w:tcW w:w="120" w:type="dxa"/>
            <w:vAlign w:val="bottom"/>
          </w:tcPr>
          <w:p>
            <w:pPr>
              <w:spacing w:after="0"/>
              <w:rPr>
                <w:sz w:val="13"/>
                <w:szCs w:val="13"/>
                <w:color w:val="auto"/>
              </w:rPr>
            </w:pPr>
          </w:p>
        </w:tc>
        <w:tc>
          <w:tcPr>
            <w:tcW w:w="5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100" w:type="dxa"/>
            <w:vAlign w:val="bottom"/>
          </w:tcPr>
          <w:p>
            <w:pPr>
              <w:spacing w:after="0"/>
              <w:rPr>
                <w:sz w:val="13"/>
                <w:szCs w:val="13"/>
                <w:color w:val="auto"/>
              </w:rPr>
            </w:pPr>
          </w:p>
        </w:tc>
      </w:tr>
      <w:tr>
        <w:trPr>
          <w:trHeight w:val="20"/>
        </w:trPr>
        <w:tc>
          <w:tcPr>
            <w:tcW w:w="40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2"/>
        </w:trPr>
        <w:tc>
          <w:tcPr>
            <w:tcW w:w="4020" w:type="dxa"/>
            <w:vAlign w:val="bottom"/>
          </w:tcPr>
          <w:p>
            <w:pPr>
              <w:spacing w:after="0"/>
              <w:rPr>
                <w:sz w:val="20"/>
                <w:szCs w:val="20"/>
                <w:color w:val="auto"/>
              </w:rPr>
            </w:pPr>
            <w:r>
              <w:rPr>
                <w:rFonts w:ascii="Arial" w:cs="Arial" w:eastAsia="Arial" w:hAnsi="Arial"/>
                <w:sz w:val="18"/>
                <w:szCs w:val="18"/>
                <w:color w:val="auto"/>
              </w:rPr>
              <w:t>Cost of revenues</w:t>
            </w:r>
          </w:p>
        </w:tc>
        <w:tc>
          <w:tcPr>
            <w:tcW w:w="900" w:type="dxa"/>
            <w:vAlign w:val="bottom"/>
            <w:gridSpan w:val="2"/>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  3</w:t>
            </w:r>
          </w:p>
        </w:tc>
        <w:tc>
          <w:tcPr>
            <w:tcW w:w="30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  1</w:t>
            </w:r>
          </w:p>
        </w:tc>
        <w:tc>
          <w:tcPr>
            <w:tcW w:w="740" w:type="dxa"/>
            <w:vAlign w:val="bottom"/>
            <w:gridSpan w:val="5"/>
          </w:tcPr>
          <w:p>
            <w:pPr>
              <w:jc w:val="right"/>
              <w:ind w:right="120"/>
              <w:spacing w:after="0"/>
              <w:rPr>
                <w:sz w:val="20"/>
                <w:szCs w:val="20"/>
                <w:color w:val="auto"/>
              </w:rPr>
            </w:pPr>
            <w:r>
              <w:rPr>
                <w:rFonts w:ascii="Arial" w:cs="Arial" w:eastAsia="Arial" w:hAnsi="Arial"/>
                <w:sz w:val="18"/>
                <w:szCs w:val="18"/>
                <w:color w:val="auto"/>
              </w:rPr>
              <w:t>$  8</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  4</w:t>
            </w:r>
          </w:p>
        </w:tc>
      </w:tr>
      <w:tr>
        <w:trPr>
          <w:trHeight w:val="459"/>
        </w:trPr>
        <w:tc>
          <w:tcPr>
            <w:tcW w:w="4020" w:type="dxa"/>
            <w:vAlign w:val="bottom"/>
          </w:tcPr>
          <w:p>
            <w:pPr>
              <w:spacing w:after="0"/>
              <w:rPr>
                <w:sz w:val="20"/>
                <w:szCs w:val="20"/>
                <w:color w:val="auto"/>
              </w:rPr>
            </w:pPr>
            <w:r>
              <w:rPr>
                <w:rFonts w:ascii="Arial" w:cs="Arial" w:eastAsia="Arial" w:hAnsi="Arial"/>
                <w:sz w:val="18"/>
                <w:szCs w:val="18"/>
                <w:color w:val="auto"/>
              </w:rPr>
              <w:t>Selling expenses</w:t>
            </w: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740" w:type="dxa"/>
            <w:vAlign w:val="bottom"/>
            <w:gridSpan w:val="5"/>
          </w:tcPr>
          <w:p>
            <w:pPr>
              <w:jc w:val="right"/>
              <w:ind w:right="120"/>
              <w:spacing w:after="0"/>
              <w:rPr>
                <w:sz w:val="20"/>
                <w:szCs w:val="20"/>
                <w:color w:val="auto"/>
              </w:rPr>
            </w:pPr>
            <w:r>
              <w:rPr>
                <w:rFonts w:ascii="Arial" w:cs="Arial" w:eastAsia="Arial" w:hAnsi="Arial"/>
                <w:sz w:val="18"/>
                <w:szCs w:val="18"/>
                <w:color w:val="auto"/>
              </w:rPr>
              <w:t>13</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459"/>
        </w:trPr>
        <w:tc>
          <w:tcPr>
            <w:tcW w:w="402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740" w:type="dxa"/>
            <w:vAlign w:val="bottom"/>
            <w:gridSpan w:val="5"/>
          </w:tcPr>
          <w:p>
            <w:pPr>
              <w:jc w:val="right"/>
              <w:ind w:right="120"/>
              <w:spacing w:after="0"/>
              <w:rPr>
                <w:sz w:val="20"/>
                <w:szCs w:val="20"/>
                <w:color w:val="auto"/>
              </w:rPr>
            </w:pPr>
            <w:r>
              <w:rPr>
                <w:rFonts w:ascii="Arial" w:cs="Arial" w:eastAsia="Arial" w:hAnsi="Arial"/>
                <w:sz w:val="18"/>
                <w:szCs w:val="18"/>
                <w:color w:val="auto"/>
              </w:rPr>
              <w:t>29</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18</w:t>
            </w:r>
          </w:p>
        </w:tc>
      </w:tr>
      <w:tr>
        <w:trPr>
          <w:trHeight w:val="421"/>
        </w:trPr>
        <w:tc>
          <w:tcPr>
            <w:tcW w:w="40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gridSpan w:val="3"/>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80" w:type="dxa"/>
            <w:vAlign w:val="bottom"/>
            <w:gridSpan w:val="2"/>
          </w:tcPr>
          <w:p>
            <w:pPr>
              <w:spacing w:after="0"/>
              <w:rPr>
                <w:sz w:val="24"/>
                <w:szCs w:val="24"/>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116</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40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r>
      <w:tr>
        <w:trPr>
          <w:trHeight w:val="439"/>
        </w:trPr>
        <w:tc>
          <w:tcPr>
            <w:tcW w:w="4020" w:type="dxa"/>
            <w:vAlign w:val="bottom"/>
          </w:tcPr>
          <w:p>
            <w:pPr>
              <w:spacing w:after="0"/>
              <w:rPr>
                <w:sz w:val="24"/>
                <w:szCs w:val="24"/>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w:t>
            </w:r>
          </w:p>
        </w:tc>
        <w:tc>
          <w:tcPr>
            <w:tcW w:w="30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w:t>
            </w:r>
          </w:p>
        </w:tc>
        <w:tc>
          <w:tcPr>
            <w:tcW w:w="740" w:type="dxa"/>
            <w:vAlign w:val="bottom"/>
            <w:gridSpan w:val="5"/>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w:t>
            </w:r>
          </w:p>
        </w:tc>
        <w:tc>
          <w:tcPr>
            <w:tcW w:w="5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w:t>
            </w:r>
          </w:p>
        </w:tc>
      </w:tr>
      <w:tr>
        <w:trPr>
          <w:trHeight w:val="20"/>
        </w:trPr>
        <w:tc>
          <w:tcPr>
            <w:tcW w:w="4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3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nine months ended September 30, 2010 or 2009.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- 14 -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STOCK-BASED COMPENSATION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nonvested shares for the nine months ended September 30, 2010:</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4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9"/>
        </w:trPr>
        <w:tc>
          <w:tcPr>
            <w:tcW w:w="4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i w:val="1"/>
                <w:iCs w:val="1"/>
                <w:color w:val="auto"/>
                <w:w w:val="79"/>
              </w:rPr>
              <w:t>Number</w:t>
            </w:r>
          </w:p>
        </w:tc>
        <w:tc>
          <w:tcPr>
            <w:tcW w:w="720" w:type="dxa"/>
            <w:vAlign w:val="bottom"/>
            <w:gridSpan w:val="3"/>
          </w:tcPr>
          <w:p>
            <w:pPr>
              <w:jc w:val="center"/>
              <w:ind w:left="16"/>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4360" w:type="dxa"/>
            <w:vAlign w:val="bottom"/>
          </w:tcPr>
          <w:p>
            <w:pPr>
              <w:spacing w:after="0"/>
              <w:rPr>
                <w:sz w:val="12"/>
                <w:szCs w:val="12"/>
                <w:color w:val="auto"/>
              </w:rPr>
            </w:pPr>
          </w:p>
        </w:tc>
        <w:tc>
          <w:tcPr>
            <w:tcW w:w="1500" w:type="dxa"/>
            <w:vAlign w:val="bottom"/>
            <w:gridSpan w:val="5"/>
          </w:tcPr>
          <w:p>
            <w:pPr>
              <w:jc w:val="right"/>
              <w:ind w:right="200"/>
              <w:spacing w:after="0" w:line="146" w:lineRule="exact"/>
              <w:rPr>
                <w:sz w:val="20"/>
                <w:szCs w:val="20"/>
                <w:color w:val="auto"/>
              </w:rPr>
            </w:pPr>
            <w:r>
              <w:rPr>
                <w:rFonts w:ascii="Arial" w:cs="Arial" w:eastAsia="Arial" w:hAnsi="Arial"/>
                <w:sz w:val="14"/>
                <w:szCs w:val="14"/>
                <w:b w:val="1"/>
                <w:bCs w:val="1"/>
                <w:i w:val="1"/>
                <w:iCs w:val="1"/>
                <w:color w:val="auto"/>
              </w:rPr>
              <w:t>of Shares</w:t>
            </w:r>
          </w:p>
        </w:tc>
        <w:tc>
          <w:tcPr>
            <w:tcW w:w="100" w:type="dxa"/>
            <w:vAlign w:val="bottom"/>
          </w:tcPr>
          <w:p>
            <w:pPr>
              <w:spacing w:after="0"/>
              <w:rPr>
                <w:sz w:val="12"/>
                <w:szCs w:val="12"/>
                <w:color w:val="auto"/>
              </w:rPr>
            </w:pPr>
          </w:p>
        </w:tc>
        <w:tc>
          <w:tcPr>
            <w:tcW w:w="620" w:type="dxa"/>
            <w:vAlign w:val="bottom"/>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43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360" w:type="dxa"/>
            <w:vAlign w:val="bottom"/>
          </w:tcPr>
          <w:p>
            <w:pPr>
              <w:spacing w:after="0"/>
              <w:rPr>
                <w:sz w:val="20"/>
                <w:szCs w:val="20"/>
                <w:color w:val="auto"/>
              </w:rPr>
            </w:pPr>
            <w:r>
              <w:rPr>
                <w:rFonts w:ascii="Arial" w:cs="Arial" w:eastAsia="Arial" w:hAnsi="Arial"/>
                <w:sz w:val="18"/>
                <w:szCs w:val="18"/>
                <w:color w:val="auto"/>
              </w:rPr>
              <w:t>Nonvested shares outstanding, January 1, 2010</w:t>
            </w:r>
          </w:p>
        </w:tc>
        <w:tc>
          <w:tcPr>
            <w:tcW w:w="82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66,500</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20"/>
                <w:szCs w:val="20"/>
                <w:color w:val="auto"/>
              </w:rPr>
            </w:pPr>
          </w:p>
        </w:tc>
      </w:tr>
      <w:tr>
        <w:trPr>
          <w:trHeight w:val="459"/>
        </w:trPr>
        <w:tc>
          <w:tcPr>
            <w:tcW w:w="43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273,750</w:t>
            </w: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4"/>
                <w:szCs w:val="24"/>
                <w:color w:val="auto"/>
              </w:rPr>
            </w:pPr>
          </w:p>
        </w:tc>
      </w:tr>
      <w:tr>
        <w:trPr>
          <w:trHeight w:val="459"/>
        </w:trPr>
        <w:tc>
          <w:tcPr>
            <w:tcW w:w="4360" w:type="dxa"/>
            <w:vAlign w:val="bottom"/>
          </w:tcPr>
          <w:p>
            <w:pPr>
              <w:ind w:left="140"/>
              <w:spacing w:after="0"/>
              <w:rPr>
                <w:sz w:val="20"/>
                <w:szCs w:val="20"/>
                <w:color w:val="auto"/>
              </w:rPr>
            </w:pPr>
            <w:r>
              <w:rPr>
                <w:rFonts w:ascii="Arial" w:cs="Arial" w:eastAsia="Arial" w:hAnsi="Arial"/>
                <w:sz w:val="18"/>
                <w:szCs w:val="18"/>
                <w:color w:val="auto"/>
              </w:rPr>
              <w:t>Vested</w:t>
            </w:r>
          </w:p>
        </w:tc>
        <w:tc>
          <w:tcPr>
            <w:tcW w:w="1500" w:type="dxa"/>
            <w:vAlign w:val="bottom"/>
            <w:gridSpan w:val="5"/>
          </w:tcPr>
          <w:p>
            <w:pPr>
              <w:jc w:val="right"/>
              <w:ind w:right="80"/>
              <w:spacing w:after="0"/>
              <w:rPr>
                <w:sz w:val="20"/>
                <w:szCs w:val="20"/>
                <w:color w:val="auto"/>
              </w:rPr>
            </w:pPr>
            <w:r>
              <w:rPr>
                <w:rFonts w:ascii="Arial" w:cs="Arial" w:eastAsia="Arial" w:hAnsi="Arial"/>
                <w:sz w:val="18"/>
                <w:szCs w:val="18"/>
                <w:color w:val="auto"/>
              </w:rPr>
              <w:t>(34,500)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24"/>
                <w:szCs w:val="24"/>
                <w:color w:val="auto"/>
              </w:rPr>
            </w:pPr>
          </w:p>
        </w:tc>
      </w:tr>
      <w:tr>
        <w:trPr>
          <w:trHeight w:val="421"/>
        </w:trPr>
        <w:tc>
          <w:tcPr>
            <w:tcW w:w="43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820" w:type="dxa"/>
            <w:vAlign w:val="bottom"/>
          </w:tcPr>
          <w:p>
            <w:pPr>
              <w:spacing w:after="0"/>
              <w:rPr>
                <w:sz w:val="24"/>
                <w:szCs w:val="24"/>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(2,500)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24"/>
                <w:szCs w:val="24"/>
                <w:color w:val="auto"/>
              </w:rPr>
            </w:pPr>
          </w:p>
        </w:tc>
      </w:tr>
      <w:tr>
        <w:trPr>
          <w:trHeight w:val="20"/>
        </w:trPr>
        <w:tc>
          <w:tcPr>
            <w:tcW w:w="4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360" w:type="dxa"/>
            <w:vAlign w:val="bottom"/>
          </w:tcPr>
          <w:p>
            <w:pPr>
              <w:spacing w:after="0"/>
              <w:rPr>
                <w:sz w:val="20"/>
                <w:szCs w:val="20"/>
                <w:color w:val="auto"/>
              </w:rPr>
            </w:pPr>
            <w:r>
              <w:rPr>
                <w:rFonts w:ascii="Arial" w:cs="Arial" w:eastAsia="Arial" w:hAnsi="Arial"/>
                <w:sz w:val="18"/>
                <w:szCs w:val="18"/>
                <w:color w:val="auto"/>
              </w:rPr>
              <w:t>Nonvested shares outstanding, September 30, 2010</w:t>
            </w:r>
          </w:p>
        </w:tc>
        <w:tc>
          <w:tcPr>
            <w:tcW w:w="820" w:type="dxa"/>
            <w:vAlign w:val="bottom"/>
          </w:tcPr>
          <w:p>
            <w:pPr>
              <w:spacing w:after="0"/>
              <w:rPr>
                <w:sz w:val="24"/>
                <w:szCs w:val="2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2"/>
              </w:rPr>
              <w:t>303,250</w:t>
            </w: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nine months ended September 30, 2010:</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506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506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of Shares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Options outstanding, January 1, 2010 (408,000 exercisable)</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408,000</w:t>
            </w:r>
          </w:p>
        </w:tc>
        <w:tc>
          <w:tcPr>
            <w:tcW w:w="800" w:type="dxa"/>
            <w:vAlign w:val="bottom"/>
          </w:tcPr>
          <w:p>
            <w:pPr>
              <w:jc w:val="right"/>
              <w:ind w:right="4"/>
              <w:spacing w:after="0"/>
              <w:rPr>
                <w:sz w:val="20"/>
                <w:szCs w:val="20"/>
                <w:color w:val="auto"/>
              </w:rPr>
            </w:pPr>
            <w:r>
              <w:rPr>
                <w:rFonts w:ascii="Arial" w:cs="Arial" w:eastAsia="Arial" w:hAnsi="Arial"/>
                <w:sz w:val="18"/>
                <w:szCs w:val="18"/>
                <w:color w:val="auto"/>
              </w:rPr>
              <w:t>$3.45</w:t>
            </w:r>
          </w:p>
        </w:tc>
      </w:tr>
      <w:tr>
        <w:trPr>
          <w:trHeight w:val="459"/>
        </w:trPr>
        <w:tc>
          <w:tcPr>
            <w:tcW w:w="5060" w:type="dxa"/>
            <w:vAlign w:val="bottom"/>
          </w:tcPr>
          <w:p>
            <w:pPr>
              <w:ind w:left="140"/>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4"/>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00"/>
          </w:cols>
          <w:pgMar w:left="240" w:top="131" w:right="259" w:bottom="0" w:gutter="0" w:footer="0" w:header="0"/>
        </w:sectPr>
      </w:pPr>
    </w:p>
    <w:bookmarkStart w:id="12" w:name="page13"/>
    <w:bookmarkEnd w:id="12"/>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510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510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w w:val="89"/>
              </w:rPr>
              <w:t>(61,000)</w:t>
            </w:r>
          </w:p>
        </w:tc>
        <w:tc>
          <w:tcPr>
            <w:tcW w:w="58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39"/>
        </w:trPr>
        <w:tc>
          <w:tcPr>
            <w:tcW w:w="5100" w:type="dxa"/>
            <w:vAlign w:val="bottom"/>
          </w:tcPr>
          <w:p>
            <w:pPr>
              <w:spacing w:after="0"/>
              <w:rPr>
                <w:sz w:val="20"/>
                <w:szCs w:val="20"/>
                <w:color w:val="auto"/>
              </w:rPr>
            </w:pPr>
            <w:r>
              <w:rPr>
                <w:rFonts w:ascii="Arial" w:cs="Arial" w:eastAsia="Arial" w:hAnsi="Arial"/>
                <w:sz w:val="18"/>
                <w:szCs w:val="18"/>
                <w:color w:val="auto"/>
                <w:w w:val="99"/>
              </w:rPr>
              <w:t>Options outstanding, September 30, 2010 (347,000 exercisable)</w:t>
            </w: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347,000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91"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We have a defined contribution 401(k) plan (the "inTEST 401(k) Plan") for our employees who work in the U.S. As a part of this plan, we may match a portion of employee contributions. This plan, including our discretionary employer matching contributions, is more fully discussed in Note 17 to the consolidated financial statements in our 2009 Form 10-K. Effective April 1, 2010, we restored the 401(k) Plan discretionary matching contribution for all domestic employees which had been eliminated for most of these employees at the beginning of 2009. Total expense recorded related to these matching contributions was $157 and $0 for the nine months ended September 30, 2010 and 2009, respectively.</w:t>
      </w:r>
    </w:p>
    <w:p>
      <w:pPr>
        <w:spacing w:after="0" w:line="170"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In addition to the employer matching contributions for which employees of our Temptronic subsidiary are eligible, upon the termination of the Temptronic Equity Participation Plan ("EPP"), we acknowledged that it was our intention to contribute $3,000 in the aggregate to the inTEST 401(k) Plan as a form of profit sharing (not to exceed $300 per year) for the benefit of Temptronic employees. The amount of these profit sharing contributions approximates the amount that we had been committed to contribute to the EPP as of its termination date. All such profit sharing contributions are at the discretion of management, and will be allocated to employees annually in essentially the same manner in which the shares held by the EPP had been allocated. The vesting provisions for these contributions will be the same as those of the inTEST 401(k) Plan. Effective April 1, 2010, we restored the profit sharing contributions which had been suspended at the beginning of 2009 due to operating losses being incurred by Temptroni c. Total expense recorded for profit sharing contributions was $150 and $0 for the nine months ended September 30, 2010 and 2009, respectively. Through September 30, 2010, we had made a total of $1,478 in profit sharing contributions. We have historically funded these obligations through the use of treasury shares during the quarter subsequent to the quarter in which we record the profit sharing liability, although management has the discretion to use cash to fund these obligations. Our current intention is to use cash to fund these obligations when our stock price is below $3.00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three reportable segments, which are also our reporting units: Mechanical Products, Thermal Products and Electrical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Mechanical Products segment includes the operations of our Cherry Hill, New Jersey manufacturing facility and the operations of Diamond, which we acquired in July 2008, as more fully discussed in Note 3 to the consolidated financial statements in our 2009 Form 10-K. In addition, in 2009, our Mechanical Products segment included the operations of two of our foreign subsidiaries: inTEST KK (Japan) and inTEST Pte, Limited (Singapore). As discussed more fully in Note 4, we closed inTEST KK during the fourth quarter of 2009. In addition, we reduced our workforce significantly at inTEST Pte and have centralized the manufacturing of all Mechanical Products in our Cherry Hill, New Jersey manufacturing facility. As a result of this workforce reduction and centralization of manufacturing operations, the remaining operations at inTEST Pte are primarily the sale and servicing of Thermal Products. Accordingly, effective January 1, 2010, this operation is included in our Thermal Products segment for reporting and w e have reclassified the 2009 segment disclosures to reflect this change. Sales of our Mechanical Products segment consist primarily of manipulator and docking hardware products, which we design, manufacture and market. In addition, this segment provides post warranty service and support for various ATE equipment.</w:t>
      </w:r>
    </w:p>
    <w:p>
      <w:pPr>
        <w:spacing w:after="0" w:line="174" w:lineRule="exact"/>
        <w:rPr>
          <w:sz w:val="20"/>
          <w:szCs w:val="20"/>
          <w:color w:val="auto"/>
        </w:rPr>
      </w:pPr>
    </w:p>
    <w:p>
      <w:pPr>
        <w:ind w:left="540" w:right="180"/>
        <w:spacing w:after="0" w:line="255" w:lineRule="auto"/>
        <w:rPr>
          <w:sz w:val="20"/>
          <w:szCs w:val="20"/>
          <w:color w:val="auto"/>
        </w:rPr>
      </w:pPr>
      <w:r>
        <w:rPr>
          <w:rFonts w:ascii="Arial" w:cs="Arial" w:eastAsia="Arial" w:hAnsi="Arial"/>
          <w:sz w:val="18"/>
          <w:szCs w:val="18"/>
          <w:color w:val="auto"/>
        </w:rPr>
        <w:t>The Thermal Products segment includes the operations of Temptronic Corporation in Sharon, Massachusetts, Temptronic GmbH (Germany) and Sigma, which we acquired in October 2008, as more fully discussed in Note 3 to the consolidated financial statements in our 2009 Form 10-K. As noted above, effective January 1, 2010, this segment also includes the operations of inTEST Pte, Limited. Sales of this segment consist primarily of temperature management systems which we design, manufacture and market under our Temptronic and Sigma Systems product lines. In addition, this segment provides post warranty service and support.</w:t>
      </w:r>
    </w:p>
    <w:p>
      <w:pPr>
        <w:spacing w:after="0" w:line="197"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30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industries outside of the semiconductor industry, including the aerospace, automotive, communications, consumer electronics, defense and medical industries. Intercompany pricing between segments is either a multiple of cost for component parts or list price for finished goods.</w:t>
      </w:r>
    </w:p>
    <w:p>
      <w:pPr>
        <w:sectPr>
          <w:pgSz w:w="11900" w:h="16838" w:orient="portrait"/>
          <w:cols w:equalWidth="0" w:num="1">
            <w:col w:w="11420"/>
          </w:cols>
          <w:pgMar w:left="240" w:top="158" w:right="239" w:bottom="0" w:gutter="0" w:footer="0" w:header="0"/>
        </w:sectPr>
      </w:pPr>
    </w:p>
    <w:p>
      <w:pPr>
        <w:spacing w:after="0" w:line="200" w:lineRule="exact"/>
        <w:rPr>
          <w:sz w:val="20"/>
          <w:szCs w:val="20"/>
          <w:color w:val="auto"/>
        </w:rPr>
      </w:pPr>
    </w:p>
    <w:p>
      <w:pPr>
        <w:spacing w:after="0" w:line="264"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8"/>
          </w:tcPr>
          <w:p>
            <w:pPr>
              <w:jc w:val="center"/>
              <w:ind w:right="22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400" w:type="dxa"/>
            <w:vAlign w:val="bottom"/>
            <w:gridSpan w:val="7"/>
          </w:tcPr>
          <w:p>
            <w:pPr>
              <w:jc w:val="center"/>
              <w:ind w:left="52"/>
              <w:spacing w:after="0"/>
              <w:rPr>
                <w:sz w:val="20"/>
                <w:szCs w:val="20"/>
                <w:color w:val="auto"/>
              </w:rPr>
            </w:pPr>
            <w:r>
              <w:rPr>
                <w:rFonts w:ascii="Arial" w:cs="Arial" w:eastAsia="Arial" w:hAnsi="Arial"/>
                <w:sz w:val="14"/>
                <w:szCs w:val="14"/>
                <w:b w:val="1"/>
                <w:bCs w:val="1"/>
                <w:i w:val="1"/>
                <w:iCs w:val="1"/>
                <w:color w:val="auto"/>
                <w:w w:val="85"/>
              </w:rPr>
              <w:t>Nine Months Ended</w:t>
            </w:r>
          </w:p>
        </w:tc>
      </w:tr>
      <w:tr>
        <w:trPr>
          <w:trHeight w:val="146"/>
        </w:trPr>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left="12"/>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56"/>
        </w:trPr>
        <w:tc>
          <w:tcPr>
            <w:tcW w:w="220" w:type="dxa"/>
            <w:vAlign w:val="bottom"/>
            <w:gridSpan w:val="2"/>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2010</w:t>
            </w:r>
          </w:p>
        </w:tc>
        <w:tc>
          <w:tcPr>
            <w:tcW w:w="380" w:type="dxa"/>
            <w:vAlign w:val="bottom"/>
          </w:tcPr>
          <w:p>
            <w:pPr>
              <w:spacing w:after="0"/>
              <w:rPr>
                <w:sz w:val="13"/>
                <w:szCs w:val="13"/>
                <w:color w:val="auto"/>
              </w:rPr>
            </w:pPr>
          </w:p>
        </w:tc>
        <w:tc>
          <w:tcPr>
            <w:tcW w:w="520" w:type="dxa"/>
            <w:vAlign w:val="bottom"/>
            <w:gridSpan w:val="4"/>
          </w:tcPr>
          <w:p>
            <w:pPr>
              <w:jc w:val="right"/>
              <w:ind w:right="200"/>
              <w:spacing w:after="0" w:line="155" w:lineRule="exact"/>
              <w:rPr>
                <w:sz w:val="20"/>
                <w:szCs w:val="20"/>
                <w:color w:val="auto"/>
              </w:rPr>
            </w:pPr>
            <w:r>
              <w:rPr>
                <w:rFonts w:ascii="Arial" w:cs="Arial" w:eastAsia="Arial" w:hAnsi="Arial"/>
                <w:sz w:val="14"/>
                <w:szCs w:val="14"/>
                <w:b w:val="1"/>
                <w:bCs w:val="1"/>
                <w:i w:val="1"/>
                <w:iCs w:val="1"/>
                <w:color w:val="auto"/>
                <w:w w:val="96"/>
              </w:rPr>
              <w:t>2009</w:t>
            </w:r>
          </w:p>
        </w:tc>
        <w:tc>
          <w:tcPr>
            <w:tcW w:w="1060" w:type="dxa"/>
            <w:vAlign w:val="bottom"/>
            <w:gridSpan w:val="4"/>
          </w:tcPr>
          <w:p>
            <w:pPr>
              <w:jc w:val="right"/>
              <w:ind w:right="460"/>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3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2009</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4360" w:space="720"/>
            <w:col w:w="6340"/>
          </w:cols>
          <w:pgMar w:left="240" w:top="158" w:right="239" w:bottom="0" w:gutter="0" w:footer="0" w:header="0"/>
          <w:type w:val="continuous"/>
        </w:sectPr>
      </w:pPr>
    </w:p>
    <w:p>
      <w:pPr>
        <w:spacing w:after="0" w:line="87"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3000" w:type="dxa"/>
            <w:vAlign w:val="bottom"/>
          </w:tcPr>
          <w:p>
            <w:pPr>
              <w:spacing w:after="0"/>
              <w:rPr>
                <w:sz w:val="20"/>
                <w:szCs w:val="20"/>
                <w:color w:val="auto"/>
              </w:rPr>
            </w:pPr>
            <w:r>
              <w:rPr>
                <w:rFonts w:ascii="Arial" w:cs="Arial" w:eastAsia="Arial" w:hAnsi="Arial"/>
                <w:sz w:val="18"/>
                <w:szCs w:val="18"/>
                <w:color w:val="auto"/>
              </w:rPr>
              <w:t>Mechanical Products</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3,952</w:t>
            </w:r>
          </w:p>
        </w:tc>
        <w:tc>
          <w:tcPr>
            <w:tcW w:w="26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$2,032</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76"/>
              </w:rPr>
              <w:t>$16,486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4,336</w:t>
            </w:r>
          </w:p>
        </w:tc>
      </w:tr>
      <w:tr>
        <w:trPr>
          <w:trHeight w:val="459"/>
        </w:trPr>
        <w:tc>
          <w:tcPr>
            <w:tcW w:w="3000" w:type="dxa"/>
            <w:vAlign w:val="bottom"/>
          </w:tcPr>
          <w:p>
            <w:pPr>
              <w:spacing w:after="0"/>
              <w:rPr>
                <w:sz w:val="20"/>
                <w:szCs w:val="20"/>
                <w:color w:val="auto"/>
              </w:rPr>
            </w:pPr>
            <w:r>
              <w:rPr>
                <w:rFonts w:ascii="Arial" w:cs="Arial" w:eastAsia="Arial" w:hAnsi="Arial"/>
                <w:sz w:val="18"/>
                <w:szCs w:val="18"/>
                <w:color w:val="auto"/>
              </w:rPr>
              <w:t>Thermal Products</w:t>
            </w:r>
          </w:p>
        </w:tc>
        <w:tc>
          <w:tcPr>
            <w:tcW w:w="16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4,830</w:t>
            </w:r>
          </w:p>
        </w:tc>
        <w:tc>
          <w:tcPr>
            <w:tcW w:w="260" w:type="dxa"/>
            <w:vAlign w:val="bottom"/>
          </w:tcPr>
          <w:p>
            <w:pPr>
              <w:spacing w:after="0"/>
              <w:rPr>
                <w:sz w:val="24"/>
                <w:szCs w:val="2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3,325</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13,068</w:t>
            </w:r>
          </w:p>
        </w:tc>
        <w:tc>
          <w:tcPr>
            <w:tcW w:w="6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9,899</w:t>
            </w:r>
          </w:p>
        </w:tc>
      </w:tr>
      <w:tr>
        <w:trPr>
          <w:trHeight w:val="459"/>
        </w:trPr>
        <w:tc>
          <w:tcPr>
            <w:tcW w:w="3000" w:type="dxa"/>
            <w:vAlign w:val="bottom"/>
          </w:tcPr>
          <w:p>
            <w:pPr>
              <w:spacing w:after="0"/>
              <w:rPr>
                <w:sz w:val="20"/>
                <w:szCs w:val="20"/>
                <w:color w:val="auto"/>
              </w:rPr>
            </w:pPr>
            <w:r>
              <w:rPr>
                <w:rFonts w:ascii="Arial" w:cs="Arial" w:eastAsia="Arial" w:hAnsi="Arial"/>
                <w:sz w:val="18"/>
                <w:szCs w:val="18"/>
                <w:color w:val="auto"/>
              </w:rPr>
              <w:t>Electrical Products</w:t>
            </w:r>
          </w:p>
        </w:tc>
        <w:tc>
          <w:tcPr>
            <w:tcW w:w="16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2,552</w:t>
            </w:r>
          </w:p>
        </w:tc>
        <w:tc>
          <w:tcPr>
            <w:tcW w:w="260" w:type="dxa"/>
            <w:vAlign w:val="bottom"/>
          </w:tcPr>
          <w:p>
            <w:pPr>
              <w:spacing w:after="0"/>
              <w:rPr>
                <w:sz w:val="24"/>
                <w:szCs w:val="2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981</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6,590</w:t>
            </w:r>
          </w:p>
        </w:tc>
        <w:tc>
          <w:tcPr>
            <w:tcW w:w="6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1,924</w:t>
            </w:r>
          </w:p>
        </w:tc>
      </w:tr>
      <w:tr>
        <w:trPr>
          <w:trHeight w:val="421"/>
        </w:trPr>
        <w:tc>
          <w:tcPr>
            <w:tcW w:w="3000" w:type="dxa"/>
            <w:vAlign w:val="bottom"/>
          </w:tcPr>
          <w:p>
            <w:pPr>
              <w:spacing w:after="0"/>
              <w:rPr>
                <w:sz w:val="20"/>
                <w:szCs w:val="20"/>
                <w:color w:val="auto"/>
              </w:rPr>
            </w:pPr>
            <w:r>
              <w:rPr>
                <w:rFonts w:ascii="Arial" w:cs="Arial" w:eastAsia="Arial" w:hAnsi="Arial"/>
                <w:sz w:val="18"/>
                <w:szCs w:val="18"/>
                <w:color w:val="auto"/>
              </w:rPr>
              <w:t>Intersegment sales</w:t>
            </w:r>
          </w:p>
        </w:tc>
        <w:tc>
          <w:tcPr>
            <w:tcW w:w="162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(1,083)</w:t>
            </w:r>
          </w:p>
        </w:tc>
      </w:tr>
      <w:tr>
        <w:trPr>
          <w:trHeight w:val="20"/>
        </w:trPr>
        <w:tc>
          <w:tcPr>
            <w:tcW w:w="3000" w:type="dxa"/>
            <w:vAlign w:val="bottom"/>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30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11,305</w:t>
            </w:r>
          </w:p>
        </w:tc>
        <w:tc>
          <w:tcPr>
            <w:tcW w:w="260" w:type="dxa"/>
            <w:vAlign w:val="bottom"/>
          </w:tcPr>
          <w:p>
            <w:pPr>
              <w:spacing w:after="0"/>
              <w:rPr>
                <w:sz w:val="24"/>
                <w:szCs w:val="2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6,009</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36,094</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15,076</w:t>
            </w:r>
          </w:p>
        </w:tc>
      </w:tr>
      <w:tr>
        <w:trPr>
          <w:trHeight w:val="20"/>
        </w:trPr>
        <w:tc>
          <w:tcPr>
            <w:tcW w:w="3000" w:type="dxa"/>
            <w:vAlign w:val="bottom"/>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58" w:right="239" w:bottom="0" w:gutter="0" w:footer="0" w:header="0"/>
          <w:type w:val="continuous"/>
        </w:sectPr>
      </w:pPr>
    </w:p>
    <w:bookmarkStart w:id="13" w:name="page14"/>
    <w:bookmarkEnd w:id="13"/>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2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Intersegment sales:</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59"/>
        </w:trPr>
        <w:tc>
          <w:tcPr>
            <w:tcW w:w="3320" w:type="dxa"/>
            <w:vAlign w:val="bottom"/>
          </w:tcPr>
          <w:p>
            <w:pPr>
              <w:ind w:left="560"/>
              <w:spacing w:after="0"/>
              <w:rPr>
                <w:sz w:val="20"/>
                <w:szCs w:val="20"/>
                <w:color w:val="auto"/>
              </w:rPr>
            </w:pPr>
            <w:r>
              <w:rPr>
                <w:rFonts w:ascii="Arial" w:cs="Arial" w:eastAsia="Arial" w:hAnsi="Arial"/>
                <w:sz w:val="18"/>
                <w:szCs w:val="18"/>
                <w:color w:val="auto"/>
              </w:rPr>
              <w:t>Mechanical Products</w:t>
            </w:r>
          </w:p>
        </w:tc>
        <w:tc>
          <w:tcPr>
            <w:tcW w:w="19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$ 5</w:t>
            </w:r>
          </w:p>
        </w:tc>
        <w:tc>
          <w:tcPr>
            <w:tcW w:w="36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$ 11</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$ 9</w:t>
            </w:r>
          </w:p>
        </w:tc>
        <w:tc>
          <w:tcPr>
            <w:tcW w:w="20" w:type="dxa"/>
            <w:vAlign w:val="bottom"/>
          </w:tcPr>
          <w:p>
            <w:pPr>
              <w:spacing w:after="0"/>
              <w:rPr>
                <w:sz w:val="24"/>
                <w:szCs w:val="24"/>
                <w:color w:val="auto"/>
              </w:rPr>
            </w:pPr>
          </w:p>
        </w:tc>
        <w:tc>
          <w:tcPr>
            <w:tcW w:w="800" w:type="dxa"/>
            <w:vAlign w:val="bottom"/>
            <w:gridSpan w:val="7"/>
          </w:tcPr>
          <w:p>
            <w:pPr>
              <w:jc w:val="right"/>
              <w:ind w:right="40"/>
              <w:spacing w:after="0"/>
              <w:rPr>
                <w:sz w:val="20"/>
                <w:szCs w:val="20"/>
                <w:color w:val="auto"/>
              </w:rPr>
            </w:pPr>
            <w:r>
              <w:rPr>
                <w:rFonts w:ascii="Arial" w:cs="Arial" w:eastAsia="Arial" w:hAnsi="Arial"/>
                <w:sz w:val="18"/>
                <w:szCs w:val="18"/>
                <w:color w:val="auto"/>
              </w:rPr>
              <w:t>$ 11</w:t>
            </w:r>
          </w:p>
        </w:tc>
      </w:tr>
      <w:tr>
        <w:trPr>
          <w:trHeight w:val="459"/>
        </w:trPr>
        <w:tc>
          <w:tcPr>
            <w:tcW w:w="3320" w:type="dxa"/>
            <w:vAlign w:val="bottom"/>
          </w:tcPr>
          <w:p>
            <w:pPr>
              <w:ind w:left="560"/>
              <w:spacing w:after="0"/>
              <w:rPr>
                <w:sz w:val="20"/>
                <w:szCs w:val="20"/>
                <w:color w:val="auto"/>
              </w:rPr>
            </w:pPr>
            <w:r>
              <w:rPr>
                <w:rFonts w:ascii="Arial" w:cs="Arial" w:eastAsia="Arial" w:hAnsi="Arial"/>
                <w:sz w:val="18"/>
                <w:szCs w:val="18"/>
                <w:color w:val="auto"/>
              </w:rPr>
              <w:t>Thermal Products</w:t>
            </w:r>
          </w:p>
        </w:tc>
        <w:tc>
          <w:tcPr>
            <w:tcW w:w="19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0" w:type="dxa"/>
            <w:vAlign w:val="bottom"/>
            <w:gridSpan w:val="7"/>
          </w:tcPr>
          <w:p>
            <w:pPr>
              <w:jc w:val="right"/>
              <w:ind w:right="40"/>
              <w:spacing w:after="0"/>
              <w:rPr>
                <w:sz w:val="20"/>
                <w:szCs w:val="20"/>
                <w:color w:val="auto"/>
              </w:rPr>
            </w:pPr>
            <w:r>
              <w:rPr>
                <w:rFonts w:ascii="Arial" w:cs="Arial" w:eastAsia="Arial" w:hAnsi="Arial"/>
                <w:sz w:val="18"/>
                <w:szCs w:val="18"/>
                <w:color w:val="auto"/>
              </w:rPr>
              <w:t>727</w:t>
            </w:r>
          </w:p>
        </w:tc>
      </w:tr>
      <w:tr>
        <w:trPr>
          <w:trHeight w:val="421"/>
        </w:trPr>
        <w:tc>
          <w:tcPr>
            <w:tcW w:w="3320" w:type="dxa"/>
            <w:vAlign w:val="bottom"/>
          </w:tcPr>
          <w:p>
            <w:pPr>
              <w:ind w:left="560"/>
              <w:spacing w:after="0"/>
              <w:rPr>
                <w:sz w:val="20"/>
                <w:szCs w:val="20"/>
                <w:color w:val="auto"/>
              </w:rPr>
            </w:pPr>
            <w:r>
              <w:rPr>
                <w:rFonts w:ascii="Arial" w:cs="Arial" w:eastAsia="Arial" w:hAnsi="Arial"/>
                <w:sz w:val="18"/>
                <w:szCs w:val="18"/>
                <w:color w:val="auto"/>
              </w:rPr>
              <w:t>Electrical Products</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500" w:type="dxa"/>
            <w:vAlign w:val="bottom"/>
            <w:gridSpan w:val="3"/>
          </w:tcPr>
          <w:p>
            <w:pPr>
              <w:spacing w:after="0"/>
              <w:rPr>
                <w:sz w:val="24"/>
                <w:szCs w:val="24"/>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24"/>
                <w:szCs w:val="24"/>
                <w:color w:val="auto"/>
              </w:rPr>
            </w:pPr>
          </w:p>
        </w:tc>
      </w:tr>
      <w:tr>
        <w:trPr>
          <w:trHeight w:val="439"/>
        </w:trPr>
        <w:tc>
          <w:tcPr>
            <w:tcW w:w="3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w:t>
            </w:r>
          </w:p>
        </w:tc>
        <w:tc>
          <w:tcPr>
            <w:tcW w:w="36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329</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w:t>
            </w:r>
          </w:p>
        </w:tc>
        <w:tc>
          <w:tcPr>
            <w:tcW w:w="20" w:type="dxa"/>
            <w:vAlign w:val="bottom"/>
          </w:tcPr>
          <w:p>
            <w:pPr>
              <w:spacing w:after="0"/>
              <w:rPr>
                <w:sz w:val="24"/>
                <w:szCs w:val="24"/>
                <w:color w:val="auto"/>
              </w:rPr>
            </w:pPr>
          </w:p>
        </w:tc>
        <w:tc>
          <w:tcPr>
            <w:tcW w:w="800" w:type="dxa"/>
            <w:vAlign w:val="bottom"/>
            <w:gridSpan w:val="7"/>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1,083</w:t>
            </w:r>
          </w:p>
        </w:tc>
      </w:tr>
      <w:tr>
        <w:trPr>
          <w:trHeight w:val="410"/>
        </w:trPr>
        <w:tc>
          <w:tcPr>
            <w:tcW w:w="3320" w:type="dxa"/>
            <w:vAlign w:val="bottom"/>
          </w:tcPr>
          <w:p>
            <w:pPr>
              <w:ind w:left="560"/>
              <w:spacing w:after="0"/>
              <w:rPr>
                <w:sz w:val="20"/>
                <w:szCs w:val="20"/>
                <w:color w:val="auto"/>
              </w:rPr>
            </w:pPr>
            <w:r>
              <w:rPr>
                <w:rFonts w:ascii="Arial" w:cs="Arial" w:eastAsia="Arial" w:hAnsi="Arial"/>
                <w:sz w:val="18"/>
                <w:szCs w:val="18"/>
                <w:b w:val="1"/>
                <w:bCs w:val="1"/>
                <w:i w:val="1"/>
                <w:iCs w:val="1"/>
                <w:color w:val="auto"/>
                <w:w w:val="86"/>
              </w:rPr>
              <w:t>Earnings (loss) before income taxes:</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3320" w:type="dxa"/>
            <w:vAlign w:val="bottom"/>
          </w:tcPr>
          <w:p>
            <w:pPr>
              <w:ind w:left="560"/>
              <w:spacing w:after="0"/>
              <w:rPr>
                <w:sz w:val="20"/>
                <w:szCs w:val="20"/>
                <w:color w:val="auto"/>
              </w:rPr>
            </w:pPr>
            <w:r>
              <w:rPr>
                <w:rFonts w:ascii="Arial" w:cs="Arial" w:eastAsia="Arial" w:hAnsi="Arial"/>
                <w:sz w:val="18"/>
                <w:szCs w:val="18"/>
                <w:color w:val="auto"/>
              </w:rPr>
              <w:t>Mechanical Products</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72"/>
              </w:rPr>
              <w:t>$(338)</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$3,191</w:t>
            </w:r>
          </w:p>
        </w:tc>
        <w:tc>
          <w:tcPr>
            <w:tcW w:w="20" w:type="dxa"/>
            <w:vAlign w:val="bottom"/>
          </w:tcPr>
          <w:p>
            <w:pPr>
              <w:spacing w:after="0"/>
              <w:rPr>
                <w:sz w:val="24"/>
                <w:szCs w:val="24"/>
                <w:color w:val="auto"/>
              </w:rPr>
            </w:pPr>
          </w:p>
        </w:tc>
        <w:tc>
          <w:tcPr>
            <w:tcW w:w="800" w:type="dxa"/>
            <w:vAlign w:val="bottom"/>
            <w:gridSpan w:val="7"/>
          </w:tcPr>
          <w:p>
            <w:pPr>
              <w:jc w:val="right"/>
              <w:spacing w:after="0"/>
              <w:rPr>
                <w:sz w:val="20"/>
                <w:szCs w:val="20"/>
                <w:color w:val="auto"/>
              </w:rPr>
            </w:pPr>
            <w:r>
              <w:rPr>
                <w:rFonts w:ascii="Arial" w:cs="Arial" w:eastAsia="Arial" w:hAnsi="Arial"/>
                <w:sz w:val="18"/>
                <w:szCs w:val="18"/>
                <w:color w:val="auto"/>
              </w:rPr>
              <w:t>$(2,581)</w:t>
            </w:r>
          </w:p>
        </w:tc>
      </w:tr>
      <w:tr>
        <w:trPr>
          <w:trHeight w:val="459"/>
        </w:trPr>
        <w:tc>
          <w:tcPr>
            <w:tcW w:w="3320" w:type="dxa"/>
            <w:vAlign w:val="bottom"/>
          </w:tcPr>
          <w:p>
            <w:pPr>
              <w:ind w:left="560"/>
              <w:spacing w:after="0"/>
              <w:rPr>
                <w:sz w:val="20"/>
                <w:szCs w:val="20"/>
                <w:color w:val="auto"/>
              </w:rPr>
            </w:pPr>
            <w:r>
              <w:rPr>
                <w:rFonts w:ascii="Arial" w:cs="Arial" w:eastAsia="Arial" w:hAnsi="Arial"/>
                <w:sz w:val="18"/>
                <w:szCs w:val="18"/>
                <w:color w:val="auto"/>
              </w:rPr>
              <w:t>Thermal Products</w:t>
            </w:r>
          </w:p>
        </w:tc>
        <w:tc>
          <w:tcPr>
            <w:tcW w:w="19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3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1,123</w:t>
            </w:r>
          </w:p>
        </w:tc>
        <w:tc>
          <w:tcPr>
            <w:tcW w:w="20" w:type="dxa"/>
            <w:vAlign w:val="bottom"/>
          </w:tcPr>
          <w:p>
            <w:pPr>
              <w:spacing w:after="0"/>
              <w:rPr>
                <w:sz w:val="24"/>
                <w:szCs w:val="24"/>
                <w:color w:val="auto"/>
              </w:rPr>
            </w:pPr>
          </w:p>
        </w:tc>
        <w:tc>
          <w:tcPr>
            <w:tcW w:w="800" w:type="dxa"/>
            <w:vAlign w:val="bottom"/>
            <w:gridSpan w:val="7"/>
          </w:tcPr>
          <w:p>
            <w:pPr>
              <w:jc w:val="right"/>
              <w:spacing w:after="0"/>
              <w:rPr>
                <w:sz w:val="20"/>
                <w:szCs w:val="20"/>
                <w:color w:val="auto"/>
              </w:rPr>
            </w:pPr>
            <w:r>
              <w:rPr>
                <w:rFonts w:ascii="Arial" w:cs="Arial" w:eastAsia="Arial" w:hAnsi="Arial"/>
                <w:sz w:val="18"/>
                <w:szCs w:val="18"/>
                <w:color w:val="auto"/>
              </w:rPr>
              <w:t>(1,563)</w:t>
            </w:r>
          </w:p>
        </w:tc>
      </w:tr>
      <w:tr>
        <w:trPr>
          <w:trHeight w:val="459"/>
        </w:trPr>
        <w:tc>
          <w:tcPr>
            <w:tcW w:w="3320" w:type="dxa"/>
            <w:vAlign w:val="bottom"/>
          </w:tcPr>
          <w:p>
            <w:pPr>
              <w:ind w:left="560"/>
              <w:spacing w:after="0"/>
              <w:rPr>
                <w:sz w:val="20"/>
                <w:szCs w:val="20"/>
                <w:color w:val="auto"/>
              </w:rPr>
            </w:pPr>
            <w:r>
              <w:rPr>
                <w:rFonts w:ascii="Arial" w:cs="Arial" w:eastAsia="Arial" w:hAnsi="Arial"/>
                <w:sz w:val="18"/>
                <w:szCs w:val="18"/>
                <w:color w:val="auto"/>
              </w:rPr>
              <w:t>Electrical Products</w:t>
            </w:r>
          </w:p>
        </w:tc>
        <w:tc>
          <w:tcPr>
            <w:tcW w:w="19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791</w:t>
            </w:r>
          </w:p>
        </w:tc>
        <w:tc>
          <w:tcPr>
            <w:tcW w:w="36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1,916</w:t>
            </w:r>
          </w:p>
        </w:tc>
        <w:tc>
          <w:tcPr>
            <w:tcW w:w="20" w:type="dxa"/>
            <w:vAlign w:val="bottom"/>
          </w:tcPr>
          <w:p>
            <w:pPr>
              <w:spacing w:after="0"/>
              <w:rPr>
                <w:sz w:val="24"/>
                <w:szCs w:val="24"/>
                <w:color w:val="auto"/>
              </w:rPr>
            </w:pPr>
          </w:p>
        </w:tc>
        <w:tc>
          <w:tcPr>
            <w:tcW w:w="800" w:type="dxa"/>
            <w:vAlign w:val="bottom"/>
            <w:gridSpan w:val="7"/>
          </w:tcPr>
          <w:p>
            <w:pPr>
              <w:jc w:val="right"/>
              <w:spacing w:after="0"/>
              <w:rPr>
                <w:sz w:val="20"/>
                <w:szCs w:val="20"/>
                <w:color w:val="auto"/>
              </w:rPr>
            </w:pPr>
            <w:r>
              <w:rPr>
                <w:rFonts w:ascii="Arial" w:cs="Arial" w:eastAsia="Arial" w:hAnsi="Arial"/>
                <w:sz w:val="18"/>
                <w:szCs w:val="18"/>
                <w:color w:val="auto"/>
              </w:rPr>
              <w:t>(825)</w:t>
            </w:r>
          </w:p>
        </w:tc>
      </w:tr>
      <w:tr>
        <w:trPr>
          <w:trHeight w:val="421"/>
        </w:trPr>
        <w:tc>
          <w:tcPr>
            <w:tcW w:w="3320" w:type="dxa"/>
            <w:vAlign w:val="bottom"/>
          </w:tcPr>
          <w:p>
            <w:pPr>
              <w:ind w:left="560"/>
              <w:spacing w:after="0"/>
              <w:rPr>
                <w:sz w:val="20"/>
                <w:szCs w:val="20"/>
                <w:color w:val="auto"/>
              </w:rPr>
            </w:pPr>
            <w:r>
              <w:rPr>
                <w:rFonts w:ascii="Arial" w:cs="Arial" w:eastAsia="Arial" w:hAnsi="Arial"/>
                <w:sz w:val="18"/>
                <w:szCs w:val="18"/>
                <w:color w:val="auto"/>
              </w:rPr>
              <w:t>Corporate</w:t>
            </w:r>
          </w:p>
        </w:tc>
        <w:tc>
          <w:tcPr>
            <w:tcW w:w="19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(255)</w:t>
            </w:r>
          </w:p>
        </w:tc>
        <w:tc>
          <w:tcPr>
            <w:tcW w:w="800" w:type="dxa"/>
            <w:vAlign w:val="bottom"/>
            <w:gridSpan w:val="7"/>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320" w:type="dxa"/>
            <w:vAlign w:val="bottom"/>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9"/>
        </w:trPr>
        <w:tc>
          <w:tcPr>
            <w:tcW w:w="33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1,694</w:t>
            </w:r>
          </w:p>
        </w:tc>
        <w:tc>
          <w:tcPr>
            <w:tcW w:w="3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2"/>
              </w:rPr>
              <w:t>$</w:t>
            </w:r>
            <w:r>
              <w:rPr>
                <w:rFonts w:ascii="Arial" w:cs="Arial" w:eastAsia="Arial" w:hAnsi="Arial"/>
                <w:sz w:val="18"/>
                <w:szCs w:val="18"/>
                <w:color w:val="auto"/>
                <w:w w:val="72"/>
              </w:rPr>
              <w:t>(277)</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5,975</w:t>
            </w:r>
          </w:p>
        </w:tc>
        <w:tc>
          <w:tcPr>
            <w:tcW w:w="20" w:type="dxa"/>
            <w:vAlign w:val="bottom"/>
          </w:tcPr>
          <w:p>
            <w:pPr>
              <w:spacing w:after="0"/>
              <w:rPr>
                <w:sz w:val="24"/>
                <w:szCs w:val="24"/>
                <w:color w:val="auto"/>
              </w:rPr>
            </w:pPr>
          </w:p>
        </w:tc>
        <w:tc>
          <w:tcPr>
            <w:tcW w:w="80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(4,991)</w:t>
            </w:r>
          </w:p>
        </w:tc>
      </w:tr>
      <w:tr>
        <w:trPr>
          <w:trHeight w:val="410"/>
        </w:trPr>
        <w:tc>
          <w:tcPr>
            <w:tcW w:w="332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Net earnings (loss):</w:t>
            </w:r>
          </w:p>
        </w:tc>
        <w:tc>
          <w:tcPr>
            <w:tcW w:w="19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3320" w:type="dxa"/>
            <w:vAlign w:val="bottom"/>
          </w:tcPr>
          <w:p>
            <w:pPr>
              <w:ind w:left="560"/>
              <w:spacing w:after="0"/>
              <w:rPr>
                <w:sz w:val="20"/>
                <w:szCs w:val="20"/>
                <w:color w:val="auto"/>
              </w:rPr>
            </w:pPr>
            <w:r>
              <w:rPr>
                <w:rFonts w:ascii="Arial" w:cs="Arial" w:eastAsia="Arial" w:hAnsi="Arial"/>
                <w:sz w:val="18"/>
                <w:szCs w:val="18"/>
                <w:color w:val="auto"/>
              </w:rPr>
              <w:t>Mechanical Products</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3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72"/>
              </w:rPr>
              <w:t>$(340)</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$3,169</w:t>
            </w:r>
          </w:p>
        </w:tc>
        <w:tc>
          <w:tcPr>
            <w:tcW w:w="20" w:type="dxa"/>
            <w:vAlign w:val="bottom"/>
          </w:tcPr>
          <w:p>
            <w:pPr>
              <w:spacing w:after="0"/>
              <w:rPr>
                <w:sz w:val="24"/>
                <w:szCs w:val="24"/>
                <w:color w:val="auto"/>
              </w:rPr>
            </w:pPr>
          </w:p>
        </w:tc>
        <w:tc>
          <w:tcPr>
            <w:tcW w:w="800" w:type="dxa"/>
            <w:vAlign w:val="bottom"/>
            <w:gridSpan w:val="7"/>
          </w:tcPr>
          <w:p>
            <w:pPr>
              <w:jc w:val="right"/>
              <w:spacing w:after="0"/>
              <w:rPr>
                <w:sz w:val="20"/>
                <w:szCs w:val="20"/>
                <w:color w:val="auto"/>
              </w:rPr>
            </w:pPr>
            <w:r>
              <w:rPr>
                <w:rFonts w:ascii="Arial" w:cs="Arial" w:eastAsia="Arial" w:hAnsi="Arial"/>
                <w:sz w:val="18"/>
                <w:szCs w:val="18"/>
                <w:color w:val="auto"/>
              </w:rPr>
              <w:t>$(2,588)</w:t>
            </w:r>
          </w:p>
        </w:tc>
      </w:tr>
      <w:tr>
        <w:trPr>
          <w:trHeight w:val="459"/>
        </w:trPr>
        <w:tc>
          <w:tcPr>
            <w:tcW w:w="3320" w:type="dxa"/>
            <w:vAlign w:val="bottom"/>
          </w:tcPr>
          <w:p>
            <w:pPr>
              <w:ind w:left="560"/>
              <w:spacing w:after="0"/>
              <w:rPr>
                <w:sz w:val="20"/>
                <w:szCs w:val="20"/>
                <w:color w:val="auto"/>
              </w:rPr>
            </w:pPr>
            <w:r>
              <w:rPr>
                <w:rFonts w:ascii="Arial" w:cs="Arial" w:eastAsia="Arial" w:hAnsi="Arial"/>
                <w:sz w:val="18"/>
                <w:szCs w:val="18"/>
                <w:color w:val="auto"/>
              </w:rPr>
              <w:t>Thermal Products</w:t>
            </w:r>
          </w:p>
        </w:tc>
        <w:tc>
          <w:tcPr>
            <w:tcW w:w="19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3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24"/>
                <w:szCs w:val="24"/>
                <w:color w:val="auto"/>
              </w:rPr>
            </w:pPr>
          </w:p>
        </w:tc>
        <w:tc>
          <w:tcPr>
            <w:tcW w:w="800" w:type="dxa"/>
            <w:vAlign w:val="bottom"/>
            <w:gridSpan w:val="7"/>
          </w:tcPr>
          <w:p>
            <w:pPr>
              <w:jc w:val="right"/>
              <w:spacing w:after="0"/>
              <w:rPr>
                <w:sz w:val="20"/>
                <w:szCs w:val="20"/>
                <w:color w:val="auto"/>
              </w:rPr>
            </w:pPr>
            <w:r>
              <w:rPr>
                <w:rFonts w:ascii="Arial" w:cs="Arial" w:eastAsia="Arial" w:hAnsi="Arial"/>
                <w:sz w:val="18"/>
                <w:szCs w:val="18"/>
                <w:color w:val="auto"/>
              </w:rPr>
              <w:t>(1,550)</w:t>
            </w:r>
          </w:p>
        </w:tc>
      </w:tr>
      <w:tr>
        <w:trPr>
          <w:trHeight w:val="459"/>
        </w:trPr>
        <w:tc>
          <w:tcPr>
            <w:tcW w:w="3320" w:type="dxa"/>
            <w:vAlign w:val="bottom"/>
          </w:tcPr>
          <w:p>
            <w:pPr>
              <w:ind w:left="560"/>
              <w:spacing w:after="0"/>
              <w:rPr>
                <w:sz w:val="20"/>
                <w:szCs w:val="20"/>
                <w:color w:val="auto"/>
              </w:rPr>
            </w:pPr>
            <w:r>
              <w:rPr>
                <w:rFonts w:ascii="Arial" w:cs="Arial" w:eastAsia="Arial" w:hAnsi="Arial"/>
                <w:sz w:val="18"/>
                <w:szCs w:val="18"/>
                <w:color w:val="auto"/>
              </w:rPr>
              <w:t>Electrical Products</w:t>
            </w:r>
          </w:p>
        </w:tc>
        <w:tc>
          <w:tcPr>
            <w:tcW w:w="19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791</w:t>
            </w:r>
          </w:p>
        </w:tc>
        <w:tc>
          <w:tcPr>
            <w:tcW w:w="36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1,916</w:t>
            </w:r>
          </w:p>
        </w:tc>
        <w:tc>
          <w:tcPr>
            <w:tcW w:w="20" w:type="dxa"/>
            <w:vAlign w:val="bottom"/>
          </w:tcPr>
          <w:p>
            <w:pPr>
              <w:spacing w:after="0"/>
              <w:rPr>
                <w:sz w:val="24"/>
                <w:szCs w:val="24"/>
                <w:color w:val="auto"/>
              </w:rPr>
            </w:pPr>
          </w:p>
        </w:tc>
        <w:tc>
          <w:tcPr>
            <w:tcW w:w="800" w:type="dxa"/>
            <w:vAlign w:val="bottom"/>
            <w:gridSpan w:val="7"/>
          </w:tcPr>
          <w:p>
            <w:pPr>
              <w:jc w:val="right"/>
              <w:spacing w:after="0"/>
              <w:rPr>
                <w:sz w:val="20"/>
                <w:szCs w:val="20"/>
                <w:color w:val="auto"/>
              </w:rPr>
            </w:pPr>
            <w:r>
              <w:rPr>
                <w:rFonts w:ascii="Arial" w:cs="Arial" w:eastAsia="Arial" w:hAnsi="Arial"/>
                <w:sz w:val="18"/>
                <w:szCs w:val="18"/>
                <w:color w:val="auto"/>
              </w:rPr>
              <w:t>(825)</w:t>
            </w:r>
          </w:p>
        </w:tc>
      </w:tr>
      <w:tr>
        <w:trPr>
          <w:trHeight w:val="421"/>
        </w:trPr>
        <w:tc>
          <w:tcPr>
            <w:tcW w:w="3320" w:type="dxa"/>
            <w:vAlign w:val="bottom"/>
          </w:tcPr>
          <w:p>
            <w:pPr>
              <w:ind w:left="560"/>
              <w:spacing w:after="0"/>
              <w:rPr>
                <w:sz w:val="20"/>
                <w:szCs w:val="20"/>
                <w:color w:val="auto"/>
              </w:rPr>
            </w:pPr>
            <w:r>
              <w:rPr>
                <w:rFonts w:ascii="Arial" w:cs="Arial" w:eastAsia="Arial" w:hAnsi="Arial"/>
                <w:sz w:val="18"/>
                <w:szCs w:val="18"/>
                <w:color w:val="auto"/>
              </w:rPr>
              <w:t>Corporate</w:t>
            </w:r>
          </w:p>
        </w:tc>
        <w:tc>
          <w:tcPr>
            <w:tcW w:w="19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(256)</w:t>
            </w:r>
          </w:p>
        </w:tc>
        <w:tc>
          <w:tcPr>
            <w:tcW w:w="800" w:type="dxa"/>
            <w:vAlign w:val="bottom"/>
            <w:gridSpan w:val="7"/>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320" w:type="dxa"/>
            <w:vAlign w:val="bottom"/>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9"/>
        </w:trPr>
        <w:tc>
          <w:tcPr>
            <w:tcW w:w="3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73"/>
              </w:rPr>
              <w:t>$</w:t>
            </w:r>
            <w:r>
              <w:rPr>
                <w:rFonts w:ascii="Arial" w:cs="Arial" w:eastAsia="Arial" w:hAnsi="Arial"/>
                <w:sz w:val="16"/>
                <w:szCs w:val="16"/>
                <w:color w:val="auto"/>
                <w:w w:val="73"/>
              </w:rPr>
              <w:t>1,678</w:t>
            </w:r>
          </w:p>
        </w:tc>
        <w:tc>
          <w:tcPr>
            <w:tcW w:w="3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2"/>
              </w:rPr>
              <w:t>$</w:t>
            </w:r>
            <w:r>
              <w:rPr>
                <w:rFonts w:ascii="Arial" w:cs="Arial" w:eastAsia="Arial" w:hAnsi="Arial"/>
                <w:sz w:val="18"/>
                <w:szCs w:val="18"/>
                <w:color w:val="auto"/>
                <w:w w:val="72"/>
              </w:rPr>
              <w:t>(278)</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5,958</w:t>
            </w:r>
          </w:p>
        </w:tc>
        <w:tc>
          <w:tcPr>
            <w:tcW w:w="20" w:type="dxa"/>
            <w:vAlign w:val="bottom"/>
          </w:tcPr>
          <w:p>
            <w:pPr>
              <w:spacing w:after="0"/>
              <w:rPr>
                <w:sz w:val="24"/>
                <w:szCs w:val="24"/>
                <w:color w:val="auto"/>
              </w:rPr>
            </w:pPr>
          </w:p>
        </w:tc>
        <w:tc>
          <w:tcPr>
            <w:tcW w:w="80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(4,985)</w:t>
            </w:r>
          </w:p>
        </w:tc>
      </w:tr>
      <w:tr>
        <w:trPr>
          <w:trHeight w:val="20"/>
        </w:trPr>
        <w:tc>
          <w:tcPr>
            <w:tcW w:w="3320" w:type="dxa"/>
            <w:vAlign w:val="bottom"/>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2"/>
        </w:trPr>
        <w:tc>
          <w:tcPr>
            <w:tcW w:w="3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40" w:type="dxa"/>
            <w:vAlign w:val="bottom"/>
            <w:gridSpan w:val="3"/>
          </w:tcPr>
          <w:p>
            <w:pPr>
              <w:jc w:val="center"/>
              <w:ind w:left="33"/>
              <w:spacing w:after="0"/>
              <w:rPr>
                <w:sz w:val="20"/>
                <w:szCs w:val="20"/>
                <w:color w:val="auto"/>
              </w:rPr>
            </w:pPr>
            <w:r>
              <w:rPr>
                <w:rFonts w:ascii="Arial" w:cs="Arial" w:eastAsia="Arial" w:hAnsi="Arial"/>
                <w:sz w:val="18"/>
                <w:szCs w:val="18"/>
                <w:color w:val="auto"/>
                <w:w w:val="90"/>
              </w:rPr>
              <w:t>- 16 -</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71"/>
        </w:trPr>
        <w:tc>
          <w:tcPr>
            <w:tcW w:w="3320" w:type="dxa"/>
            <w:vAlign w:val="bottom"/>
          </w:tcPr>
          <w:p>
            <w:pPr>
              <w:spacing w:after="0"/>
              <w:rPr>
                <w:sz w:val="24"/>
                <w:szCs w:val="24"/>
                <w:color w:val="auto"/>
              </w:rPr>
            </w:pPr>
          </w:p>
        </w:tc>
        <w:tc>
          <w:tcPr>
            <w:tcW w:w="3900" w:type="dxa"/>
            <w:vAlign w:val="bottom"/>
            <w:gridSpan w:val="13"/>
          </w:tcPr>
          <w:p>
            <w:pPr>
              <w:jc w:val="center"/>
              <w:ind w:left="812"/>
              <w:spacing w:after="0"/>
              <w:rPr>
                <w:sz w:val="20"/>
                <w:szCs w:val="20"/>
                <w:color w:val="auto"/>
              </w:rPr>
            </w:pPr>
            <w:r>
              <w:rPr>
                <w:rFonts w:ascii="Arial" w:cs="Arial" w:eastAsia="Arial" w:hAnsi="Arial"/>
                <w:sz w:val="18"/>
                <w:szCs w:val="18"/>
                <w:b w:val="1"/>
                <w:bCs w:val="1"/>
                <w:color w:val="auto"/>
                <w:w w:val="96"/>
              </w:rPr>
              <w:t>inTEST CORPORATION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3320" w:type="dxa"/>
            <w:vAlign w:val="bottom"/>
          </w:tcPr>
          <w:p>
            <w:pPr>
              <w:spacing w:after="0"/>
              <w:rPr>
                <w:sz w:val="19"/>
                <w:szCs w:val="19"/>
                <w:color w:val="auto"/>
              </w:rPr>
            </w:pPr>
          </w:p>
        </w:tc>
        <w:tc>
          <w:tcPr>
            <w:tcW w:w="4700" w:type="dxa"/>
            <w:vAlign w:val="bottom"/>
            <w:gridSpan w:val="20"/>
          </w:tcPr>
          <w:p>
            <w:pPr>
              <w:jc w:val="center"/>
              <w:ind w:left="12"/>
              <w:spacing w:after="0"/>
              <w:rPr>
                <w:sz w:val="20"/>
                <w:szCs w:val="20"/>
                <w:color w:val="auto"/>
              </w:rPr>
            </w:pPr>
            <w:r>
              <w:rPr>
                <w:rFonts w:ascii="Arial" w:cs="Arial" w:eastAsia="Arial" w:hAnsi="Arial"/>
                <w:sz w:val="18"/>
                <w:szCs w:val="18"/>
                <w:b w:val="1"/>
                <w:bCs w:val="1"/>
                <w:color w:val="auto"/>
                <w:w w:val="97"/>
              </w:rPr>
              <w:t>NOTES TO CONSOLIDATED FINANCIAL STATEMENTS</w:t>
            </w:r>
          </w:p>
        </w:tc>
      </w:tr>
      <w:tr>
        <w:trPr>
          <w:trHeight w:val="222"/>
        </w:trPr>
        <w:tc>
          <w:tcPr>
            <w:tcW w:w="3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4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(Unaudited)</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08"/>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(12) SEGMENT INFORMATION </w:t>
            </w:r>
            <w:r>
              <w:rPr>
                <w:rFonts w:ascii="Arial" w:cs="Arial" w:eastAsia="Arial" w:hAnsi="Arial"/>
                <w:sz w:val="18"/>
                <w:szCs w:val="18"/>
                <w:color w:val="auto"/>
              </w:rPr>
              <w:t>(Continued)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3"/>
        </w:trPr>
        <w:tc>
          <w:tcPr>
            <w:tcW w:w="3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7"/>
          </w:tcPr>
          <w:p>
            <w:pPr>
              <w:jc w:val="center"/>
              <w:ind w:right="240"/>
              <w:spacing w:after="0"/>
              <w:rPr>
                <w:sz w:val="20"/>
                <w:szCs w:val="20"/>
                <w:color w:val="auto"/>
              </w:rPr>
            </w:pPr>
            <w:r>
              <w:rPr>
                <w:rFonts w:ascii="Arial" w:cs="Arial" w:eastAsia="Arial" w:hAnsi="Arial"/>
                <w:sz w:val="14"/>
                <w:szCs w:val="14"/>
                <w:b w:val="1"/>
                <w:bCs w:val="1"/>
                <w:i w:val="1"/>
                <w:iCs w:val="1"/>
                <w:color w:val="auto"/>
                <w:w w:val="83"/>
              </w:rPr>
              <w:t>Sept. 30,</w:t>
            </w:r>
          </w:p>
        </w:tc>
        <w:tc>
          <w:tcPr>
            <w:tcW w:w="60" w:type="dxa"/>
            <w:vAlign w:val="bottom"/>
          </w:tcPr>
          <w:p>
            <w:pPr>
              <w:spacing w:after="0"/>
              <w:rPr>
                <w:sz w:val="24"/>
                <w:szCs w:val="24"/>
                <w:color w:val="auto"/>
              </w:rPr>
            </w:pPr>
          </w:p>
        </w:tc>
        <w:tc>
          <w:tcPr>
            <w:tcW w:w="740" w:type="dxa"/>
            <w:vAlign w:val="bottom"/>
            <w:gridSpan w:val="6"/>
          </w:tcPr>
          <w:p>
            <w:pPr>
              <w:jc w:val="center"/>
              <w:ind w:right="320"/>
              <w:spacing w:after="0"/>
              <w:rPr>
                <w:sz w:val="20"/>
                <w:szCs w:val="20"/>
                <w:color w:val="auto"/>
              </w:rPr>
            </w:pPr>
            <w:r>
              <w:rPr>
                <w:rFonts w:ascii="Arial" w:cs="Arial" w:eastAsia="Arial" w:hAnsi="Arial"/>
                <w:sz w:val="14"/>
                <w:szCs w:val="14"/>
                <w:b w:val="1"/>
                <w:bCs w:val="1"/>
                <w:i w:val="1"/>
                <w:iCs w:val="1"/>
                <w:color w:val="auto"/>
                <w:w w:val="79"/>
              </w:rPr>
              <w:t>Dec. 31,</w:t>
            </w:r>
          </w:p>
        </w:tc>
      </w:tr>
      <w:tr>
        <w:trPr>
          <w:trHeight w:val="163"/>
        </w:trPr>
        <w:tc>
          <w:tcPr>
            <w:tcW w:w="3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2010</w:t>
            </w: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i w:val="1"/>
                <w:iCs w:val="1"/>
                <w:color w:val="auto"/>
              </w:rPr>
              <w:t>2009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2"/>
        </w:trPr>
        <w:tc>
          <w:tcPr>
            <w:tcW w:w="332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Identifiable assets:</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59"/>
        </w:trPr>
        <w:tc>
          <w:tcPr>
            <w:tcW w:w="3320" w:type="dxa"/>
            <w:vAlign w:val="bottom"/>
          </w:tcPr>
          <w:p>
            <w:pPr>
              <w:ind w:left="560"/>
              <w:spacing w:after="0"/>
              <w:rPr>
                <w:sz w:val="20"/>
                <w:szCs w:val="20"/>
                <w:color w:val="auto"/>
              </w:rPr>
            </w:pPr>
            <w:r>
              <w:rPr>
                <w:rFonts w:ascii="Arial" w:cs="Arial" w:eastAsia="Arial" w:hAnsi="Arial"/>
                <w:sz w:val="18"/>
                <w:szCs w:val="18"/>
                <w:color w:val="auto"/>
              </w:rPr>
              <w:t>Mechanical Products</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6"/>
              </w:rPr>
              <w:t>$ 7,689</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6"/>
              </w:rPr>
              <w:t>$ 5,004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3320" w:type="dxa"/>
            <w:vAlign w:val="bottom"/>
          </w:tcPr>
          <w:p>
            <w:pPr>
              <w:ind w:left="560"/>
              <w:spacing w:after="0"/>
              <w:rPr>
                <w:sz w:val="20"/>
                <w:szCs w:val="20"/>
                <w:color w:val="auto"/>
              </w:rPr>
            </w:pPr>
            <w:r>
              <w:rPr>
                <w:rFonts w:ascii="Arial" w:cs="Arial" w:eastAsia="Arial" w:hAnsi="Arial"/>
                <w:sz w:val="18"/>
                <w:szCs w:val="18"/>
                <w:color w:val="auto"/>
              </w:rPr>
              <w:t>Thermal Products</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10,612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8,954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1"/>
        </w:trPr>
        <w:tc>
          <w:tcPr>
            <w:tcW w:w="3320" w:type="dxa"/>
            <w:vAlign w:val="bottom"/>
          </w:tcPr>
          <w:p>
            <w:pPr>
              <w:ind w:left="560"/>
              <w:spacing w:after="0"/>
              <w:rPr>
                <w:sz w:val="20"/>
                <w:szCs w:val="20"/>
                <w:color w:val="auto"/>
              </w:rPr>
            </w:pPr>
            <w:r>
              <w:rPr>
                <w:rFonts w:ascii="Arial" w:cs="Arial" w:eastAsia="Arial" w:hAnsi="Arial"/>
                <w:sz w:val="18"/>
                <w:szCs w:val="18"/>
                <w:color w:val="auto"/>
              </w:rPr>
              <w:t>Electrical Products</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3,170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1,186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3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21,471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15,144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3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9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9"/>
          </w:tcPr>
          <w:p>
            <w:pPr>
              <w:jc w:val="center"/>
              <w:ind w:right="260"/>
              <w:spacing w:after="0"/>
              <w:rPr>
                <w:sz w:val="20"/>
                <w:szCs w:val="20"/>
                <w:color w:val="auto"/>
              </w:rPr>
            </w:pPr>
            <w:r>
              <w:rPr>
                <w:rFonts w:ascii="Arial" w:cs="Arial" w:eastAsia="Arial" w:hAnsi="Arial"/>
                <w:sz w:val="14"/>
                <w:szCs w:val="14"/>
                <w:b w:val="1"/>
                <w:bCs w:val="1"/>
                <w:i w:val="1"/>
                <w:iCs w:val="1"/>
                <w:color w:val="auto"/>
                <w:w w:val="80"/>
              </w:rPr>
              <w:t>Three Months Ended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11"/>
          </w:tcPr>
          <w:p>
            <w:pPr>
              <w:jc w:val="center"/>
              <w:ind w:right="180"/>
              <w:spacing w:after="0"/>
              <w:rPr>
                <w:sz w:val="20"/>
                <w:szCs w:val="20"/>
                <w:color w:val="auto"/>
              </w:rPr>
            </w:pPr>
            <w:r>
              <w:rPr>
                <w:rFonts w:ascii="Arial" w:cs="Arial" w:eastAsia="Arial" w:hAnsi="Arial"/>
                <w:sz w:val="14"/>
                <w:szCs w:val="14"/>
                <w:b w:val="1"/>
                <w:bCs w:val="1"/>
                <w:i w:val="1"/>
                <w:iCs w:val="1"/>
                <w:color w:val="auto"/>
                <w:w w:val="85"/>
              </w:rPr>
              <w:t>Nine Months Ended</w:t>
            </w:r>
          </w:p>
        </w:tc>
      </w:tr>
      <w:tr>
        <w:trPr>
          <w:trHeight w:val="146"/>
        </w:trPr>
        <w:tc>
          <w:tcPr>
            <w:tcW w:w="3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5"/>
          </w:tcPr>
          <w:p>
            <w:pPr>
              <w:jc w:val="center"/>
              <w:ind w:left="32"/>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3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gridSpan w:val="4"/>
          </w:tcPr>
          <w:p>
            <w:pPr>
              <w:jc w:val="right"/>
              <w:ind w:right="100"/>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100" w:type="dxa"/>
            <w:vAlign w:val="bottom"/>
          </w:tcPr>
          <w:p>
            <w:pPr>
              <w:spacing w:after="0"/>
              <w:rPr>
                <w:sz w:val="13"/>
                <w:szCs w:val="13"/>
                <w:color w:val="auto"/>
              </w:rPr>
            </w:pPr>
          </w:p>
        </w:tc>
        <w:tc>
          <w:tcPr>
            <w:tcW w:w="700" w:type="dxa"/>
            <w:vAlign w:val="bottom"/>
            <w:gridSpan w:val="6"/>
          </w:tcPr>
          <w:p>
            <w:pPr>
              <w:jc w:val="right"/>
              <w:ind w:right="80"/>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100" w:type="dxa"/>
            <w:vAlign w:val="bottom"/>
          </w:tcPr>
          <w:p>
            <w:pPr>
              <w:spacing w:after="0"/>
              <w:rPr>
                <w:sz w:val="13"/>
                <w:szCs w:val="13"/>
                <w:color w:val="auto"/>
              </w:rPr>
            </w:pPr>
          </w:p>
        </w:tc>
      </w:tr>
      <w:tr>
        <w:trPr>
          <w:trHeight w:val="451"/>
        </w:trPr>
        <w:tc>
          <w:tcPr>
            <w:tcW w:w="378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780" w:type="dxa"/>
            <w:vAlign w:val="bottom"/>
          </w:tcPr>
          <w:p>
            <w:pPr>
              <w:spacing w:after="0"/>
              <w:rPr>
                <w:sz w:val="20"/>
                <w:szCs w:val="20"/>
                <w:color w:val="auto"/>
              </w:rPr>
            </w:pPr>
            <w:r>
              <w:rPr>
                <w:rFonts w:ascii="Arial" w:cs="Arial" w:eastAsia="Arial" w:hAnsi="Arial"/>
                <w:sz w:val="18"/>
                <w:szCs w:val="18"/>
                <w:color w:val="auto"/>
              </w:rPr>
              <w:t>U.S.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4,595</w:t>
            </w:r>
          </w:p>
        </w:tc>
        <w:tc>
          <w:tcPr>
            <w:tcW w:w="380" w:type="dxa"/>
            <w:vAlign w:val="bottom"/>
          </w:tcPr>
          <w:p>
            <w:pPr>
              <w:spacing w:after="0"/>
              <w:rPr>
                <w:sz w:val="24"/>
                <w:szCs w:val="24"/>
                <w:color w:val="auto"/>
              </w:rPr>
            </w:pPr>
          </w:p>
        </w:tc>
        <w:tc>
          <w:tcPr>
            <w:tcW w:w="540" w:type="dxa"/>
            <w:vAlign w:val="bottom"/>
            <w:gridSpan w:val="5"/>
          </w:tcPr>
          <w:p>
            <w:pPr>
              <w:jc w:val="right"/>
              <w:ind w:right="100"/>
              <w:spacing w:after="0"/>
              <w:rPr>
                <w:sz w:val="20"/>
                <w:szCs w:val="20"/>
                <w:color w:val="auto"/>
              </w:rPr>
            </w:pPr>
            <w:r>
              <w:rPr>
                <w:rFonts w:ascii="Arial" w:cs="Arial" w:eastAsia="Arial" w:hAnsi="Arial"/>
                <w:sz w:val="18"/>
                <w:szCs w:val="18"/>
                <w:color w:val="auto"/>
                <w:w w:val="76"/>
              </w:rPr>
              <w:t>$3,126</w:t>
            </w:r>
          </w:p>
        </w:tc>
        <w:tc>
          <w:tcPr>
            <w:tcW w:w="700" w:type="dxa"/>
            <w:vAlign w:val="bottom"/>
            <w:gridSpan w:val="6"/>
          </w:tcPr>
          <w:p>
            <w:pPr>
              <w:jc w:val="right"/>
              <w:spacing w:after="0"/>
              <w:rPr>
                <w:sz w:val="20"/>
                <w:szCs w:val="20"/>
                <w:color w:val="auto"/>
              </w:rPr>
            </w:pPr>
            <w:r>
              <w:rPr>
                <w:rFonts w:ascii="Arial" w:cs="Arial" w:eastAsia="Arial" w:hAnsi="Arial"/>
                <w:sz w:val="18"/>
                <w:szCs w:val="18"/>
                <w:color w:val="auto"/>
              </w:rPr>
              <w:t>$12,807</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7,461</w:t>
            </w:r>
          </w:p>
        </w:tc>
      </w:tr>
      <w:tr>
        <w:trPr>
          <w:trHeight w:val="421"/>
        </w:trPr>
        <w:tc>
          <w:tcPr>
            <w:tcW w:w="3780" w:type="dxa"/>
            <w:vAlign w:val="bottom"/>
          </w:tcPr>
          <w:p>
            <w:pPr>
              <w:spacing w:after="0"/>
              <w:rPr>
                <w:sz w:val="20"/>
                <w:szCs w:val="20"/>
                <w:color w:val="auto"/>
              </w:rPr>
            </w:pPr>
            <w:r>
              <w:rPr>
                <w:rFonts w:ascii="Arial" w:cs="Arial" w:eastAsia="Arial" w:hAnsi="Arial"/>
                <w:sz w:val="18"/>
                <w:szCs w:val="18"/>
                <w:color w:val="auto"/>
              </w:rPr>
              <w:t>Foreign</w:t>
            </w:r>
          </w:p>
        </w:tc>
        <w:tc>
          <w:tcPr>
            <w:tcW w:w="820" w:type="dxa"/>
            <w:vAlign w:val="bottom"/>
          </w:tcPr>
          <w:p>
            <w:pPr>
              <w:spacing w:after="0"/>
              <w:rPr>
                <w:sz w:val="24"/>
                <w:szCs w:val="24"/>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6,710</w:t>
            </w:r>
          </w:p>
        </w:tc>
        <w:tc>
          <w:tcPr>
            <w:tcW w:w="380" w:type="dxa"/>
            <w:vAlign w:val="bottom"/>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3"/>
              </w:rPr>
              <w:t>2,883</w:t>
            </w:r>
          </w:p>
        </w:tc>
        <w:tc>
          <w:tcPr>
            <w:tcW w:w="10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0"/>
              </w:rPr>
              <w:t>23,287</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7,615</w:t>
            </w:r>
          </w:p>
        </w:tc>
      </w:tr>
      <w:tr>
        <w:trPr>
          <w:trHeight w:val="439"/>
        </w:trPr>
        <w:tc>
          <w:tcPr>
            <w:tcW w:w="37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79"/>
              </w:rPr>
              <w:t>11,305</w:t>
            </w:r>
          </w:p>
        </w:tc>
        <w:tc>
          <w:tcPr>
            <w:tcW w:w="380" w:type="dxa"/>
            <w:vAlign w:val="bottom"/>
          </w:tcPr>
          <w:p>
            <w:pPr>
              <w:spacing w:after="0"/>
              <w:rPr>
                <w:sz w:val="24"/>
                <w:szCs w:val="24"/>
                <w:color w:val="auto"/>
              </w:rPr>
            </w:pPr>
          </w:p>
        </w:tc>
        <w:tc>
          <w:tcPr>
            <w:tcW w:w="54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6,009</w:t>
            </w:r>
          </w:p>
        </w:tc>
        <w:tc>
          <w:tcPr>
            <w:tcW w:w="70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36,094</w:t>
            </w:r>
          </w:p>
        </w:tc>
        <w:tc>
          <w:tcPr>
            <w:tcW w:w="340" w:type="dxa"/>
            <w:vAlign w:val="bottom"/>
            <w:gridSpan w:val="3"/>
          </w:tcPr>
          <w:p>
            <w:pPr>
              <w:ind w:left="24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15,076</w:t>
            </w:r>
          </w:p>
        </w:tc>
      </w:tr>
      <w:tr>
        <w:trPr>
          <w:trHeight w:val="20"/>
        </w:trPr>
        <w:tc>
          <w:tcPr>
            <w:tcW w:w="37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6"/>
            <w:shd w:val="clear" w:color="auto" w:fill="000000"/>
          </w:tcPr>
          <w:p>
            <w:pPr>
              <w:spacing w:after="0" w:line="20" w:lineRule="exact"/>
              <w:rPr>
                <w:sz w:val="1"/>
                <w:szCs w:val="1"/>
                <w:color w:val="auto"/>
              </w:rPr>
            </w:pPr>
          </w:p>
        </w:tc>
      </w:tr>
      <w:tr>
        <w:trPr>
          <w:trHeight w:val="601"/>
        </w:trPr>
        <w:tc>
          <w:tcPr>
            <w:tcW w:w="3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6"/>
          </w:tcPr>
          <w:p>
            <w:pPr>
              <w:jc w:val="right"/>
              <w:ind w:right="100"/>
              <w:spacing w:after="0"/>
              <w:rPr>
                <w:sz w:val="20"/>
                <w:szCs w:val="20"/>
                <w:color w:val="auto"/>
              </w:rPr>
            </w:pPr>
            <w:r>
              <w:rPr>
                <w:rFonts w:ascii="Arial" w:cs="Arial" w:eastAsia="Arial" w:hAnsi="Arial"/>
                <w:sz w:val="14"/>
                <w:szCs w:val="14"/>
                <w:b w:val="1"/>
                <w:bCs w:val="1"/>
                <w:i w:val="1"/>
                <w:iCs w:val="1"/>
                <w:color w:val="auto"/>
              </w:rPr>
              <w:t>Sept. 30,</w:t>
            </w:r>
          </w:p>
        </w:tc>
        <w:tc>
          <w:tcPr>
            <w:tcW w:w="820" w:type="dxa"/>
            <w:vAlign w:val="bottom"/>
            <w:gridSpan w:val="7"/>
          </w:tcPr>
          <w:p>
            <w:pPr>
              <w:ind w:left="240"/>
              <w:spacing w:after="0"/>
              <w:rPr>
                <w:sz w:val="20"/>
                <w:szCs w:val="20"/>
                <w:color w:val="auto"/>
              </w:rPr>
            </w:pPr>
            <w:r>
              <w:rPr>
                <w:rFonts w:ascii="Arial" w:cs="Arial" w:eastAsia="Arial" w:hAnsi="Arial"/>
                <w:sz w:val="14"/>
                <w:szCs w:val="14"/>
                <w:b w:val="1"/>
                <w:bCs w:val="1"/>
                <w:i w:val="1"/>
                <w:iCs w:val="1"/>
                <w:color w:val="auto"/>
              </w:rPr>
              <w:t>Dec. 31,</w:t>
            </w:r>
          </w:p>
        </w:tc>
      </w:tr>
    </w:tbl>
    <w:p>
      <w:pPr>
        <w:spacing w:after="0" w:line="17" w:lineRule="exact"/>
        <w:rPr>
          <w:sz w:val="20"/>
          <w:szCs w:val="20"/>
          <w:color w:val="auto"/>
        </w:rPr>
      </w:pPr>
    </w:p>
    <w:p>
      <w:pPr>
        <w:sectPr>
          <w:pgSz w:w="11900" w:h="16851" w:orient="portrait"/>
          <w:cols w:equalWidth="0" w:num="1">
            <w:col w:w="11260"/>
          </w:cols>
          <w:pgMar w:left="240" w:top="131" w:right="399" w:bottom="0" w:gutter="0" w:footer="0" w:header="0"/>
        </w:sectPr>
      </w:pPr>
    </w:p>
    <w:p>
      <w:pPr>
        <w:ind w:left="6760"/>
        <w:spacing w:after="0"/>
        <w:tabs>
          <w:tab w:leader="none" w:pos="7560" w:val="left"/>
        </w:tabs>
        <w:rPr>
          <w:sz w:val="20"/>
          <w:szCs w:val="20"/>
          <w:color w:val="auto"/>
        </w:rPr>
      </w:pPr>
      <w:r>
        <w:rPr>
          <w:rFonts w:ascii="Arial" w:cs="Arial" w:eastAsia="Arial" w:hAnsi="Arial"/>
          <w:sz w:val="11"/>
          <w:szCs w:val="11"/>
          <w:b w:val="1"/>
          <w:bCs w:val="1"/>
          <w:i w:val="1"/>
          <w:iCs w:val="1"/>
          <w:color w:val="auto"/>
        </w:rPr>
        <w:t>2010</w:t>
      </w:r>
      <w:r>
        <w:rPr>
          <w:sz w:val="20"/>
          <w:szCs w:val="20"/>
          <w:color w:val="auto"/>
        </w:rPr>
        <w:tab/>
      </w:r>
      <w:r>
        <w:rPr>
          <w:rFonts w:ascii="Arial" w:cs="Arial" w:eastAsia="Arial" w:hAnsi="Arial"/>
          <w:sz w:val="11"/>
          <w:szCs w:val="11"/>
          <w:b w:val="1"/>
          <w:bCs w:val="1"/>
          <w:i w:val="1"/>
          <w:i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12065</wp:posOffset>
            </wp:positionV>
            <wp:extent cx="85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3440" cy="8890"/>
                    </a:xfrm>
                    <a:prstGeom prst="rect">
                      <a:avLst/>
                    </a:prstGeom>
                    <a:noFill/>
                  </pic:spPr>
                </pic:pic>
              </a:graphicData>
            </a:graphic>
          </wp:anchor>
        </w:drawing>
      </w:r>
    </w:p>
    <w:p>
      <w:pPr>
        <w:sectPr>
          <w:pgSz w:w="11900" w:h="16851" w:orient="portrait"/>
          <w:cols w:equalWidth="0" w:num="1">
            <w:col w:w="11260"/>
          </w:cols>
          <w:pgMar w:left="240" w:top="131" w:right="399" w:bottom="0" w:gutter="0" w:footer="0" w:header="0"/>
          <w:type w:val="continuous"/>
        </w:sectPr>
      </w:pPr>
    </w:p>
    <w:bookmarkStart w:id="14" w:name="page15"/>
    <w:bookmarkEnd w:id="14"/>
    <w:tbl>
      <w:tblPr>
        <w:tblLayout w:type="fixed"/>
        <w:tblInd w:w="560" w:type="dxa"/>
        <w:tblCellMar>
          <w:top w:w="0" w:type="dxa"/>
          <w:left w:w="0" w:type="dxa"/>
          <w:bottom w:w="0" w:type="dxa"/>
          <w:right w:w="0" w:type="dxa"/>
        </w:tblCellMar>
      </w:tblPr>
      <w:tr>
        <w:trPr>
          <w:trHeight w:val="222"/>
        </w:trPr>
        <w:tc>
          <w:tcPr>
            <w:tcW w:w="6340" w:type="dxa"/>
            <w:vAlign w:val="bottom"/>
          </w:tcPr>
          <w:p>
            <w:pPr>
              <w:spacing w:after="0"/>
              <w:rPr>
                <w:sz w:val="20"/>
                <w:szCs w:val="20"/>
                <w:color w:val="auto"/>
              </w:rPr>
            </w:pPr>
            <w:r>
              <w:rPr>
                <w:rFonts w:ascii="Arial" w:cs="Arial" w:eastAsia="Arial" w:hAnsi="Arial"/>
                <w:sz w:val="18"/>
                <w:szCs w:val="18"/>
                <w:b w:val="1"/>
                <w:bCs w:val="1"/>
                <w:i w:val="1"/>
                <w:iCs w:val="1"/>
                <w:color w:val="auto"/>
              </w:rPr>
              <w:t>Long-lived assets: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59"/>
        </w:trPr>
        <w:tc>
          <w:tcPr>
            <w:tcW w:w="6340" w:type="dxa"/>
            <w:vAlign w:val="bottom"/>
          </w:tcPr>
          <w:p>
            <w:pPr>
              <w:spacing w:after="0"/>
              <w:rPr>
                <w:sz w:val="20"/>
                <w:szCs w:val="20"/>
                <w:color w:val="auto"/>
              </w:rPr>
            </w:pPr>
            <w:r>
              <w:rPr>
                <w:rFonts w:ascii="Arial" w:cs="Arial" w:eastAsia="Arial" w:hAnsi="Arial"/>
                <w:sz w:val="18"/>
                <w:szCs w:val="18"/>
                <w:color w:val="auto"/>
              </w:rPr>
              <w:t>U.S.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79"/>
              </w:rPr>
              <w:t>$107</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$200</w:t>
            </w:r>
          </w:p>
        </w:tc>
      </w:tr>
      <w:tr>
        <w:trPr>
          <w:trHeight w:val="421"/>
        </w:trPr>
        <w:tc>
          <w:tcPr>
            <w:tcW w:w="6340" w:type="dxa"/>
            <w:vAlign w:val="bottom"/>
          </w:tcPr>
          <w:p>
            <w:pPr>
              <w:spacing w:after="0"/>
              <w:rPr>
                <w:sz w:val="20"/>
                <w:szCs w:val="20"/>
                <w:color w:val="auto"/>
              </w:rPr>
            </w:pPr>
            <w:r>
              <w:rPr>
                <w:rFonts w:ascii="Arial" w:cs="Arial" w:eastAsia="Arial" w:hAnsi="Arial"/>
                <w:sz w:val="18"/>
                <w:szCs w:val="18"/>
                <w:color w:val="auto"/>
              </w:rPr>
              <w:t>Foreign</w:t>
            </w:r>
          </w:p>
        </w:tc>
        <w:tc>
          <w:tcPr>
            <w:tcW w:w="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500" w:type="dxa"/>
            <w:vAlign w:val="bottom"/>
            <w:gridSpan w:val="2"/>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439"/>
        </w:trPr>
        <w:tc>
          <w:tcPr>
            <w:tcW w:w="6340" w:type="dxa"/>
            <w:vAlign w:val="bottom"/>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192</w:t>
            </w:r>
          </w:p>
        </w:tc>
        <w:tc>
          <w:tcPr>
            <w:tcW w:w="46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297</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9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On October 8, 2010, the Governor of California signed the state's budget which continued the suspension of the net operating loss corporate tax benefit for 2010 and 2011. As a result of this action, we will not be able to use our existing net operating loss carry forward to offset our taxable income for 2010 and the impact of this suspension will cause us to accrue approximately $70 of income tax expense for the nine months ended September 30, 2010. This accrual will be made during the fourth quarter of 2010, since this was the period in which this change was enacted.</w:t>
      </w:r>
    </w:p>
    <w:p>
      <w:pPr>
        <w:spacing w:after="0" w:line="167"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On October 27, 2010, our Temptronic subsidiary entered into a 126-month lease for a 52,700 square foot facility located in Mansfield, MA, to replace their existing facility in Sharon, MA, where the lease expires on February 28, 2011. In connection with the new lease, Temptronic will provide a security deposit of $200 in the form of a letter of credit secured by pledged certificates of deposit. The lease provides for six months of free rent in the first six months of the lease term, which is expected to begin on or about March 1, 2010. Temptronic will contribute $115 toward the cost of the landlord provided tenant improvements. We expect to reduce our annual operating expenses by approximately $140 per year as a result of this 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349250</wp:posOffset>
            </wp:positionV>
            <wp:extent cx="619569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9569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31" w:lineRule="exact"/>
        <w:rPr>
          <w:sz w:val="20"/>
          <w:szCs w:val="20"/>
          <w:color w:val="auto"/>
        </w:rPr>
      </w:pPr>
    </w:p>
    <w:p>
      <w:pPr>
        <w:ind w:left="540" w:right="80"/>
        <w:spacing w:after="0" w:line="254" w:lineRule="auto"/>
        <w:rPr>
          <w:sz w:val="20"/>
          <w:szCs w:val="20"/>
          <w:color w:val="auto"/>
        </w:rPr>
      </w:pPr>
      <w:r>
        <w:rPr>
          <w:rFonts w:ascii="Arial" w:cs="Arial" w:eastAsia="Arial" w:hAnsi="Arial"/>
          <w:sz w:val="18"/>
          <w:szCs w:val="18"/>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98"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of our 2009 Form 10-K. Material changes to such risk factors may be reported in subsequent Quarterly Reports on Form 10-Q in Part II, Item 1A. There have been no such changes from the risk factors set forth in our 2009 Form 10-K.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This MD&amp;A should be read in conjunction with the accompanying consolidated financial statements. See, also, Part I, Item 1A - "Risk Factors" of our 2009 Form 10-K.</w:t>
      </w:r>
    </w:p>
    <w:p>
      <w:pPr>
        <w:spacing w:after="0" w:line="186"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These industry cycles are difficult to predict and in recent years have become more volatile and, in most cases, shorter in duration. Because the industry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8" w:lineRule="exact"/>
        <w:rPr>
          <w:sz w:val="20"/>
          <w:szCs w:val="20"/>
          <w:color w:val="auto"/>
        </w:rPr>
      </w:pPr>
    </w:p>
    <w:p>
      <w:pPr>
        <w:ind w:left="540" w:right="60"/>
        <w:spacing w:after="0" w:line="310" w:lineRule="auto"/>
        <w:rPr>
          <w:sz w:val="20"/>
          <w:szCs w:val="20"/>
          <w:color w:val="auto"/>
        </w:rPr>
      </w:pPr>
      <w:r>
        <w:rPr>
          <w:rFonts w:ascii="Arial" w:cs="Arial" w:eastAsia="Arial" w:hAnsi="Arial"/>
          <w:sz w:val="15"/>
          <w:szCs w:val="15"/>
          <w:color w:val="auto"/>
        </w:rPr>
        <w:t>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related ATE interface products, such as sockets and interface boards, which must be replaced periodically, are typically made from the end users' operating budgets. In addition,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 In addition, we market our Thermostream temperature management systems in industries outside semiconductor test, such as the automotive, aerospace, medical and telecommunications industries. We believe that these industries usually are less cyclical than the ATE industry.</w:t>
      </w:r>
    </w:p>
    <w:p>
      <w:pPr>
        <w:sectPr>
          <w:pgSz w:w="11900" w:h="16838" w:orient="portrait"/>
          <w:cols w:equalWidth="0" w:num="1">
            <w:col w:w="11420"/>
          </w:cols>
          <w:pgMar w:left="240" w:top="158" w:right="239" w:bottom="0" w:gutter="0" w:footer="0" w:header="0"/>
        </w:sectPr>
      </w:pPr>
    </w:p>
    <w:bookmarkStart w:id="15" w:name="page16"/>
    <w:bookmarkEnd w:id="15"/>
    <w:p>
      <w:pPr>
        <w:ind w:left="540" w:right="140"/>
        <w:spacing w:after="0" w:line="291"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smaller quantities (which prevents us from acquiring component materials in larger volumes at lower cost and increasing unit costs), (ii) the increasing practice of OEM manufacturers to specify other suppliers as primary vendors, with less frequent opportunities to compete for such designations, (iii) the increased role of third-party test and assembly houses in the ATE market and their requirement of products with a greater range of use at the lowest cost, and (iv) customer supply line management groups demanding lower prices and spreading purchases across multiple vendors. In addition, due to the global recession, several semiconductor manufacturers have failed, which has resulted in a significant amount of used ATE equipment coming onto the market, which has reduced demand for certain types of new ATE equipment. While the supply of used equipment on the market has negatively impacted demand in all our product segments, we believe our Thermal Products segment has experienced a higher level of loss of cu rrent sales due to this issue. We currently expect the increased demand for ATE equipment will consume the supply of used equipment within several quarters, but we cannot determine with any degree of certainty when this issue of oversupply of used equipment will cease. These shifts in market practices have had, and may continue to have, varying levels of impact on our operating results, which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 and Orders</w:t>
      </w:r>
    </w:p>
    <w:p>
      <w:pPr>
        <w:spacing w:after="0" w:line="225" w:lineRule="exact"/>
        <w:rPr>
          <w:sz w:val="20"/>
          <w:szCs w:val="20"/>
          <w:color w:val="auto"/>
        </w:rPr>
      </w:pPr>
    </w:p>
    <w:p>
      <w:pPr>
        <w:ind w:left="540" w:right="52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geographic area (based on the location to which the goods are shipped).</w:t>
      </w:r>
    </w:p>
    <w:p>
      <w:pPr>
        <w:sectPr>
          <w:pgSz w:w="11900" w:h="16838" w:orient="portrait"/>
          <w:cols w:equalWidth="0" w:num="1">
            <w:col w:w="11380"/>
          </w:cols>
          <w:pgMar w:left="240" w:top="347"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2160"/>
        <w:spacing w:after="0"/>
        <w:rPr>
          <w:sz w:val="20"/>
          <w:szCs w:val="20"/>
          <w:color w:val="auto"/>
        </w:rPr>
      </w:pPr>
      <w:r>
        <w:rPr>
          <w:rFonts w:ascii="Arial" w:cs="Arial" w:eastAsia="Arial" w:hAnsi="Arial"/>
          <w:sz w:val="14"/>
          <w:szCs w:val="14"/>
          <w:b w:val="1"/>
          <w:bCs w:val="1"/>
          <w:i w:val="1"/>
          <w:iCs w:val="1"/>
          <w:color w:val="auto"/>
        </w:rPr>
        <w:t>(in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-8890</wp:posOffset>
            </wp:positionV>
            <wp:extent cx="18796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7960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400" w:type="dxa"/>
            <w:vAlign w:val="bottom"/>
            <w:gridSpan w:val="2"/>
          </w:tcPr>
          <w:p>
            <w:pPr>
              <w:spacing w:after="0"/>
              <w:rPr>
                <w:sz w:val="14"/>
                <w:szCs w:val="14"/>
                <w:color w:val="auto"/>
              </w:rPr>
            </w:pPr>
          </w:p>
        </w:tc>
        <w:tc>
          <w:tcPr>
            <w:tcW w:w="11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i w:val="1"/>
                <w:iCs w:val="1"/>
                <w:color w:val="auto"/>
                <w:w w:val="86"/>
              </w:rPr>
              <w:t>NineMonths Ended</w:t>
            </w:r>
          </w:p>
        </w:tc>
      </w:tr>
      <w:tr>
        <w:trPr>
          <w:trHeight w:val="223"/>
        </w:trPr>
        <w:tc>
          <w:tcPr>
            <w:tcW w:w="700" w:type="dxa"/>
            <w:vAlign w:val="bottom"/>
            <w:gridSpan w:val="2"/>
          </w:tcPr>
          <w:p>
            <w:pPr>
              <w:ind w:left="200"/>
              <w:spacing w:after="0"/>
              <w:rPr>
                <w:sz w:val="20"/>
                <w:szCs w:val="20"/>
                <w:color w:val="auto"/>
              </w:rPr>
            </w:pPr>
            <w:r>
              <w:rPr>
                <w:rFonts w:ascii="Arial" w:cs="Arial" w:eastAsia="Arial" w:hAnsi="Arial"/>
                <w:sz w:val="14"/>
                <w:szCs w:val="14"/>
                <w:b w:val="1"/>
                <w:bCs w:val="1"/>
                <w:i w:val="1"/>
                <w:iCs w:val="1"/>
                <w:color w:val="auto"/>
                <w:w w:val="83"/>
              </w:rPr>
              <w:t>Sept. 30,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4"/>
          </w:tcPr>
          <w:p>
            <w:pPr>
              <w:jc w:val="center"/>
              <w:ind w:right="300"/>
              <w:spacing w:after="0"/>
              <w:rPr>
                <w:sz w:val="20"/>
                <w:szCs w:val="20"/>
                <w:color w:val="auto"/>
              </w:rPr>
            </w:pPr>
            <w:r>
              <w:rPr>
                <w:rFonts w:ascii="Arial" w:cs="Arial" w:eastAsia="Arial" w:hAnsi="Arial"/>
                <w:sz w:val="14"/>
                <w:szCs w:val="14"/>
                <w:b w:val="1"/>
                <w:bCs w:val="1"/>
                <w:i w:val="1"/>
                <w:iCs w:val="1"/>
                <w:color w:val="auto"/>
                <w:w w:val="85"/>
              </w:rPr>
              <w:t>June 30,</w:t>
            </w:r>
          </w:p>
        </w:tc>
        <w:tc>
          <w:tcPr>
            <w:tcW w:w="100" w:type="dxa"/>
            <w:vAlign w:val="bottom"/>
          </w:tcPr>
          <w:p>
            <w:pPr>
              <w:spacing w:after="0"/>
              <w:rPr>
                <w:sz w:val="19"/>
                <w:szCs w:val="19"/>
                <w:color w:val="auto"/>
              </w:rPr>
            </w:pPr>
          </w:p>
        </w:tc>
        <w:tc>
          <w:tcPr>
            <w:tcW w:w="700" w:type="dxa"/>
            <w:vAlign w:val="bottom"/>
            <w:gridSpan w:val="2"/>
          </w:tcPr>
          <w:p>
            <w:pPr>
              <w:jc w:val="center"/>
              <w:ind w:left="112"/>
              <w:spacing w:after="0"/>
              <w:rPr>
                <w:sz w:val="20"/>
                <w:szCs w:val="20"/>
                <w:color w:val="auto"/>
              </w:rPr>
            </w:pPr>
            <w:r>
              <w:rPr>
                <w:rFonts w:ascii="Arial" w:cs="Arial" w:eastAsia="Arial" w:hAnsi="Arial"/>
                <w:sz w:val="14"/>
                <w:szCs w:val="14"/>
                <w:b w:val="1"/>
                <w:bCs w:val="1"/>
                <w:i w:val="1"/>
                <w:iCs w:val="1"/>
                <w:color w:val="auto"/>
                <w:w w:val="83"/>
              </w:rPr>
              <w:t>Sept. 30,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26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2010</w:t>
            </w:r>
          </w:p>
        </w:tc>
        <w:tc>
          <w:tcPr>
            <w:tcW w:w="440" w:type="dxa"/>
            <w:vAlign w:val="bottom"/>
          </w:tcPr>
          <w:p>
            <w:pPr>
              <w:spacing w:after="0"/>
              <w:rPr>
                <w:sz w:val="13"/>
                <w:szCs w:val="13"/>
                <w:color w:val="auto"/>
              </w:rPr>
            </w:pPr>
          </w:p>
        </w:tc>
        <w:tc>
          <w:tcPr>
            <w:tcW w:w="22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2009</w:t>
            </w:r>
          </w:p>
        </w:tc>
        <w:tc>
          <w:tcPr>
            <w:tcW w:w="380" w:type="dxa"/>
            <w:vAlign w:val="bottom"/>
          </w:tcPr>
          <w:p>
            <w:pPr>
              <w:spacing w:after="0"/>
              <w:rPr>
                <w:sz w:val="13"/>
                <w:szCs w:val="13"/>
                <w:color w:val="auto"/>
              </w:rPr>
            </w:pPr>
          </w:p>
        </w:tc>
        <w:tc>
          <w:tcPr>
            <w:tcW w:w="48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300" w:type="dxa"/>
            <w:vAlign w:val="bottom"/>
          </w:tcPr>
          <w:p>
            <w:pPr>
              <w:spacing w:after="0"/>
              <w:rPr>
                <w:sz w:val="13"/>
                <w:szCs w:val="13"/>
                <w:color w:val="auto"/>
              </w:rPr>
            </w:pP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440" w:type="dxa"/>
            <w:vAlign w:val="bottom"/>
          </w:tcPr>
          <w:p>
            <w:pPr>
              <w:spacing w:after="0"/>
              <w:rPr>
                <w:sz w:val="13"/>
                <w:szCs w:val="13"/>
                <w:color w:val="auto"/>
              </w:rPr>
            </w:pPr>
          </w:p>
        </w:tc>
        <w:tc>
          <w:tcPr>
            <w:tcW w:w="22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2009</w:t>
            </w:r>
          </w:p>
        </w:tc>
        <w:tc>
          <w:tcPr>
            <w:tcW w:w="80" w:type="dxa"/>
            <w:vAlign w:val="bottom"/>
          </w:tcPr>
          <w:p>
            <w:pPr>
              <w:spacing w:after="0"/>
              <w:rPr>
                <w:sz w:val="13"/>
                <w:szCs w:val="13"/>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5400" w:space="720"/>
            <w:col w:w="5260"/>
          </w:cols>
          <w:pgMar w:left="240" w:top="347" w:right="279" w:bottom="0" w:gutter="0" w:footer="0" w:header="0"/>
          <w:type w:val="continuous"/>
        </w:sectPr>
      </w:pPr>
    </w:p>
    <w:p>
      <w:pPr>
        <w:spacing w:after="0" w:line="87"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Mechanical Products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$ 3,952</w:t>
            </w:r>
          </w:p>
        </w:tc>
        <w:tc>
          <w:tcPr>
            <w:tcW w:w="24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76"/>
              </w:rPr>
              <w:t>$2,032</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$ 7,778</w:t>
            </w:r>
          </w:p>
        </w:tc>
        <w:tc>
          <w:tcPr>
            <w:tcW w:w="260" w:type="dxa"/>
            <w:vAlign w:val="bottom"/>
          </w:tcPr>
          <w:p>
            <w:pPr>
              <w:spacing w:after="0"/>
              <w:rPr>
                <w:sz w:val="19"/>
                <w:szCs w:val="19"/>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73"/>
              </w:rPr>
              <w:t>$16,486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76"/>
              </w:rPr>
              <w:t>$ 4,336</w:t>
            </w:r>
          </w:p>
        </w:tc>
      </w:tr>
      <w:tr>
        <w:trPr>
          <w:trHeight w:val="459"/>
        </w:trPr>
        <w:tc>
          <w:tcPr>
            <w:tcW w:w="4700" w:type="dxa"/>
            <w:vAlign w:val="bottom"/>
          </w:tcPr>
          <w:p>
            <w:pPr>
              <w:spacing w:after="0"/>
              <w:rPr>
                <w:sz w:val="20"/>
                <w:szCs w:val="20"/>
                <w:color w:val="auto"/>
              </w:rPr>
            </w:pPr>
            <w:r>
              <w:rPr>
                <w:rFonts w:ascii="Arial" w:cs="Arial" w:eastAsia="Arial" w:hAnsi="Arial"/>
                <w:sz w:val="18"/>
                <w:szCs w:val="18"/>
                <w:color w:val="auto"/>
              </w:rPr>
              <w:t>Thermal Products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4,830</w:t>
            </w:r>
          </w:p>
        </w:tc>
        <w:tc>
          <w:tcPr>
            <w:tcW w:w="240" w:type="dxa"/>
            <w:vAlign w:val="bottom"/>
          </w:tcPr>
          <w:p>
            <w:pPr>
              <w:spacing w:after="0"/>
              <w:rPr>
                <w:sz w:val="24"/>
                <w:szCs w:val="2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3,325</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4,726</w:t>
            </w:r>
          </w:p>
        </w:tc>
        <w:tc>
          <w:tcPr>
            <w:tcW w:w="260" w:type="dxa"/>
            <w:vAlign w:val="bottom"/>
          </w:tcPr>
          <w:p>
            <w:pPr>
              <w:spacing w:after="0"/>
              <w:rPr>
                <w:sz w:val="24"/>
                <w:szCs w:val="2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13,068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9,899</w:t>
            </w:r>
          </w:p>
        </w:tc>
      </w:tr>
      <w:tr>
        <w:trPr>
          <w:trHeight w:val="459"/>
        </w:trPr>
        <w:tc>
          <w:tcPr>
            <w:tcW w:w="4700" w:type="dxa"/>
            <w:vAlign w:val="bottom"/>
          </w:tcPr>
          <w:p>
            <w:pPr>
              <w:spacing w:after="0"/>
              <w:rPr>
                <w:sz w:val="20"/>
                <w:szCs w:val="20"/>
                <w:color w:val="auto"/>
              </w:rPr>
            </w:pPr>
            <w:r>
              <w:rPr>
                <w:rFonts w:ascii="Arial" w:cs="Arial" w:eastAsia="Arial" w:hAnsi="Arial"/>
                <w:sz w:val="18"/>
                <w:szCs w:val="18"/>
                <w:color w:val="auto"/>
              </w:rPr>
              <w:t>Electrical Products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2,552</w:t>
            </w:r>
          </w:p>
        </w:tc>
        <w:tc>
          <w:tcPr>
            <w:tcW w:w="240" w:type="dxa"/>
            <w:vAlign w:val="bottom"/>
          </w:tcPr>
          <w:p>
            <w:pPr>
              <w:spacing w:after="0"/>
              <w:rPr>
                <w:sz w:val="24"/>
                <w:szCs w:val="2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981</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2,776</w:t>
            </w:r>
          </w:p>
        </w:tc>
        <w:tc>
          <w:tcPr>
            <w:tcW w:w="260" w:type="dxa"/>
            <w:vAlign w:val="bottom"/>
          </w:tcPr>
          <w:p>
            <w:pPr>
              <w:spacing w:after="0"/>
              <w:rPr>
                <w:sz w:val="24"/>
                <w:szCs w:val="2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6,590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1,924</w:t>
            </w:r>
          </w:p>
        </w:tc>
      </w:tr>
      <w:tr>
        <w:trPr>
          <w:trHeight w:val="421"/>
        </w:trPr>
        <w:tc>
          <w:tcPr>
            <w:tcW w:w="4700" w:type="dxa"/>
            <w:vAlign w:val="bottom"/>
          </w:tcPr>
          <w:p>
            <w:pPr>
              <w:spacing w:after="0"/>
              <w:rPr>
                <w:sz w:val="20"/>
                <w:szCs w:val="20"/>
                <w:color w:val="auto"/>
              </w:rPr>
            </w:pPr>
            <w:r>
              <w:rPr>
                <w:rFonts w:ascii="Arial" w:cs="Arial" w:eastAsia="Arial" w:hAnsi="Arial"/>
                <w:sz w:val="18"/>
                <w:szCs w:val="18"/>
                <w:color w:val="auto"/>
              </w:rPr>
              <w:t>Intersegment sales</w:t>
            </w:r>
          </w:p>
        </w:tc>
        <w:tc>
          <w:tcPr>
            <w:tcW w:w="26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(29)</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(329)</w:t>
            </w: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(20)</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(1,083)</w:t>
            </w:r>
          </w:p>
        </w:tc>
      </w:tr>
      <w:tr>
        <w:trPr>
          <w:trHeight w:val="20"/>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7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11,305</w:t>
            </w:r>
          </w:p>
        </w:tc>
        <w:tc>
          <w:tcPr>
            <w:tcW w:w="240" w:type="dxa"/>
            <w:vAlign w:val="bottom"/>
          </w:tcPr>
          <w:p>
            <w:pPr>
              <w:spacing w:after="0"/>
              <w:rPr>
                <w:sz w:val="24"/>
                <w:szCs w:val="2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6,009</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15,260</w:t>
            </w:r>
          </w:p>
        </w:tc>
        <w:tc>
          <w:tcPr>
            <w:tcW w:w="260" w:type="dxa"/>
            <w:vAlign w:val="bottom"/>
          </w:tcPr>
          <w:p>
            <w:pPr>
              <w:spacing w:after="0"/>
              <w:rPr>
                <w:sz w:val="24"/>
                <w:szCs w:val="2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73"/>
              </w:rPr>
              <w:t>$</w:t>
            </w:r>
            <w:r>
              <w:rPr>
                <w:rFonts w:ascii="Arial" w:cs="Arial" w:eastAsia="Arial" w:hAnsi="Arial"/>
                <w:sz w:val="18"/>
                <w:szCs w:val="18"/>
                <w:color w:val="auto"/>
                <w:w w:val="73"/>
              </w:rPr>
              <w:t>36,094</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15,076</w:t>
            </w:r>
          </w:p>
        </w:tc>
      </w:tr>
      <w:tr>
        <w:trPr>
          <w:trHeight w:val="262"/>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2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4700" w:type="dxa"/>
            <w:vAlign w:val="bottom"/>
          </w:tcPr>
          <w:p>
            <w:pPr>
              <w:spacing w:after="0"/>
              <w:rPr>
                <w:sz w:val="20"/>
                <w:szCs w:val="20"/>
                <w:color w:val="auto"/>
              </w:rPr>
            </w:pPr>
            <w:r>
              <w:rPr>
                <w:rFonts w:ascii="Arial" w:cs="Arial" w:eastAsia="Arial" w:hAnsi="Arial"/>
                <w:sz w:val="18"/>
                <w:szCs w:val="18"/>
                <w:color w:val="auto"/>
              </w:rPr>
              <w:t>Mechanical Products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$ 5</w:t>
            </w:r>
          </w:p>
        </w:tc>
        <w:tc>
          <w:tcPr>
            <w:tcW w:w="240" w:type="dxa"/>
            <w:vAlign w:val="bottom"/>
          </w:tcPr>
          <w:p>
            <w:pPr>
              <w:spacing w:after="0"/>
              <w:rPr>
                <w:sz w:val="24"/>
                <w:szCs w:val="2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$ 11</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$ 4</w:t>
            </w:r>
          </w:p>
        </w:tc>
        <w:tc>
          <w:tcPr>
            <w:tcW w:w="260" w:type="dxa"/>
            <w:vAlign w:val="bottom"/>
          </w:tcPr>
          <w:p>
            <w:pPr>
              <w:spacing w:after="0"/>
              <w:rPr>
                <w:sz w:val="24"/>
                <w:szCs w:val="2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$ 9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$ 11</w:t>
            </w:r>
          </w:p>
        </w:tc>
      </w:tr>
      <w:tr>
        <w:trPr>
          <w:trHeight w:val="459"/>
        </w:trPr>
        <w:tc>
          <w:tcPr>
            <w:tcW w:w="4700" w:type="dxa"/>
            <w:vAlign w:val="bottom"/>
          </w:tcPr>
          <w:p>
            <w:pPr>
              <w:spacing w:after="0"/>
              <w:rPr>
                <w:sz w:val="20"/>
                <w:szCs w:val="20"/>
                <w:color w:val="auto"/>
              </w:rPr>
            </w:pPr>
            <w:r>
              <w:rPr>
                <w:rFonts w:ascii="Arial" w:cs="Arial" w:eastAsia="Arial" w:hAnsi="Arial"/>
                <w:sz w:val="18"/>
                <w:szCs w:val="18"/>
                <w:color w:val="auto"/>
              </w:rPr>
              <w:t>Thermal Products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317</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727</w:t>
            </w:r>
          </w:p>
        </w:tc>
      </w:tr>
      <w:tr>
        <w:trPr>
          <w:trHeight w:val="421"/>
        </w:trPr>
        <w:tc>
          <w:tcPr>
            <w:tcW w:w="4700" w:type="dxa"/>
            <w:vAlign w:val="bottom"/>
          </w:tcPr>
          <w:p>
            <w:pPr>
              <w:spacing w:after="0"/>
              <w:rPr>
                <w:sz w:val="20"/>
                <w:szCs w:val="20"/>
                <w:color w:val="auto"/>
              </w:rPr>
            </w:pPr>
            <w:r>
              <w:rPr>
                <w:rFonts w:ascii="Arial" w:cs="Arial" w:eastAsia="Arial" w:hAnsi="Arial"/>
                <w:sz w:val="18"/>
                <w:szCs w:val="18"/>
                <w:color w:val="auto"/>
              </w:rPr>
              <w:t>Electrical Products</w:t>
            </w:r>
          </w:p>
        </w:tc>
        <w:tc>
          <w:tcPr>
            <w:tcW w:w="50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41</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r>
      <w:tr>
        <w:trPr>
          <w:trHeight w:val="20"/>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470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29</w:t>
            </w:r>
          </w:p>
        </w:tc>
        <w:tc>
          <w:tcPr>
            <w:tcW w:w="240" w:type="dxa"/>
            <w:vAlign w:val="bottom"/>
          </w:tcPr>
          <w:p>
            <w:pPr>
              <w:spacing w:after="0"/>
              <w:rPr>
                <w:sz w:val="24"/>
                <w:szCs w:val="2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329</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1,083</w:t>
            </w:r>
          </w:p>
        </w:tc>
      </w:tr>
      <w:tr>
        <w:trPr>
          <w:trHeight w:val="255"/>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w w:val="87"/>
              </w:rPr>
              <w:t>Net revenues from unaffiliated customers (net of intersegment</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sales)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59"/>
        </w:trPr>
        <w:tc>
          <w:tcPr>
            <w:tcW w:w="4700" w:type="dxa"/>
            <w:vAlign w:val="bottom"/>
          </w:tcPr>
          <w:p>
            <w:pPr>
              <w:spacing w:after="0"/>
              <w:rPr>
                <w:sz w:val="20"/>
                <w:szCs w:val="20"/>
                <w:color w:val="auto"/>
              </w:rPr>
            </w:pPr>
            <w:r>
              <w:rPr>
                <w:rFonts w:ascii="Arial" w:cs="Arial" w:eastAsia="Arial" w:hAnsi="Arial"/>
                <w:sz w:val="18"/>
                <w:szCs w:val="18"/>
                <w:color w:val="auto"/>
              </w:rPr>
              <w:t>Mechanical Products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$ 3,947</w:t>
            </w:r>
          </w:p>
        </w:tc>
        <w:tc>
          <w:tcPr>
            <w:tcW w:w="240" w:type="dxa"/>
            <w:vAlign w:val="bottom"/>
          </w:tcPr>
          <w:p>
            <w:pPr>
              <w:spacing w:after="0"/>
              <w:rPr>
                <w:sz w:val="24"/>
                <w:szCs w:val="2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76"/>
              </w:rPr>
              <w:t>$2,021</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$7,774</w:t>
            </w:r>
          </w:p>
        </w:tc>
        <w:tc>
          <w:tcPr>
            <w:tcW w:w="260" w:type="dxa"/>
            <w:vAlign w:val="bottom"/>
          </w:tcPr>
          <w:p>
            <w:pPr>
              <w:spacing w:after="0"/>
              <w:rPr>
                <w:sz w:val="24"/>
                <w:szCs w:val="2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73"/>
              </w:rPr>
              <w:t>$16,477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76"/>
              </w:rPr>
              <w:t>$ 4,325</w:t>
            </w:r>
          </w:p>
        </w:tc>
      </w:tr>
      <w:tr>
        <w:trPr>
          <w:trHeight w:val="459"/>
        </w:trPr>
        <w:tc>
          <w:tcPr>
            <w:tcW w:w="4700" w:type="dxa"/>
            <w:vAlign w:val="bottom"/>
          </w:tcPr>
          <w:p>
            <w:pPr>
              <w:spacing w:after="0"/>
              <w:rPr>
                <w:sz w:val="20"/>
                <w:szCs w:val="20"/>
                <w:color w:val="auto"/>
              </w:rPr>
            </w:pPr>
            <w:r>
              <w:rPr>
                <w:rFonts w:ascii="Arial" w:cs="Arial" w:eastAsia="Arial" w:hAnsi="Arial"/>
                <w:sz w:val="18"/>
                <w:szCs w:val="18"/>
                <w:color w:val="auto"/>
              </w:rPr>
              <w:t>Thermal Products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4,830</w:t>
            </w:r>
          </w:p>
        </w:tc>
        <w:tc>
          <w:tcPr>
            <w:tcW w:w="240" w:type="dxa"/>
            <w:vAlign w:val="bottom"/>
          </w:tcPr>
          <w:p>
            <w:pPr>
              <w:spacing w:after="0"/>
              <w:rPr>
                <w:sz w:val="24"/>
                <w:szCs w:val="2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3,008</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4,726</w:t>
            </w:r>
          </w:p>
        </w:tc>
        <w:tc>
          <w:tcPr>
            <w:tcW w:w="260" w:type="dxa"/>
            <w:vAlign w:val="bottom"/>
          </w:tcPr>
          <w:p>
            <w:pPr>
              <w:spacing w:after="0"/>
              <w:rPr>
                <w:sz w:val="24"/>
                <w:szCs w:val="2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13,068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9,172</w:t>
            </w:r>
          </w:p>
        </w:tc>
      </w:tr>
      <w:tr>
        <w:trPr>
          <w:trHeight w:val="421"/>
        </w:trPr>
        <w:tc>
          <w:tcPr>
            <w:tcW w:w="4700" w:type="dxa"/>
            <w:vAlign w:val="bottom"/>
          </w:tcPr>
          <w:p>
            <w:pPr>
              <w:spacing w:after="0"/>
              <w:rPr>
                <w:sz w:val="20"/>
                <w:szCs w:val="20"/>
                <w:color w:val="auto"/>
              </w:rPr>
            </w:pPr>
            <w:r>
              <w:rPr>
                <w:rFonts w:ascii="Arial" w:cs="Arial" w:eastAsia="Arial" w:hAnsi="Arial"/>
                <w:sz w:val="18"/>
                <w:szCs w:val="18"/>
                <w:color w:val="auto"/>
              </w:rPr>
              <w:t>Electrical Products</w:t>
            </w:r>
          </w:p>
        </w:tc>
        <w:tc>
          <w:tcPr>
            <w:tcW w:w="2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2,528</w:t>
            </w:r>
          </w:p>
        </w:tc>
        <w:tc>
          <w:tcPr>
            <w:tcW w:w="240" w:type="dxa"/>
            <w:vAlign w:val="bottom"/>
          </w:tcPr>
          <w:p>
            <w:pPr>
              <w:spacing w:after="0"/>
              <w:rPr>
                <w:sz w:val="24"/>
                <w:szCs w:val="2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980</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2,760</w:t>
            </w:r>
          </w:p>
        </w:tc>
        <w:tc>
          <w:tcPr>
            <w:tcW w:w="260" w:type="dxa"/>
            <w:vAlign w:val="bottom"/>
          </w:tcPr>
          <w:p>
            <w:pPr>
              <w:spacing w:after="0"/>
              <w:rPr>
                <w:sz w:val="24"/>
                <w:szCs w:val="2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6,549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1,579</w:t>
            </w:r>
          </w:p>
        </w:tc>
      </w:tr>
      <w:tr>
        <w:trPr>
          <w:trHeight w:val="20"/>
        </w:trPr>
        <w:tc>
          <w:tcPr>
            <w:tcW w:w="47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47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11,305</w:t>
            </w:r>
          </w:p>
        </w:tc>
        <w:tc>
          <w:tcPr>
            <w:tcW w:w="240" w:type="dxa"/>
            <w:vAlign w:val="bottom"/>
          </w:tcPr>
          <w:p>
            <w:pPr>
              <w:spacing w:after="0"/>
              <w:rPr>
                <w:sz w:val="24"/>
                <w:szCs w:val="2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6,009</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15,260</w:t>
            </w:r>
          </w:p>
        </w:tc>
        <w:tc>
          <w:tcPr>
            <w:tcW w:w="260" w:type="dxa"/>
            <w:vAlign w:val="bottom"/>
          </w:tcPr>
          <w:p>
            <w:pPr>
              <w:spacing w:after="0"/>
              <w:rPr>
                <w:sz w:val="24"/>
                <w:szCs w:val="2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73"/>
              </w:rPr>
              <w:t>$</w:t>
            </w:r>
            <w:r>
              <w:rPr>
                <w:rFonts w:ascii="Arial" w:cs="Arial" w:eastAsia="Arial" w:hAnsi="Arial"/>
                <w:sz w:val="18"/>
                <w:szCs w:val="18"/>
                <w:color w:val="auto"/>
                <w:w w:val="73"/>
              </w:rPr>
              <w:t>36,094</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15,076</w:t>
            </w:r>
          </w:p>
        </w:tc>
      </w:tr>
      <w:tr>
        <w:trPr>
          <w:trHeight w:val="505"/>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700" w:type="dxa"/>
            <w:vAlign w:val="bottom"/>
          </w:tcPr>
          <w:p>
            <w:pPr>
              <w:spacing w:after="0"/>
              <w:rPr>
                <w:sz w:val="20"/>
                <w:szCs w:val="20"/>
                <w:color w:val="auto"/>
              </w:rPr>
            </w:pPr>
            <w:r>
              <w:rPr>
                <w:rFonts w:ascii="Arial" w:cs="Arial" w:eastAsia="Arial" w:hAnsi="Arial"/>
                <w:sz w:val="18"/>
                <w:szCs w:val="18"/>
                <w:color w:val="auto"/>
              </w:rPr>
              <w:t>U.S.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$ 4,595</w:t>
            </w:r>
          </w:p>
        </w:tc>
        <w:tc>
          <w:tcPr>
            <w:tcW w:w="240" w:type="dxa"/>
            <w:vAlign w:val="bottom"/>
          </w:tcPr>
          <w:p>
            <w:pPr>
              <w:spacing w:after="0"/>
              <w:rPr>
                <w:sz w:val="24"/>
                <w:szCs w:val="2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76"/>
              </w:rPr>
              <w:t>$3,126</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$ 5,429</w:t>
            </w:r>
          </w:p>
        </w:tc>
        <w:tc>
          <w:tcPr>
            <w:tcW w:w="260" w:type="dxa"/>
            <w:vAlign w:val="bottom"/>
          </w:tcPr>
          <w:p>
            <w:pPr>
              <w:spacing w:after="0"/>
              <w:rPr>
                <w:sz w:val="24"/>
                <w:szCs w:val="2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73"/>
              </w:rPr>
              <w:t>$12,807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76"/>
              </w:rPr>
              <w:t>$ 7,461</w:t>
            </w:r>
          </w:p>
        </w:tc>
      </w:tr>
      <w:tr>
        <w:trPr>
          <w:trHeight w:val="421"/>
        </w:trPr>
        <w:tc>
          <w:tcPr>
            <w:tcW w:w="4700" w:type="dxa"/>
            <w:vAlign w:val="bottom"/>
          </w:tcPr>
          <w:p>
            <w:pPr>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6,710</w:t>
            </w:r>
          </w:p>
        </w:tc>
        <w:tc>
          <w:tcPr>
            <w:tcW w:w="240" w:type="dxa"/>
            <w:vAlign w:val="bottom"/>
          </w:tcPr>
          <w:p>
            <w:pPr>
              <w:spacing w:after="0"/>
              <w:rPr>
                <w:sz w:val="24"/>
                <w:szCs w:val="2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2,883</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9,831</w:t>
            </w:r>
          </w:p>
        </w:tc>
        <w:tc>
          <w:tcPr>
            <w:tcW w:w="260" w:type="dxa"/>
            <w:vAlign w:val="bottom"/>
          </w:tcPr>
          <w:p>
            <w:pPr>
              <w:spacing w:after="0"/>
              <w:rPr>
                <w:sz w:val="24"/>
                <w:szCs w:val="2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23,287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7,615</w:t>
            </w:r>
          </w:p>
        </w:tc>
      </w:tr>
      <w:tr>
        <w:trPr>
          <w:trHeight w:val="20"/>
        </w:trPr>
        <w:tc>
          <w:tcPr>
            <w:tcW w:w="47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3"/>
              </w:rPr>
              <w:t>$</w:t>
            </w:r>
            <w:r>
              <w:rPr>
                <w:rFonts w:ascii="Arial" w:cs="Arial" w:eastAsia="Arial" w:hAnsi="Arial"/>
                <w:sz w:val="18"/>
                <w:szCs w:val="18"/>
                <w:color w:val="auto"/>
                <w:w w:val="73"/>
              </w:rPr>
              <w:t>11,305</w:t>
            </w:r>
          </w:p>
        </w:tc>
        <w:tc>
          <w:tcPr>
            <w:tcW w:w="240" w:type="dxa"/>
            <w:vAlign w:val="bottom"/>
          </w:tcPr>
          <w:p>
            <w:pPr>
              <w:spacing w:after="0"/>
              <w:rPr>
                <w:sz w:val="24"/>
                <w:szCs w:val="2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6,009</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15,260</w:t>
            </w:r>
          </w:p>
        </w:tc>
        <w:tc>
          <w:tcPr>
            <w:tcW w:w="260" w:type="dxa"/>
            <w:vAlign w:val="bottom"/>
          </w:tcPr>
          <w:p>
            <w:pPr>
              <w:spacing w:after="0"/>
              <w:rPr>
                <w:sz w:val="24"/>
                <w:szCs w:val="2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73"/>
              </w:rPr>
              <w:t>$</w:t>
            </w:r>
            <w:r>
              <w:rPr>
                <w:rFonts w:ascii="Arial" w:cs="Arial" w:eastAsia="Arial" w:hAnsi="Arial"/>
                <w:sz w:val="18"/>
                <w:szCs w:val="18"/>
                <w:color w:val="auto"/>
                <w:w w:val="73"/>
              </w:rPr>
              <w:t>36,094</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15,076</w:t>
            </w:r>
          </w:p>
        </w:tc>
      </w:tr>
      <w:tr>
        <w:trPr>
          <w:trHeight w:val="20"/>
        </w:trPr>
        <w:tc>
          <w:tcPr>
            <w:tcW w:w="47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ectPr>
          <w:pgSz w:w="11900" w:h="16838" w:orient="portrait"/>
          <w:cols w:equalWidth="0" w:num="1">
            <w:col w:w="11380"/>
          </w:cols>
          <w:pgMar w:left="240" w:top="347" w:right="279" w:bottom="0" w:gutter="0" w:footer="0" w:header="0"/>
          <w:type w:val="continuous"/>
        </w:sectPr>
      </w:pPr>
    </w:p>
    <w:bookmarkStart w:id="16" w:name="page17"/>
    <w:bookmarkEnd w:id="16"/>
    <w:p>
      <w:pPr>
        <w:spacing w:after="0" w:line="86"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Our consolidated net revenues for the quarter ended September 30, 2010 increased $5.3 million or 88% as compared to the same period in 2009. Compared to the quarter ended June 30, 2010, our consolidated net revenues decreased $4.0 million or 26%. For the quarter ended September 30, 2010, net revenues (net of intersegment sales) of our Mechanical, Thermal and Electrical Products segments increased $1.9 million or 95%, $1.8 million or 61% and $1.5 million or 158%, respectively, compared to the same period in 2009. Compared to the quarter ended June 30, 2010, the net revenues (net of intersegment sales) of our Mechanical and Electrical Products segments decreased $3.8 million or 49% and $232,000 or 8%, respectively, while the net revenues (net of intersegment sales) of our Thermal Products segment increased $104,000 or 2%.</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increase in our consolidated net revenues during the third quarter of 2010 as compared to the same period in 2009 reflects continued strong demand in</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ATE industry that began in the second half of 2009. During the first half of 2009, we continued to experience a significant decline in demand in all of</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product segments. This decline in demand began in the second half of 2008 and worsened significantly as the global economic recession that began in</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late 2008 continued into 2009. However, as 2009 progressed, the semiconductor industry began to experience increased levels of demand which resulted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increased levels of orders for our products. As a result of the improvement in demand in the semiconductor industry, we experienced sequential</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quarterly growth in the level of both our orders and net revenues throughout 2009. This sequential quarterly growth continued in the first and second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quarters of 2010 with respect to our net revenues. During the second quarter of 2010, however, our total consolid ated orders declined $1.8 million or 13%</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 compared to the first quarter of the year. This decrease was made up of a $2.4 million or 35% decline in orders for our Mechanical Products segment</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and a $1.0 million or 33% decline in orders for our Electrical Products segment, which was partially offset by an increase in orders for our Thermal</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Products segment of $1.6 million or 38%. The decrease in the level of our orders in our Mechanical and Electrical Products segments during the second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quarter of 2010 resulted in the aforementioned decline in the net revenues of these segments during the third quarter of 2010 as compared to the second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quarter of the year. During the third quarter of 2010, we experienced a further decline in the level of our consolidated orders, which decreased $2.4 million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or 20% from the level achieved in the second quarter of 2010. Total orders for our Mechanical, Thermal and Electrical Products segments declined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$827,000 or 18%, $1.5 million or 26% and $139,000 or 7% during the third quar ter of 2010 as compared to the second quarter of the year. As a result, we</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expect our consolidated net revenues for the fourth quarter of the year to decline from the level of the third quarter. We believe the recent declines in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orders in all of our segments during the third quarter of 2010 as compared to the second quarter of the year reflect normal cyclical variation in the ATE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industry. We cannot be certain what the level of our orders or net revenues will be in any future period for any of our product segments.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Backlog</w:t>
      </w:r>
    </w:p>
    <w:p>
      <w:pPr>
        <w:spacing w:after="0" w:line="225"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At September 30, 2010, our backlog of unfilled orders for all products was approximately $4.5 million compared with approximately $6.0 million at June 30, 2010 and $3.5 million at September 30, 2009. Our backlog includes customer orders which we have accepted, substantially all of which we expect to deliver in 2010.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Business Restructuring Initiatives</w:t>
      </w:r>
    </w:p>
    <w:p>
      <w:pPr>
        <w:spacing w:after="0" w:line="225" w:lineRule="exact"/>
        <w:rPr>
          <w:sz w:val="20"/>
          <w:szCs w:val="20"/>
          <w:color w:val="auto"/>
        </w:rPr>
      </w:pPr>
    </w:p>
    <w:p>
      <w:pPr>
        <w:jc w:val="both"/>
        <w:ind w:left="540" w:right="100"/>
        <w:spacing w:after="0" w:line="256" w:lineRule="auto"/>
        <w:rPr>
          <w:sz w:val="20"/>
          <w:szCs w:val="20"/>
          <w:color w:val="auto"/>
        </w:rPr>
      </w:pPr>
      <w:r>
        <w:rPr>
          <w:rFonts w:ascii="Arial" w:cs="Arial" w:eastAsia="Arial" w:hAnsi="Arial"/>
          <w:sz w:val="18"/>
          <w:szCs w:val="18"/>
          <w:color w:val="auto"/>
        </w:rPr>
        <w:t>In response to the significant decline in our orders and net revenues during 2008 and early 2009, we took actions to reduce our cost structure. The actions we took are discussed in Note 4 to the accompanying consolidated financial statements and in Note 5 to the consolidated financial statements in our 2009 Form 10-K. We continue to explore methods to further reduce our costs and we may incur additional restructuring charges in future periods; however, we cannot predict the amount of such charges at this time.</w:t>
      </w:r>
    </w:p>
    <w:p>
      <w:pPr>
        <w:spacing w:after="0" w:line="197"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We consider some of the actions we took to be temporary in nature, such as certain salary and benefits reductions for current employees. At the time we took these temporary actions, it was generally our intent to restore all or a portion of the reduced salary and benefits in future periods when our results of operations and our cash flows improved sufficiently so as to allow us to do so. Any such restoration would impact the ultimate level of savings which will result from our restructuring actions. Effective January 1, 2010, we restored all of the temporary salary reductions we implemented in 2008 and 2009 for our domestic employees, with the exception of the salary of our Executive Chairman, which was restored to approximately 65% of its full reinstated level, reflecting a voluntary continued 35% reduction in his salary. Effective April 1, 2010, we restored the 401(k) Plan discretionary matching contribution for all domestic employees and the Temptronic profit sharing contributions which had been suspended for most of these employees at the beginning of 2009. There are no other temporary actions remaining to be restored.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Our three product segments each have multiple products that we design, manufacture and sell to our customers. The gross margin on each product we offer is impacted by a number of factors including the amount of intellectual property (such as patents) utilized in the product, the number of units ordered by the customer at one time, or the amount of inTEST designed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280"/>
        <w:spacing w:after="0" w:line="259" w:lineRule="auto"/>
        <w:rPr>
          <w:sz w:val="20"/>
          <w:szCs w:val="20"/>
          <w:color w:val="auto"/>
        </w:rPr>
      </w:pPr>
      <w:r>
        <w:rPr>
          <w:rFonts w:ascii="Arial" w:cs="Arial" w:eastAsia="Arial" w:hAnsi="Arial"/>
          <w:sz w:val="18"/>
          <w:szCs w:val="18"/>
          <w:color w:val="auto"/>
        </w:rPr>
        <w:t>and fabricated material included in our product compared with the amount of third-party designed and fabricated material included in our product. The weight of each of these factors, as well as the current market conditions, determines the ultimate sales price we can obtain for our products and the resulting gross margin.</w:t>
      </w:r>
    </w:p>
    <w:p>
      <w:pPr>
        <w:spacing w:after="0" w:line="194"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ectPr>
          <w:pgSz w:w="11900" w:h="16924" w:orient="portrait"/>
          <w:cols w:equalWidth="0" w:num="1">
            <w:col w:w="11420"/>
          </w:cols>
          <w:pgMar w:left="240" w:top="131" w:right="239" w:bottom="0" w:gutter="0" w:footer="0" w:header="0"/>
        </w:sectPr>
      </w:pPr>
    </w:p>
    <w:bookmarkStart w:id="17" w:name="page18"/>
    <w:bookmarkEnd w:id="17"/>
    <w:p>
      <w:pPr>
        <w:ind w:left="540" w:right="4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industries including the aerospace, automotive, communications, consumer electronics, defense, and medical industries. The mix of customers during any given period will affect our gross margin due to differing sales discounts and commissions. For the nine months ended September 30, 2010 and 2009, our OEM sales as a percentage of net revenues were 20% and 8%, respectively.</w:t>
      </w:r>
    </w:p>
    <w:p>
      <w:pPr>
        <w:spacing w:after="0" w:line="170"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continue to reduce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All of our products are used by semiconductor manufacturers in conjunction with ATE in the testing of ICs. Consequently, the results of operations for each product segment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97"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The following table sets forth, for the periods indicated, the principal items included in the Consolidated Statements of Operations as a percentage of total net revenues.</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4"/>
                <w:szCs w:val="14"/>
                <w:b w:val="1"/>
                <w:bCs w:val="1"/>
                <w:i w:val="1"/>
                <w:iCs w:val="1"/>
                <w:color w:val="auto"/>
                <w:w w:val="85"/>
              </w:rPr>
              <w:t>Percentage of Net Revenues</w:t>
            </w: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3760" w:type="dxa"/>
            <w:vAlign w:val="bottom"/>
          </w:tcPr>
          <w:p>
            <w:pPr>
              <w:spacing w:after="0"/>
              <w:rPr>
                <w:sz w:val="19"/>
                <w:szCs w:val="19"/>
                <w:color w:val="auto"/>
              </w:rPr>
            </w:pPr>
          </w:p>
        </w:tc>
        <w:tc>
          <w:tcPr>
            <w:tcW w:w="3240" w:type="dxa"/>
            <w:vAlign w:val="bottom"/>
            <w:gridSpan w:val="18"/>
          </w:tcPr>
          <w:p>
            <w:pPr>
              <w:jc w:val="right"/>
              <w:ind w:right="20"/>
              <w:spacing w:after="0"/>
              <w:rPr>
                <w:sz w:val="20"/>
                <w:szCs w:val="20"/>
                <w:color w:val="auto"/>
              </w:rPr>
            </w:pPr>
            <w:r>
              <w:rPr>
                <w:rFonts w:ascii="Arial" w:cs="Arial" w:eastAsia="Arial" w:hAnsi="Arial"/>
                <w:sz w:val="14"/>
                <w:szCs w:val="14"/>
                <w:b w:val="1"/>
                <w:bCs w:val="1"/>
                <w:i w:val="1"/>
                <w:iCs w:val="1"/>
                <w:color w:val="auto"/>
                <w:w w:val="86"/>
              </w:rPr>
              <w:t>Quarters Ended Sept. 30,   Nine Months Ended Sept. 30,</w:t>
            </w:r>
          </w:p>
        </w:tc>
      </w:tr>
      <w:tr>
        <w:trPr>
          <w:trHeight w:val="223"/>
        </w:trPr>
        <w:tc>
          <w:tcPr>
            <w:tcW w:w="3760" w:type="dxa"/>
            <w:vAlign w:val="bottom"/>
          </w:tcPr>
          <w:p>
            <w:pPr>
              <w:spacing w:after="0"/>
              <w:rPr>
                <w:sz w:val="19"/>
                <w:szCs w:val="19"/>
                <w:color w:val="auto"/>
              </w:rPr>
            </w:pPr>
          </w:p>
        </w:tc>
        <w:tc>
          <w:tcPr>
            <w:tcW w:w="3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rPr>
              <w:t>2010</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rPr>
              <w:t>2009</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rPr>
              <w:t>2010</w:t>
            </w: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76"/>
              </w:rPr>
              <w:t>2009</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02"/>
        </w:trPr>
        <w:tc>
          <w:tcPr>
            <w:tcW w:w="3760" w:type="dxa"/>
            <w:vAlign w:val="bottom"/>
          </w:tcPr>
          <w:p>
            <w:pPr>
              <w:spacing w:after="0"/>
              <w:rPr>
                <w:sz w:val="20"/>
                <w:szCs w:val="20"/>
                <w:color w:val="auto"/>
              </w:rPr>
            </w:pPr>
            <w:r>
              <w:rPr>
                <w:rFonts w:ascii="Arial" w:cs="Arial" w:eastAsia="Arial" w:hAnsi="Arial"/>
                <w:sz w:val="18"/>
                <w:szCs w:val="18"/>
                <w:color w:val="auto"/>
              </w:rPr>
              <w:t>Net revenues</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100.0%</w:t>
            </w: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100.0%</w:t>
            </w: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100.0%</w:t>
            </w:r>
          </w:p>
        </w:tc>
        <w:tc>
          <w:tcPr>
            <w:tcW w:w="520" w:type="dxa"/>
            <w:vAlign w:val="bottom"/>
            <w:gridSpan w:val="5"/>
          </w:tcPr>
          <w:p>
            <w:pPr>
              <w:jc w:val="right"/>
              <w:spacing w:after="0"/>
              <w:rPr>
                <w:sz w:val="20"/>
                <w:szCs w:val="20"/>
                <w:color w:val="auto"/>
              </w:rPr>
            </w:pPr>
            <w:r>
              <w:rPr>
                <w:rFonts w:ascii="Arial" w:cs="Arial" w:eastAsia="Arial" w:hAnsi="Arial"/>
                <w:sz w:val="18"/>
                <w:szCs w:val="18"/>
                <w:color w:val="auto"/>
                <w:w w:val="81"/>
              </w:rPr>
              <w:t>100.0%</w:t>
            </w:r>
          </w:p>
        </w:tc>
      </w:tr>
      <w:tr>
        <w:trPr>
          <w:trHeight w:val="421"/>
        </w:trPr>
        <w:tc>
          <w:tcPr>
            <w:tcW w:w="376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51.</w:t>
            </w:r>
            <w:r>
              <w:rPr>
                <w:rFonts w:ascii="Arial" w:cs="Arial" w:eastAsia="Arial" w:hAnsi="Arial"/>
                <w:sz w:val="18"/>
                <w:szCs w:val="18"/>
                <w:u w:val="single" w:color="auto"/>
                <w:color w:val="auto"/>
                <w:w w:val="85"/>
              </w:rPr>
              <w:t>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79"/>
              </w:rPr>
              <w:t>59.5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51.</w:t>
            </w:r>
            <w:r>
              <w:rPr>
                <w:rFonts w:ascii="Arial" w:cs="Arial" w:eastAsia="Arial" w:hAnsi="Arial"/>
                <w:sz w:val="18"/>
                <w:szCs w:val="18"/>
                <w:u w:val="single" w:color="auto"/>
                <w:color w:val="auto"/>
                <w:w w:val="85"/>
              </w:rPr>
              <w:t>9</w:t>
            </w:r>
          </w:p>
        </w:tc>
        <w:tc>
          <w:tcPr>
            <w:tcW w:w="440" w:type="dxa"/>
            <w:vAlign w:val="bottom"/>
          </w:tcPr>
          <w:p>
            <w:pPr>
              <w:spacing w:after="0"/>
              <w:rPr>
                <w:sz w:val="24"/>
                <w:szCs w:val="24"/>
                <w:color w:val="auto"/>
              </w:rPr>
            </w:pPr>
          </w:p>
        </w:tc>
        <w:tc>
          <w:tcPr>
            <w:tcW w:w="500" w:type="dxa"/>
            <w:vAlign w:val="bottom"/>
            <w:gridSpan w:val="4"/>
          </w:tcPr>
          <w:p>
            <w:pPr>
              <w:jc w:val="right"/>
              <w:ind w:right="160"/>
              <w:spacing w:after="0"/>
              <w:rPr>
                <w:sz w:val="20"/>
                <w:szCs w:val="20"/>
                <w:color w:val="auto"/>
              </w:rPr>
            </w:pPr>
            <w:r>
              <w:rPr>
                <w:rFonts w:ascii="Arial" w:cs="Arial" w:eastAsia="Arial" w:hAnsi="Arial"/>
                <w:sz w:val="18"/>
                <w:szCs w:val="18"/>
                <w:color w:val="auto"/>
                <w:w w:val="91"/>
              </w:rPr>
              <w:t>69.</w:t>
            </w:r>
            <w:r>
              <w:rPr>
                <w:rFonts w:ascii="Arial" w:cs="Arial" w:eastAsia="Arial" w:hAnsi="Arial"/>
                <w:sz w:val="18"/>
                <w:szCs w:val="18"/>
                <w:u w:val="single" w:color="auto"/>
                <w:color w:val="auto"/>
                <w:w w:val="91"/>
              </w:rPr>
              <w:t>1</w:t>
            </w:r>
          </w:p>
        </w:tc>
        <w:tc>
          <w:tcPr>
            <w:tcW w:w="20" w:type="dxa"/>
            <w:vAlign w:val="bottom"/>
          </w:tcPr>
          <w:p>
            <w:pPr>
              <w:spacing w:after="0"/>
              <w:rPr>
                <w:sz w:val="24"/>
                <w:szCs w:val="24"/>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48.</w:t>
            </w:r>
            <w:r>
              <w:rPr>
                <w:rFonts w:ascii="Arial" w:cs="Arial" w:eastAsia="Arial" w:hAnsi="Arial"/>
                <w:sz w:val="18"/>
                <w:szCs w:val="18"/>
                <w:u w:val="single" w:color="auto"/>
                <w:color w:val="auto"/>
                <w:w w:val="85"/>
              </w:rPr>
              <w:t>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79"/>
              </w:rPr>
              <w:t>40.5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48.</w:t>
            </w:r>
            <w:r>
              <w:rPr>
                <w:rFonts w:ascii="Arial" w:cs="Arial" w:eastAsia="Arial" w:hAnsi="Arial"/>
                <w:sz w:val="18"/>
                <w:szCs w:val="18"/>
                <w:u w:val="single" w:color="auto"/>
                <w:color w:val="auto"/>
                <w:w w:val="85"/>
              </w:rPr>
              <w:t>1</w:t>
            </w:r>
          </w:p>
        </w:tc>
        <w:tc>
          <w:tcPr>
            <w:tcW w:w="440" w:type="dxa"/>
            <w:vAlign w:val="bottom"/>
          </w:tcPr>
          <w:p>
            <w:pPr>
              <w:spacing w:after="0"/>
              <w:rPr>
                <w:sz w:val="24"/>
                <w:szCs w:val="24"/>
                <w:color w:val="auto"/>
              </w:rPr>
            </w:pPr>
          </w:p>
        </w:tc>
        <w:tc>
          <w:tcPr>
            <w:tcW w:w="500" w:type="dxa"/>
            <w:vAlign w:val="bottom"/>
            <w:gridSpan w:val="4"/>
          </w:tcPr>
          <w:p>
            <w:pPr>
              <w:jc w:val="right"/>
              <w:ind w:right="160"/>
              <w:spacing w:after="0"/>
              <w:rPr>
                <w:sz w:val="20"/>
                <w:szCs w:val="20"/>
                <w:color w:val="auto"/>
              </w:rPr>
            </w:pPr>
            <w:r>
              <w:rPr>
                <w:rFonts w:ascii="Arial" w:cs="Arial" w:eastAsia="Arial" w:hAnsi="Arial"/>
                <w:sz w:val="18"/>
                <w:szCs w:val="18"/>
                <w:color w:val="auto"/>
                <w:w w:val="91"/>
              </w:rPr>
              <w:t>30.</w:t>
            </w:r>
            <w:r>
              <w:rPr>
                <w:rFonts w:ascii="Arial" w:cs="Arial" w:eastAsia="Arial" w:hAnsi="Arial"/>
                <w:sz w:val="18"/>
                <w:szCs w:val="18"/>
                <w:u w:val="single" w:color="auto"/>
                <w:color w:val="auto"/>
                <w:w w:val="91"/>
              </w:rPr>
              <w:t>9</w:t>
            </w:r>
          </w:p>
        </w:tc>
        <w:tc>
          <w:tcPr>
            <w:tcW w:w="20" w:type="dxa"/>
            <w:vAlign w:val="bottom"/>
          </w:tcPr>
          <w:p>
            <w:pPr>
              <w:spacing w:after="0"/>
              <w:rPr>
                <w:sz w:val="24"/>
                <w:szCs w:val="24"/>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8"/>
        </w:trPr>
        <w:tc>
          <w:tcPr>
            <w:tcW w:w="3760" w:type="dxa"/>
            <w:vAlign w:val="bottom"/>
          </w:tcPr>
          <w:p>
            <w:pPr>
              <w:spacing w:after="0"/>
              <w:rPr>
                <w:sz w:val="20"/>
                <w:szCs w:val="20"/>
                <w:color w:val="auto"/>
              </w:rPr>
            </w:pPr>
            <w:r>
              <w:rPr>
                <w:rFonts w:ascii="Arial" w:cs="Arial" w:eastAsia="Arial" w:hAnsi="Arial"/>
                <w:sz w:val="18"/>
                <w:szCs w:val="18"/>
                <w:color w:val="auto"/>
              </w:rPr>
              <w:t>Selling expense</w:t>
            </w:r>
          </w:p>
        </w:tc>
        <w:tc>
          <w:tcPr>
            <w:tcW w:w="2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12.8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79"/>
              </w:rPr>
              <w:t>16.4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12.3</w:t>
            </w:r>
          </w:p>
        </w:tc>
        <w:tc>
          <w:tcPr>
            <w:tcW w:w="440" w:type="dxa"/>
            <w:vAlign w:val="bottom"/>
          </w:tcPr>
          <w:p>
            <w:pPr>
              <w:spacing w:after="0"/>
              <w:rPr>
                <w:sz w:val="24"/>
                <w:szCs w:val="24"/>
                <w:color w:val="auto"/>
              </w:rPr>
            </w:pPr>
          </w:p>
        </w:tc>
        <w:tc>
          <w:tcPr>
            <w:tcW w:w="500" w:type="dxa"/>
            <w:vAlign w:val="bottom"/>
            <w:gridSpan w:val="4"/>
          </w:tcPr>
          <w:p>
            <w:pPr>
              <w:jc w:val="right"/>
              <w:ind w:right="160"/>
              <w:spacing w:after="0"/>
              <w:rPr>
                <w:sz w:val="20"/>
                <w:szCs w:val="20"/>
                <w:color w:val="auto"/>
              </w:rPr>
            </w:pPr>
            <w:r>
              <w:rPr>
                <w:rFonts w:ascii="Arial" w:cs="Arial" w:eastAsia="Arial" w:hAnsi="Arial"/>
                <w:sz w:val="18"/>
                <w:szCs w:val="18"/>
                <w:color w:val="auto"/>
                <w:w w:val="91"/>
              </w:rPr>
              <w:t>21.0</w:t>
            </w:r>
          </w:p>
        </w:tc>
        <w:tc>
          <w:tcPr>
            <w:tcW w:w="20" w:type="dxa"/>
            <w:vAlign w:val="bottom"/>
          </w:tcPr>
          <w:p>
            <w:pPr>
              <w:spacing w:after="0"/>
              <w:rPr>
                <w:sz w:val="24"/>
                <w:szCs w:val="24"/>
                <w:color w:val="auto"/>
              </w:rPr>
            </w:pPr>
          </w:p>
        </w:tc>
      </w:tr>
      <w:tr>
        <w:trPr>
          <w:trHeight w:val="459"/>
        </w:trPr>
        <w:tc>
          <w:tcPr>
            <w:tcW w:w="3760" w:type="dxa"/>
            <w:vAlign w:val="bottom"/>
          </w:tcPr>
          <w:p>
            <w:pPr>
              <w:spacing w:after="0"/>
              <w:rPr>
                <w:sz w:val="20"/>
                <w:szCs w:val="20"/>
                <w:color w:val="auto"/>
              </w:rPr>
            </w:pPr>
            <w:r>
              <w:rPr>
                <w:rFonts w:ascii="Arial" w:cs="Arial" w:eastAsia="Arial" w:hAnsi="Arial"/>
                <w:sz w:val="18"/>
                <w:szCs w:val="18"/>
                <w:color w:val="auto"/>
                <w:w w:val="99"/>
              </w:rPr>
              <w:t>Engineering and product development expense</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24"/>
                <w:szCs w:val="24"/>
                <w:color w:val="auto"/>
              </w:rPr>
            </w:pPr>
          </w:p>
        </w:tc>
        <w:tc>
          <w:tcPr>
            <w:tcW w:w="500" w:type="dxa"/>
            <w:vAlign w:val="bottom"/>
            <w:gridSpan w:val="4"/>
          </w:tcPr>
          <w:p>
            <w:pPr>
              <w:jc w:val="right"/>
              <w:ind w:right="160"/>
              <w:spacing w:after="0"/>
              <w:rPr>
                <w:sz w:val="20"/>
                <w:szCs w:val="20"/>
                <w:color w:val="auto"/>
              </w:rPr>
            </w:pPr>
            <w:r>
              <w:rPr>
                <w:rFonts w:ascii="Arial" w:cs="Arial" w:eastAsia="Arial" w:hAnsi="Arial"/>
                <w:sz w:val="18"/>
                <w:szCs w:val="18"/>
                <w:color w:val="auto"/>
                <w:w w:val="91"/>
              </w:rPr>
              <w:t>12.3</w:t>
            </w:r>
          </w:p>
        </w:tc>
        <w:tc>
          <w:tcPr>
            <w:tcW w:w="20" w:type="dxa"/>
            <w:vAlign w:val="bottom"/>
          </w:tcPr>
          <w:p>
            <w:pPr>
              <w:spacing w:after="0"/>
              <w:rPr>
                <w:sz w:val="24"/>
                <w:szCs w:val="24"/>
                <w:color w:val="auto"/>
              </w:rPr>
            </w:pPr>
          </w:p>
        </w:tc>
      </w:tr>
      <w:tr>
        <w:trPr>
          <w:trHeight w:val="459"/>
        </w:trPr>
        <w:tc>
          <w:tcPr>
            <w:tcW w:w="37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13.0</w:t>
            </w:r>
          </w:p>
        </w:tc>
        <w:tc>
          <w:tcPr>
            <w:tcW w:w="440" w:type="dxa"/>
            <w:vAlign w:val="bottom"/>
          </w:tcPr>
          <w:p>
            <w:pPr>
              <w:spacing w:after="0"/>
              <w:rPr>
                <w:sz w:val="24"/>
                <w:szCs w:val="24"/>
                <w:color w:val="auto"/>
              </w:rPr>
            </w:pPr>
          </w:p>
        </w:tc>
        <w:tc>
          <w:tcPr>
            <w:tcW w:w="500" w:type="dxa"/>
            <w:vAlign w:val="bottom"/>
            <w:gridSpan w:val="4"/>
          </w:tcPr>
          <w:p>
            <w:pPr>
              <w:jc w:val="right"/>
              <w:ind w:right="160"/>
              <w:spacing w:after="0"/>
              <w:rPr>
                <w:sz w:val="20"/>
                <w:szCs w:val="20"/>
                <w:color w:val="auto"/>
              </w:rPr>
            </w:pPr>
            <w:r>
              <w:rPr>
                <w:rFonts w:ascii="Arial" w:cs="Arial" w:eastAsia="Arial" w:hAnsi="Arial"/>
                <w:sz w:val="18"/>
                <w:szCs w:val="18"/>
                <w:color w:val="auto"/>
                <w:w w:val="91"/>
              </w:rPr>
              <w:t>28.0</w:t>
            </w:r>
          </w:p>
        </w:tc>
        <w:tc>
          <w:tcPr>
            <w:tcW w:w="20" w:type="dxa"/>
            <w:vAlign w:val="bottom"/>
          </w:tcPr>
          <w:p>
            <w:pPr>
              <w:spacing w:after="0"/>
              <w:rPr>
                <w:sz w:val="24"/>
                <w:szCs w:val="24"/>
                <w:color w:val="auto"/>
              </w:rPr>
            </w:pPr>
          </w:p>
        </w:tc>
      </w:tr>
      <w:tr>
        <w:trPr>
          <w:trHeight w:val="421"/>
        </w:trPr>
        <w:tc>
          <w:tcPr>
            <w:tcW w:w="376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2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440" w:type="dxa"/>
            <w:vAlign w:val="bottom"/>
          </w:tcPr>
          <w:p>
            <w:pPr>
              <w:spacing w:after="0"/>
              <w:rPr>
                <w:sz w:val="24"/>
                <w:szCs w:val="24"/>
                <w:color w:val="auto"/>
              </w:rPr>
            </w:pPr>
          </w:p>
        </w:tc>
        <w:tc>
          <w:tcPr>
            <w:tcW w:w="500" w:type="dxa"/>
            <w:vAlign w:val="bottom"/>
            <w:gridSpan w:val="4"/>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8"/>
        </w:trPr>
        <w:tc>
          <w:tcPr>
            <w:tcW w:w="37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14.8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gridSpan w:val="4"/>
          </w:tcPr>
          <w:p>
            <w:pPr>
              <w:jc w:val="right"/>
              <w:ind w:right="180"/>
              <w:spacing w:after="0"/>
              <w:rPr>
                <w:sz w:val="20"/>
                <w:szCs w:val="20"/>
                <w:color w:val="auto"/>
              </w:rPr>
            </w:pPr>
            <w:r>
              <w:rPr>
                <w:rFonts w:ascii="Arial" w:cs="Arial" w:eastAsia="Arial" w:hAnsi="Arial"/>
                <w:sz w:val="18"/>
                <w:szCs w:val="18"/>
                <w:color w:val="auto"/>
                <w:w w:val="86"/>
              </w:rPr>
              <w:t>(4.2)</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16.6</w:t>
            </w:r>
          </w:p>
        </w:tc>
        <w:tc>
          <w:tcPr>
            <w:tcW w:w="440" w:type="dxa"/>
            <w:vAlign w:val="bottom"/>
          </w:tcPr>
          <w:p>
            <w:pPr>
              <w:spacing w:after="0"/>
              <w:rPr>
                <w:sz w:val="24"/>
                <w:szCs w:val="24"/>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8"/>
                <w:szCs w:val="18"/>
                <w:color w:val="auto"/>
                <w:w w:val="76"/>
              </w:rPr>
              <w:t>(32.8)</w:t>
            </w:r>
          </w:p>
        </w:tc>
        <w:tc>
          <w:tcPr>
            <w:tcW w:w="20" w:type="dxa"/>
            <w:vAlign w:val="bottom"/>
          </w:tcPr>
          <w:p>
            <w:pPr>
              <w:spacing w:after="0"/>
              <w:rPr>
                <w:sz w:val="24"/>
                <w:szCs w:val="24"/>
                <w:color w:val="auto"/>
              </w:rPr>
            </w:pPr>
          </w:p>
        </w:tc>
      </w:tr>
      <w:tr>
        <w:trPr>
          <w:trHeight w:val="421"/>
        </w:trPr>
        <w:tc>
          <w:tcPr>
            <w:tcW w:w="376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gridSpan w:val="4"/>
          </w:tcPr>
          <w:p>
            <w:pPr>
              <w:jc w:val="right"/>
              <w:ind w:right="180"/>
              <w:spacing w:after="0"/>
              <w:rPr>
                <w:sz w:val="20"/>
                <w:szCs w:val="20"/>
                <w:color w:val="auto"/>
              </w:rPr>
            </w:pPr>
            <w:r>
              <w:rPr>
                <w:rFonts w:ascii="Arial" w:cs="Arial" w:eastAsia="Arial" w:hAnsi="Arial"/>
                <w:sz w:val="18"/>
                <w:szCs w:val="18"/>
                <w:color w:val="auto"/>
                <w:w w:val="86"/>
              </w:rPr>
              <w:t>(0.3)</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440" w:type="dxa"/>
            <w:vAlign w:val="bottom"/>
          </w:tcPr>
          <w:p>
            <w:pPr>
              <w:spacing w:after="0"/>
              <w:rPr>
                <w:sz w:val="24"/>
                <w:szCs w:val="24"/>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(0.4)</w:t>
            </w:r>
          </w:p>
        </w:tc>
        <w:tc>
          <w:tcPr>
            <w:tcW w:w="20" w:type="dxa"/>
            <w:vAlign w:val="bottom"/>
          </w:tcPr>
          <w:p>
            <w:pPr>
              <w:spacing w:after="0"/>
              <w:rPr>
                <w:sz w:val="24"/>
                <w:szCs w:val="24"/>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1"/>
        </w:trPr>
        <w:tc>
          <w:tcPr>
            <w:tcW w:w="3760" w:type="dxa"/>
            <w:vAlign w:val="bottom"/>
          </w:tcPr>
          <w:p>
            <w:pPr>
              <w:spacing w:after="0"/>
              <w:rPr>
                <w:sz w:val="20"/>
                <w:szCs w:val="20"/>
                <w:color w:val="auto"/>
              </w:rPr>
            </w:pPr>
            <w:r>
              <w:rPr>
                <w:rFonts w:ascii="Arial" w:cs="Arial" w:eastAsia="Arial" w:hAnsi="Arial"/>
                <w:sz w:val="18"/>
                <w:szCs w:val="18"/>
                <w:color w:val="auto"/>
              </w:rPr>
              <w:t>Earnings (loss) before income tax expense</w:t>
            </w:r>
          </w:p>
        </w:tc>
        <w:tc>
          <w:tcPr>
            <w:tcW w:w="2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14.9</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gridSpan w:val="4"/>
          </w:tcPr>
          <w:p>
            <w:pPr>
              <w:jc w:val="right"/>
              <w:ind w:right="180"/>
              <w:spacing w:after="0"/>
              <w:rPr>
                <w:sz w:val="20"/>
                <w:szCs w:val="20"/>
                <w:color w:val="auto"/>
              </w:rPr>
            </w:pPr>
            <w:r>
              <w:rPr>
                <w:rFonts w:ascii="Arial" w:cs="Arial" w:eastAsia="Arial" w:hAnsi="Arial"/>
                <w:sz w:val="18"/>
                <w:szCs w:val="18"/>
                <w:color w:val="auto"/>
                <w:w w:val="86"/>
              </w:rPr>
              <w:t>(4.5)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16.6</w:t>
            </w:r>
          </w:p>
        </w:tc>
        <w:tc>
          <w:tcPr>
            <w:tcW w:w="440" w:type="dxa"/>
            <w:vAlign w:val="bottom"/>
          </w:tcPr>
          <w:p>
            <w:pPr>
              <w:spacing w:after="0"/>
              <w:rPr>
                <w:sz w:val="24"/>
                <w:szCs w:val="24"/>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8"/>
                <w:szCs w:val="18"/>
                <w:color w:val="auto"/>
                <w:w w:val="76"/>
              </w:rPr>
              <w:t>(33.2)</w:t>
            </w:r>
          </w:p>
        </w:tc>
        <w:tc>
          <w:tcPr>
            <w:tcW w:w="20" w:type="dxa"/>
            <w:vAlign w:val="bottom"/>
          </w:tcPr>
          <w:p>
            <w:pPr>
              <w:spacing w:after="0"/>
              <w:rPr>
                <w:sz w:val="24"/>
                <w:szCs w:val="24"/>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(benefit)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1"/>
        </w:trPr>
        <w:tc>
          <w:tcPr>
            <w:tcW w:w="37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24"/>
                <w:szCs w:val="24"/>
                <w:color w:val="auto"/>
              </w:rPr>
            </w:pPr>
          </w:p>
        </w:tc>
        <w:tc>
          <w:tcPr>
            <w:tcW w:w="500" w:type="dxa"/>
            <w:vAlign w:val="bottom"/>
            <w:gridSpan w:val="4"/>
          </w:tcPr>
          <w:p>
            <w:pPr>
              <w:jc w:val="right"/>
              <w:ind w:right="16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4"/>
                <w:szCs w:val="24"/>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Net earnings (loss)</w:t>
            </w:r>
          </w:p>
        </w:tc>
        <w:tc>
          <w:tcPr>
            <w:tcW w:w="200" w:type="dxa"/>
            <w:vAlign w:val="bottom"/>
          </w:tcPr>
          <w:p>
            <w:pPr>
              <w:spacing w:after="0"/>
              <w:rPr>
                <w:sz w:val="24"/>
                <w:szCs w:val="2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82"/>
              </w:rPr>
              <w:t>14.8%</w:t>
            </w: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(4.5)%</w:t>
            </w: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16.5%</w:t>
            </w:r>
          </w:p>
        </w:tc>
        <w:tc>
          <w:tcPr>
            <w:tcW w:w="520" w:type="dxa"/>
            <w:vAlign w:val="bottom"/>
            <w:gridSpan w:val="5"/>
          </w:tcPr>
          <w:p>
            <w:pPr>
              <w:jc w:val="right"/>
              <w:spacing w:after="0"/>
              <w:rPr>
                <w:sz w:val="20"/>
                <w:szCs w:val="20"/>
                <w:color w:val="auto"/>
              </w:rPr>
            </w:pPr>
            <w:r>
              <w:rPr>
                <w:rFonts w:ascii="Arial" w:cs="Arial" w:eastAsia="Arial" w:hAnsi="Arial"/>
                <w:sz w:val="18"/>
                <w:szCs w:val="18"/>
                <w:color w:val="auto"/>
                <w:w w:val="79"/>
              </w:rPr>
              <w:t>(33.2)%</w:t>
            </w: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- 21 -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September 30, 2010 Compared to Quarter Ended September 30, 2009</w:t>
      </w:r>
    </w:p>
    <w:p>
      <w:pPr>
        <w:spacing w:after="0" w:line="225"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$11.3 million for the quarter ended September 30, 2010 compared to $6.0 million for the same period in 2009,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$5.3 million or 88%. Net revenues (net of intersegment sales) of our Mechanical, Thermal and Electrical Product segments increased $1.9 million or 95%, $1.8 million or 61% and $1.5 million or 158%, respectively, compared to the same period in 2009. We believe the significant increase in our net revenues during the third quarter of 2010 primarily reflects the increased level of demand in the ATE industry in the third quarter of 2010 as compared to the same period in 2009, as previously discussed in the Overview.</w:t>
      </w:r>
    </w:p>
    <w:p>
      <w:pPr>
        <w:spacing w:after="0" w:line="170"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During the third quarter of 2010, our net revenues from customers in the U.S. increased 47% and our net revenues from foreign customers increased 133%, respectively, as compared to the same period in 2009. Adjusted to eliminate the impact of changes in foreign currency exchange rates, the increase in net revenues from foreign customers would have been 134%. The higher percentage increase for our foreign customers primarily reflects the increasing number of semiconductor fabrication facilities, including third-party test and assembly houses, which are based overseas.</w:t>
      </w:r>
    </w:p>
    <w:p>
      <w:pPr>
        <w:sectPr>
          <w:pgSz w:w="11900" w:h="16838" w:orient="portrait"/>
          <w:cols w:equalWidth="0" w:num="1">
            <w:col w:w="11380"/>
          </w:cols>
          <w:pgMar w:left="240" w:top="347" w:right="279" w:bottom="0" w:gutter="0" w:footer="0" w:header="0"/>
        </w:sectPr>
      </w:pPr>
    </w:p>
    <w:bookmarkStart w:id="18" w:name="page19"/>
    <w:bookmarkEnd w:id="18"/>
    <w:p>
      <w:pPr>
        <w:spacing w:after="0" w:line="27"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48% for the third quarter of 2010 compared to 41% for the same period in 2009. The improvement in gross margin is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the result of a decrease in our fixed operating costs as a percentage of net revenues. Although in absolute dollar terms, our fixed operating costs increased $235,000 during the third quarter of 2010 as compared to the same period in 2009, these costs represented only 14% of net revenues in the third quarter of 2010 compared to 23% of net revenues in the third quarter of 2009. The significant decrease as a percentage of net revenues reflects that these costs were more fully absorbed by the much higher net revenue levels in the third quarter of 2010. The increase in the absolute dollar value of these costs primarily reflects increased salary and benefits expense due to the reinstatement during 2010 of certain salaries and benefits which had been temporarily reduced during 2009 as a part of our cost containment initiatives. Similar to our fixed operating costs, our direct labor costs increased $113,000 in absolute dollar terms, primarily reflecting the hiring of additional staff as well as an increase in overtime resulting from the significant increase in our production levels. However, these costs decreased slightly as a percentage of net revenues during the third quarter of 2010 as compared to the same period in 2009 as they were more fully absorbed by the higher net revenue levels in the third quarter of 2010. Our charges for obsolete and excess inventory decreased $100,000 in absolute dollar terms. This decrease primarily reflects that more items were falling into our objective criteria and being written off during third quarter of 2009 when our volume of sales was significantly lower as compared to the same period in 2010. As a percentage of net revenues these charges decreased from 3% during the third quarter of 2009 to 1% during the same period in 2010, primarily as a result of the significant increase in net revenue levels during this time period. T he decrease as a percentage of net revenues in our fixed operating costs, direct labor and charges for obsolete and excess inventory were partially offset by an increase in our component material costs as a percentage of net revenues, reflecting changes in product and customer mix.</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$1.4 million for the third quarter of 2010 compared to $988,000 for the same period in 2009, an increase of</w:t>
      </w:r>
    </w:p>
    <w:p>
      <w:pPr>
        <w:spacing w:after="0" w:line="38" w:lineRule="exact"/>
        <w:rPr>
          <w:sz w:val="20"/>
          <w:szCs w:val="20"/>
          <w:color w:val="auto"/>
        </w:rPr>
      </w:pPr>
    </w:p>
    <w:p>
      <w:pPr>
        <w:ind w:left="540" w:right="320"/>
        <w:spacing w:after="0" w:line="302" w:lineRule="auto"/>
        <w:rPr>
          <w:sz w:val="20"/>
          <w:szCs w:val="20"/>
          <w:color w:val="auto"/>
        </w:rPr>
      </w:pPr>
      <w:r>
        <w:rPr>
          <w:rFonts w:ascii="Arial" w:cs="Arial" w:eastAsia="Arial" w:hAnsi="Arial"/>
          <w:sz w:val="16"/>
          <w:szCs w:val="16"/>
          <w:color w:val="auto"/>
        </w:rPr>
        <w:t>$456,000 or 46%. The increase in selling expense primarily reflects higher levels of commissions as a result of the significant increase in net revenues experienced in the third quarter of 2010 as compared to the third quarter of 2009. To a lesser extent, there was also an increase in salary and benefits expense as a result of the aforementioned reinstatement of salaries and benefits during 2010.</w:t>
      </w:r>
    </w:p>
    <w:p>
      <w:pPr>
        <w:spacing w:after="0" w:line="163" w:lineRule="exact"/>
        <w:rPr>
          <w:sz w:val="20"/>
          <w:szCs w:val="20"/>
          <w:color w:val="auto"/>
        </w:rPr>
      </w:pPr>
    </w:p>
    <w:p>
      <w:pPr>
        <w:jc w:val="both"/>
        <w:ind w:left="540" w:right="160"/>
        <w:spacing w:after="0" w:line="306"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$767,000 for the third quarter of 2010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$515,000 for the same period in 2009, an increase of $252,000 or 49%. The increase in engineering and product development expense primarily reflects higher salaries and benefits expense as a result of the aforementioned reinstatement of salaries and benefits during 2010.</w:t>
      </w:r>
    </w:p>
    <w:p>
      <w:pPr>
        <w:spacing w:after="0" w:line="161" w:lineRule="exact"/>
        <w:rPr>
          <w:sz w:val="20"/>
          <w:szCs w:val="20"/>
          <w:color w:val="auto"/>
        </w:rPr>
      </w:pPr>
    </w:p>
    <w:p>
      <w:pPr>
        <w:ind w:left="540" w:right="120"/>
        <w:spacing w:after="0" w:line="298"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$1.6 million for the third quarter of 2010 compared to $1.2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2009, an increase of $394,000 or 34%. This increase primarily reflects the accrual of profit related bonuses on our results for the third quarter of 2010 combined with higher salaries and benefits expense as a result of the aforementioned reinstatement of salaries and benefits during 2010. To a lesser extent, there was also an increase in bad debt expense due to an increase in the amount of past due receivables.</w:t>
      </w:r>
    </w:p>
    <w:p>
      <w:pPr>
        <w:spacing w:after="0" w:line="167" w:lineRule="exact"/>
        <w:rPr>
          <w:sz w:val="20"/>
          <w:szCs w:val="20"/>
          <w:color w:val="auto"/>
        </w:rPr>
      </w:pPr>
    </w:p>
    <w:p>
      <w:pPr>
        <w:ind w:left="540" w:right="300"/>
        <w:spacing w:after="0" w:line="259" w:lineRule="auto"/>
        <w:rPr>
          <w:sz w:val="20"/>
          <w:szCs w:val="20"/>
          <w:color w:val="auto"/>
        </w:rPr>
      </w:pPr>
      <w:r>
        <w:rPr>
          <w:rFonts w:ascii="Arial" w:cs="Arial" w:eastAsia="Arial" w:hAnsi="Arial"/>
          <w:sz w:val="18"/>
          <w:szCs w:val="18"/>
          <w:i w:val="1"/>
          <w:iCs w:val="1"/>
          <w:color w:val="auto"/>
        </w:rPr>
        <w:t xml:space="preserve">Restructuring and Other Charges. </w:t>
      </w:r>
      <w:r>
        <w:rPr>
          <w:rFonts w:ascii="Arial" w:cs="Arial" w:eastAsia="Arial" w:hAnsi="Arial"/>
          <w:sz w:val="18"/>
          <w:szCs w:val="18"/>
          <w:color w:val="auto"/>
        </w:rPr>
        <w:t>There were no restructuring and other charges for the third quarter of 2010. Restructuring and other charges were</w:t>
      </w:r>
      <w:r>
        <w:rPr>
          <w:rFonts w:ascii="Arial" w:cs="Arial" w:eastAsia="Arial" w:hAnsi="Arial"/>
          <w:sz w:val="18"/>
          <w:szCs w:val="18"/>
          <w:i w:val="1"/>
          <w:iCs w:val="1"/>
          <w:color w:val="auto"/>
        </w:rPr>
        <w:t xml:space="preserve"> </w:t>
      </w:r>
      <w:r>
        <w:rPr>
          <w:rFonts w:ascii="Arial" w:cs="Arial" w:eastAsia="Arial" w:hAnsi="Arial"/>
          <w:sz w:val="18"/>
          <w:szCs w:val="18"/>
          <w:color w:val="auto"/>
        </w:rPr>
        <w:t>$27,000 for the third quarter of 2009. The charges incurred during the third quarter of 2009 represent facility closure costs related to the closing of our Japanese subsidiary.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was $8,000 for the third quarter of 2010 compared to other expense of $18,000 for the third quarter of 2009. The</w:t>
      </w:r>
      <w:r>
        <w:rPr>
          <w:rFonts w:ascii="Arial" w:cs="Arial" w:eastAsia="Arial" w:hAnsi="Arial"/>
          <w:sz w:val="18"/>
          <w:szCs w:val="18"/>
          <w:i w:val="1"/>
          <w:iCs w:val="1"/>
          <w:color w:val="auto"/>
        </w:rPr>
        <w:t xml:space="preserve"> </w:t>
      </w:r>
      <w:r>
        <w:rPr>
          <w:rFonts w:ascii="Arial" w:cs="Arial" w:eastAsia="Arial" w:hAnsi="Arial"/>
          <w:sz w:val="18"/>
          <w:szCs w:val="18"/>
          <w:color w:val="auto"/>
        </w:rPr>
        <w:t>shift to other income in the third quarter of 2010 from other expense in the comparable prior period primarily represents fees paid by one customer to expedite the delivery of an order as well as a reduction in foreign exchange transaction losses in the third quarter of 2010 as compared to the same period in 2009.</w:t>
      </w:r>
    </w:p>
    <w:p>
      <w:pPr>
        <w:spacing w:after="0" w:line="197" w:lineRule="exact"/>
        <w:rPr>
          <w:sz w:val="20"/>
          <w:szCs w:val="20"/>
          <w:color w:val="auto"/>
        </w:rPr>
      </w:pPr>
    </w:p>
    <w:p>
      <w:pPr>
        <w:ind w:left="540" w:right="140"/>
        <w:spacing w:after="0" w:line="294"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quarter ended September 30, 2010, we recorded income tax expense of $16,000 compared to income tax expense of $1,000</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period in 2009. On a quarterly basis, we record income tax expense or benefit based on the expected annualized effective tax rate for the various taxing jurisdictions in which we operate our businesses. Due to our history of operating losses in both our domestic and certain of our foreign operations, we have recorded a full valuation allowance against the deferred tax assets of these operations, including net operating loss carryforwards, where we believe it is more likely than not that we will not have sufficient taxable income to utilize these assets before they expire.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Nine Months Ended September 30, 2010 Compared to Nine Months Ended September 30, 2009</w:t>
      </w:r>
    </w:p>
    <w:p>
      <w:pPr>
        <w:spacing w:after="0" w:line="225"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$36.1 million for the nine months ended September 30, 2010 compared to $15.1 million for the same period in 2009,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$21.0 million or 139%. Net revenues (net of intersegment sales) of our Mechanical, Thermal and Electrical Products segments increased $12.2 million or 281%, $3.9 million or 43% and $5.0 million or 315%, respectively. We believe the significant increase in our net revenues primarily reflects the increased level of demand in the ATE industry in the first nine months of 2010 as compared to the same period in 2009, as previously discussed in the Overview. We believe the higher year over year increases in the net revenues of both our Mechanical and Electrical Products segments reflects that fact that these segments historically have been the first to experience improved demand following a downturn, while our Thermal Products segment has historically trailed these other two segments by approximately six months in experiencing improved demand followi ng a downturn.</w:t>
      </w:r>
    </w:p>
    <w:p>
      <w:pPr>
        <w:spacing w:after="0" w:line="172" w:lineRule="exact"/>
        <w:rPr>
          <w:sz w:val="20"/>
          <w:szCs w:val="20"/>
          <w:color w:val="auto"/>
        </w:rPr>
      </w:pPr>
    </w:p>
    <w:p>
      <w:pPr>
        <w:jc w:val="both"/>
        <w:ind w:left="540" w:right="560"/>
        <w:spacing w:after="0" w:line="323" w:lineRule="auto"/>
        <w:rPr>
          <w:sz w:val="20"/>
          <w:szCs w:val="20"/>
          <w:color w:val="auto"/>
        </w:rPr>
      </w:pPr>
      <w:r>
        <w:rPr>
          <w:rFonts w:ascii="Arial" w:cs="Arial" w:eastAsia="Arial" w:hAnsi="Arial"/>
          <w:sz w:val="15"/>
          <w:szCs w:val="15"/>
          <w:color w:val="auto"/>
        </w:rPr>
        <w:t>During the nine months ended September 30, 2010, our net revenues from customers in the U.S. increased 72% and our net revenues from foreign customers increased 206%, respectively, as compared to the same period in 2009. The impact of changes in foreign currency exchange rates on the increase in net revenues from foreign customers was less than 1%. The higher percentage increase for our foreign customers primarily reflects the increasing number of semiconductor fabrication facilities, including third-party test and assembly houses, which are based overseas.</w:t>
      </w:r>
    </w:p>
    <w:p>
      <w:pPr>
        <w:spacing w:after="0" w:line="152" w:lineRule="exact"/>
        <w:rPr>
          <w:sz w:val="20"/>
          <w:szCs w:val="20"/>
          <w:color w:val="auto"/>
        </w:rPr>
      </w:pPr>
    </w:p>
    <w:p>
      <w:pPr>
        <w:ind w:left="540" w:right="20"/>
        <w:spacing w:after="0" w:line="312"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was 48% for the nine months ended September 30, 2010 compared to 31% for the same period in 2009. The improvement in</w:t>
      </w:r>
      <w:r>
        <w:rPr>
          <w:rFonts w:ascii="Arial" w:cs="Arial" w:eastAsia="Arial" w:hAnsi="Arial"/>
          <w:sz w:val="15"/>
          <w:szCs w:val="15"/>
          <w:i w:val="1"/>
          <w:iCs w:val="1"/>
          <w:color w:val="auto"/>
        </w:rPr>
        <w:t xml:space="preserve"> </w:t>
      </w:r>
      <w:r>
        <w:rPr>
          <w:rFonts w:ascii="Arial" w:cs="Arial" w:eastAsia="Arial" w:hAnsi="Arial"/>
          <w:sz w:val="15"/>
          <w:szCs w:val="15"/>
          <w:color w:val="auto"/>
        </w:rPr>
        <w:t>gross margin is primarily the result of a decrease in our fixed operating costs as a percentage of net revenues. Although in absolute dollar terms, our fixed operating costs increased $245,000 during the first nine months of 2010 as compared to the same period in 2009, these costs represented only 13% of net revenues during the first nine months of 2010 compared to 30% of net revenues during the same period in 2009. The significant decrease as a percentage of net revenues reflects that these costs were more fully absorbed by the much higher net revenue levels in the first nine months of 2010. The increase in the absolute dollar value of these costs primarily reflects increased salary and benefits expense due to the reinstatement during 2010 of certain salaries and benefits which had been temporarily reduced during 2009 as a part of our cost containment initiative s. This increase was partially offset by higher</w:t>
      </w:r>
    </w:p>
    <w:p>
      <w:pPr>
        <w:sectPr>
          <w:pgSz w:w="11900" w:h="16865" w:orient="portrait"/>
          <w:cols w:equalWidth="0" w:num="1">
            <w:col w:w="11420"/>
          </w:cols>
          <w:pgMar w:left="240" w:top="347" w:right="239" w:bottom="0" w:gutter="0" w:footer="0" w:header="0"/>
        </w:sectPr>
      </w:pPr>
    </w:p>
    <w:bookmarkStart w:id="19" w:name="page20"/>
    <w:bookmarkEnd w:id="19"/>
    <w:p>
      <w:pPr>
        <w:spacing w:after="0" w:line="98"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utilization rates at our machine shop in Cherry Hill, New Jersey combined with lower levels of depreciation and rent. In addition to the decline in our fixed operating costs as a percentage of net revenues, both our charges for obsolete and excess inventory and our direct labor costs also decreased as a percentage of net revenues during the first nine months of 2010 as compared to the same period in 2009. Our charges for obsolete and excess inventory decreased $383,000 in absolute dollar terms, and declined from 5% of net revenues for the first nine months of 2009 to 1% of net revenues for the comparable period in 2010. The $383,000 reduction in these charges primarily reflects that more items were falling into our objective criteria and being written off during the first nine months of 2009 when our volume of sales was significantly lower as compared to the same period in 2010. Although our direct labor costs decreased from 4% of net revenues for the first nin e months of 2009 to 3% of net revenues for the comparable period in 2010 as a result of the higher net revenue levels, the absolute dollar amount of these costs increased $288,000 primarily reflecting the hiring of additional staff as well as an increase in overtime resulting from the significant increase in our production levels. The decrease as a percentage of net revenues in our fixed operating costs, charges for obsolete and excess inventory and direct labor were partially offset by an increase in our component material costs as a percentage of net revenues, reflecting changes in product and customer mix.</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- 23 -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20"/>
        <w:spacing w:after="0" w:line="306"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$4.4 million for the nine months ended September 30, 2010 compared to $3.2 million for the same period in 2009,</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$1.3 million or 40%. The increase in selling expense primarily reflects higher levels of commissions as a result of the significant increase in net revenues experienced in the first nine months of 2010 as compared to the first nine months of 2009.</w:t>
      </w:r>
    </w:p>
    <w:p>
      <w:pPr>
        <w:spacing w:after="0" w:line="161" w:lineRule="exact"/>
        <w:rPr>
          <w:sz w:val="20"/>
          <w:szCs w:val="20"/>
          <w:color w:val="auto"/>
        </w:rPr>
      </w:pPr>
    </w:p>
    <w:p>
      <w:pPr>
        <w:jc w:val="both"/>
        <w:ind w:left="540" w:right="220"/>
        <w:spacing w:after="0" w:line="335" w:lineRule="auto"/>
        <w:rPr>
          <w:sz w:val="20"/>
          <w:szCs w:val="20"/>
          <w:color w:val="auto"/>
        </w:rPr>
      </w:pPr>
      <w:r>
        <w:rPr>
          <w:rFonts w:ascii="Arial" w:cs="Arial" w:eastAsia="Arial" w:hAnsi="Arial"/>
          <w:sz w:val="15"/>
          <w:szCs w:val="15"/>
          <w:i w:val="1"/>
          <w:iCs w:val="1"/>
          <w:color w:val="auto"/>
        </w:rPr>
        <w:t xml:space="preserve">Engineering and Product Development Expense. </w:t>
      </w:r>
      <w:r>
        <w:rPr>
          <w:rFonts w:ascii="Arial" w:cs="Arial" w:eastAsia="Arial" w:hAnsi="Arial"/>
          <w:sz w:val="15"/>
          <w:szCs w:val="15"/>
          <w:color w:val="auto"/>
        </w:rPr>
        <w:t>Engineering and product development expense was $2.3 million for the nine months ended September</w:t>
      </w:r>
      <w:r>
        <w:rPr>
          <w:rFonts w:ascii="Arial" w:cs="Arial" w:eastAsia="Arial" w:hAnsi="Arial"/>
          <w:sz w:val="15"/>
          <w:szCs w:val="15"/>
          <w:i w:val="1"/>
          <w:iCs w:val="1"/>
          <w:color w:val="auto"/>
        </w:rPr>
        <w:t xml:space="preserve"> </w:t>
      </w:r>
      <w:r>
        <w:rPr>
          <w:rFonts w:ascii="Arial" w:cs="Arial" w:eastAsia="Arial" w:hAnsi="Arial"/>
          <w:sz w:val="15"/>
          <w:szCs w:val="15"/>
          <w:color w:val="auto"/>
        </w:rPr>
        <w:t>30, 2010 compared to $1.8 million for the same period in 2009, an increase of $407,000 or 22%. The increase in engineering and product development expense primarily reflects higher salaries and benefits expense as a result of the aforementioned reinstatement of salaries and benefits during 2010.</w:t>
      </w:r>
    </w:p>
    <w:p>
      <w:pPr>
        <w:spacing w:after="0" w:line="142" w:lineRule="exact"/>
        <w:rPr>
          <w:sz w:val="20"/>
          <w:szCs w:val="20"/>
          <w:color w:val="auto"/>
        </w:rPr>
      </w:pPr>
    </w:p>
    <w:p>
      <w:pPr>
        <w:ind w:left="540" w:right="100"/>
        <w:spacing w:after="0" w:line="312" w:lineRule="auto"/>
        <w:rPr>
          <w:sz w:val="20"/>
          <w:szCs w:val="20"/>
          <w:color w:val="auto"/>
        </w:rPr>
      </w:pPr>
      <w:r>
        <w:rPr>
          <w:rFonts w:ascii="Arial" w:cs="Arial" w:eastAsia="Arial" w:hAnsi="Arial"/>
          <w:sz w:val="15"/>
          <w:szCs w:val="15"/>
          <w:i w:val="1"/>
          <w:iCs w:val="1"/>
          <w:color w:val="auto"/>
        </w:rPr>
        <w:t xml:space="preserve">General and Administrative Expense. </w:t>
      </w:r>
      <w:r>
        <w:rPr>
          <w:rFonts w:ascii="Arial" w:cs="Arial" w:eastAsia="Arial" w:hAnsi="Arial"/>
          <w:sz w:val="15"/>
          <w:szCs w:val="15"/>
          <w:color w:val="auto"/>
        </w:rPr>
        <w:t>General and administrative expense was $4.7 million for the nine months ended September 30, 2010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$4.2 million for the same period in 2009, an increase of $470,000 or 11%. The increase primarily reflects the accrual of profit related bonuses on our results for the first nine months of 2010. To a lesser extent, there was also an increase in bad debt expense due to an increase in the amount of past due receivables. These increases were partially offset by a reduction in professional fees, primarily reflecting lower accruals for third-party professionals who assist us with our compliance efforts. As a result of recent changes to federal legislation, we are no longer required to have our independent registered public accounting firm ("IRPA") provide us with their opinion on our internal control structure. Prior to this recent change in legislation, we would have been required to obtain this opinion for the first time in 2010. This opinion would have required that an integrated audit be performed by our IRPA.</w:t>
      </w:r>
    </w:p>
    <w:p>
      <w:pPr>
        <w:spacing w:after="0" w:line="159"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i w:val="1"/>
          <w:iCs w:val="1"/>
          <w:color w:val="auto"/>
        </w:rPr>
        <w:t xml:space="preserve">Restructuring and Other Charges. </w:t>
      </w:r>
      <w:r>
        <w:rPr>
          <w:rFonts w:ascii="Arial" w:cs="Arial" w:eastAsia="Arial" w:hAnsi="Arial"/>
          <w:sz w:val="18"/>
          <w:szCs w:val="18"/>
          <w:color w:val="auto"/>
        </w:rPr>
        <w:t>There were no restructuring and other charges for the nine months ended September 30, 2010. Restructuring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were $356,000 for the first nine months of 2009. The charges incurred during the first nine months of 2009 represent one-time termination benefits and facility closure costs related to workforce reductions and facility closures that were part of our business restructuring initiatives implemented during 2009.</w:t>
      </w:r>
    </w:p>
    <w:p>
      <w:pPr>
        <w:spacing w:after="0" w:line="197"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was $11,000 for the nine months ended September 30, 2010 compared to other expense of $58,000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period in 2009, a decrease of $47,000. The decrease primarily represents a decrease in foreign currency losses which was partially offset by a reduction in interest income as a result of lower average cash balances.</w:t>
      </w:r>
    </w:p>
    <w:p>
      <w:pPr>
        <w:spacing w:after="0" w:line="194"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nine months ended September 30, 2010, we recorded income tax expense of $17,000 compared to an income tax benefit of</w:t>
      </w:r>
      <w:r>
        <w:rPr>
          <w:rFonts w:ascii="Arial" w:cs="Arial" w:eastAsia="Arial" w:hAnsi="Arial"/>
          <w:sz w:val="16"/>
          <w:szCs w:val="16"/>
          <w:i w:val="1"/>
          <w:iCs w:val="1"/>
          <w:color w:val="auto"/>
        </w:rPr>
        <w:t xml:space="preserve"> </w:t>
      </w:r>
      <w:r>
        <w:rPr>
          <w:rFonts w:ascii="Arial" w:cs="Arial" w:eastAsia="Arial" w:hAnsi="Arial"/>
          <w:sz w:val="16"/>
          <w:szCs w:val="16"/>
          <w:color w:val="auto"/>
        </w:rPr>
        <w:t>$6,000 for the same period in 2009. On a quarterly basis, we record income tax expense or benefit based on the expected annualized effective tax rate for the various taxing jurisdictions in which we operate our businesses. Due to our history of operating losses in both our domestic and certain of our foreign operations, we have recorded a full valuation allowance against the deferred tax assets of these operations, including net operating loss carryforwards, where we believe it is more likely than not that we will not have sufficient taxable income to utilize these assets before they expire.</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Net cash provided by operations for the nine months ended September 30, 2010 was $3.6 million compared to net cash used in operations of $3.5 million for the same period in 2009. The shift from net cash used in operations to net cash provided by operations primarily reflects our net earnings of $6.0 million for the first nine months of 2010 as compared to our net loss of $5.0 million for the first nine months of 2009. During the first nine months of 2010, trade accounts receivable increased $2.5 million and accrued commissions increased $314,000, both of which reflect the significant increase in the level of business during the first nine months of 2010. To a lesser extent, the increase in accounts receivable also reflects certain customers who are taking longer to pay us than they have historically done. Accounts payable decreased $1.0 million during the first nine months of 2010 reflecting the recent decline in the level of our order activity combined with the timing of our payments to vendors. Accrued wag es and benefits increased $865,000 during the first nine months of 2010 which primarily reflects the accrual of profit based bonuses on our results for the first half of 2010, and, to a lesser extent, the restoration of salaries and benefits that had been temporarily reduced or suspended as a part of our cost containment efforts during 2008 and 2009. Restricted certificates of deposit increased $250,000 reflecting the purchase of a certificate of deposit which is pledged to support a letter of credit that was issued effective April 1, 2010 in the face amount of $250,000. This letter of credit serves as the security deposit for a lease we have entered into for a facility in Mount Laurel, New Jersey. Our Mechanical Products segment operation and corporate headquarters which is currently located in Cherry Hill, New Jersey will relocate to this smaller facility in the fourth quarter of 2010.</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jc w:val="both"/>
        <w:ind w:left="540" w:right="440"/>
        <w:spacing w:after="0" w:line="335" w:lineRule="auto"/>
        <w:rPr>
          <w:sz w:val="20"/>
          <w:szCs w:val="20"/>
          <w:color w:val="auto"/>
        </w:rPr>
      </w:pPr>
      <w:r>
        <w:rPr>
          <w:rFonts w:ascii="Arial" w:cs="Arial" w:eastAsia="Arial" w:hAnsi="Arial"/>
          <w:sz w:val="15"/>
          <w:szCs w:val="15"/>
          <w:color w:val="auto"/>
        </w:rPr>
        <w:t>Purchases of property and equipment were $84,000 for the nine months ended September 30, 2010. We have no significant commitments for capital expenditures for the balance of 2010, however, depending upon changes in market demand, we may make such purchases as we deem necessary and appropriate. As previously mentioned, we will be relocating the Mechanical Product segment operations and corporate staff currently occupying our</w:t>
      </w:r>
    </w:p>
    <w:p>
      <w:pPr>
        <w:sectPr>
          <w:pgSz w:w="11900" w:h="16936" w:orient="portrait"/>
          <w:cols w:equalWidth="0" w:num="1">
            <w:col w:w="11420"/>
          </w:cols>
          <w:pgMar w:left="240" w:top="131" w:right="239" w:bottom="0" w:gutter="0" w:footer="0" w:header="0"/>
        </w:sectPr>
      </w:pPr>
    </w:p>
    <w:bookmarkStart w:id="20" w:name="page21"/>
    <w:bookmarkEnd w:id="20"/>
    <w:p>
      <w:pPr>
        <w:ind w:left="540" w:right="80"/>
        <w:spacing w:after="0" w:line="294" w:lineRule="auto"/>
        <w:rPr>
          <w:sz w:val="20"/>
          <w:szCs w:val="20"/>
          <w:color w:val="auto"/>
        </w:rPr>
      </w:pPr>
      <w:r>
        <w:rPr>
          <w:rFonts w:ascii="Arial" w:cs="Arial" w:eastAsia="Arial" w:hAnsi="Arial"/>
          <w:sz w:val="16"/>
          <w:szCs w:val="16"/>
          <w:color w:val="auto"/>
        </w:rPr>
        <w:t>Cherry Hill, New Jersey facility into a smaller facility located in Mount Laurel, New Jersey during the fourth quarter of 2010. We are currently in the process of obtaining proposals for the various costs associated with this move and do not yet have a complete estimate of the total capital expenditures that we will incur to complete this move. The landlord for the new Mount Laurel facility will be providing the majority of the tenant improvement dollars for this facility, which we will amortize over the life of the lease as deferred rental expense. We expect to reduce our annual opera ting expenses by approximately $250,000 per year as a result of the relocation of our Cherry Hill operation to Mount Laurel.</w:t>
      </w:r>
    </w:p>
    <w:p>
      <w:pPr>
        <w:spacing w:after="0" w:line="170" w:lineRule="exact"/>
        <w:rPr>
          <w:sz w:val="20"/>
          <w:szCs w:val="20"/>
          <w:color w:val="auto"/>
        </w:rPr>
      </w:pPr>
    </w:p>
    <w:p>
      <w:pPr>
        <w:ind w:left="540" w:right="40"/>
        <w:spacing w:after="0" w:line="335" w:lineRule="auto"/>
        <w:rPr>
          <w:sz w:val="20"/>
          <w:szCs w:val="20"/>
          <w:color w:val="auto"/>
        </w:rPr>
      </w:pPr>
      <w:r>
        <w:rPr>
          <w:rFonts w:ascii="Arial" w:cs="Arial" w:eastAsia="Arial" w:hAnsi="Arial"/>
          <w:sz w:val="15"/>
          <w:szCs w:val="15"/>
          <w:color w:val="auto"/>
        </w:rPr>
        <w:t>As a result of our acquisition of Sigma as more fully discussed in Note 3 to the consolidated financial statements in our 2009 Form 10-K, we have non-negotiable promissory notes in an aggregate principal amount of $1.5 million outstanding at September 30, 2010. Principal is payable in four equal annual installments of $381,000 beginning on October 6, 2010. We currently plan to retire the entire amount of these notes during the fourth quarter of 2010.</w:t>
      </w:r>
    </w:p>
    <w:p>
      <w:pPr>
        <w:spacing w:after="0" w:line="142" w:lineRule="exact"/>
        <w:rPr>
          <w:sz w:val="20"/>
          <w:szCs w:val="20"/>
          <w:color w:val="auto"/>
        </w:rPr>
      </w:pPr>
    </w:p>
    <w:p>
      <w:pPr>
        <w:jc w:val="both"/>
        <w:ind w:left="540"/>
        <w:spacing w:after="0" w:line="294" w:lineRule="auto"/>
        <w:rPr>
          <w:sz w:val="20"/>
          <w:szCs w:val="20"/>
          <w:color w:val="auto"/>
        </w:rPr>
      </w:pPr>
      <w:r>
        <w:rPr>
          <w:rFonts w:ascii="Arial" w:cs="Arial" w:eastAsia="Arial" w:hAnsi="Arial"/>
          <w:sz w:val="16"/>
          <w:szCs w:val="16"/>
          <w:color w:val="auto"/>
        </w:rPr>
        <w:t>We have a secured credit facility that provides for maximum borrowings of $250,000. We have not used this credit facility to borrow any funds. Our usage consists of the issuance of letters of credit in the face amount of $250,000. This facility is secured by pledged certificates of deposit totaling $250,000. We pay a quarterly fee of 1.5% per annum on the total amount of the outstanding letters of credit. This credit facility expires on September 30, 2011. On April 1, 2010 an additional letter of credit was issued in the face amount of $250,000, as discussed above. This letter of credit is supported by a separate pledged certificate of deposit that is not a part of our secured credit facility.</w:t>
      </w:r>
    </w:p>
    <w:p>
      <w:pPr>
        <w:spacing w:after="0" w:line="170"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As of September 30, 2010, we had cash and cash equivalents of $6.2 million. We currently expect our cash and cash equivalents and projected future cash flow to be sufficient to support our short term working capital requirements. We do not currently have any available credit facilities under which we can borrow to help fund our working capital requirements. We cannot be certain that, if needed, we would be able to obtain any credit facilities or under what terms such credit facilities would be available.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September 30, 2010, there have been no significant changes to the accounting policies that we have deemed critical. These policies are more fully described in our 2009 Form 10-K.</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jc w:val="both"/>
        <w:ind w:left="540" w:right="80"/>
        <w:spacing w:after="0" w:line="259" w:lineRule="auto"/>
        <w:rPr>
          <w:sz w:val="20"/>
          <w:szCs w:val="20"/>
          <w:color w:val="auto"/>
        </w:rPr>
      </w:pPr>
      <w:r>
        <w:rPr>
          <w:rFonts w:ascii="Arial" w:cs="Arial" w:eastAsia="Arial" w:hAnsi="Arial"/>
          <w:sz w:val="18"/>
          <w:szCs w:val="18"/>
          <w:color w:val="auto"/>
        </w:rPr>
        <w:t>There were no off-balance sheet arrangements at September 30, 2010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right="160"/>
        <w:spacing w:after="0" w:line="258" w:lineRule="auto"/>
        <w:rPr>
          <w:sz w:val="20"/>
          <w:szCs w:val="20"/>
          <w:color w:val="auto"/>
        </w:rPr>
      </w:pPr>
      <w:r>
        <w:rPr>
          <w:rFonts w:ascii="Arial" w:cs="Arial" w:eastAsia="Arial" w:hAnsi="Arial"/>
          <w:sz w:val="18"/>
          <w:szCs w:val="18"/>
          <w:b w:val="1"/>
          <w:bCs w:val="1"/>
          <w:color w:val="auto"/>
        </w:rPr>
        <w:t>CEO and CFO Certifications</w:t>
      </w:r>
      <w:r>
        <w:rPr>
          <w:rFonts w:ascii="Arial" w:cs="Arial" w:eastAsia="Arial" w:hAnsi="Arial"/>
          <w:sz w:val="18"/>
          <w:szCs w:val="18"/>
          <w:color w:val="auto"/>
        </w:rPr>
        <w:t>. Included with this Quarterly Report as Exhibits 31.1 and 31.2 are two certifications, one by each of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our Chief Financial Officer (the "Section 302 Certifications"). This Item 4 contains information concerning the evaluations of our disclosure controls and procedures that are referred to in the Section 302 Certifications. This information should be read in conjunction with the Section 302 Certifications for a more complete understanding of the topics addressed therein.</w:t>
      </w:r>
    </w:p>
    <w:p>
      <w:pPr>
        <w:spacing w:after="0" w:line="190" w:lineRule="exact"/>
        <w:rPr>
          <w:sz w:val="20"/>
          <w:szCs w:val="20"/>
          <w:color w:val="auto"/>
        </w:rPr>
      </w:pPr>
    </w:p>
    <w:p>
      <w:pPr>
        <w:ind w:left="540" w:right="180"/>
        <w:spacing w:after="0" w:line="262" w:lineRule="auto"/>
        <w:rPr>
          <w:sz w:val="20"/>
          <w:szCs w:val="20"/>
          <w:color w:val="auto"/>
        </w:rPr>
      </w:pPr>
      <w:r>
        <w:rPr>
          <w:rFonts w:ascii="Arial" w:cs="Arial" w:eastAsia="Arial" w:hAnsi="Arial"/>
          <w:sz w:val="18"/>
          <w:szCs w:val="18"/>
          <w:b w:val="1"/>
          <w:bCs w:val="1"/>
          <w:color w:val="auto"/>
        </w:rPr>
        <w:t>Evaluation of Our Disclosure Controls and Procedures</w:t>
      </w:r>
      <w:r>
        <w:rPr>
          <w:rFonts w:ascii="Arial" w:cs="Arial" w:eastAsia="Arial" w:hAnsi="Arial"/>
          <w:sz w:val="18"/>
          <w:szCs w:val="18"/>
          <w:color w:val="auto"/>
        </w:rPr>
        <w:t>. The SEC requires that as of the end of the quarter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5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Limitations on the Effectiveness of Controls</w:t>
      </w:r>
      <w:r>
        <w:rPr>
          <w:rFonts w:ascii="Arial" w:cs="Arial" w:eastAsia="Arial" w:hAnsi="Arial"/>
          <w:sz w:val="16"/>
          <w:szCs w:val="16"/>
          <w:color w:val="auto"/>
        </w:rPr>
        <w:t>. Our management, including the CEO and CFO, does not expect that our disclosure controls and</w:t>
      </w:r>
    </w:p>
    <w:p>
      <w:pPr>
        <w:sectPr>
          <w:pgSz w:w="11900" w:h="16838" w:orient="portrait"/>
          <w:cols w:equalWidth="0" w:num="1">
            <w:col w:w="11420"/>
          </w:cols>
          <w:pgMar w:left="240" w:top="131" w:right="239" w:bottom="0" w:gutter="0" w:footer="0" w:header="0"/>
        </w:sectPr>
      </w:pPr>
    </w:p>
    <w:bookmarkStart w:id="21" w:name="page22"/>
    <w:bookmarkEnd w:id="21"/>
    <w:p>
      <w:pPr>
        <w:ind w:left="540"/>
        <w:spacing w:after="0" w:line="286" w:lineRule="auto"/>
        <w:rPr>
          <w:sz w:val="20"/>
          <w:szCs w:val="20"/>
          <w:color w:val="auto"/>
        </w:rPr>
      </w:pPr>
      <w:r>
        <w:rPr>
          <w:rFonts w:ascii="Arial" w:cs="Arial" w:eastAsia="Arial" w:hAnsi="Arial"/>
          <w:sz w:val="16"/>
          <w:szCs w:val="16"/>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 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2"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117475</wp:posOffset>
            </wp:positionV>
            <wp:extent cx="619569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569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2009.</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20"/>
          </w:cols>
          <w:pgMar w:left="240" w:top="131" w:right="239" w:bottom="161" w:gutter="0" w:footer="0" w:header="0"/>
        </w:sectPr>
      </w:pPr>
    </w:p>
    <w:bookmarkStart w:id="22" w:name="page23"/>
    <w:bookmarkEnd w:id="22"/>
    <w:p>
      <w:pPr>
        <w:jc w:val="center"/>
        <w:ind w:right="-4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November 12, 2010</w:t>
            </w:r>
          </w:p>
        </w:tc>
        <w:tc>
          <w:tcPr>
            <w:tcW w:w="342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164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November 12, 2010</w:t>
            </w:r>
          </w:p>
        </w:tc>
        <w:tc>
          <w:tcPr>
            <w:tcW w:w="34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190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w w:val="88"/>
              </w:rPr>
              <w:t>Secretary, Treasurer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382905</wp:posOffset>
            </wp:positionV>
            <wp:extent cx="619569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569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207" w:lineRule="exact"/>
        <w:rPr>
          <w:sz w:val="20"/>
          <w:szCs w:val="20"/>
          <w:color w:val="auto"/>
        </w:rPr>
      </w:pPr>
    </w:p>
    <w:p>
      <w:pPr>
        <w:ind w:left="400" w:right="5220" w:hanging="394"/>
        <w:spacing w:after="0" w:line="259" w:lineRule="auto"/>
        <w:rPr>
          <w:sz w:val="20"/>
          <w:szCs w:val="20"/>
          <w:color w:val="auto"/>
        </w:rPr>
      </w:pPr>
      <w:r>
        <w:rPr>
          <w:rFonts w:ascii="Arial" w:cs="Arial" w:eastAsia="Arial" w:hAnsi="Arial"/>
          <w:sz w:val="18"/>
          <w:szCs w:val="18"/>
          <w:color w:val="auto"/>
        </w:rPr>
        <w:t>3.1* Articles of Incorporation: Previously filed by the Company as an Exhibit to the Company's Registration Statement on Form S-1, File No. 333-26457, and incorporated herein by reference.</w:t>
      </w:r>
    </w:p>
    <w:p>
      <w:pPr>
        <w:spacing w:after="0" w:line="194" w:lineRule="exact"/>
        <w:rPr>
          <w:sz w:val="20"/>
          <w:szCs w:val="20"/>
          <w:color w:val="auto"/>
        </w:rPr>
      </w:pPr>
    </w:p>
    <w:p>
      <w:pPr>
        <w:jc w:val="both"/>
        <w:ind w:left="400" w:right="4720" w:hanging="394"/>
        <w:spacing w:after="0" w:line="259" w:lineRule="auto"/>
        <w:rPr>
          <w:sz w:val="20"/>
          <w:szCs w:val="20"/>
          <w:color w:val="auto"/>
        </w:rPr>
      </w:pPr>
      <w:r>
        <w:rPr>
          <w:rFonts w:ascii="Arial" w:cs="Arial" w:eastAsia="Arial" w:hAnsi="Arial"/>
          <w:sz w:val="18"/>
          <w:szCs w:val="18"/>
          <w:color w:val="auto"/>
        </w:rPr>
        <w:t>3.2* Bylaws of inTEST Corporation, as amended on October 30, 2007: Previously filed as Exhibit 3.2 of the Company's Form 8-K on November 5, 2007 and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920"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980"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Indicates document previously filed.</w:t>
      </w:r>
    </w:p>
    <w:p>
      <w:pPr>
        <w:spacing w:after="0" w:line="200" w:lineRule="exact"/>
        <w:rPr>
          <w:sz w:val="20"/>
          <w:szCs w:val="20"/>
          <w:color w:val="auto"/>
        </w:rPr>
      </w:pPr>
    </w:p>
    <w:p>
      <w:pPr>
        <w:spacing w:after="0" w:line="37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940"/>
          </w:cols>
          <w:pgMar w:left="240" w:top="517" w:right="71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12, 2010</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12, 2010</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6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September 30, 2010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November 12, 2010</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September 30, 2010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November 12, 2010</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2019-12-10T14:24:13Z</dcterms:created>
  <dcterms:modified xsi:type="dcterms:W3CDTF">2019-12-10T14:24:13Z</dcterms:modified>
</cp:coreProperties>
</file>