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2017</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204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28"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280" w:type="dxa"/>
            <w:vAlign w:val="bottom"/>
          </w:tcPr>
          <w:p>
            <w:pPr>
              <w:jc w:val="right"/>
              <w:ind w:right="2872"/>
              <w:spacing w:after="0"/>
              <w:rPr>
                <w:sz w:val="20"/>
                <w:szCs w:val="20"/>
                <w:color w:val="auto"/>
              </w:rPr>
            </w:pPr>
            <w:r>
              <w:rPr>
                <w:rFonts w:ascii="Arial" w:cs="Arial" w:eastAsia="Arial" w:hAnsi="Arial"/>
                <w:sz w:val="18"/>
                <w:szCs w:val="18"/>
                <w:color w:val="auto"/>
                <w:w w:val="99"/>
              </w:rPr>
              <w:t>___</w:t>
            </w:r>
          </w:p>
        </w:tc>
        <w:tc>
          <w:tcPr>
            <w:tcW w:w="2680" w:type="dxa"/>
            <w:vAlign w:val="bottom"/>
            <w:gridSpan w:val="2"/>
          </w:tcPr>
          <w:p>
            <w:pPr>
              <w:ind w:left="460"/>
              <w:spacing w:after="0"/>
              <w:rPr>
                <w:sz w:val="20"/>
                <w:szCs w:val="20"/>
                <w:color w:val="auto"/>
              </w:rPr>
            </w:pPr>
            <w:r>
              <w:rPr>
                <w:rFonts w:ascii="Arial" w:cs="Arial" w:eastAsia="Arial" w:hAnsi="Arial"/>
                <w:sz w:val="18"/>
                <w:szCs w:val="18"/>
                <w:color w:val="auto"/>
              </w:rPr>
              <w:t>Accelerated filer ___</w:t>
            </w:r>
          </w:p>
        </w:tc>
      </w:tr>
      <w:tr>
        <w:trPr>
          <w:trHeight w:val="205"/>
        </w:trPr>
        <w:tc>
          <w:tcPr>
            <w:tcW w:w="1600" w:type="dxa"/>
            <w:vAlign w:val="bottom"/>
          </w:tcPr>
          <w:p>
            <w:pPr>
              <w:spacing w:after="0" w:line="205" w:lineRule="exact"/>
              <w:rPr>
                <w:sz w:val="20"/>
                <w:szCs w:val="20"/>
                <w:color w:val="auto"/>
              </w:rPr>
            </w:pPr>
            <w:r>
              <w:rPr>
                <w:rFonts w:ascii="Arial" w:cs="Arial" w:eastAsia="Arial" w:hAnsi="Arial"/>
                <w:sz w:val="18"/>
                <w:szCs w:val="18"/>
                <w:color w:val="auto"/>
                <w:w w:val="95"/>
              </w:rPr>
              <w:t>Non-accelerated filer</w:t>
            </w:r>
          </w:p>
        </w:tc>
        <w:tc>
          <w:tcPr>
            <w:tcW w:w="3280" w:type="dxa"/>
            <w:vAlign w:val="bottom"/>
          </w:tcPr>
          <w:p>
            <w:pPr>
              <w:jc w:val="right"/>
              <w:ind w:right="352"/>
              <w:spacing w:after="0" w:line="205"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680" w:type="dxa"/>
            <w:vAlign w:val="bottom"/>
            <w:gridSpan w:val="2"/>
          </w:tcPr>
          <w:p>
            <w:pPr>
              <w:ind w:left="460"/>
              <w:spacing w:after="0" w:line="205" w:lineRule="exact"/>
              <w:rPr>
                <w:sz w:val="20"/>
                <w:szCs w:val="20"/>
                <w:color w:val="auto"/>
              </w:rPr>
            </w:pPr>
            <w:r>
              <w:rPr>
                <w:rFonts w:ascii="Arial" w:cs="Arial" w:eastAsia="Arial" w:hAnsi="Arial"/>
                <w:sz w:val="18"/>
                <w:szCs w:val="18"/>
                <w:color w:val="auto"/>
                <w:w w:val="94"/>
              </w:rPr>
              <w:t>Smaller reporting company X</w:t>
            </w:r>
          </w:p>
        </w:tc>
      </w:tr>
      <w:tr>
        <w:trPr>
          <w:trHeight w:val="262"/>
        </w:trPr>
        <w:tc>
          <w:tcPr>
            <w:tcW w:w="4880" w:type="dxa"/>
            <w:vAlign w:val="bottom"/>
            <w:gridSpan w:val="2"/>
          </w:tcPr>
          <w:p>
            <w:pPr>
              <w:spacing w:after="0"/>
              <w:rPr>
                <w:sz w:val="20"/>
                <w:szCs w:val="20"/>
                <w:color w:val="auto"/>
              </w:rPr>
            </w:pPr>
            <w:r>
              <w:rPr>
                <w:rFonts w:ascii="Arial" w:cs="Arial" w:eastAsia="Arial" w:hAnsi="Arial"/>
                <w:sz w:val="18"/>
                <w:szCs w:val="18"/>
                <w:color w:val="auto"/>
              </w:rPr>
              <w:t>Emerging growth company ___</w:t>
            </w:r>
          </w:p>
        </w:tc>
        <w:tc>
          <w:tcPr>
            <w:tcW w:w="24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r>
    </w:tbl>
    <w:p>
      <w:pPr>
        <w:spacing w:after="0" w:line="18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540" w:type="dxa"/>
            <w:vAlign w:val="bottom"/>
            <w:gridSpan w:val="4"/>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78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40" w:type="dxa"/>
            <w:vAlign w:val="bottom"/>
            <w:gridSpan w:val="4"/>
          </w:tcPr>
          <w:p>
            <w:pPr>
              <w:spacing w:after="0"/>
              <w:rPr>
                <w:sz w:val="20"/>
                <w:szCs w:val="20"/>
                <w:color w:val="auto"/>
              </w:rPr>
            </w:pPr>
            <w:r>
              <w:rPr>
                <w:rFonts w:ascii="Arial" w:cs="Arial" w:eastAsia="Arial" w:hAnsi="Arial"/>
                <w:sz w:val="18"/>
                <w:szCs w:val="18"/>
                <w:color w:val="auto"/>
                <w:w w:val="96"/>
              </w:rPr>
              <w:t>Number of shares of Common Stock, $.01 par value, outstanding as of the close of business on April 28, 2017:</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7820" w:type="dxa"/>
            <w:vAlign w:val="bottom"/>
            <w:gridSpan w:val="3"/>
          </w:tcPr>
          <w:p>
            <w:pPr>
              <w:jc w:val="right"/>
              <w:ind w:right="2352"/>
              <w:spacing w:after="0"/>
              <w:rPr>
                <w:sz w:val="20"/>
                <w:szCs w:val="20"/>
                <w:color w:val="auto"/>
              </w:rPr>
            </w:pPr>
            <w:r>
              <w:rPr>
                <w:rFonts w:ascii="Arial" w:cs="Arial" w:eastAsia="Arial" w:hAnsi="Arial"/>
                <w:sz w:val="18"/>
                <w:szCs w:val="18"/>
                <w:color w:val="auto"/>
              </w:rPr>
              <w:t>10,402,058</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7820" w:type="dxa"/>
            <w:vAlign w:val="bottom"/>
            <w:gridSpan w:val="3"/>
          </w:tcPr>
          <w:p>
            <w:pPr>
              <w:jc w:val="right"/>
              <w:ind w:right="1512"/>
              <w:spacing w:after="0"/>
              <w:rPr>
                <w:sz w:val="20"/>
                <w:szCs w:val="20"/>
                <w:color w:val="auto"/>
              </w:rPr>
            </w:pPr>
            <w:r>
              <w:rPr>
                <w:rFonts w:ascii="Arial" w:cs="Arial" w:eastAsia="Arial" w:hAnsi="Arial"/>
                <w:sz w:val="18"/>
                <w:szCs w:val="18"/>
                <w:color w:val="auto"/>
              </w:rPr>
              <w:t>____________________________</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tcPr>
          <w:p>
            <w:pPr>
              <w:jc w:val="center"/>
              <w:ind w:left="1432"/>
              <w:spacing w:after="0"/>
              <w:rPr>
                <w:sz w:val="20"/>
                <w:szCs w:val="20"/>
                <w:color w:val="auto"/>
              </w:rPr>
            </w:pPr>
            <w:r>
              <w:rPr>
                <w:rFonts w:ascii="Arial" w:cs="Arial" w:eastAsia="Arial" w:hAnsi="Arial"/>
                <w:sz w:val="18"/>
                <w:szCs w:val="18"/>
                <w:b w:val="1"/>
                <w:bCs w:val="1"/>
                <w:color w:val="auto"/>
                <w:w w:val="96"/>
              </w:rPr>
              <w:t>inTEST CORPORATION</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tcPr>
          <w:p>
            <w:pPr>
              <w:jc w:val="center"/>
              <w:ind w:left="1432"/>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85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35"/>
        </w:trPr>
        <w:tc>
          <w:tcPr>
            <w:tcW w:w="8540" w:type="dxa"/>
            <w:vAlign w:val="bottom"/>
            <w:gridSpan w:val="4"/>
            <w:vMerge w:val="continue"/>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782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Financial Statements</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720" w:type="dxa"/>
            <w:vAlign w:val="bottom"/>
          </w:tcPr>
          <w:p>
            <w:pPr>
              <w:spacing w:after="0"/>
              <w:rPr>
                <w:sz w:val="24"/>
                <w:szCs w:val="24"/>
                <w:color w:val="auto"/>
              </w:rPr>
            </w:pPr>
          </w:p>
        </w:tc>
        <w:tc>
          <w:tcPr>
            <w:tcW w:w="7820" w:type="dxa"/>
            <w:vAlign w:val="bottom"/>
            <w:gridSpan w:val="3"/>
          </w:tcPr>
          <w:p>
            <w:pPr>
              <w:ind w:left="80"/>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840" w:type="dxa"/>
            <w:vAlign w:val="bottom"/>
            <w:gridSpan w:val="2"/>
          </w:tcPr>
          <w:p>
            <w:pPr>
              <w:jc w:val="center"/>
              <w:ind w:left="479"/>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7820" w:type="dxa"/>
            <w:vAlign w:val="bottom"/>
            <w:gridSpan w:val="3"/>
          </w:tcPr>
          <w:p>
            <w:pPr>
              <w:ind w:left="8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7820" w:type="dxa"/>
            <w:vAlign w:val="bottom"/>
            <w:gridSpan w:val="3"/>
          </w:tcPr>
          <w:p>
            <w:pPr>
              <w:ind w:left="200"/>
              <w:spacing w:after="0"/>
              <w:rPr>
                <w:sz w:val="20"/>
                <w:szCs w:val="20"/>
                <w:color w:val="auto"/>
              </w:rPr>
            </w:pPr>
            <w:r>
              <w:rPr>
                <w:rFonts w:ascii="Arial" w:cs="Arial" w:eastAsia="Arial" w:hAnsi="Arial"/>
                <w:sz w:val="18"/>
                <w:szCs w:val="18"/>
                <w:color w:val="auto"/>
              </w:rPr>
              <w:t>2017 and 2016</w:t>
            </w:r>
          </w:p>
        </w:tc>
        <w:tc>
          <w:tcPr>
            <w:tcW w:w="840" w:type="dxa"/>
            <w:vAlign w:val="bottom"/>
            <w:gridSpan w:val="2"/>
          </w:tcPr>
          <w:p>
            <w:pPr>
              <w:jc w:val="center"/>
              <w:ind w:left="479"/>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126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ended March 31, 2017 and 2016</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March 31, 2017</w:t>
            </w:r>
          </w:p>
        </w:tc>
        <w:tc>
          <w:tcPr>
            <w:tcW w:w="12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March 31, 2017 and 2016</w:t>
            </w:r>
          </w:p>
        </w:tc>
        <w:tc>
          <w:tcPr>
            <w:tcW w:w="126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88"/>
              </w:rPr>
              <w:t>5-15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6"/>
              </w:rPr>
              <w:t>Management's Discussion and Analysis of Financial Condition and Results of Operations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86"/>
              </w:rPr>
              <w:t>16-21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4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26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r>
        <w:trPr>
          <w:trHeight w:val="513"/>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r>
        <w:trPr>
          <w:trHeight w:val="513"/>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60" w:type="dxa"/>
            <w:vAlign w:val="bottom"/>
          </w:tcPr>
          <w:p>
            <w:pPr>
              <w:jc w:val="center"/>
              <w:ind w:left="772"/>
              <w:spacing w:after="0"/>
              <w:rPr>
                <w:sz w:val="20"/>
                <w:szCs w:val="20"/>
                <w:color w:val="auto"/>
              </w:rPr>
            </w:pPr>
            <w:r>
              <w:rPr>
                <w:rFonts w:ascii="Arial" w:cs="Arial" w:eastAsia="Arial" w:hAnsi="Arial"/>
                <w:sz w:val="18"/>
                <w:szCs w:val="18"/>
                <w:color w:val="auto"/>
                <w:w w:val="7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2017</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74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$27,455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$28,611</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9,817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5,377</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3,921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3,676</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342</w:t>
            </w:r>
          </w:p>
        </w:tc>
        <w:tc>
          <w:tcPr>
            <w:tcW w:w="100" w:type="dxa"/>
            <w:vAlign w:val="bottom"/>
          </w:tcPr>
          <w:p>
            <w:pPr>
              <w:spacing w:after="0"/>
              <w:rPr>
                <w:sz w:val="14"/>
                <w:szCs w:val="14"/>
                <w:color w:val="auto"/>
              </w:rPr>
            </w:pP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41,567</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38,006</w:t>
            </w: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4,418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4,383</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5,022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4,986</w:t>
            </w:r>
          </w:p>
        </w:tc>
        <w:tc>
          <w:tcPr>
            <w:tcW w:w="100" w:type="dxa"/>
            <w:vAlign w:val="bottom"/>
          </w:tcPr>
          <w:p>
            <w:pPr>
              <w:spacing w:after="0"/>
              <w:rPr>
                <w:sz w:val="19"/>
                <w:szCs w:val="19"/>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68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(4,088)</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(4,042)</w:t>
            </w: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6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934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944</w:t>
            </w:r>
          </w:p>
        </w:tc>
        <w:tc>
          <w:tcPr>
            <w:tcW w:w="100" w:type="dxa"/>
            <w:vAlign w:val="bottom"/>
          </w:tcPr>
          <w:p>
            <w:pPr>
              <w:spacing w:after="0"/>
              <w:rPr>
                <w:sz w:val="15"/>
                <w:szCs w:val="15"/>
                <w:color w:val="auto"/>
              </w:rPr>
            </w:pP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1,116</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1,110</w:t>
            </w:r>
          </w:p>
        </w:tc>
        <w:tc>
          <w:tcPr>
            <w:tcW w:w="100" w:type="dxa"/>
            <w:vAlign w:val="bottom"/>
          </w:tcPr>
          <w:p>
            <w:pPr>
              <w:spacing w:after="0"/>
              <w:rPr>
                <w:sz w:val="19"/>
                <w:szCs w:val="19"/>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100" w:type="dxa"/>
            <w:vAlign w:val="bottom"/>
          </w:tcPr>
          <w:p>
            <w:pPr>
              <w:spacing w:after="0"/>
              <w:rPr>
                <w:sz w:val="17"/>
                <w:szCs w:val="17"/>
                <w:color w:val="auto"/>
              </w:rPr>
            </w:pPr>
          </w:p>
        </w:tc>
      </w:tr>
      <w:tr>
        <w:trPr>
          <w:trHeight w:val="164"/>
        </w:trPr>
        <w:tc>
          <w:tcPr>
            <w:tcW w:w="6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28</w:t>
            </w:r>
          </w:p>
        </w:tc>
        <w:tc>
          <w:tcPr>
            <w:tcW w:w="100" w:type="dxa"/>
            <w:vAlign w:val="bottom"/>
          </w:tcPr>
          <w:p>
            <w:pPr>
              <w:spacing w:after="0"/>
              <w:rPr>
                <w:sz w:val="14"/>
                <w:szCs w:val="14"/>
                <w:color w:val="auto"/>
              </w:rPr>
            </w:pPr>
          </w:p>
        </w:tc>
      </w:tr>
      <w:tr>
        <w:trPr>
          <w:trHeight w:val="424"/>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$46,353</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$42,844</w:t>
            </w:r>
          </w:p>
        </w:tc>
        <w:tc>
          <w:tcPr>
            <w:tcW w:w="100" w:type="dxa"/>
            <w:vAlign w:val="bottom"/>
          </w:tcPr>
          <w:p>
            <w:pPr>
              <w:spacing w:after="0"/>
              <w:rPr>
                <w:sz w:val="24"/>
                <w:szCs w:val="24"/>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ectPr>
          <w:pgSz w:w="11900" w:h="16882"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1,833</w:t>
            </w:r>
          </w:p>
        </w:tc>
        <w:tc>
          <w:tcPr>
            <w:tcW w:w="260" w:type="dxa"/>
            <w:vAlign w:val="bottom"/>
          </w:tcPr>
          <w:p>
            <w:pPr>
              <w:spacing w:after="0"/>
              <w:rPr>
                <w:sz w:val="17"/>
                <w:szCs w:val="17"/>
                <w:color w:val="auto"/>
              </w:rPr>
            </w:pPr>
          </w:p>
        </w:tc>
        <w:tc>
          <w:tcPr>
            <w:tcW w:w="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397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247</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6,433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5,056</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10,435,135 and 10,394,018 shares issued, respectively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25,604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25,578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13,749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11,671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39,920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37,788</w:t>
            </w:r>
          </w:p>
        </w:tc>
        <w:tc>
          <w:tcPr>
            <w:tcW w:w="100" w:type="dxa"/>
            <w:vAlign w:val="bottom"/>
          </w:tcPr>
          <w:p>
            <w:pPr>
              <w:spacing w:after="0"/>
              <w:rPr>
                <w:sz w:val="15"/>
                <w:szCs w:val="15"/>
                <w:color w:val="auto"/>
              </w:rPr>
            </w:pPr>
          </w:p>
        </w:tc>
      </w:tr>
      <w:tr>
        <w:trPr>
          <w:trHeight w:val="424"/>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46,353</w:t>
            </w:r>
          </w:p>
        </w:tc>
        <w:tc>
          <w:tcPr>
            <w:tcW w:w="2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42,844</w:t>
            </w:r>
          </w:p>
        </w:tc>
        <w:tc>
          <w:tcPr>
            <w:tcW w:w="100" w:type="dxa"/>
            <w:vAlign w:val="bottom"/>
          </w:tcPr>
          <w:p>
            <w:pPr>
              <w:spacing w:after="0"/>
              <w:rPr>
                <w:sz w:val="24"/>
                <w:szCs w:val="24"/>
                <w:color w:val="auto"/>
              </w:rPr>
            </w:pPr>
          </w:p>
        </w:tc>
      </w:tr>
      <w:tr>
        <w:trPr>
          <w:trHeight w:val="203"/>
        </w:trPr>
        <w:tc>
          <w:tcPr>
            <w:tcW w:w="706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30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060" w:type="dxa"/>
            <w:vAlign w:val="bottom"/>
          </w:tcPr>
          <w:p>
            <w:pPr>
              <w:spacing w:after="0"/>
              <w:rPr>
                <w:sz w:val="17"/>
                <w:szCs w:val="17"/>
                <w:color w:val="auto"/>
              </w:rPr>
            </w:pPr>
          </w:p>
        </w:tc>
        <w:tc>
          <w:tcPr>
            <w:tcW w:w="3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06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2017</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2016</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$14,180</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$ 8,647</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6,452</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4,580</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7,728</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4,067</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1,668</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1,645</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4,597</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3,971</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3,131</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96</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3,172</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$ 2,078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6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$0.20</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3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10,264,565 10,390,002</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$0.20</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10,295,337 10,404,244</w:t>
            </w:r>
          </w:p>
        </w:tc>
      </w:tr>
    </w:tbl>
    <w:p>
      <w:pPr>
        <w:sectPr>
          <w:pgSz w:w="11900" w:h="16838" w:orient="portrait"/>
          <w:cols w:equalWidth="0" w:num="1">
            <w:col w:w="10219"/>
          </w:cols>
          <w:pgMar w:left="240" w:top="339" w:right="1440" w:bottom="1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1440" w:right="1440"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2017</w:t>
      </w:r>
      <w:r>
        <w:rPr>
          <w:sz w:val="20"/>
          <w:szCs w:val="20"/>
          <w:color w:val="auto"/>
        </w:rPr>
        <w:tab/>
      </w:r>
      <w:r>
        <w:rPr>
          <w:rFonts w:ascii="Courier New" w:cs="Courier New" w:eastAsia="Courier New" w:hAnsi="Courier New"/>
          <w:sz w:val="18"/>
          <w:szCs w:val="18"/>
          <w:color w:val="auto"/>
        </w:rPr>
        <w:t>2016</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1260" w:val="left"/>
          <w:tab w:leader="none" w:pos="1680" w:val="left"/>
        </w:tabs>
        <w:rPr>
          <w:sz w:val="20"/>
          <w:szCs w:val="20"/>
          <w:color w:val="auto"/>
        </w:rPr>
      </w:pPr>
      <w:r>
        <w:rPr>
          <w:rFonts w:ascii="Courier New" w:cs="Courier New" w:eastAsia="Courier New" w:hAnsi="Courier New"/>
          <w:sz w:val="18"/>
          <w:szCs w:val="18"/>
          <w:color w:val="auto"/>
        </w:rPr>
        <w:t>$2,078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81</w:t>
      </w:r>
    </w:p>
    <w:p>
      <w:pPr>
        <w:spacing w:after="0" w:line="200" w:lineRule="exact"/>
        <w:rPr>
          <w:sz w:val="20"/>
          <w:szCs w:val="20"/>
          <w:color w:val="auto"/>
        </w:rPr>
      </w:pPr>
    </w:p>
    <w:p>
      <w:pPr>
        <w:sectPr>
          <w:pgSz w:w="11900" w:h="16838" w:orient="portrait"/>
          <w:cols w:equalWidth="0" w:num="2">
            <w:col w:w="6020" w:space="720"/>
            <w:col w:w="3479"/>
          </w:cols>
          <w:pgMar w:left="240" w:top="1440" w:right="1440" w:bottom="80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579"/>
        <w:spacing w:after="0"/>
        <w:rPr>
          <w:sz w:val="20"/>
          <w:szCs w:val="20"/>
          <w:color w:val="auto"/>
        </w:rPr>
      </w:pPr>
      <w:r>
        <w:rPr>
          <w:rFonts w:ascii="Courier New" w:cs="Courier New" w:eastAsia="Courier New" w:hAnsi="Courier New"/>
          <w:sz w:val="18"/>
          <w:szCs w:val="18"/>
          <w:color w:val="auto"/>
        </w:rPr>
        <w:t>108</w:t>
      </w:r>
    </w:p>
    <w:p>
      <w:pPr>
        <w:spacing w:after="0" w:line="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440" w:right="1440" w:bottom="80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189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440" w:right="1440" w:bottom="809" w:gutter="0" w:footer="0" w:header="0"/>
          <w:type w:val="continuous"/>
        </w:sectPr>
      </w:pPr>
    </w:p>
    <w:p>
      <w:pPr>
        <w:spacing w:after="0" w:line="20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40" w:type="dxa"/>
            <w:vAlign w:val="bottom"/>
            <w:gridSpan w:val="4"/>
          </w:tcPr>
          <w:p>
            <w:pPr>
              <w:jc w:val="center"/>
              <w:ind w:left="435"/>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60" w:type="dxa"/>
            <w:vAlign w:val="bottom"/>
            <w:gridSpan w:val="7"/>
          </w:tcPr>
          <w:p>
            <w:pPr>
              <w:jc w:val="center"/>
              <w:ind w:left="17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509"/>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6"/>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340" w:type="dxa"/>
            <w:vAlign w:val="bottom"/>
            <w:gridSpan w:val="2"/>
          </w:tcPr>
          <w:p>
            <w:pPr>
              <w:jc w:val="right"/>
              <w:ind w:right="117"/>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1"/>
                <w:szCs w:val="11"/>
                <w:color w:val="auto"/>
              </w:rPr>
            </w:pPr>
          </w:p>
        </w:tc>
        <w:tc>
          <w:tcPr>
            <w:tcW w:w="980" w:type="dxa"/>
            <w:vAlign w:val="bottom"/>
            <w:gridSpan w:val="2"/>
          </w:tcPr>
          <w:p>
            <w:pPr>
              <w:jc w:val="right"/>
              <w:ind w:right="336"/>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6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2060" w:type="dxa"/>
            <w:vAlign w:val="bottom"/>
          </w:tcPr>
          <w:p>
            <w:pPr>
              <w:spacing w:after="0"/>
              <w:rPr>
                <w:sz w:val="11"/>
                <w:szCs w:val="11"/>
                <w:color w:val="auto"/>
              </w:rPr>
            </w:pPr>
          </w:p>
        </w:tc>
        <w:tc>
          <w:tcPr>
            <w:tcW w:w="8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6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488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January 1, 2017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10,394,018</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$ 104</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$25,578</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$11,671</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639</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$37,788</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2,078</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2,078</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 comprehensive</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income</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28</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28</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to stock-based awards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88</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88</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55,000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Repurchase and retirement</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common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(13,883)</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(62)</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(62)</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March 31, 2017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10,435,135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$ 104</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$25,604</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$13,749</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667</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$39,920</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1440" w:right="1440" w:bottom="809" w:gutter="0" w:footer="0" w:header="0"/>
          <w:type w:val="continuous"/>
        </w:sectPr>
      </w:pPr>
    </w:p>
    <w:bookmarkStart w:id="4" w:name="page5"/>
    <w:bookmarkEnd w:id="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gridSpan w:val="3"/>
          </w:tcPr>
          <w:p>
            <w:pPr>
              <w:jc w:val="center"/>
              <w:ind w:left="4678"/>
              <w:spacing w:after="0"/>
              <w:rPr>
                <w:sz w:val="20"/>
                <w:szCs w:val="20"/>
                <w:color w:val="auto"/>
              </w:rPr>
            </w:pPr>
            <w:r>
              <w:rPr>
                <w:rFonts w:ascii="Arial" w:cs="Arial" w:eastAsia="Arial" w:hAnsi="Arial"/>
                <w:sz w:val="18"/>
                <w:szCs w:val="18"/>
                <w:b w:val="1"/>
                <w:bCs w:val="1"/>
                <w:color w:val="auto"/>
                <w:w w:val="96"/>
              </w:rPr>
              <w:t>inTEST CORPORATION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5"/>
          </w:tcPr>
          <w:p>
            <w:pPr>
              <w:jc w:val="center"/>
              <w:ind w:left="3598"/>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80" w:type="dxa"/>
            <w:vAlign w:val="bottom"/>
            <w:gridSpan w:val="2"/>
          </w:tcPr>
          <w:p>
            <w:pPr>
              <w:jc w:val="center"/>
              <w:ind w:right="339"/>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1580" w:type="dxa"/>
            <w:vAlign w:val="bottom"/>
            <w:gridSpan w:val="2"/>
          </w:tcPr>
          <w:p>
            <w:pPr>
              <w:jc w:val="right"/>
              <w:ind w:right="539"/>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5120" w:type="dxa"/>
            <w:vAlign w:val="bottom"/>
          </w:tcPr>
          <w:p>
            <w:pPr>
              <w:spacing w:after="0"/>
              <w:rPr>
                <w:sz w:val="24"/>
                <w:szCs w:val="24"/>
                <w:color w:val="auto"/>
              </w:rPr>
            </w:pPr>
          </w:p>
        </w:tc>
        <w:tc>
          <w:tcPr>
            <w:tcW w:w="2660" w:type="dxa"/>
            <w:vAlign w:val="bottom"/>
            <w:gridSpan w:val="4"/>
          </w:tcPr>
          <w:p>
            <w:pPr>
              <w:ind w:left="800"/>
              <w:spacing w:after="0"/>
              <w:rPr>
                <w:sz w:val="20"/>
                <w:szCs w:val="20"/>
                <w:color w:val="auto"/>
              </w:rPr>
            </w:pPr>
            <w:r>
              <w:rPr>
                <w:rFonts w:ascii="Courier New" w:cs="Courier New" w:eastAsia="Courier New" w:hAnsi="Courier New"/>
                <w:sz w:val="12"/>
                <w:szCs w:val="12"/>
                <w:color w:val="auto"/>
              </w:rPr>
              <w:t>Three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jc w:val="right"/>
              <w:ind w:right="779"/>
              <w:spacing w:after="0"/>
              <w:rPr>
                <w:sz w:val="20"/>
                <w:szCs w:val="20"/>
                <w:color w:val="auto"/>
              </w:rPr>
            </w:pPr>
            <w:r>
              <w:rPr>
                <w:rFonts w:ascii="Courier New" w:cs="Courier New" w:eastAsia="Courier New" w:hAnsi="Courier New"/>
                <w:sz w:val="12"/>
                <w:szCs w:val="12"/>
                <w:color w:val="auto"/>
              </w:rPr>
              <w:t>March 31,</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4"/>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2017</w:t>
            </w:r>
          </w:p>
        </w:tc>
        <w:tc>
          <w:tcPr>
            <w:tcW w:w="100" w:type="dxa"/>
            <w:vAlign w:val="bottom"/>
          </w:tcPr>
          <w:p>
            <w:pPr>
              <w:spacing w:after="0"/>
              <w:rPr>
                <w:sz w:val="11"/>
                <w:szCs w:val="11"/>
                <w:color w:val="auto"/>
              </w:rPr>
            </w:pPr>
          </w:p>
        </w:tc>
        <w:tc>
          <w:tcPr>
            <w:tcW w:w="98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2016</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$ 2,078</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81</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used in</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150</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160</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47</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69</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stock-based awards</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88</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39</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31</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47</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 (benefit)</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25</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9"/>
              </w:rPr>
              <w:t>(4,423)</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(907)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(291)</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(31)</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465</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456</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(400)</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(299)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(28)</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(51)</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148</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1,050</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150</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operating activities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9"/>
              </w:rPr>
              <w:t>(1,000)</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(319)</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(114)</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(114)</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Repurchases of common stock</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(62)</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(471)</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860" w:type="dxa"/>
            <w:vAlign w:val="bottom"/>
          </w:tcPr>
          <w:p>
            <w:pPr>
              <w:spacing w:after="0"/>
              <w:rPr>
                <w:sz w:val="11"/>
                <w:szCs w:val="11"/>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(62)</w:t>
            </w:r>
          </w:p>
        </w:tc>
        <w:tc>
          <w:tcPr>
            <w:tcW w:w="100" w:type="dxa"/>
            <w:vAlign w:val="bottom"/>
          </w:tcPr>
          <w:p>
            <w:pPr>
              <w:spacing w:after="0"/>
              <w:rPr>
                <w:sz w:val="11"/>
                <w:szCs w:val="11"/>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(471)</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86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w:t>
            </w:r>
          </w:p>
        </w:tc>
        <w:tc>
          <w:tcPr>
            <w:tcW w:w="100" w:type="dxa"/>
            <w:vAlign w:val="bottom"/>
          </w:tcPr>
          <w:p>
            <w:pPr>
              <w:spacing w:after="0"/>
              <w:rPr>
                <w:sz w:val="23"/>
                <w:szCs w:val="23"/>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69</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860" w:type="dxa"/>
            <w:vAlign w:val="bottom"/>
          </w:tcPr>
          <w:p>
            <w:pPr>
              <w:spacing w:after="0"/>
              <w:rPr>
                <w:sz w:val="23"/>
                <w:szCs w:val="23"/>
                <w:color w:val="auto"/>
              </w:rPr>
            </w:pP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9"/>
              </w:rPr>
              <w:t>(1,156)</w:t>
            </w:r>
          </w:p>
        </w:tc>
        <w:tc>
          <w:tcPr>
            <w:tcW w:w="100" w:type="dxa"/>
            <w:vAlign w:val="bottom"/>
          </w:tcPr>
          <w:p>
            <w:pPr>
              <w:spacing w:after="0"/>
              <w:rPr>
                <w:sz w:val="23"/>
                <w:szCs w:val="23"/>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(759)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86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7"/>
              </w:rPr>
              <w:t>28,611</w:t>
            </w:r>
          </w:p>
        </w:tc>
        <w:tc>
          <w:tcPr>
            <w:tcW w:w="100" w:type="dxa"/>
            <w:vAlign w:val="bottom"/>
          </w:tcPr>
          <w:p>
            <w:pPr>
              <w:spacing w:after="0"/>
              <w:rPr>
                <w:sz w:val="11"/>
                <w:szCs w:val="11"/>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w w:val="92"/>
              </w:rPr>
              <w:t>25,710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$27,455</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$24,951</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860" w:type="dxa"/>
            <w:vAlign w:val="bottom"/>
          </w:tcPr>
          <w:p>
            <w:pPr>
              <w:ind w:left="800"/>
              <w:spacing w:after="0"/>
              <w:rPr>
                <w:sz w:val="20"/>
                <w:szCs w:val="20"/>
                <w:color w:val="auto"/>
              </w:rPr>
            </w:pPr>
            <w:r>
              <w:rPr>
                <w:rFonts w:ascii="Courier New" w:cs="Courier New" w:eastAsia="Courier New" w:hAnsi="Courier New"/>
                <w:sz w:val="9"/>
                <w:szCs w:val="9"/>
                <w:color w:val="auto"/>
                <w:w w:val="73"/>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39</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We also market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During 2016, we reorganized our business from three product segments (Thermal Products, Mechanical Products and Electrical Products) into two product segments (inTEST Thermal Solutions ("iTS") and inTEST Electromechanical Semiconductor Products ("EMS")). Certain operational changes undertaken in the first quarter of 2016 in connection with this reorganization are discussed further in Note 3 of our consolidated financial statements included in our Annual Report on Form 10-K for the year ended December 31, 2016 filed with the Securities and Exchange Commission on March 27, 2017 (the "2016 Form 10-K"). Accordingly, effective January 1, 2017, we have two reportable segments, which are also our reporting units. Prior period information has been reclassified to be comparable to the presentation for 2017.We manufacture our products in the U.S. Marketing and support activities are conducted worldwide from our facilities in the U.S., Germany and Singapore.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w:t>
      </w:r>
    </w:p>
    <w:p>
      <w:pPr>
        <w:sectPr>
          <w:pgSz w:w="11900" w:h="16843" w:orient="portrait"/>
          <w:cols w:equalWidth="0" w:num="1">
            <w:col w:w="11360"/>
          </w:cols>
          <w:pgMar w:left="240" w:top="125" w:right="299" w:bottom="0" w:gutter="0" w:footer="0" w:header="0"/>
        </w:sectPr>
      </w:pPr>
    </w:p>
    <w:bookmarkStart w:id="5" w:name="page6"/>
    <w:bookmarkEnd w:id="5"/>
    <w:p>
      <w:pPr>
        <w:spacing w:after="0" w:line="13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3" w:lineRule="exact"/>
        <w:rPr>
          <w:sz w:val="20"/>
          <w:szCs w:val="20"/>
          <w:color w:val="auto"/>
        </w:rPr>
      </w:pPr>
    </w:p>
    <w:p>
      <w:pPr>
        <w:ind w:left="540" w:right="654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260"/>
        <w:spacing w:after="0" w:line="314"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59"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2016 Form 10-K.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$47 and $69 for the three months ended March 31, 2017 and 2016,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right="20"/>
        <w:spacing w:after="0" w:line="307" w:lineRule="auto"/>
        <w:rPr>
          <w:sz w:val="20"/>
          <w:szCs w:val="20"/>
          <w:color w:val="auto"/>
        </w:rPr>
      </w:pPr>
      <w:r>
        <w:rPr>
          <w:rFonts w:ascii="Arial" w:cs="Arial" w:eastAsia="Arial" w:hAnsi="Arial"/>
          <w:sz w:val="15"/>
          <w:szCs w:val="15"/>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ind w:left="540" w:right="220"/>
        <w:spacing w:after="0" w:line="335" w:lineRule="auto"/>
        <w:rPr>
          <w:sz w:val="20"/>
          <w:szCs w:val="20"/>
          <w:color w:val="auto"/>
        </w:rPr>
      </w:pPr>
      <w:r>
        <w:rPr>
          <w:rFonts w:ascii="Arial" w:cs="Arial" w:eastAsia="Arial" w:hAnsi="Arial"/>
          <w:sz w:val="15"/>
          <w:szCs w:val="15"/>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w:t>
      </w:r>
    </w:p>
    <w:p>
      <w:pPr>
        <w:sectPr>
          <w:pgSz w:w="11900" w:h="16977" w:orient="portrait"/>
          <w:cols w:equalWidth="0" w:num="1">
            <w:col w:w="11420"/>
          </w:cols>
          <w:pgMar w:left="240" w:top="131" w:right="239" w:bottom="0" w:gutter="0" w:footer="0" w:header="0"/>
        </w:sectPr>
      </w:pPr>
    </w:p>
    <w:bookmarkStart w:id="6" w:name="page7"/>
    <w:bookmarkEnd w:id="6"/>
    <w:p>
      <w:pPr>
        <w:spacing w:after="0" w:line="33" w:lineRule="exact"/>
        <w:rPr>
          <w:sz w:val="20"/>
          <w:szCs w:val="20"/>
          <w:color w:val="auto"/>
        </w:rPr>
      </w:pPr>
    </w:p>
    <w:p>
      <w:pPr>
        <w:ind w:left="540" w:right="60"/>
        <w:spacing w:after="0" w:line="335" w:lineRule="auto"/>
        <w:rPr>
          <w:sz w:val="20"/>
          <w:szCs w:val="20"/>
          <w:color w:val="auto"/>
        </w:rPr>
      </w:pPr>
      <w:r>
        <w:rPr>
          <w:rFonts w:ascii="Arial" w:cs="Arial" w:eastAsia="Arial" w:hAnsi="Arial"/>
          <w:sz w:val="15"/>
          <w:szCs w:val="15"/>
          <w:color w:val="auto"/>
        </w:rPr>
        <w:t>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In addition, we lease certain of our equipment to customers under non-cancellable operating leases. These leases generally have an initial term of six months. We recognize revenue for these leases on a straight-line basis over the term of the lease.</w:t>
      </w:r>
    </w:p>
    <w:p>
      <w:pPr>
        <w:spacing w:after="0" w:line="186"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our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ectPr>
          <w:pgSz w:w="11900" w:h="16871" w:orient="portrait"/>
          <w:cols w:equalWidth="0" w:num="1">
            <w:col w:w="11420"/>
          </w:cols>
          <w:pgMar w:left="240" w:top="131" w:right="239" w:bottom="0" w:gutter="0" w:footer="0" w:header="0"/>
        </w:sectPr>
      </w:pPr>
    </w:p>
    <w:bookmarkStart w:id="7" w:name="page8"/>
    <w:bookmarkEnd w:id="7"/>
    <w:p>
      <w:pPr>
        <w:spacing w:after="0" w:line="25"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205"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i w:val="1"/>
          <w:iCs w:val="1"/>
          <w:color w:val="auto"/>
        </w:rPr>
        <w:t>Three Months Ended</w:t>
      </w:r>
    </w:p>
    <w:p>
      <w:pPr>
        <w:jc w:val="center"/>
        <w:ind w:left="634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-16510</wp:posOffset>
            </wp:positionV>
            <wp:extent cx="7099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30" cy="889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48"/>
        </w:trPr>
        <w:tc>
          <w:tcPr>
            <w:tcW w:w="652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2017</w:t>
            </w:r>
          </w:p>
        </w:tc>
        <w:tc>
          <w:tcPr>
            <w:tcW w:w="360" w:type="dxa"/>
            <w:vAlign w:val="bottom"/>
          </w:tcPr>
          <w:p>
            <w:pPr>
              <w:spacing w:after="0"/>
              <w:rPr>
                <w:sz w:val="12"/>
                <w:szCs w:val="12"/>
                <w:color w:val="auto"/>
              </w:rPr>
            </w:pPr>
          </w:p>
        </w:tc>
        <w:tc>
          <w:tcPr>
            <w:tcW w:w="98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2016</w:t>
            </w: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6"/>
              </w:rPr>
              <w:t>10,264,565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10,390,002</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5"/>
        </w:trPr>
        <w:tc>
          <w:tcPr>
            <w:tcW w:w="652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 and stock options</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30,772</w:t>
            </w:r>
          </w:p>
        </w:tc>
        <w:tc>
          <w:tcPr>
            <w:tcW w:w="9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14,242</w:t>
            </w:r>
          </w:p>
        </w:tc>
      </w:tr>
      <w:tr>
        <w:trPr>
          <w:trHeight w:val="255"/>
        </w:trPr>
        <w:tc>
          <w:tcPr>
            <w:tcW w:w="652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184"/>
        </w:trPr>
        <w:tc>
          <w:tcPr>
            <w:tcW w:w="6520" w:type="dxa"/>
            <w:vAlign w:val="bottom"/>
          </w:tcPr>
          <w:p>
            <w:pPr>
              <w:ind w:left="100"/>
              <w:spacing w:after="0" w:line="184" w:lineRule="exact"/>
              <w:rPr>
                <w:sz w:val="20"/>
                <w:szCs w:val="20"/>
                <w:color w:val="auto"/>
              </w:rPr>
            </w:pPr>
            <w:r>
              <w:rPr>
                <w:rFonts w:ascii="Arial" w:cs="Arial" w:eastAsia="Arial" w:hAnsi="Arial"/>
                <w:sz w:val="18"/>
                <w:szCs w:val="18"/>
                <w:color w:val="auto"/>
              </w:rPr>
              <w:t>equivalents outstanding - diluted</w:t>
            </w:r>
          </w:p>
        </w:tc>
        <w:tc>
          <w:tcPr>
            <w:tcW w:w="80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6"/>
              </w:rPr>
              <w:t>10,295,337</w:t>
            </w:r>
          </w:p>
        </w:tc>
        <w:tc>
          <w:tcPr>
            <w:tcW w:w="98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10,404,244</w:t>
            </w:r>
          </w:p>
        </w:tc>
      </w:tr>
      <w:tr>
        <w:trPr>
          <w:trHeight w:val="505"/>
        </w:trPr>
        <w:tc>
          <w:tcPr>
            <w:tcW w:w="65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47,260</w:t>
            </w:r>
          </w:p>
        </w:tc>
        <w:tc>
          <w:tcPr>
            <w:tcW w:w="200" w:type="dxa"/>
            <w:vAlign w:val="bottom"/>
          </w:tcPr>
          <w:p>
            <w:pPr>
              <w:spacing w:after="0"/>
              <w:rPr>
                <w:sz w:val="24"/>
                <w:szCs w:val="24"/>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15,231</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300"/>
        <w:spacing w:after="0" w:line="294" w:lineRule="auto"/>
        <w:rPr>
          <w:sz w:val="20"/>
          <w:szCs w:val="20"/>
          <w:color w:val="auto"/>
        </w:rPr>
      </w:pPr>
      <w:r>
        <w:rPr>
          <w:rFonts w:ascii="Arial" w:cs="Arial" w:eastAsia="Arial" w:hAnsi="Arial"/>
          <w:sz w:val="16"/>
          <w:szCs w:val="16"/>
          <w:color w:val="auto"/>
        </w:rPr>
        <w:t>In March 2016, the Financial Accounting Standards Board (the "FASB") issued amendments to the current guidance on accounting for stock-based compensation issued to employees which is contained in ASC Topic 718 (Compensation - Stock Compensation). The new guidance simplifies several aspects of the accounting for share-based payment transactions, including the income tax consequences, classification of awards as either equity or liabilities, and classification on the statement of cash flows. The amendments were effective for us as of January 1, 2017. The implementation of these amendments did not have a material impact on our consolidated financial statements.</w:t>
      </w:r>
    </w:p>
    <w:p>
      <w:pPr>
        <w:spacing w:after="0" w:line="170"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were effective for us as of January 1, 2017. The implementation of these amendments did not have a material impact on our consolidated financial statements.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80"/>
        <w:spacing w:after="0" w:line="318" w:lineRule="auto"/>
        <w:rPr>
          <w:sz w:val="20"/>
          <w:szCs w:val="20"/>
          <w:color w:val="auto"/>
        </w:rPr>
      </w:pPr>
      <w:r>
        <w:rPr>
          <w:rFonts w:ascii="Arial" w:cs="Arial" w:eastAsia="Arial" w:hAnsi="Arial"/>
          <w:sz w:val="15"/>
          <w:szCs w:val="15"/>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 amendments to have a material impact on our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40"/>
        <w:spacing w:after="0" w:line="256"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are effective for us as of January 1, 2018, with early application permitted. We do not expect the implementation of these amendments to have a material impact on our consolidated financial statements.</w:t>
      </w:r>
    </w:p>
    <w:p>
      <w:pPr>
        <w:spacing w:after="0" w:line="197"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are effective for us as of January 1, 2018, and are to be applied retrospectively. Early application is permitted. We do not expect the implementation of these amendments to have a material impact on our consolidated financial statements.</w:t>
      </w:r>
    </w:p>
    <w:p>
      <w:pPr>
        <w:spacing w:after="0" w:line="197"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has issued 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as of January 1, 2018. Early application is only permitted as of the prior effective date, which in our case would be as of January 1, 2017. We currently plan to implement this new guidance on January 1, 2018 with a cumulative adjustment to</w:t>
      </w:r>
    </w:p>
    <w:p>
      <w:pPr>
        <w:sectPr>
          <w:pgSz w:w="11900" w:h="16864" w:orient="portrait"/>
          <w:cols w:equalWidth="0" w:num="1">
            <w:col w:w="11420"/>
          </w:cols>
          <w:pgMar w:left="240" w:top="347" w:right="239" w:bottom="0" w:gutter="0" w:footer="0" w:header="0"/>
        </w:sectPr>
      </w:pPr>
    </w:p>
    <w:bookmarkStart w:id="8" w:name="page9"/>
    <w:bookmarkEnd w:id="8"/>
    <w:p>
      <w:pPr>
        <w:ind w:left="540"/>
        <w:spacing w:after="0" w:line="298" w:lineRule="auto"/>
        <w:rPr>
          <w:sz w:val="20"/>
          <w:szCs w:val="20"/>
          <w:color w:val="auto"/>
        </w:rPr>
      </w:pPr>
      <w:r>
        <w:rPr>
          <w:rFonts w:ascii="Arial" w:cs="Arial" w:eastAsia="Arial" w:hAnsi="Arial"/>
          <w:sz w:val="16"/>
          <w:szCs w:val="16"/>
          <w:color w:val="auto"/>
        </w:rPr>
        <w:t>retained earnings as opposed to retrospectively adjusting prior periods. During the fourth quarter of 2016, we completed a preliminary review of all our revenue streams to identify any differences in timing, measurement or presentation of revenue recognition. Our implementation process is ongoing; however, based on the results of our assessment to date, we currently do not expect the implementation of this new guidance to have a significant impact on the timing or amount of revenue we recognize in any given period in comparison to the amount recognized under current guidance.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7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All of our goodwill is allocated to our iTS product segment. There was no change in the amount of the carrying value of goodwill for the three months ended March 31, 2017.</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further detail about our intangible assets as of March 31, 2017 and December 31, 2016:</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i w:val="1"/>
                <w:iCs w:val="1"/>
                <w:color w:val="auto"/>
                <w:w w:val="98"/>
              </w:rPr>
              <w:t>March 31, 2017</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i w:val="1"/>
                <w:iCs w:val="1"/>
                <w:color w:val="auto"/>
                <w:w w:val="83"/>
              </w:rPr>
              <w:t>Gross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w w:val="70"/>
              </w:rPr>
              <w:t>Net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60" w:type="dxa"/>
            <w:vAlign w:val="bottom"/>
            <w:gridSpan w:val="6"/>
          </w:tcPr>
          <w:p>
            <w:pPr>
              <w:jc w:val="center"/>
              <w:ind w:left="137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14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66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2160" w:type="dxa"/>
            <w:vAlign w:val="bottom"/>
            <w:gridSpan w:val="6"/>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140" w:type="dxa"/>
            <w:vAlign w:val="bottom"/>
            <w:gridSpan w:val="4"/>
          </w:tcPr>
          <w:p>
            <w:pPr>
              <w:jc w:val="right"/>
              <w:ind w:right="26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60" w:type="dxa"/>
            <w:vAlign w:val="bottom"/>
          </w:tcPr>
          <w:p>
            <w:pPr>
              <w:spacing w:after="0"/>
              <w:rPr>
                <w:sz w:val="12"/>
                <w:szCs w:val="12"/>
                <w:color w:val="auto"/>
              </w:rPr>
            </w:pPr>
          </w:p>
        </w:tc>
        <w:tc>
          <w:tcPr>
            <w:tcW w:w="600" w:type="dxa"/>
            <w:vAlign w:val="bottom"/>
            <w:gridSpan w:val="7"/>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$1,365</w:t>
            </w:r>
          </w:p>
        </w:tc>
        <w:tc>
          <w:tcPr>
            <w:tcW w:w="260" w:type="dxa"/>
            <w:vAlign w:val="bottom"/>
          </w:tcPr>
          <w:p>
            <w:pPr>
              <w:spacing w:after="0"/>
              <w:rPr>
                <w:sz w:val="21"/>
                <w:szCs w:val="21"/>
                <w:color w:val="auto"/>
              </w:rPr>
            </w:pPr>
          </w:p>
        </w:tc>
        <w:tc>
          <w:tcPr>
            <w:tcW w:w="36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115</w:t>
            </w: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156</w:t>
            </w: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5"/>
        </w:trPr>
        <w:tc>
          <w:tcPr>
            <w:tcW w:w="3940" w:type="dxa"/>
            <w:vAlign w:val="bottom"/>
          </w:tcPr>
          <w:p>
            <w:pPr>
              <w:ind w:left="140"/>
              <w:spacing w:after="0" w:line="205" w:lineRule="exact"/>
              <w:rPr>
                <w:sz w:val="20"/>
                <w:szCs w:val="20"/>
                <w:color w:val="auto"/>
              </w:rPr>
            </w:pPr>
            <w:r>
              <w:rPr>
                <w:rFonts w:ascii="Arial" w:cs="Arial" w:eastAsia="Arial" w:hAnsi="Arial"/>
                <w:sz w:val="18"/>
                <w:szCs w:val="18"/>
                <w:color w:val="auto"/>
              </w:rPr>
              <w:t>Trade name</w:t>
            </w:r>
          </w:p>
        </w:tc>
        <w:tc>
          <w:tcPr>
            <w:tcW w:w="168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420" w:type="dxa"/>
            <w:vAlign w:val="bottom"/>
            <w:gridSpan w:val="2"/>
          </w:tcPr>
          <w:p>
            <w:pPr>
              <w:spacing w:after="0"/>
              <w:rPr>
                <w:sz w:val="17"/>
                <w:szCs w:val="17"/>
                <w:color w:val="auto"/>
              </w:rPr>
            </w:pPr>
          </w:p>
        </w:tc>
        <w:tc>
          <w:tcPr>
            <w:tcW w:w="4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2,168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312</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40"/>
              <w:spacing w:after="0" w:line="205" w:lineRule="exact"/>
              <w:rPr>
                <w:sz w:val="20"/>
                <w:szCs w:val="20"/>
                <w:color w:val="auto"/>
              </w:rPr>
            </w:pPr>
            <w:r>
              <w:rPr>
                <w:rFonts w:ascii="Arial" w:cs="Arial" w:eastAsia="Arial" w:hAnsi="Arial"/>
                <w:sz w:val="18"/>
                <w:szCs w:val="18"/>
                <w:color w:val="auto"/>
              </w:rPr>
              <w:t>Sigma trademark</w:t>
            </w:r>
          </w:p>
        </w:tc>
        <w:tc>
          <w:tcPr>
            <w:tcW w:w="1680" w:type="dxa"/>
            <w:vAlign w:val="bottom"/>
            <w:gridSpan w:val="2"/>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420" w:type="dxa"/>
            <w:vAlign w:val="bottom"/>
            <w:gridSpan w:val="2"/>
          </w:tcPr>
          <w:p>
            <w:pPr>
              <w:spacing w:after="0"/>
              <w:rPr>
                <w:sz w:val="17"/>
                <w:szCs w:val="17"/>
                <w:color w:val="auto"/>
              </w:rPr>
            </w:pPr>
          </w:p>
        </w:tc>
        <w:tc>
          <w:tcPr>
            <w:tcW w:w="72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79"/>
              </w:rPr>
              <w:t>510</w:t>
            </w:r>
          </w:p>
        </w:tc>
      </w:tr>
      <w:tr>
        <w:trPr>
          <w:trHeight w:val="20"/>
        </w:trPr>
        <w:tc>
          <w:tcPr>
            <w:tcW w:w="3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2,168</w:t>
            </w:r>
          </w:p>
        </w:tc>
        <w:tc>
          <w:tcPr>
            <w:tcW w:w="260" w:type="dxa"/>
            <w:vAlign w:val="bottom"/>
          </w:tcPr>
          <w:p>
            <w:pPr>
              <w:spacing w:after="0"/>
              <w:rPr>
                <w:sz w:val="19"/>
                <w:szCs w:val="19"/>
                <w:color w:val="auto"/>
              </w:rPr>
            </w:pPr>
          </w:p>
        </w:tc>
        <w:tc>
          <w:tcPr>
            <w:tcW w:w="36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822</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763"/>
        </w:trPr>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i w:val="1"/>
                <w:iCs w:val="1"/>
                <w:color w:val="auto"/>
                <w:w w:val="84"/>
              </w:rPr>
              <w:t>December 31, 2016</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i w:val="1"/>
                <w:iCs w:val="1"/>
                <w:color w:val="auto"/>
                <w:w w:val="83"/>
              </w:rPr>
              <w:t>Gross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w w:val="70"/>
              </w:rPr>
              <w:t>Net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60" w:type="dxa"/>
            <w:vAlign w:val="bottom"/>
            <w:gridSpan w:val="6"/>
          </w:tcPr>
          <w:p>
            <w:pPr>
              <w:jc w:val="center"/>
              <w:ind w:left="137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14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66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2160" w:type="dxa"/>
            <w:vAlign w:val="bottom"/>
            <w:gridSpan w:val="6"/>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140" w:type="dxa"/>
            <w:vAlign w:val="bottom"/>
            <w:gridSpan w:val="4"/>
          </w:tcPr>
          <w:p>
            <w:pPr>
              <w:jc w:val="right"/>
              <w:ind w:right="26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60" w:type="dxa"/>
            <w:vAlign w:val="bottom"/>
          </w:tcPr>
          <w:p>
            <w:pPr>
              <w:spacing w:after="0"/>
              <w:rPr>
                <w:sz w:val="12"/>
                <w:szCs w:val="12"/>
                <w:color w:val="auto"/>
              </w:rPr>
            </w:pPr>
          </w:p>
        </w:tc>
        <w:tc>
          <w:tcPr>
            <w:tcW w:w="600" w:type="dxa"/>
            <w:vAlign w:val="bottom"/>
            <w:gridSpan w:val="7"/>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21"/>
                <w:szCs w:val="21"/>
                <w:color w:val="auto"/>
              </w:rPr>
            </w:pPr>
          </w:p>
        </w:tc>
        <w:tc>
          <w:tcPr>
            <w:tcW w:w="36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152</w:t>
            </w: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166</w:t>
            </w:r>
          </w:p>
        </w:tc>
      </w:tr>
      <w:tr>
        <w:trPr>
          <w:trHeight w:val="243"/>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05"/>
        </w:trPr>
        <w:tc>
          <w:tcPr>
            <w:tcW w:w="3940" w:type="dxa"/>
            <w:vAlign w:val="bottom"/>
          </w:tcPr>
          <w:p>
            <w:pPr>
              <w:ind w:left="140"/>
              <w:spacing w:after="0" w:line="205" w:lineRule="exact"/>
              <w:rPr>
                <w:sz w:val="20"/>
                <w:szCs w:val="20"/>
                <w:color w:val="auto"/>
              </w:rPr>
            </w:pPr>
            <w:r>
              <w:rPr>
                <w:rFonts w:ascii="Arial" w:cs="Arial" w:eastAsia="Arial" w:hAnsi="Arial"/>
                <w:sz w:val="18"/>
                <w:szCs w:val="18"/>
                <w:color w:val="auto"/>
              </w:rPr>
              <w:t>Trade name</w:t>
            </w:r>
          </w:p>
        </w:tc>
        <w:tc>
          <w:tcPr>
            <w:tcW w:w="168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420" w:type="dxa"/>
            <w:vAlign w:val="bottom"/>
            <w:gridSpan w:val="2"/>
          </w:tcPr>
          <w:p>
            <w:pPr>
              <w:spacing w:after="0"/>
              <w:rPr>
                <w:sz w:val="17"/>
                <w:szCs w:val="17"/>
                <w:color w:val="auto"/>
              </w:rPr>
            </w:pPr>
          </w:p>
        </w:tc>
        <w:tc>
          <w:tcPr>
            <w:tcW w:w="4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6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365</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40"/>
              <w:spacing w:after="0" w:line="205" w:lineRule="exact"/>
              <w:rPr>
                <w:sz w:val="20"/>
                <w:szCs w:val="20"/>
                <w:color w:val="auto"/>
              </w:rPr>
            </w:pPr>
            <w:r>
              <w:rPr>
                <w:rFonts w:ascii="Arial" w:cs="Arial" w:eastAsia="Arial" w:hAnsi="Arial"/>
                <w:sz w:val="18"/>
                <w:szCs w:val="18"/>
                <w:color w:val="auto"/>
              </w:rPr>
              <w:t>Sigma trademark</w:t>
            </w:r>
          </w:p>
        </w:tc>
        <w:tc>
          <w:tcPr>
            <w:tcW w:w="1680" w:type="dxa"/>
            <w:vAlign w:val="bottom"/>
            <w:gridSpan w:val="2"/>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420" w:type="dxa"/>
            <w:vAlign w:val="bottom"/>
            <w:gridSpan w:val="2"/>
          </w:tcPr>
          <w:p>
            <w:pPr>
              <w:spacing w:after="0"/>
              <w:rPr>
                <w:sz w:val="17"/>
                <w:szCs w:val="17"/>
                <w:color w:val="auto"/>
              </w:rPr>
            </w:pPr>
          </w:p>
        </w:tc>
        <w:tc>
          <w:tcPr>
            <w:tcW w:w="72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79"/>
              </w:rPr>
              <w:t>510</w:t>
            </w:r>
          </w:p>
        </w:tc>
      </w:tr>
      <w:tr>
        <w:trPr>
          <w:trHeight w:val="20"/>
        </w:trPr>
        <w:tc>
          <w:tcPr>
            <w:tcW w:w="3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w:t>
            </w:r>
          </w:p>
        </w:tc>
        <w:tc>
          <w:tcPr>
            <w:tcW w:w="36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875</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Total amortization expense for the three months ended March 31, 2017 and 2016 was $53 and $59,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34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2017 (remainder)</w:t>
            </w:r>
          </w:p>
        </w:tc>
        <w:tc>
          <w:tcPr>
            <w:tcW w:w="24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2018</w:t>
            </w:r>
          </w:p>
        </w:tc>
        <w:tc>
          <w:tcPr>
            <w:tcW w:w="2460" w:type="dxa"/>
            <w:vAlign w:val="bottom"/>
          </w:tcPr>
          <w:p>
            <w:pPr>
              <w:jc w:val="right"/>
              <w:spacing w:after="0"/>
              <w:rPr>
                <w:sz w:val="20"/>
                <w:szCs w:val="20"/>
                <w:color w:val="auto"/>
              </w:rPr>
            </w:pPr>
            <w:r>
              <w:rPr>
                <w:rFonts w:ascii="Arial" w:cs="Arial" w:eastAsia="Arial" w:hAnsi="Arial"/>
                <w:sz w:val="18"/>
                <w:szCs w:val="18"/>
                <w:color w:val="auto"/>
              </w:rPr>
              <w:t>$ 65</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2019</w:t>
            </w:r>
          </w:p>
        </w:tc>
        <w:tc>
          <w:tcPr>
            <w:tcW w:w="2460" w:type="dxa"/>
            <w:vAlign w:val="bottom"/>
          </w:tcPr>
          <w:p>
            <w:pPr>
              <w:jc w:val="right"/>
              <w:spacing w:after="0"/>
              <w:rPr>
                <w:sz w:val="20"/>
                <w:szCs w:val="20"/>
                <w:color w:val="auto"/>
              </w:rPr>
            </w:pPr>
            <w:r>
              <w:rPr>
                <w:rFonts w:ascii="Arial" w:cs="Arial" w:eastAsia="Arial" w:hAnsi="Arial"/>
                <w:sz w:val="18"/>
                <w:szCs w:val="18"/>
                <w:color w:val="auto"/>
              </w:rPr>
              <w:t>$ 39</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419"/>
        </w:trPr>
        <w:tc>
          <w:tcPr>
            <w:tcW w:w="3320" w:type="dxa"/>
            <w:vAlign w:val="bottom"/>
          </w:tcPr>
          <w:p>
            <w:pPr>
              <w:spacing w:after="0"/>
              <w:rPr>
                <w:sz w:val="20"/>
                <w:szCs w:val="20"/>
                <w:color w:val="auto"/>
              </w:rPr>
            </w:pPr>
            <w:r>
              <w:rPr>
                <w:rFonts w:ascii="Arial" w:cs="Arial" w:eastAsia="Arial" w:hAnsi="Arial"/>
                <w:sz w:val="18"/>
                <w:szCs w:val="18"/>
                <w:color w:val="auto"/>
              </w:rPr>
              <w:t>2021</w:t>
            </w:r>
          </w:p>
        </w:tc>
        <w:tc>
          <w:tcPr>
            <w:tcW w:w="2460" w:type="dxa"/>
            <w:vAlign w:val="bottom"/>
          </w:tcPr>
          <w:p>
            <w:pPr>
              <w:jc w:val="right"/>
              <w:spacing w:after="0"/>
              <w:rPr>
                <w:sz w:val="20"/>
                <w:szCs w:val="20"/>
                <w:color w:val="auto"/>
              </w:rPr>
            </w:pPr>
            <w:r>
              <w:rPr>
                <w:rFonts w:ascii="Arial" w:cs="Arial" w:eastAsia="Arial" w:hAnsi="Arial"/>
                <w:sz w:val="18"/>
                <w:szCs w:val="18"/>
                <w:color w:val="auto"/>
              </w:rPr>
              <w:t>$ 15</w:t>
            </w:r>
          </w:p>
        </w:tc>
      </w:tr>
    </w:tbl>
    <w:p>
      <w:pPr>
        <w:sectPr>
          <w:pgSz w:w="11900" w:h="16838" w:orient="portrait"/>
          <w:cols w:equalWidth="0" w:num="1">
            <w:col w:w="11280"/>
          </w:cols>
          <w:pgMar w:left="240" w:top="131" w:right="37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During the three months ended March 31, 2017, Texas Instruments Incorporated accounted for 13% of our consolidated net revenues. While both of our product segments sold to this customer, these revenues were primarily generated by our EMS product segment. During the three months ended March 31, 2017 and 2016, Hakuto Co., Ltd., one of our distributors, accounted for 13% and 15% of our consolidated net revenues, respectively. These revenues were generated by our iTS product segment. No other customers accounted for 10% or more of our consolidated net revenues during the three months ended March 31, 2017 and 2016.</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2017 and December 31, 2016 were comprised of the following:</w:t>
      </w:r>
    </w:p>
    <w:p>
      <w:pPr>
        <w:spacing w:after="0" w:line="224"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60" w:type="dxa"/>
            <w:vAlign w:val="bottom"/>
            <w:gridSpan w:val="4"/>
          </w:tcPr>
          <w:p>
            <w:pPr>
              <w:jc w:val="center"/>
              <w:ind w:right="300"/>
              <w:spacing w:after="0"/>
              <w:rPr>
                <w:sz w:val="20"/>
                <w:szCs w:val="20"/>
                <w:color w:val="auto"/>
              </w:rPr>
            </w:pPr>
            <w:r>
              <w:rPr>
                <w:rFonts w:ascii="Arial" w:cs="Arial" w:eastAsia="Arial" w:hAnsi="Arial"/>
                <w:sz w:val="14"/>
                <w:szCs w:val="14"/>
                <w:b w:val="1"/>
                <w:bCs w:val="1"/>
                <w:i w:val="1"/>
                <w:iCs w:val="1"/>
                <w:color w:val="auto"/>
                <w:w w:val="88"/>
              </w:rPr>
              <w:t>Mar. 31,</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45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60" w:type="dxa"/>
            <w:vAlign w:val="bottom"/>
          </w:tcPr>
          <w:p>
            <w:pPr>
              <w:spacing w:after="0"/>
              <w:rPr>
                <w:sz w:val="12"/>
                <w:szCs w:val="12"/>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$2,576</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$2,695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728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81</w:t>
            </w:r>
          </w:p>
        </w:tc>
      </w:tr>
      <w:tr>
        <w:trPr>
          <w:trHeight w:val="205"/>
        </w:trPr>
        <w:tc>
          <w:tcPr>
            <w:tcW w:w="454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374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172</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inventories</w:t>
            </w: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3,921</w:t>
            </w:r>
          </w:p>
        </w:tc>
        <w:tc>
          <w:tcPr>
            <w:tcW w:w="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3,676</w:t>
            </w:r>
          </w:p>
        </w:tc>
      </w:tr>
      <w:tr>
        <w:trPr>
          <w:trHeight w:val="20"/>
        </w:trPr>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2017 and December 31, 2016 consisted of the following:</w:t>
      </w:r>
    </w:p>
    <w:p>
      <w:pPr>
        <w:spacing w:after="0" w:line="19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6"/>
          </w:tcPr>
          <w:p>
            <w:pPr>
              <w:jc w:val="right"/>
              <w:ind w:right="320"/>
              <w:spacing w:after="0"/>
              <w:rPr>
                <w:sz w:val="20"/>
                <w:szCs w:val="20"/>
                <w:color w:val="auto"/>
              </w:rPr>
            </w:pPr>
            <w:r>
              <w:rPr>
                <w:rFonts w:ascii="Arial" w:cs="Arial" w:eastAsia="Arial" w:hAnsi="Arial"/>
                <w:sz w:val="14"/>
                <w:szCs w:val="14"/>
                <w:b w:val="1"/>
                <w:bCs w:val="1"/>
                <w:i w:val="1"/>
                <w:iCs w:val="1"/>
                <w:color w:val="auto"/>
                <w:w w:val="90"/>
              </w:rPr>
              <w:t>Letters of Credit</w:t>
            </w:r>
          </w:p>
        </w:tc>
      </w:tr>
      <w:tr>
        <w:trPr>
          <w:trHeight w:val="146"/>
        </w:trPr>
        <w:tc>
          <w:tcPr>
            <w:tcW w:w="2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300" w:type="dxa"/>
            <w:vAlign w:val="bottom"/>
          </w:tcPr>
          <w:p>
            <w:pPr>
              <w:spacing w:after="0"/>
              <w:rPr>
                <w:sz w:val="12"/>
                <w:szCs w:val="12"/>
                <w:color w:val="auto"/>
              </w:rPr>
            </w:pPr>
          </w:p>
        </w:tc>
        <w:tc>
          <w:tcPr>
            <w:tcW w:w="1120" w:type="dxa"/>
            <w:vAlign w:val="bottom"/>
            <w:gridSpan w:val="2"/>
          </w:tcPr>
          <w:p>
            <w:pPr>
              <w:jc w:val="center"/>
              <w:ind w:right="60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60" w:type="dxa"/>
            <w:vAlign w:val="bottom"/>
          </w:tcPr>
          <w:p>
            <w:pPr>
              <w:spacing w:after="0"/>
              <w:rPr>
                <w:sz w:val="12"/>
                <w:szCs w:val="12"/>
                <w:color w:val="auto"/>
              </w:rPr>
            </w:pPr>
          </w:p>
        </w:tc>
        <w:tc>
          <w:tcPr>
            <w:tcW w:w="1320" w:type="dxa"/>
            <w:vAlign w:val="bottom"/>
            <w:tcBorders>
              <w:bottom w:val="single" w:sz="8" w:color="auto"/>
            </w:tcBorders>
            <w:gridSpan w:val="5"/>
          </w:tcPr>
          <w:p>
            <w:pPr>
              <w:jc w:val="right"/>
              <w:spacing w:after="0" w:line="146" w:lineRule="exact"/>
              <w:rPr>
                <w:sz w:val="20"/>
                <w:szCs w:val="20"/>
                <w:color w:val="auto"/>
              </w:rPr>
            </w:pPr>
            <w:r>
              <w:rPr>
                <w:rFonts w:ascii="Arial" w:cs="Arial" w:eastAsia="Arial" w:hAnsi="Arial"/>
                <w:sz w:val="14"/>
                <w:szCs w:val="14"/>
                <w:b w:val="1"/>
                <w:bCs w:val="1"/>
                <w:i w:val="1"/>
                <w:iCs w:val="1"/>
                <w:color w:val="auto"/>
                <w:w w:val="87"/>
              </w:rPr>
              <w:t>Amount Outstanding</w:t>
            </w:r>
          </w:p>
        </w:tc>
        <w:tc>
          <w:tcPr>
            <w:tcW w:w="120" w:type="dxa"/>
            <w:vAlign w:val="bottom"/>
            <w:gridSpan w:val="2"/>
          </w:tcPr>
          <w:p>
            <w:pPr>
              <w:spacing w:after="0"/>
              <w:rPr>
                <w:sz w:val="12"/>
                <w:szCs w:val="12"/>
                <w:color w:val="auto"/>
              </w:rPr>
            </w:pPr>
          </w:p>
        </w:tc>
      </w:tr>
      <w:tr>
        <w:trPr>
          <w:trHeight w:val="158"/>
        </w:trPr>
        <w:tc>
          <w:tcPr>
            <w:tcW w:w="2240" w:type="dxa"/>
            <w:vAlign w:val="bottom"/>
          </w:tcPr>
          <w:p>
            <w:pPr>
              <w:spacing w:after="0"/>
              <w:rPr>
                <w:sz w:val="13"/>
                <w:szCs w:val="13"/>
                <w:color w:val="auto"/>
              </w:rPr>
            </w:pPr>
          </w:p>
        </w:tc>
        <w:tc>
          <w:tcPr>
            <w:tcW w:w="216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2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420" w:type="dxa"/>
            <w:vAlign w:val="bottom"/>
            <w:gridSpan w:val="3"/>
          </w:tcPr>
          <w:p>
            <w:pPr>
              <w:ind w:left="260"/>
              <w:spacing w:after="0" w:line="158" w:lineRule="exact"/>
              <w:rPr>
                <w:sz w:val="20"/>
                <w:szCs w:val="20"/>
                <w:color w:val="auto"/>
              </w:rPr>
            </w:pPr>
            <w:r>
              <w:rPr>
                <w:rFonts w:ascii="Arial" w:cs="Arial" w:eastAsia="Arial" w:hAnsi="Arial"/>
                <w:sz w:val="14"/>
                <w:szCs w:val="14"/>
                <w:b w:val="1"/>
                <w:bCs w:val="1"/>
                <w:i w:val="1"/>
                <w:iCs w:val="1"/>
                <w:color w:val="auto"/>
              </w:rPr>
              <w:t>Expiration</w:t>
            </w:r>
          </w:p>
        </w:tc>
        <w:tc>
          <w:tcPr>
            <w:tcW w:w="96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i w:val="1"/>
                <w:iCs w:val="1"/>
                <w:color w:val="auto"/>
                <w:w w:val="88"/>
              </w:rPr>
              <w:t>Mar. 31,</w:t>
            </w:r>
          </w:p>
        </w:tc>
        <w:tc>
          <w:tcPr>
            <w:tcW w:w="540" w:type="dxa"/>
            <w:vAlign w:val="bottom"/>
            <w:gridSpan w:val="4"/>
          </w:tcPr>
          <w:p>
            <w:pPr>
              <w:jc w:val="right"/>
              <w:ind w:right="8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80" w:type="dxa"/>
            <w:vAlign w:val="bottom"/>
            <w:gridSpan w:val="2"/>
          </w:tcPr>
          <w:p>
            <w:pPr>
              <w:jc w:val="right"/>
              <w:ind w:right="30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320" w:type="dxa"/>
            <w:vAlign w:val="bottom"/>
          </w:tcPr>
          <w:p>
            <w:pPr>
              <w:spacing w:after="0"/>
              <w:rPr>
                <w:sz w:val="12"/>
                <w:szCs w:val="12"/>
                <w:color w:val="auto"/>
              </w:rPr>
            </w:pPr>
          </w:p>
        </w:tc>
        <w:tc>
          <w:tcPr>
            <w:tcW w:w="94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00" w:type="dxa"/>
            <w:vAlign w:val="bottom"/>
          </w:tcPr>
          <w:p>
            <w:pPr>
              <w:spacing w:after="0"/>
              <w:rPr>
                <w:sz w:val="12"/>
                <w:szCs w:val="12"/>
                <w:color w:val="auto"/>
              </w:rPr>
            </w:pPr>
          </w:p>
        </w:tc>
        <w:tc>
          <w:tcPr>
            <w:tcW w:w="1120" w:type="dxa"/>
            <w:vAlign w:val="bottom"/>
            <w:gridSpan w:val="2"/>
          </w:tcPr>
          <w:p>
            <w:pPr>
              <w:jc w:val="center"/>
              <w:ind w:right="6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460" w:type="dxa"/>
            <w:vAlign w:val="bottom"/>
            <w:gridSpan w:val="3"/>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500" w:type="dxa"/>
            <w:vAlign w:val="bottom"/>
          </w:tcPr>
          <w:p>
            <w:pPr>
              <w:spacing w:after="0"/>
              <w:rPr>
                <w:sz w:val="12"/>
                <w:szCs w:val="12"/>
                <w:color w:val="auto"/>
              </w:rPr>
            </w:pPr>
          </w:p>
        </w:tc>
        <w:tc>
          <w:tcPr>
            <w:tcW w:w="420" w:type="dxa"/>
            <w:vAlign w:val="bottom"/>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8"/>
                <w:szCs w:val="18"/>
                <w:color w:val="auto"/>
              </w:rPr>
              <w:t>Mt. Laurel, NJ</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3/29/2010</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3/31/2018</w:t>
            </w:r>
          </w:p>
        </w:tc>
        <w:tc>
          <w:tcPr>
            <w:tcW w:w="1420" w:type="dxa"/>
            <w:vAlign w:val="bottom"/>
            <w:gridSpan w:val="3"/>
          </w:tcPr>
          <w:p>
            <w:pPr>
              <w:ind w:left="280"/>
              <w:spacing w:after="0"/>
              <w:rPr>
                <w:sz w:val="20"/>
                <w:szCs w:val="20"/>
                <w:color w:val="auto"/>
              </w:rPr>
            </w:pPr>
            <w:r>
              <w:rPr>
                <w:rFonts w:ascii="Arial" w:cs="Arial" w:eastAsia="Arial" w:hAnsi="Arial"/>
                <w:sz w:val="18"/>
                <w:szCs w:val="18"/>
                <w:color w:val="auto"/>
              </w:rPr>
              <w:t>4/30/2021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20"/>
                <w:szCs w:val="20"/>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$125</w:t>
            </w:r>
          </w:p>
        </w:tc>
      </w:tr>
      <w:tr>
        <w:trPr>
          <w:trHeight w:val="205"/>
        </w:trPr>
        <w:tc>
          <w:tcPr>
            <w:tcW w:w="224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160" w:type="dxa"/>
            <w:vAlign w:val="bottom"/>
            <w:gridSpan w:val="3"/>
          </w:tcPr>
          <w:p>
            <w:pPr>
              <w:jc w:val="right"/>
              <w:ind w:right="220"/>
              <w:spacing w:after="0" w:line="205" w:lineRule="exact"/>
              <w:rPr>
                <w:sz w:val="20"/>
                <w:szCs w:val="20"/>
                <w:color w:val="auto"/>
              </w:rPr>
            </w:pPr>
            <w:r>
              <w:rPr>
                <w:rFonts w:ascii="Arial" w:cs="Arial" w:eastAsia="Arial" w:hAnsi="Arial"/>
                <w:sz w:val="18"/>
                <w:szCs w:val="18"/>
                <w:color w:val="auto"/>
              </w:rPr>
              <w:t>10/27/2010</w:t>
            </w:r>
          </w:p>
        </w:tc>
        <w:tc>
          <w:tcPr>
            <w:tcW w:w="1260" w:type="dxa"/>
            <w:vAlign w:val="bottom"/>
            <w:gridSpan w:val="3"/>
          </w:tcPr>
          <w:p>
            <w:pPr>
              <w:jc w:val="right"/>
              <w:ind w:right="240"/>
              <w:spacing w:after="0" w:line="205" w:lineRule="exact"/>
              <w:rPr>
                <w:sz w:val="20"/>
                <w:szCs w:val="20"/>
                <w:color w:val="auto"/>
              </w:rPr>
            </w:pPr>
            <w:r>
              <w:rPr>
                <w:rFonts w:ascii="Arial" w:cs="Arial" w:eastAsia="Arial" w:hAnsi="Arial"/>
                <w:sz w:val="18"/>
                <w:szCs w:val="18"/>
                <w:color w:val="auto"/>
              </w:rPr>
              <w:t>11/08/2017</w:t>
            </w:r>
          </w:p>
        </w:tc>
        <w:tc>
          <w:tcPr>
            <w:tcW w:w="1420" w:type="dxa"/>
            <w:vAlign w:val="bottom"/>
            <w:gridSpan w:val="3"/>
          </w:tcPr>
          <w:p>
            <w:pPr>
              <w:ind w:left="280"/>
              <w:spacing w:after="0" w:line="205" w:lineRule="exact"/>
              <w:rPr>
                <w:sz w:val="20"/>
                <w:szCs w:val="20"/>
                <w:color w:val="auto"/>
              </w:rPr>
            </w:pPr>
            <w:r>
              <w:rPr>
                <w:rFonts w:ascii="Arial" w:cs="Arial" w:eastAsia="Arial" w:hAnsi="Arial"/>
                <w:sz w:val="18"/>
                <w:szCs w:val="18"/>
                <w:color w:val="auto"/>
              </w:rPr>
              <w:t>8/23/2021</w:t>
            </w:r>
          </w:p>
        </w:tc>
        <w:tc>
          <w:tcPr>
            <w:tcW w:w="180" w:type="dxa"/>
            <w:vAlign w:val="bottom"/>
            <w:gridSpan w:val="2"/>
          </w:tcPr>
          <w:p>
            <w:pPr>
              <w:spacing w:after="0"/>
              <w:rPr>
                <w:sz w:val="17"/>
                <w:szCs w:val="17"/>
                <w:color w:val="auto"/>
              </w:rPr>
            </w:pPr>
          </w:p>
        </w:tc>
        <w:tc>
          <w:tcPr>
            <w:tcW w:w="2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50</w:t>
            </w:r>
          </w:p>
        </w:tc>
      </w:tr>
      <w:tr>
        <w:trPr>
          <w:trHeight w:val="223"/>
        </w:trPr>
        <w:tc>
          <w:tcPr>
            <w:tcW w:w="2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c>
          <w:tcPr>
            <w:tcW w:w="50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As of March 31, 2017, we have unvested restricted stock awards and stock options granted under stock-based employee compensation plans that are described more fully in Note 12 to the consolidated financial statements in our 2016 Form 10-K.</w:t>
      </w:r>
    </w:p>
    <w:p>
      <w:pPr>
        <w:spacing w:after="0" w:line="186"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As of March 31, 2017, total unrecognized compensation expense related to unvested restricted stock awards and stock options was $830. The weighted average period over which this expense is expected to be recognized is 3.1 years. The following table shows the allocation of the compensation expense we recorded during the three months ended March 31, 2017 and 2016, respectively, related to stock-based compensation: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STOCK-BASED COMPENSATION </w:t>
      </w:r>
      <w:r>
        <w:rPr>
          <w:rFonts w:ascii="Arial" w:cs="Arial" w:eastAsia="Arial" w:hAnsi="Arial"/>
          <w:sz w:val="18"/>
          <w:szCs w:val="18"/>
          <w:color w:val="auto"/>
        </w:rPr>
        <w:t>(Continued)</w:t>
      </w:r>
    </w:p>
    <w:p>
      <w:pPr>
        <w:spacing w:after="0" w:line="242" w:lineRule="exact"/>
        <w:rPr>
          <w:sz w:val="20"/>
          <w:szCs w:val="20"/>
          <w:color w:val="auto"/>
        </w:rPr>
      </w:pPr>
    </w:p>
    <w:p>
      <w:pPr>
        <w:ind w:left="8380"/>
        <w:spacing w:after="0"/>
        <w:rPr>
          <w:sz w:val="20"/>
          <w:szCs w:val="20"/>
          <w:color w:val="auto"/>
        </w:rPr>
      </w:pPr>
      <w:r>
        <w:rPr>
          <w:rFonts w:ascii="Arial" w:cs="Arial" w:eastAsia="Arial" w:hAnsi="Arial"/>
          <w:sz w:val="14"/>
          <w:szCs w:val="14"/>
          <w:b w:val="1"/>
          <w:bCs w:val="1"/>
          <w:i w:val="1"/>
          <w:iCs w:val="1"/>
          <w:color w:val="auto"/>
        </w:rPr>
        <w:t>Three Months Ended</w:t>
      </w:r>
    </w:p>
    <w:p>
      <w:pPr>
        <w:ind w:left="868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-16510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tbl>
      <w:tblPr>
        <w:tblLayout w:type="fixed"/>
        <w:tblInd w:w="164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76"/>
              </w:rPr>
              <w:t>2016</w:t>
            </w:r>
          </w:p>
        </w:tc>
        <w:tc>
          <w:tcPr>
            <w:tcW w:w="120" w:type="dxa"/>
            <w:vAlign w:val="bottom"/>
          </w:tcPr>
          <w:p>
            <w:pPr>
              <w:spacing w:after="0"/>
              <w:rPr>
                <w:sz w:val="12"/>
                <w:szCs w:val="12"/>
                <w:color w:val="auto"/>
              </w:rPr>
            </w:pPr>
          </w:p>
        </w:tc>
      </w:t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Cost of revenues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4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$ 3</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Selling expense</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5"/>
        </w:trPr>
        <w:tc>
          <w:tcPr>
            <w:tcW w:w="506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1780" w:type="dxa"/>
            <w:vAlign w:val="bottom"/>
            <w:gridSpan w:val="2"/>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82</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33</w:t>
            </w:r>
          </w:p>
        </w:tc>
      </w:tr>
      <w:tr>
        <w:trPr>
          <w:trHeight w:val="223"/>
        </w:trPr>
        <w:tc>
          <w:tcPr>
            <w:tcW w:w="5060" w:type="dxa"/>
            <w:vAlign w:val="bottom"/>
          </w:tcPr>
          <w:p>
            <w:pPr>
              <w:spacing w:after="0"/>
              <w:rPr>
                <w:sz w:val="19"/>
                <w:szCs w:val="19"/>
                <w:color w:val="auto"/>
              </w:rPr>
            </w:pPr>
          </w:p>
        </w:tc>
        <w:tc>
          <w:tcPr>
            <w:tcW w:w="178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$ 88</w:t>
            </w:r>
          </w:p>
        </w:tc>
        <w:tc>
          <w:tcPr>
            <w:tcW w:w="4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$ 39</w:t>
            </w:r>
          </w:p>
        </w:tc>
      </w:tr>
      <w:tr>
        <w:trPr>
          <w:trHeight w:val="20"/>
        </w:trPr>
        <w:tc>
          <w:tcPr>
            <w:tcW w:w="5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00"/>
          </w:cols>
          <w:pgMar w:left="240" w:top="523" w:right="259" w:bottom="0" w:gutter="0" w:footer="0" w:header="0"/>
        </w:sectPr>
      </w:pPr>
    </w:p>
    <w:bookmarkStart w:id="10" w:name="page11"/>
    <w:bookmarkEnd w:id="10"/>
    <w:p>
      <w:pPr>
        <w:spacing w:after="0" w:line="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stock-based compensation expense capitalized in the three months ended March 31, 2017 or 2016.</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 three of our independent directors which vested 100% upon the re-election of these directors at our annual meeting of stockholders in June 2016. The total compensation expense related to the shares granted in 2016 was $98, and it was recorded upon the re-election of these directors. In March 2017, we granted 22,500 shares of restricted stock to these same directors. These shares vested 25% upon the grant date and will vest an additional 25% at each of June 30, September 30, and December 31, 2017. The total compensation expense related to these shares is $143 and it will be recorded as the shares vest during 2017.</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three months ended March 31, 2017:</w:t>
      </w: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6480" w:type="dxa"/>
            <w:vAlign w:val="bottom"/>
          </w:tcPr>
          <w:p>
            <w:pPr>
              <w:spacing w:after="0"/>
              <w:rPr>
                <w:sz w:val="12"/>
                <w:szCs w:val="12"/>
                <w:color w:val="auto"/>
              </w:rPr>
            </w:pPr>
          </w:p>
        </w:tc>
        <w:tc>
          <w:tcPr>
            <w:tcW w:w="7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6480" w:type="dxa"/>
            <w:vAlign w:val="bottom"/>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c>
          <w:tcPr>
            <w:tcW w:w="20" w:type="dxa"/>
            <w:vAlign w:val="bottom"/>
          </w:tcPr>
          <w:p>
            <w:pPr>
              <w:spacing w:after="0"/>
              <w:rPr>
                <w:sz w:val="12"/>
                <w:szCs w:val="12"/>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Unvested shares outstanding, January 1, 2017</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97,025</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r>
      <w:tr>
        <w:trPr>
          <w:trHeight w:val="243"/>
        </w:trPr>
        <w:tc>
          <w:tcPr>
            <w:tcW w:w="6480" w:type="dxa"/>
            <w:vAlign w:val="bottom"/>
          </w:tcPr>
          <w:p>
            <w:pPr>
              <w:ind w:left="120"/>
              <w:spacing w:after="0"/>
              <w:rPr>
                <w:sz w:val="20"/>
                <w:szCs w:val="20"/>
                <w:color w:val="auto"/>
              </w:rPr>
            </w:pPr>
            <w:r>
              <w:rPr>
                <w:rFonts w:ascii="Arial" w:cs="Arial" w:eastAsia="Arial" w:hAnsi="Arial"/>
                <w:sz w:val="18"/>
                <w:szCs w:val="18"/>
                <w:color w:val="auto"/>
              </w:rPr>
              <w:t>Granted</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21"/>
                <w:szCs w:val="21"/>
                <w:color w:val="auto"/>
              </w:rPr>
            </w:pPr>
          </w:p>
        </w:tc>
      </w:tr>
      <w:tr>
        <w:trPr>
          <w:trHeight w:val="243"/>
        </w:trPr>
        <w:tc>
          <w:tcPr>
            <w:tcW w:w="6480" w:type="dxa"/>
            <w:vAlign w:val="bottom"/>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(20,975)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r>
      <w:tr>
        <w:trPr>
          <w:trHeight w:val="205"/>
        </w:trPr>
        <w:tc>
          <w:tcPr>
            <w:tcW w:w="6480" w:type="dxa"/>
            <w:vAlign w:val="bottom"/>
          </w:tcPr>
          <w:p>
            <w:pPr>
              <w:ind w:left="120"/>
              <w:spacing w:after="0" w:line="205" w:lineRule="exact"/>
              <w:rPr>
                <w:sz w:val="20"/>
                <w:szCs w:val="20"/>
                <w:color w:val="auto"/>
              </w:rPr>
            </w:pPr>
            <w:r>
              <w:rPr>
                <w:rFonts w:ascii="Arial" w:cs="Arial" w:eastAsia="Arial" w:hAnsi="Arial"/>
                <w:sz w:val="18"/>
                <w:szCs w:val="18"/>
                <w:color w:val="auto"/>
              </w:rPr>
              <w:t>Forfeited</w:t>
            </w:r>
          </w:p>
        </w:tc>
        <w:tc>
          <w:tcPr>
            <w:tcW w:w="120" w:type="dxa"/>
            <w:vAlign w:val="bottom"/>
            <w:gridSpan w:val="2"/>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Unvested shares outstanding, March 31, 2017</w:t>
            </w:r>
          </w:p>
        </w:tc>
        <w:tc>
          <w:tcPr>
            <w:tcW w:w="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131,050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9"/>
                <w:szCs w:val="19"/>
                <w:color w:val="auto"/>
              </w:rPr>
            </w:pPr>
          </w:p>
        </w:tc>
      </w:tr>
    </w:tbl>
    <w:p>
      <w:pPr>
        <w:spacing w:after="0" w:line="248"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The total fair value of the shares that vested during the three months ended March 31, 2017 and 2016 was $105 and $22, respectively, as of the vesting dates of these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fair value for stock options granted during the three months ended March 31, 2017 and 2016 was estimated at the date of grant using the Black-</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jc w:val="center"/>
              <w:ind w:left="3232"/>
              <w:spacing w:after="0"/>
              <w:rPr>
                <w:sz w:val="20"/>
                <w:szCs w:val="20"/>
                <w:color w:val="auto"/>
              </w:rPr>
            </w:pPr>
            <w:r>
              <w:rPr>
                <w:rFonts w:ascii="Arial" w:cs="Arial" w:eastAsia="Arial" w:hAnsi="Arial"/>
                <w:sz w:val="18"/>
                <w:szCs w:val="18"/>
                <w:b w:val="1"/>
                <w:bCs w:val="1"/>
                <w:color w:val="auto"/>
                <w:w w:val="96"/>
              </w:rPr>
              <w:t>inTEST CORPORATION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120" w:type="dxa"/>
            <w:vAlign w:val="bottom"/>
          </w:tcPr>
          <w:p>
            <w:pPr>
              <w:jc w:val="center"/>
              <w:ind w:left="32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120" w:type="dxa"/>
            <w:vAlign w:val="bottom"/>
          </w:tcPr>
          <w:p>
            <w:pPr>
              <w:jc w:val="center"/>
              <w:ind w:left="3212"/>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120" w:type="dxa"/>
            <w:vAlign w:val="bottom"/>
          </w:tcPr>
          <w:p>
            <w:pPr>
              <w:jc w:val="center"/>
              <w:ind w:left="3232"/>
              <w:spacing w:after="0"/>
              <w:rPr>
                <w:sz w:val="20"/>
                <w:szCs w:val="20"/>
                <w:color w:val="auto"/>
              </w:rPr>
            </w:pPr>
            <w:r>
              <w:rPr>
                <w:rFonts w:ascii="Arial" w:cs="Arial" w:eastAsia="Arial" w:hAnsi="Arial"/>
                <w:sz w:val="18"/>
                <w:szCs w:val="18"/>
                <w:color w:val="auto"/>
                <w:w w:val="85"/>
              </w:rPr>
              <w:t>(In thousands, except share and per share data)</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08"/>
        </w:trPr>
        <w:tc>
          <w:tcPr>
            <w:tcW w:w="8120" w:type="dxa"/>
            <w:vAlign w:val="bottom"/>
          </w:tcPr>
          <w:p>
            <w:pPr>
              <w:spacing w:after="0"/>
              <w:rPr>
                <w:sz w:val="20"/>
                <w:szCs w:val="20"/>
                <w:color w:val="auto"/>
              </w:rPr>
            </w:pPr>
            <w:r>
              <w:rPr>
                <w:rFonts w:ascii="Arial" w:cs="Arial" w:eastAsia="Arial" w:hAnsi="Arial"/>
                <w:sz w:val="18"/>
                <w:szCs w:val="18"/>
                <w:b w:val="1"/>
                <w:bCs w:val="1"/>
                <w:color w:val="auto"/>
              </w:rPr>
              <w:t xml:space="preserve">(7)  STOCK-BASED COMPENSATION </w:t>
            </w:r>
            <w:r>
              <w:rPr>
                <w:rFonts w:ascii="Arial" w:cs="Arial" w:eastAsia="Arial" w:hAnsi="Arial"/>
                <w:sz w:val="18"/>
                <w:szCs w:val="18"/>
                <w:color w:val="auto"/>
              </w:rPr>
              <w:t>(Continued)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2016</w:t>
            </w:r>
          </w:p>
        </w:tc>
        <w:tc>
          <w:tcPr>
            <w:tcW w:w="120" w:type="dxa"/>
            <w:vAlign w:val="bottom"/>
          </w:tcPr>
          <w:p>
            <w:pPr>
              <w:spacing w:after="0"/>
              <w:rPr>
                <w:sz w:val="24"/>
                <w:szCs w:val="24"/>
                <w:color w:val="auto"/>
              </w:rPr>
            </w:pPr>
          </w:p>
        </w:tc>
      </w:tr>
      <w:tr>
        <w:trPr>
          <w:trHeight w:val="235"/>
        </w:trPr>
        <w:tc>
          <w:tcPr>
            <w:tcW w:w="8120" w:type="dxa"/>
            <w:vAlign w:val="bottom"/>
          </w:tcPr>
          <w:p>
            <w:pPr>
              <w:ind w:left="2200"/>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2.14%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1.30%</w:t>
            </w:r>
          </w:p>
        </w:tc>
      </w:tr>
      <w:tr>
        <w:trPr>
          <w:trHeight w:val="243"/>
        </w:trPr>
        <w:tc>
          <w:tcPr>
            <w:tcW w:w="8120" w:type="dxa"/>
            <w:vAlign w:val="bottom"/>
          </w:tcPr>
          <w:p>
            <w:pPr>
              <w:ind w:left="2200"/>
              <w:spacing w:after="0"/>
              <w:rPr>
                <w:sz w:val="20"/>
                <w:szCs w:val="20"/>
                <w:color w:val="auto"/>
              </w:rPr>
            </w:pPr>
            <w:r>
              <w:rPr>
                <w:rFonts w:ascii="Arial" w:cs="Arial" w:eastAsia="Arial" w:hAnsi="Arial"/>
                <w:sz w:val="18"/>
                <w:szCs w:val="18"/>
                <w:color w:val="auto"/>
              </w:rPr>
              <w:t>Dividend yield</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0.00%</w:t>
            </w:r>
          </w:p>
        </w:tc>
      </w:tr>
      <w:tr>
        <w:trPr>
          <w:trHeight w:val="243"/>
        </w:trPr>
        <w:tc>
          <w:tcPr>
            <w:tcW w:w="8120" w:type="dxa"/>
            <w:vAlign w:val="bottom"/>
          </w:tcPr>
          <w:p>
            <w:pPr>
              <w:ind w:left="2200"/>
              <w:spacing w:after="0"/>
              <w:rPr>
                <w:sz w:val="20"/>
                <w:szCs w:val="20"/>
                <w:color w:val="auto"/>
              </w:rPr>
            </w:pPr>
            <w:r>
              <w:rPr>
                <w:rFonts w:ascii="Arial" w:cs="Arial" w:eastAsia="Arial" w:hAnsi="Arial"/>
                <w:sz w:val="18"/>
                <w:szCs w:val="18"/>
                <w:color w:val="auto"/>
              </w:rPr>
              <w:t>Expected common stock market price volatility factor</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0.39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8120" w:type="dxa"/>
            <w:vAlign w:val="bottom"/>
          </w:tcPr>
          <w:p>
            <w:pPr>
              <w:ind w:left="2200"/>
              <w:spacing w:after="0"/>
              <w:rPr>
                <w:sz w:val="20"/>
                <w:szCs w:val="20"/>
                <w:color w:val="auto"/>
              </w:rPr>
            </w:pPr>
            <w:r>
              <w:rPr>
                <w:rFonts w:ascii="Arial" w:cs="Arial" w:eastAsia="Arial" w:hAnsi="Arial"/>
                <w:sz w:val="18"/>
                <w:szCs w:val="18"/>
                <w:color w:val="auto"/>
              </w:rPr>
              <w:t>Weighted average expected life of stock options (years)</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w:t>
            </w:r>
          </w:p>
        </w:tc>
      </w:tr>
    </w:tbl>
    <w:p>
      <w:pPr>
        <w:spacing w:after="0" w:line="223" w:lineRule="exact"/>
        <w:rPr>
          <w:sz w:val="20"/>
          <w:szCs w:val="20"/>
          <w:color w:val="auto"/>
        </w:rPr>
      </w:pPr>
    </w:p>
    <w:p>
      <w:pPr>
        <w:ind w:left="540" w:right="700"/>
        <w:spacing w:after="0" w:line="268" w:lineRule="auto"/>
        <w:rPr>
          <w:sz w:val="20"/>
          <w:szCs w:val="20"/>
          <w:color w:val="auto"/>
        </w:rPr>
      </w:pPr>
      <w:r>
        <w:rPr>
          <w:rFonts w:ascii="Arial" w:cs="Arial" w:eastAsia="Arial" w:hAnsi="Arial"/>
          <w:sz w:val="18"/>
          <w:szCs w:val="18"/>
          <w:color w:val="auto"/>
        </w:rPr>
        <w:t>The per share weighted average fair value of stock options issued during the three months ended March 31, 2017 and 2016 was $2.64 and $1.43,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2017:</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left="156"/>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71"/>
              </w:rPr>
              <w:t>Number</w:t>
            </w:r>
          </w:p>
        </w:tc>
        <w:tc>
          <w:tcPr>
            <w:tcW w:w="2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Exercise</w:t>
            </w:r>
          </w:p>
        </w:tc>
      </w:tr>
      <w:tr>
        <w:trPr>
          <w:trHeight w:val="146"/>
        </w:trPr>
        <w:tc>
          <w:tcPr>
            <w:tcW w:w="58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i w:val="1"/>
                <w:iCs w:val="1"/>
                <w:color w:val="auto"/>
                <w:w w:val="76"/>
              </w:rPr>
              <w:t>of Shares</w:t>
            </w:r>
          </w:p>
        </w:tc>
        <w:tc>
          <w:tcPr>
            <w:tcW w:w="240" w:type="dxa"/>
            <w:vAlign w:val="bottom"/>
          </w:tcPr>
          <w:p>
            <w:pPr>
              <w:spacing w:after="0"/>
              <w:rPr>
                <w:sz w:val="12"/>
                <w:szCs w:val="12"/>
                <w:color w:val="auto"/>
              </w:rPr>
            </w:pPr>
          </w:p>
        </w:tc>
        <w:tc>
          <w:tcPr>
            <w:tcW w:w="5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7"/>
              </w:rPr>
              <w:t>Price</w:t>
            </w:r>
          </w:p>
        </w:tc>
      </w:tr>
      <w:tr>
        <w:trPr>
          <w:trHeight w:val="20"/>
        </w:trPr>
        <w:tc>
          <w:tcPr>
            <w:tcW w:w="58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Options outstanding, January 1, 2017 (none exercisable)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19,800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$4.37</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96,000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6.35</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Vested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05"/>
        </w:trPr>
        <w:tc>
          <w:tcPr>
            <w:tcW w:w="586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Options outstanding, March 31, 2017 (4,950 exercisable)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115,800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r>
      <w:tr>
        <w:trPr>
          <w:trHeight w:val="20"/>
        </w:trPr>
        <w:tc>
          <w:tcPr>
            <w:tcW w:w="5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 PLAN</w:t>
      </w:r>
    </w:p>
    <w:p>
      <w:pPr>
        <w:spacing w:after="0" w:line="191"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(the "Exchange Act"), or in privately negotiated transactions (the "2015</w:t>
      </w:r>
    </w:p>
    <w:p>
      <w:pPr>
        <w:sectPr>
          <w:pgSz w:w="11900" w:h="16871" w:orient="portrait"/>
          <w:cols w:equalWidth="0" w:num="1">
            <w:col w:w="11400"/>
          </w:cols>
          <w:pgMar w:left="240" w:top="131" w:right="259" w:bottom="0" w:gutter="0" w:footer="0" w:header="0"/>
        </w:sectPr>
      </w:pPr>
    </w:p>
    <w:bookmarkStart w:id="11" w:name="page12"/>
    <w:bookmarkEnd w:id="11"/>
    <w:p>
      <w:pPr>
        <w:ind w:left="540"/>
        <w:spacing w:after="0" w:line="289" w:lineRule="auto"/>
        <w:rPr>
          <w:sz w:val="20"/>
          <w:szCs w:val="20"/>
          <w:color w:val="auto"/>
        </w:rPr>
      </w:pPr>
      <w:r>
        <w:rPr>
          <w:rFonts w:ascii="Arial" w:cs="Arial" w:eastAsia="Arial" w:hAnsi="Arial"/>
          <w:sz w:val="16"/>
          <w:szCs w:val="16"/>
          <w:color w:val="auto"/>
        </w:rPr>
        <w:t>Repurchase Plan"). Repurchases may also be made under trading plans entered into with RW Baird &amp; Co. (each a "10b5-1 Plan"), which permits shares to be repurchased when we might otherwise be precluded from doing so under insider trading laws. The timing, price and amount of any shares repurchased under the 2015 Repurchase Plan is determined by our management, based on our evaluation of market conditions and other factors. To date, all purchases have been made in accordance with 10b5-1 Plans, including the 10b5-1 Plan that is currently in place which was entered into on August 8, 2016, and provided for purchases to be made so long as the price did not exceed a maximum price. Recently, the price of our shares has exceeded the cap. Management is considering new parameters for future purchases.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2" w:lineRule="exact"/>
        <w:rPr>
          <w:sz w:val="20"/>
          <w:szCs w:val="20"/>
          <w:color w:val="auto"/>
        </w:rPr>
      </w:pPr>
    </w:p>
    <w:p>
      <w:pPr>
        <w:jc w:val="both"/>
        <w:ind w:left="540" w:right="120"/>
        <w:spacing w:after="0" w:line="306" w:lineRule="auto"/>
        <w:rPr>
          <w:sz w:val="20"/>
          <w:szCs w:val="20"/>
          <w:color w:val="auto"/>
        </w:rPr>
      </w:pPr>
      <w:r>
        <w:rPr>
          <w:rFonts w:ascii="Arial" w:cs="Arial" w:eastAsia="Arial" w:hAnsi="Arial"/>
          <w:sz w:val="16"/>
          <w:szCs w:val="16"/>
          <w:color w:val="auto"/>
        </w:rPr>
        <w:t>During the three months ended March 31, 2017 and 2016, we repurchased 13,883 and 114,688 shares under the 2015 Repurchase Plan, respectively. The total cost to repurchase these shares was $62 and $471, respectively. As of March 31, 2017, we had repurchased a total of 297,020 shares under the 2015 Repurchase Plan at a cost of $1,195. All of the repurchased shares were retired.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91"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three months ended March 31, 2017 and 2016, we recorded $163 and $160 of expense for matching contributions, respectively.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91" w:lineRule="exact"/>
        <w:rPr>
          <w:sz w:val="20"/>
          <w:szCs w:val="20"/>
          <w:color w:val="auto"/>
        </w:rPr>
      </w:pPr>
    </w:p>
    <w:p>
      <w:pPr>
        <w:ind w:left="540" w:right="240"/>
        <w:spacing w:after="0" w:line="306" w:lineRule="auto"/>
        <w:rPr>
          <w:sz w:val="20"/>
          <w:szCs w:val="20"/>
          <w:color w:val="auto"/>
        </w:rPr>
      </w:pPr>
      <w:r>
        <w:rPr>
          <w:rFonts w:ascii="Arial" w:cs="Arial" w:eastAsia="Arial" w:hAnsi="Arial"/>
          <w:sz w:val="16"/>
          <w:szCs w:val="16"/>
          <w:color w:val="auto"/>
        </w:rPr>
        <w:t>As discussed in Note 1, during 2016, we reorganized our business from three product segments (Thermal Products, Mechanical Products and Electrical Products) into two product segments (iTS and EMS). Accordingly, effective January 1, 2017, we have two reportable segments, which are also our reporting units. Prior period information has been reclassified to be comparable to the presentation for 2017.</w:t>
      </w:r>
    </w:p>
    <w:p>
      <w:pPr>
        <w:spacing w:after="0" w:line="161" w:lineRule="exact"/>
        <w:rPr>
          <w:sz w:val="20"/>
          <w:szCs w:val="20"/>
          <w:color w:val="auto"/>
        </w:rPr>
      </w:pPr>
    </w:p>
    <w:p>
      <w:pPr>
        <w:ind w:left="540" w:right="360"/>
        <w:spacing w:after="0" w:line="306" w:lineRule="auto"/>
        <w:rPr>
          <w:sz w:val="20"/>
          <w:szCs w:val="20"/>
          <w:color w:val="auto"/>
        </w:rPr>
      </w:pPr>
      <w:r>
        <w:rPr>
          <w:rFonts w:ascii="Arial" w:cs="Arial" w:eastAsia="Arial" w:hAnsi="Arial"/>
          <w:sz w:val="16"/>
          <w:szCs w:val="16"/>
          <w:color w:val="auto"/>
        </w:rPr>
        <w:t>iTS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post-warranty service and support.</w:t>
      </w:r>
    </w:p>
    <w:p>
      <w:pPr>
        <w:spacing w:after="0" w:line="161"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6"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We operate our business worldwide, and both segments sell their products both domestically and internationally. Both segments sell to semiconductor manufacturers, third-party test and assembly houses and ATE manufacturers. iTS also sells into a variety of markets outside of the ATE market, including the automotive, consumer electronics, defense/aerospace, energy, industrial and telecommunications markets.</w:t>
      </w:r>
    </w:p>
    <w:p>
      <w:pPr>
        <w:spacing w:after="0" w:line="15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14"/>
          </w:tcPr>
          <w:p>
            <w:pPr>
              <w:jc w:val="center"/>
              <w:ind w:right="220"/>
              <w:spacing w:after="0"/>
              <w:rPr>
                <w:sz w:val="20"/>
                <w:szCs w:val="20"/>
                <w:color w:val="auto"/>
              </w:rPr>
            </w:pPr>
            <w:r>
              <w:rPr>
                <w:rFonts w:ascii="Arial" w:cs="Arial" w:eastAsia="Arial" w:hAnsi="Arial"/>
                <w:sz w:val="14"/>
                <w:szCs w:val="14"/>
                <w:b w:val="1"/>
                <w:bCs w:val="1"/>
                <w:i w:val="1"/>
                <w:iCs w:val="1"/>
                <w:color w:val="auto"/>
                <w:w w:val="80"/>
              </w:rPr>
              <w:t>Three Months Ended</w:t>
            </w:r>
          </w:p>
        </w:tc>
        <w:tc>
          <w:tcPr>
            <w:tcW w:w="0" w:type="dxa"/>
            <w:vAlign w:val="bottom"/>
          </w:tcPr>
          <w:p>
            <w:pPr>
              <w:spacing w:after="0"/>
              <w:rPr>
                <w:sz w:val="1"/>
                <w:szCs w:val="1"/>
                <w:color w:val="auto"/>
              </w:rPr>
            </w:pPr>
          </w:p>
        </w:tc>
      </w:tr>
      <w:tr>
        <w:trPr>
          <w:trHeight w:val="146"/>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8"/>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March 31,</w:t>
            </w: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3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rPr>
              <w:t>2016</w:t>
            </w: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68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96"/>
              </w:rPr>
              <w:t>$ 7,776</w:t>
            </w:r>
          </w:p>
        </w:tc>
        <w:tc>
          <w:tcPr>
            <w:tcW w:w="240" w:type="dxa"/>
            <w:vAlign w:val="bottom"/>
          </w:tcPr>
          <w:p>
            <w:pPr>
              <w:spacing w:after="0"/>
              <w:rPr>
                <w:sz w:val="21"/>
                <w:szCs w:val="21"/>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color w:val="auto"/>
              </w:rPr>
              <w:t>$5,194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40" w:type="dxa"/>
            <w:vAlign w:val="bottom"/>
          </w:tcPr>
          <w:p>
            <w:pPr>
              <w:spacing w:after="0"/>
              <w:rPr>
                <w:sz w:val="17"/>
                <w:szCs w:val="17"/>
                <w:color w:val="auto"/>
              </w:rPr>
            </w:pPr>
          </w:p>
        </w:tc>
        <w:tc>
          <w:tcPr>
            <w:tcW w:w="4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7"/>
              </w:rPr>
              <w:t>6,404</w:t>
            </w:r>
          </w:p>
        </w:tc>
        <w:tc>
          <w:tcPr>
            <w:tcW w:w="2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46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3,453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14,180</w:t>
            </w:r>
          </w:p>
        </w:tc>
        <w:tc>
          <w:tcPr>
            <w:tcW w:w="240" w:type="dxa"/>
            <w:vAlign w:val="bottom"/>
          </w:tcPr>
          <w:p>
            <w:pPr>
              <w:spacing w:after="0"/>
              <w:rPr>
                <w:sz w:val="19"/>
                <w:szCs w:val="19"/>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$1,846</w:t>
            </w:r>
          </w:p>
        </w:tc>
        <w:tc>
          <w:tcPr>
            <w:tcW w:w="240" w:type="dxa"/>
            <w:vAlign w:val="bottom"/>
          </w:tcPr>
          <w:p>
            <w:pPr>
              <w:spacing w:after="0"/>
              <w:rPr>
                <w:sz w:val="21"/>
                <w:szCs w:val="21"/>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color w:val="auto"/>
              </w:rPr>
              <w:t>$ 573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EMS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5"/>
          </w:tcPr>
          <w:p>
            <w:pPr>
              <w:jc w:val="right"/>
              <w:spacing w:after="0"/>
              <w:rPr>
                <w:sz w:val="20"/>
                <w:szCs w:val="20"/>
                <w:color w:val="auto"/>
              </w:rPr>
            </w:pPr>
            <w:r>
              <w:rPr>
                <w:rFonts w:ascii="Arial" w:cs="Arial" w:eastAsia="Arial" w:hAnsi="Arial"/>
                <w:sz w:val="18"/>
                <w:szCs w:val="18"/>
                <w:color w:val="auto"/>
                <w:w w:val="85"/>
              </w:rPr>
              <w:t>(349)</w:t>
            </w:r>
          </w:p>
        </w:tc>
        <w:tc>
          <w:tcPr>
            <w:tcW w:w="0" w:type="dxa"/>
            <w:vAlign w:val="bottom"/>
          </w:tcPr>
          <w:p>
            <w:pPr>
              <w:spacing w:after="0"/>
              <w:rPr>
                <w:sz w:val="1"/>
                <w:szCs w:val="1"/>
                <w:color w:val="auto"/>
              </w:rPr>
            </w:pP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7"/>
                <w:szCs w:val="17"/>
                <w:color w:val="auto"/>
              </w:rPr>
            </w:pPr>
          </w:p>
        </w:tc>
        <w:tc>
          <w:tcPr>
            <w:tcW w:w="700" w:type="dxa"/>
            <w:vAlign w:val="bottom"/>
            <w:gridSpan w:val="5"/>
          </w:tcPr>
          <w:p>
            <w:pPr>
              <w:jc w:val="right"/>
              <w:ind w:right="200"/>
              <w:spacing w:after="0" w:line="205" w:lineRule="exact"/>
              <w:rPr>
                <w:sz w:val="20"/>
                <w:szCs w:val="20"/>
                <w:color w:val="auto"/>
              </w:rPr>
            </w:pPr>
            <w:r>
              <w:rPr>
                <w:rFonts w:ascii="Arial" w:cs="Arial" w:eastAsia="Arial" w:hAnsi="Arial"/>
                <w:sz w:val="18"/>
                <w:szCs w:val="18"/>
                <w:color w:val="auto"/>
              </w:rPr>
              <w:t>(372)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5"/>
          </w:tcPr>
          <w:p>
            <w:pPr>
              <w:jc w:val="right"/>
              <w:spacing w:after="0" w:line="205" w:lineRule="exact"/>
              <w:rPr>
                <w:sz w:val="20"/>
                <w:szCs w:val="20"/>
                <w:color w:val="auto"/>
              </w:rPr>
            </w:pPr>
            <w:r>
              <w:rPr>
                <w:rFonts w:ascii="Arial" w:cs="Arial" w:eastAsia="Arial" w:hAnsi="Arial"/>
                <w:sz w:val="18"/>
                <w:szCs w:val="18"/>
                <w:color w:val="auto"/>
                <w:w w:val="85"/>
              </w:rPr>
              <w:t>(100)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3.172</w:t>
            </w:r>
          </w:p>
        </w:tc>
        <w:tc>
          <w:tcPr>
            <w:tcW w:w="240" w:type="dxa"/>
            <w:vAlign w:val="bottom"/>
          </w:tcPr>
          <w:p>
            <w:pPr>
              <w:spacing w:after="0"/>
              <w:rPr>
                <w:sz w:val="19"/>
                <w:szCs w:val="19"/>
                <w:color w:val="auto"/>
              </w:rPr>
            </w:pPr>
          </w:p>
        </w:tc>
        <w:tc>
          <w:tcPr>
            <w:tcW w:w="180" w:type="dxa"/>
            <w:vAlign w:val="bottom"/>
            <w:gridSpan w:val="3"/>
          </w:tcPr>
          <w:p>
            <w:pPr>
              <w:ind w:left="120"/>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9"/>
                <w:szCs w:val="19"/>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21"/>
                <w:szCs w:val="21"/>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color w:val="auto"/>
              </w:rPr>
              <w:t>$ 373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EMS</w:t>
            </w:r>
          </w:p>
        </w:tc>
        <w:tc>
          <w:tcPr>
            <w:tcW w:w="840" w:type="dxa"/>
            <w:vAlign w:val="bottom"/>
            <w:gridSpan w:val="6"/>
          </w:tcPr>
          <w:p>
            <w:pPr>
              <w:jc w:val="right"/>
              <w:ind w:right="240"/>
              <w:spacing w:after="0"/>
              <w:rPr>
                <w:sz w:val="20"/>
                <w:szCs w:val="20"/>
                <w:color w:val="auto"/>
              </w:rPr>
            </w:pPr>
            <w:r>
              <w:rPr>
                <w:rFonts w:ascii="Arial" w:cs="Arial" w:eastAsia="Arial" w:hAnsi="Arial"/>
                <w:sz w:val="18"/>
                <w:szCs w:val="18"/>
                <w:color w:val="auto"/>
              </w:rPr>
              <w:t>1,112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5"/>
          </w:tcPr>
          <w:p>
            <w:pPr>
              <w:jc w:val="right"/>
              <w:spacing w:after="0"/>
              <w:rPr>
                <w:sz w:val="20"/>
                <w:szCs w:val="20"/>
                <w:color w:val="auto"/>
              </w:rPr>
            </w:pPr>
            <w:r>
              <w:rPr>
                <w:rFonts w:ascii="Arial" w:cs="Arial" w:eastAsia="Arial" w:hAnsi="Arial"/>
                <w:sz w:val="18"/>
                <w:szCs w:val="18"/>
                <w:color w:val="auto"/>
                <w:w w:val="85"/>
              </w:rPr>
              <w:t>(227)</w:t>
            </w:r>
          </w:p>
        </w:tc>
        <w:tc>
          <w:tcPr>
            <w:tcW w:w="0" w:type="dxa"/>
            <w:vAlign w:val="bottom"/>
          </w:tcPr>
          <w:p>
            <w:pPr>
              <w:spacing w:after="0"/>
              <w:rPr>
                <w:sz w:val="1"/>
                <w:szCs w:val="1"/>
                <w:color w:val="auto"/>
              </w:rPr>
            </w:pP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7"/>
                <w:szCs w:val="17"/>
                <w:color w:val="auto"/>
              </w:rPr>
            </w:pPr>
          </w:p>
        </w:tc>
        <w:tc>
          <w:tcPr>
            <w:tcW w:w="700" w:type="dxa"/>
            <w:vAlign w:val="bottom"/>
            <w:gridSpan w:val="5"/>
          </w:tcPr>
          <w:p>
            <w:pPr>
              <w:jc w:val="right"/>
              <w:ind w:right="200"/>
              <w:spacing w:after="0" w:line="205" w:lineRule="exact"/>
              <w:rPr>
                <w:sz w:val="20"/>
                <w:szCs w:val="20"/>
                <w:color w:val="auto"/>
              </w:rPr>
            </w:pPr>
            <w:r>
              <w:rPr>
                <w:rFonts w:ascii="Arial" w:cs="Arial" w:eastAsia="Arial" w:hAnsi="Arial"/>
                <w:sz w:val="18"/>
                <w:szCs w:val="18"/>
                <w:color w:val="auto"/>
              </w:rPr>
              <w:t>(244)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2,078</w:t>
            </w:r>
          </w:p>
        </w:tc>
        <w:tc>
          <w:tcPr>
            <w:tcW w:w="24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860" w:type="dxa"/>
            <w:vAlign w:val="bottom"/>
          </w:tcPr>
          <w:p>
            <w:pPr>
              <w:spacing w:after="0"/>
              <w:rPr>
                <w:sz w:val="24"/>
                <w:szCs w:val="24"/>
                <w:color w:val="auto"/>
              </w:rPr>
            </w:pPr>
          </w:p>
        </w:tc>
        <w:tc>
          <w:tcPr>
            <w:tcW w:w="840" w:type="dxa"/>
            <w:vAlign w:val="bottom"/>
            <w:gridSpan w:val="6"/>
          </w:tcPr>
          <w:p>
            <w:pPr>
              <w:jc w:val="center"/>
              <w:ind w:right="340"/>
              <w:spacing w:after="0"/>
              <w:rPr>
                <w:sz w:val="20"/>
                <w:szCs w:val="20"/>
                <w:color w:val="auto"/>
              </w:rPr>
            </w:pPr>
            <w:r>
              <w:rPr>
                <w:rFonts w:ascii="Arial" w:cs="Arial" w:eastAsia="Arial" w:hAnsi="Arial"/>
                <w:sz w:val="14"/>
                <w:szCs w:val="14"/>
                <w:b w:val="1"/>
                <w:bCs w:val="1"/>
                <w:i w:val="1"/>
                <w:iCs w:val="1"/>
                <w:color w:val="auto"/>
                <w:w w:val="88"/>
              </w:rPr>
              <w:t>Mar. 31,</w:t>
            </w:r>
          </w:p>
        </w:tc>
        <w:tc>
          <w:tcPr>
            <w:tcW w:w="640" w:type="dxa"/>
            <w:vAlign w:val="bottom"/>
            <w:gridSpan w:val="9"/>
          </w:tcPr>
          <w:p>
            <w:pPr>
              <w:jc w:val="right"/>
              <w:ind w:right="180"/>
              <w:spacing w:after="0"/>
              <w:rPr>
                <w:sz w:val="20"/>
                <w:szCs w:val="20"/>
                <w:color w:val="auto"/>
              </w:rPr>
            </w:pPr>
            <w:r>
              <w:rPr>
                <w:rFonts w:ascii="Arial" w:cs="Arial" w:eastAsia="Arial" w:hAnsi="Arial"/>
                <w:sz w:val="14"/>
                <w:szCs w:val="14"/>
                <w:b w:val="1"/>
                <w:bCs w:val="1"/>
                <w:i w:val="1"/>
                <w:iCs w:val="1"/>
                <w:color w:val="auto"/>
                <w:w w:val="83"/>
              </w:rPr>
              <w:t>Dec. 31,</w:t>
            </w:r>
          </w:p>
        </w:tc>
        <w:tc>
          <w:tcPr>
            <w:tcW w:w="0" w:type="dxa"/>
            <w:vAlign w:val="bottom"/>
          </w:tcPr>
          <w:p>
            <w:pPr>
              <w:spacing w:after="0"/>
              <w:rPr>
                <w:sz w:val="1"/>
                <w:szCs w:val="1"/>
                <w:color w:val="auto"/>
              </w:rPr>
            </w:pPr>
          </w:p>
        </w:tc>
      </w:tr>
      <w:tr>
        <w:trPr>
          <w:trHeight w:val="146"/>
        </w:trPr>
        <w:tc>
          <w:tcPr>
            <w:tcW w:w="686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gridSpan w:val="5"/>
          </w:tcPr>
          <w:p>
            <w:pPr>
              <w:ind w:left="100"/>
              <w:spacing w:after="0" w:line="146" w:lineRule="exact"/>
              <w:rPr>
                <w:sz w:val="20"/>
                <w:szCs w:val="20"/>
                <w:color w:val="auto"/>
              </w:rPr>
            </w:pPr>
            <w:r>
              <w:rPr>
                <w:rFonts w:ascii="Arial" w:cs="Arial" w:eastAsia="Arial" w:hAnsi="Arial"/>
                <w:sz w:val="14"/>
                <w:szCs w:val="14"/>
                <w:b w:val="1"/>
                <w:bCs w:val="1"/>
                <w:i w:val="1"/>
                <w:iCs w:val="1"/>
                <w:color w:val="auto"/>
                <w:w w:val="89"/>
              </w:rPr>
              <w:t>2016</w:t>
            </w: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iTS</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9"/>
              </w:rPr>
              <w:t>$15,958</w:t>
            </w:r>
          </w:p>
        </w:tc>
        <w:tc>
          <w:tcPr>
            <w:tcW w:w="240" w:type="dxa"/>
            <w:vAlign w:val="bottom"/>
          </w:tcPr>
          <w:p>
            <w:pPr>
              <w:spacing w:after="0"/>
              <w:rPr>
                <w:sz w:val="21"/>
                <w:szCs w:val="21"/>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color w:val="auto"/>
                <w:w w:val="89"/>
              </w:rPr>
              <w:t>$19,893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40" w:type="dxa"/>
            <w:vAlign w:val="bottom"/>
          </w:tcPr>
          <w:p>
            <w:pPr>
              <w:spacing w:after="0"/>
              <w:rPr>
                <w:sz w:val="17"/>
                <w:szCs w:val="17"/>
                <w:color w:val="auto"/>
              </w:rPr>
            </w:pPr>
          </w:p>
        </w:tc>
        <w:tc>
          <w:tcPr>
            <w:tcW w:w="4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79"/>
              </w:rPr>
              <w:t>30,395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w w:val="98"/>
              </w:rPr>
              <w:t>22,951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46,353</w:t>
            </w:r>
          </w:p>
        </w:tc>
        <w:tc>
          <w:tcPr>
            <w:tcW w:w="240" w:type="dxa"/>
            <w:vAlign w:val="bottom"/>
          </w:tcPr>
          <w:p>
            <w:pPr>
              <w:spacing w:after="0"/>
              <w:rPr>
                <w:sz w:val="19"/>
                <w:szCs w:val="19"/>
                <w:color w:val="auto"/>
              </w:rPr>
            </w:pPr>
          </w:p>
        </w:tc>
        <w:tc>
          <w:tcPr>
            <w:tcW w:w="58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1400"/>
          </w:cols>
          <w:pgMar w:left="240" w:top="131" w:right="259" w:bottom="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SEGMENT INFORMATION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320" w:type="dxa"/>
            <w:vAlign w:val="bottom"/>
            <w:gridSpan w:val="14"/>
          </w:tcPr>
          <w:p>
            <w:pPr>
              <w:spacing w:after="0"/>
              <w:rPr>
                <w:sz w:val="20"/>
                <w:szCs w:val="20"/>
                <w:color w:val="auto"/>
              </w:rPr>
            </w:pPr>
            <w:r>
              <w:rPr>
                <w:rFonts w:ascii="Arial" w:cs="Arial" w:eastAsia="Arial" w:hAnsi="Arial"/>
                <w:sz w:val="14"/>
                <w:szCs w:val="14"/>
                <w:b w:val="1"/>
                <w:bCs w:val="1"/>
                <w:i w:val="1"/>
                <w:iCs w:val="1"/>
                <w:color w:val="auto"/>
                <w:w w:val="93"/>
              </w:rPr>
              <w:t>Three Months Ended</w:t>
            </w:r>
          </w:p>
        </w:tc>
      </w:tr>
      <w:tr>
        <w:trPr>
          <w:trHeight w:val="146"/>
        </w:trPr>
        <w:tc>
          <w:tcPr>
            <w:tcW w:w="68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6"/>
          </w:tcPr>
          <w:p>
            <w:pPr>
              <w:jc w:val="right"/>
              <w:ind w:right="40"/>
              <w:spacing w:after="0" w:line="146" w:lineRule="exact"/>
              <w:rPr>
                <w:sz w:val="20"/>
                <w:szCs w:val="20"/>
                <w:color w:val="auto"/>
              </w:rPr>
            </w:pPr>
            <w:r>
              <w:rPr>
                <w:rFonts w:ascii="Arial" w:cs="Arial" w:eastAsia="Arial" w:hAnsi="Arial"/>
                <w:sz w:val="14"/>
                <w:szCs w:val="14"/>
                <w:b w:val="1"/>
                <w:bCs w:val="1"/>
                <w:i w:val="1"/>
                <w:iCs w:val="1"/>
                <w:color w:val="auto"/>
                <w:w w:val="95"/>
              </w:rPr>
              <w:t>March 31,</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6"/>
        </w:trPr>
        <w:tc>
          <w:tcPr>
            <w:tcW w:w="6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96"/>
              </w:rPr>
              <w:t>2016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6"/>
          </w:tcPr>
          <w:p>
            <w:pPr>
              <w:jc w:val="right"/>
              <w:spacing w:after="0"/>
              <w:rPr>
                <w:sz w:val="20"/>
                <w:szCs w:val="20"/>
                <w:color w:val="auto"/>
              </w:rPr>
            </w:pPr>
            <w:r>
              <w:rPr>
                <w:rFonts w:ascii="Arial" w:cs="Arial" w:eastAsia="Arial" w:hAnsi="Arial"/>
                <w:sz w:val="18"/>
                <w:szCs w:val="18"/>
                <w:color w:val="auto"/>
                <w:w w:val="96"/>
              </w:rPr>
              <w:t>$ 2,886</w:t>
            </w:r>
          </w:p>
        </w:tc>
        <w:tc>
          <w:tcPr>
            <w:tcW w:w="720" w:type="dxa"/>
            <w:vAlign w:val="bottom"/>
            <w:gridSpan w:val="8"/>
          </w:tcPr>
          <w:p>
            <w:pPr>
              <w:jc w:val="right"/>
              <w:spacing w:after="0"/>
              <w:rPr>
                <w:sz w:val="20"/>
                <w:szCs w:val="20"/>
                <w:color w:val="auto"/>
              </w:rPr>
            </w:pPr>
            <w:r>
              <w:rPr>
                <w:rFonts w:ascii="Arial" w:cs="Arial" w:eastAsia="Arial" w:hAnsi="Arial"/>
                <w:sz w:val="18"/>
                <w:szCs w:val="18"/>
                <w:color w:val="auto"/>
              </w:rPr>
              <w:t>$2,727</w:t>
            </w: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7"/>
                <w:szCs w:val="17"/>
                <w:color w:val="auto"/>
              </w:rPr>
            </w:pPr>
          </w:p>
        </w:tc>
        <w:tc>
          <w:tcPr>
            <w:tcW w:w="58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11,294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w w:val="84"/>
              </w:rPr>
              <w:t>5,920</w:t>
            </w:r>
          </w:p>
        </w:tc>
      </w:tr>
      <w:tr>
        <w:trPr>
          <w:trHeight w:val="223"/>
        </w:trPr>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14,180</w:t>
            </w:r>
          </w:p>
        </w:tc>
        <w:tc>
          <w:tcPr>
            <w:tcW w:w="7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61"/>
        </w:trPr>
        <w:tc>
          <w:tcPr>
            <w:tcW w:w="6860" w:type="dxa"/>
            <w:vAlign w:val="bottom"/>
          </w:tcPr>
          <w:p>
            <w:pPr>
              <w:spacing w:after="0"/>
              <w:rPr>
                <w:sz w:val="24"/>
                <w:szCs w:val="24"/>
                <w:color w:val="auto"/>
              </w:rPr>
            </w:pPr>
          </w:p>
        </w:tc>
        <w:tc>
          <w:tcPr>
            <w:tcW w:w="6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Mar. 31,</w:t>
            </w:r>
          </w:p>
        </w:tc>
        <w:tc>
          <w:tcPr>
            <w:tcW w:w="180" w:type="dxa"/>
            <w:vAlign w:val="bottom"/>
          </w:tcPr>
          <w:p>
            <w:pPr>
              <w:spacing w:after="0"/>
              <w:rPr>
                <w:sz w:val="24"/>
                <w:szCs w:val="24"/>
                <w:color w:val="auto"/>
              </w:rPr>
            </w:pPr>
          </w:p>
        </w:tc>
        <w:tc>
          <w:tcPr>
            <w:tcW w:w="540" w:type="dxa"/>
            <w:vAlign w:val="bottom"/>
            <w:gridSpan w:val="7"/>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6860" w:type="dxa"/>
            <w:vAlign w:val="bottom"/>
          </w:tcPr>
          <w:p>
            <w:pPr>
              <w:spacing w:after="0"/>
              <w:rPr>
                <w:sz w:val="12"/>
                <w:szCs w:val="12"/>
                <w:color w:val="auto"/>
              </w:rPr>
            </w:pPr>
          </w:p>
        </w:tc>
        <w:tc>
          <w:tcPr>
            <w:tcW w:w="460" w:type="dxa"/>
            <w:vAlign w:val="bottom"/>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rPr>
              <w:t>2017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5"/>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U.S.</w:t>
            </w: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688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691</w:t>
            </w:r>
          </w:p>
        </w:tc>
      </w:tr>
      <w:tr>
        <w:trPr>
          <w:trHeight w:val="205"/>
        </w:trPr>
        <w:tc>
          <w:tcPr>
            <w:tcW w:w="686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246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253</w:t>
            </w:r>
          </w:p>
        </w:tc>
      </w:tr>
      <w:tr>
        <w:trPr>
          <w:trHeight w:val="223"/>
        </w:trPr>
        <w:tc>
          <w:tcPr>
            <w:tcW w:w="68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934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66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2016 Form 10-K for examples of statements made in this report which may be "forward-looking statements." These statements involve risks and uncertainties and are based on various assumptions. Although we</w:t>
      </w:r>
    </w:p>
    <w:p>
      <w:pPr>
        <w:sectPr>
          <w:pgSz w:w="11900" w:h="16838" w:orient="portrait"/>
          <w:cols w:equalWidth="0" w:num="1">
            <w:col w:w="11340"/>
          </w:cols>
          <w:pgMar w:left="240" w:top="131" w:right="319" w:bottom="0" w:gutter="0" w:footer="0" w:header="0"/>
        </w:sectPr>
      </w:pPr>
    </w:p>
    <w:bookmarkStart w:id="13" w:name="page14"/>
    <w:bookmarkEnd w:id="13"/>
    <w:p>
      <w:pPr>
        <w:ind w:left="540" w:right="600"/>
        <w:spacing w:after="0" w:line="268" w:lineRule="auto"/>
        <w:rPr>
          <w:sz w:val="20"/>
          <w:szCs w:val="20"/>
          <w:color w:val="auto"/>
        </w:rPr>
      </w:pPr>
      <w:r>
        <w:rPr>
          <w:rFonts w:ascii="Arial" w:cs="Arial" w:eastAsia="Arial" w:hAnsi="Arial"/>
          <w:sz w:val="18"/>
          <w:szCs w:val="18"/>
          <w:color w:val="auto"/>
        </w:rPr>
        <w:t>believe that our expectations are based on reasonable assumptions, investors and prospective investors are cautioned that such statements are only projections, and there cannot be any assurance that these events or results will occur.</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2016 Form 10-K. Material changes to such risk factors may be reported in subsequent Quarterly Reports on Form 10-Q in Part II, Item 1A. There have been no such changes from the risk factors set forth in our 2016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4"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ongoing strategy to reduce the impact of ATE market volatility on our business operations, we continue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original equipment manufacturers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and docking hardware,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5" w:lineRule="exact"/>
        <w:rPr>
          <w:sz w:val="20"/>
          <w:szCs w:val="20"/>
          <w:color w:val="auto"/>
        </w:rPr>
      </w:pPr>
    </w:p>
    <w:p>
      <w:pPr>
        <w:ind w:left="540" w:right="18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ectPr>
          <w:pgSz w:w="11900" w:h="16838" w:orient="portrait"/>
          <w:cols w:equalWidth="0" w:num="1">
            <w:col w:w="11400"/>
          </w:cols>
          <w:pgMar w:left="240" w:top="131" w:right="259" w:bottom="0" w:gutter="0" w:footer="0" w:header="0"/>
        </w:sectPr>
      </w:pP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i w:val="1"/>
          <w:iCs w:val="1"/>
          <w:u w:val="single" w:color="auto"/>
          <w:color w:val="auto"/>
        </w:rPr>
        <w:t>Orders and Backlog</w:t>
      </w:r>
    </w:p>
    <w:p>
      <w:pPr>
        <w:sectPr>
          <w:pgSz w:w="11900" w:h="16838" w:orient="portrait"/>
          <w:cols w:equalWidth="0" w:num="1">
            <w:col w:w="11400"/>
          </w:cols>
          <w:pgMar w:left="240" w:top="131" w:right="259" w:bottom="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4"/>
                <w:szCs w:val="14"/>
                <w:b w:val="1"/>
                <w:bCs w:val="1"/>
                <w:i w:val="1"/>
                <w:iCs w:val="1"/>
                <w:color w:val="auto"/>
                <w:w w:val="83"/>
              </w:rPr>
              <w:t>Three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5"/>
          </w:tcPr>
          <w:p>
            <w:pPr>
              <w:jc w:val="center"/>
              <w:ind w:right="480"/>
              <w:spacing w:after="0"/>
              <w:rPr>
                <w:sz w:val="20"/>
                <w:szCs w:val="20"/>
                <w:color w:val="auto"/>
              </w:rPr>
            </w:pPr>
            <w:r>
              <w:rPr>
                <w:rFonts w:ascii="Arial" w:cs="Arial" w:eastAsia="Arial" w:hAnsi="Arial"/>
                <w:sz w:val="14"/>
                <w:szCs w:val="14"/>
                <w:b w:val="1"/>
                <w:bCs w:val="1"/>
                <w:i w:val="1"/>
                <w:iCs w:val="1"/>
                <w:color w:val="auto"/>
                <w:w w:val="89"/>
              </w:rPr>
              <w:t>Three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9"/>
          </w:tcPr>
          <w:p>
            <w:pPr>
              <w:jc w:val="center"/>
              <w:ind w:right="52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580" w:type="dxa"/>
            <w:vAlign w:val="bottom"/>
            <w:gridSpan w:val="3"/>
          </w:tcPr>
          <w:p>
            <w:pPr>
              <w:spacing w:after="0"/>
              <w:rPr>
                <w:sz w:val="12"/>
                <w:szCs w:val="12"/>
                <w:color w:val="auto"/>
              </w:rPr>
            </w:pPr>
          </w:p>
        </w:tc>
        <w:tc>
          <w:tcPr>
            <w:tcW w:w="620" w:type="dxa"/>
            <w:vAlign w:val="bottom"/>
            <w:tcBorders>
              <w:bottom w:val="single" w:sz="8" w:color="auto"/>
            </w:tcBorders>
            <w:gridSpan w:val="2"/>
          </w:tcPr>
          <w:p>
            <w:pPr>
              <w:ind w:left="160"/>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December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gridSpan w:val="4"/>
          </w:tcPr>
          <w:p>
            <w:pPr>
              <w:ind w:left="14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00" w:type="dxa"/>
            <w:vAlign w:val="bottom"/>
            <w:gridSpan w:val="2"/>
          </w:tcPr>
          <w:p>
            <w:pPr>
              <w:spacing w:after="0"/>
              <w:rPr>
                <w:sz w:val="12"/>
                <w:szCs w:val="12"/>
                <w:color w:val="auto"/>
              </w:rPr>
            </w:pPr>
          </w:p>
        </w:tc>
      </w:tr>
      <w:tr>
        <w:trPr>
          <w:trHeight w:val="156"/>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32"/>
              <w:spacing w:after="0" w:line="155" w:lineRule="exact"/>
              <w:rPr>
                <w:sz w:val="20"/>
                <w:szCs w:val="20"/>
                <w:color w:val="auto"/>
              </w:rPr>
            </w:pPr>
            <w:r>
              <w:rPr>
                <w:rFonts w:ascii="Arial" w:cs="Arial" w:eastAsia="Arial" w:hAnsi="Arial"/>
                <w:sz w:val="14"/>
                <w:szCs w:val="14"/>
                <w:b w:val="1"/>
                <w:bCs w:val="1"/>
                <w:i w:val="1"/>
                <w:iCs w:val="1"/>
                <w:color w:val="auto"/>
                <w:w w:val="83"/>
              </w:rPr>
              <w:t>2017</w:t>
            </w:r>
          </w:p>
        </w:tc>
        <w:tc>
          <w:tcPr>
            <w:tcW w:w="180" w:type="dxa"/>
            <w:vAlign w:val="bottom"/>
          </w:tcPr>
          <w:p>
            <w:pPr>
              <w:spacing w:after="0"/>
              <w:rPr>
                <w:sz w:val="13"/>
                <w:szCs w:val="13"/>
                <w:color w:val="auto"/>
              </w:rPr>
            </w:pPr>
          </w:p>
        </w:tc>
        <w:tc>
          <w:tcPr>
            <w:tcW w:w="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ind w:right="217"/>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40" w:type="dxa"/>
            <w:vAlign w:val="bottom"/>
          </w:tcPr>
          <w:p>
            <w:pPr>
              <w:spacing w:after="0"/>
              <w:rPr>
                <w:sz w:val="13"/>
                <w:szCs w:val="13"/>
                <w:color w:val="auto"/>
              </w:rPr>
            </w:pPr>
          </w:p>
        </w:tc>
        <w:tc>
          <w:tcPr>
            <w:tcW w:w="1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3"/>
                <w:szCs w:val="13"/>
                <w:color w:val="auto"/>
              </w:rPr>
            </w:pPr>
          </w:p>
        </w:tc>
        <w:tc>
          <w:tcPr>
            <w:tcW w:w="600" w:type="dxa"/>
            <w:vAlign w:val="bottom"/>
            <w:gridSpan w:val="4"/>
          </w:tcPr>
          <w:p>
            <w:pPr>
              <w:jc w:val="center"/>
              <w:ind w:left="259"/>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60" w:type="dxa"/>
            <w:vAlign w:val="bottom"/>
          </w:tcPr>
          <w:p>
            <w:pPr>
              <w:spacing w:after="0"/>
              <w:rPr>
                <w:sz w:val="13"/>
                <w:szCs w:val="13"/>
                <w:color w:val="auto"/>
              </w:rPr>
            </w:pPr>
          </w:p>
        </w:tc>
        <w:tc>
          <w:tcPr>
            <w:tcW w:w="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140" w:type="dxa"/>
            <w:vAlign w:val="bottom"/>
          </w:tcPr>
          <w:p>
            <w:pPr>
              <w:spacing w:after="0"/>
              <w:rPr>
                <w:sz w:val="13"/>
                <w:szCs w:val="13"/>
                <w:color w:val="auto"/>
              </w:rPr>
            </w:pPr>
          </w:p>
        </w:tc>
      </w:tr>
      <w:tr>
        <w:trPr>
          <w:trHeight w:val="235"/>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7,260</w:t>
            </w:r>
          </w:p>
        </w:tc>
        <w:tc>
          <w:tcPr>
            <w:tcW w:w="180" w:type="dxa"/>
            <w:vAlign w:val="bottom"/>
          </w:tcPr>
          <w:p>
            <w:pPr>
              <w:spacing w:after="0"/>
              <w:rPr>
                <w:sz w:val="21"/>
                <w:szCs w:val="21"/>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$5,116</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$2,144</w:t>
            </w:r>
          </w:p>
        </w:tc>
        <w:tc>
          <w:tcPr>
            <w:tcW w:w="140" w:type="dxa"/>
            <w:vAlign w:val="bottom"/>
          </w:tcPr>
          <w:p>
            <w:pPr>
              <w:spacing w:after="0"/>
              <w:rPr>
                <w:sz w:val="21"/>
                <w:szCs w:val="21"/>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42%</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$ 6,669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591</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05"/>
        </w:trPr>
        <w:tc>
          <w:tcPr>
            <w:tcW w:w="342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7,772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8"/>
              </w:rPr>
              <w:t>4,722</w:t>
            </w:r>
          </w:p>
        </w:tc>
        <w:tc>
          <w:tcPr>
            <w:tcW w:w="240" w:type="dxa"/>
            <w:vAlign w:val="bottom"/>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rPr>
              <w:t>3,050</w:t>
            </w:r>
          </w:p>
        </w:tc>
        <w:tc>
          <w:tcPr>
            <w:tcW w:w="140" w:type="dxa"/>
            <w:vAlign w:val="bottom"/>
          </w:tcPr>
          <w:p>
            <w:pPr>
              <w:spacing w:after="0"/>
              <w:rPr>
                <w:sz w:val="17"/>
                <w:szCs w:val="17"/>
                <w:color w:val="auto"/>
              </w:rPr>
            </w:pPr>
          </w:p>
        </w:tc>
        <w:tc>
          <w:tcPr>
            <w:tcW w:w="4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8"/>
              </w:rPr>
              <w:t>65%</w:t>
            </w:r>
          </w:p>
        </w:tc>
        <w:tc>
          <w:tcPr>
            <w:tcW w:w="260" w:type="dxa"/>
            <w:vAlign w:val="bottom"/>
            <w:gridSpan w:val="2"/>
          </w:tcPr>
          <w:p>
            <w:pPr>
              <w:spacing w:after="0"/>
              <w:rPr>
                <w:sz w:val="17"/>
                <w:szCs w:val="17"/>
                <w:color w:val="auto"/>
              </w:rPr>
            </w:pPr>
          </w:p>
        </w:tc>
        <w:tc>
          <w:tcPr>
            <w:tcW w:w="54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4,884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w w:val="93"/>
              </w:rPr>
              <w:t>2,888</w:t>
            </w:r>
          </w:p>
        </w:tc>
        <w:tc>
          <w:tcPr>
            <w:tcW w:w="4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94"/>
              </w:rPr>
              <w:t>59%</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23"/>
        </w:trPr>
        <w:tc>
          <w:tcPr>
            <w:tcW w:w="3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15,032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9,838</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5,194</w:t>
            </w:r>
          </w:p>
        </w:tc>
        <w:tc>
          <w:tcPr>
            <w:tcW w:w="140" w:type="dxa"/>
            <w:vAlign w:val="bottom"/>
          </w:tcPr>
          <w:p>
            <w:pPr>
              <w:spacing w:after="0"/>
              <w:rPr>
                <w:sz w:val="19"/>
                <w:szCs w:val="19"/>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53%</w:t>
            </w:r>
          </w:p>
        </w:tc>
        <w:tc>
          <w:tcPr>
            <w:tcW w:w="8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11,553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3,479 30%</w:t>
            </w:r>
          </w:p>
        </w:tc>
      </w:tr>
      <w:tr>
        <w:trPr>
          <w:trHeight w:val="20"/>
        </w:trPr>
        <w:tc>
          <w:tcPr>
            <w:tcW w:w="342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437"/>
        </w:trPr>
        <w:tc>
          <w:tcPr>
            <w:tcW w:w="3420" w:type="dxa"/>
            <w:vAlign w:val="bottom"/>
          </w:tcPr>
          <w:p>
            <w:pPr>
              <w:spacing w:after="0"/>
              <w:rPr>
                <w:sz w:val="20"/>
                <w:szCs w:val="20"/>
                <w:color w:val="auto"/>
              </w:rPr>
            </w:pPr>
            <w:r>
              <w:rPr>
                <w:rFonts w:ascii="Arial" w:cs="Arial" w:eastAsia="Arial" w:hAnsi="Arial"/>
                <w:sz w:val="18"/>
                <w:szCs w:val="18"/>
                <w:color w:val="auto"/>
              </w:rPr>
              <w:t>ATE market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$11,559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72"/>
              </w:rPr>
              <w:t>$7,847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$3,712</w:t>
            </w:r>
          </w:p>
        </w:tc>
        <w:tc>
          <w:tcPr>
            <w:tcW w:w="140" w:type="dxa"/>
            <w:vAlign w:val="bottom"/>
          </w:tcPr>
          <w:p>
            <w:pPr>
              <w:spacing w:after="0"/>
              <w:rPr>
                <w:sz w:val="24"/>
                <w:szCs w:val="2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47%</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$ 8,419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w w:val="95"/>
              </w:rPr>
              <w:t>$3,140 37%</w:t>
            </w:r>
          </w:p>
        </w:tc>
      </w:tr>
      <w:tr>
        <w:trPr>
          <w:trHeight w:val="205"/>
        </w:trPr>
        <w:tc>
          <w:tcPr>
            <w:tcW w:w="34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3,473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8"/>
              </w:rPr>
              <w:t>1,991</w:t>
            </w:r>
          </w:p>
        </w:tc>
        <w:tc>
          <w:tcPr>
            <w:tcW w:w="240" w:type="dxa"/>
            <w:vAlign w:val="bottom"/>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rPr>
              <w:t>1,482</w:t>
            </w:r>
          </w:p>
        </w:tc>
        <w:tc>
          <w:tcPr>
            <w:tcW w:w="140" w:type="dxa"/>
            <w:vAlign w:val="bottom"/>
          </w:tcPr>
          <w:p>
            <w:pPr>
              <w:spacing w:after="0"/>
              <w:rPr>
                <w:sz w:val="17"/>
                <w:szCs w:val="17"/>
                <w:color w:val="auto"/>
              </w:rPr>
            </w:pPr>
          </w:p>
        </w:tc>
        <w:tc>
          <w:tcPr>
            <w:tcW w:w="4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88"/>
              </w:rPr>
              <w:t>74%</w:t>
            </w:r>
          </w:p>
        </w:tc>
        <w:tc>
          <w:tcPr>
            <w:tcW w:w="260" w:type="dxa"/>
            <w:vAlign w:val="bottom"/>
            <w:gridSpan w:val="2"/>
          </w:tcPr>
          <w:p>
            <w:pPr>
              <w:spacing w:after="0"/>
              <w:rPr>
                <w:sz w:val="17"/>
                <w:szCs w:val="17"/>
                <w:color w:val="auto"/>
              </w:rPr>
            </w:pPr>
          </w:p>
        </w:tc>
        <w:tc>
          <w:tcPr>
            <w:tcW w:w="54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3,134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339</w:t>
            </w:r>
          </w:p>
        </w:tc>
        <w:tc>
          <w:tcPr>
            <w:tcW w:w="4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94"/>
              </w:rPr>
              <w:t>11%</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23"/>
        </w:trPr>
        <w:tc>
          <w:tcPr>
            <w:tcW w:w="3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15,032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9,838</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5,194</w:t>
            </w:r>
          </w:p>
        </w:tc>
        <w:tc>
          <w:tcPr>
            <w:tcW w:w="140" w:type="dxa"/>
            <w:vAlign w:val="bottom"/>
          </w:tcPr>
          <w:p>
            <w:pPr>
              <w:spacing w:after="0"/>
              <w:rPr>
                <w:sz w:val="19"/>
                <w:szCs w:val="19"/>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53%</w:t>
            </w:r>
          </w:p>
        </w:tc>
        <w:tc>
          <w:tcPr>
            <w:tcW w:w="8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11,553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3,479 30%</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Total consolidated orders for the quarter ended March 31, 2017 were $15.0 million compared to $9.8 million for the same period in 2016 and $11.6 million for the quarter ended December 31, 2016. This increase reflects higher levels of demand from both ATE and non-ATE market customers. The increase from ATE market customers reflects, in part, demand driven by the increasing number of ICs utilized in the automotive industry and the need to test those ICs. In addition, demand for ATE is also being driven by products which enable the Internet of Things (IoT) and the increasing number of ICs in consumer electronics and industrial applications.</w:t>
      </w:r>
    </w:p>
    <w:p>
      <w:pPr>
        <w:spacing w:after="0" w:line="197"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increase in demand from non-ATE markets primarily reflects higher levels of orders from certain of our customers in the telecommunications market. Our orders from the telecommunications market increased 128% in the first quarter of 2017 as compared to the same period in 2016 and primarily reflect increased demand from the manufacturers of optical transceiver products. To a lesser extent there were also increases in demand from the defense/aerospace and automotive markets. As a percent of our total consolidated orders, orders from non-ATE markets were 23% in the first quarter of 2017 compared to 20% for the same period in 2016 and 27% for the fourth quarter of 2016. The level of our orders in these non-ATE markets has varied in the past, and we expect it will vary significantly in the future as we build our presence in these markets and establish new markets for our products.</w:t>
      </w:r>
    </w:p>
    <w:p>
      <w:pPr>
        <w:spacing w:after="0" w:line="17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At March 31, 2017, our backlog of unfilled orders for all products was approximately $8.2 million compared with approximately $3.5 million at March 31, 2016 and $7.4 million at December 31, 2016. Our backlog includes customer orders which we have accepted, substantially all of which we expect to deliver in 2017.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83"/>
              </w:rPr>
              <w:t>Three</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10"/>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580" w:type="dxa"/>
            <w:vAlign w:val="bottom"/>
            <w:gridSpan w:val="3"/>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gridSpan w:val="2"/>
          </w:tcPr>
          <w:p>
            <w:pPr>
              <w:ind w:left="14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6"/>
        </w:trPr>
        <w:tc>
          <w:tcPr>
            <w:tcW w:w="3320" w:type="dxa"/>
            <w:vAlign w:val="bottom"/>
          </w:tcPr>
          <w:p>
            <w:pPr>
              <w:spacing w:after="0"/>
              <w:rPr>
                <w:sz w:val="13"/>
                <w:szCs w:val="13"/>
                <w:color w:val="auto"/>
              </w:rPr>
            </w:pPr>
          </w:p>
        </w:tc>
        <w:tc>
          <w:tcPr>
            <w:tcW w:w="580" w:type="dxa"/>
            <w:vAlign w:val="bottom"/>
            <w:gridSpan w:val="4"/>
          </w:tcPr>
          <w:p>
            <w:pPr>
              <w:jc w:val="right"/>
              <w:ind w:right="172"/>
              <w:spacing w:after="0" w:line="155" w:lineRule="exact"/>
              <w:rPr>
                <w:sz w:val="20"/>
                <w:szCs w:val="20"/>
                <w:color w:val="auto"/>
              </w:rPr>
            </w:pPr>
            <w:r>
              <w:rPr>
                <w:rFonts w:ascii="Arial" w:cs="Arial" w:eastAsia="Arial" w:hAnsi="Arial"/>
                <w:sz w:val="14"/>
                <w:szCs w:val="14"/>
                <w:b w:val="1"/>
                <w:bCs w:val="1"/>
                <w:i w:val="1"/>
                <w:iCs w:val="1"/>
                <w:color w:val="auto"/>
              </w:rPr>
              <w:t>2017</w:t>
            </w:r>
          </w:p>
        </w:tc>
        <w:tc>
          <w:tcPr>
            <w:tcW w:w="200" w:type="dxa"/>
            <w:vAlign w:val="bottom"/>
          </w:tcPr>
          <w:p>
            <w:pPr>
              <w:spacing w:after="0"/>
              <w:rPr>
                <w:sz w:val="13"/>
                <w:szCs w:val="13"/>
                <w:color w:val="auto"/>
              </w:rPr>
            </w:pPr>
          </w:p>
        </w:tc>
        <w:tc>
          <w:tcPr>
            <w:tcW w:w="520" w:type="dxa"/>
            <w:vAlign w:val="bottom"/>
            <w:gridSpan w:val="5"/>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w w:val="89"/>
              </w:rPr>
              <w:t>2016</w:t>
            </w:r>
          </w:p>
        </w:tc>
        <w:tc>
          <w:tcPr>
            <w:tcW w:w="240" w:type="dxa"/>
            <w:vAlign w:val="bottom"/>
          </w:tcPr>
          <w:p>
            <w:pPr>
              <w:spacing w:after="0"/>
              <w:rPr>
                <w:sz w:val="13"/>
                <w:szCs w:val="13"/>
                <w:color w:val="auto"/>
              </w:rPr>
            </w:pPr>
          </w:p>
        </w:tc>
        <w:tc>
          <w:tcPr>
            <w:tcW w:w="440" w:type="dxa"/>
            <w:vAlign w:val="bottom"/>
          </w:tcPr>
          <w:p>
            <w:pPr>
              <w:jc w:val="right"/>
              <w:ind w:right="177"/>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80" w:type="dxa"/>
            <w:vAlign w:val="bottom"/>
          </w:tcPr>
          <w:p>
            <w:pPr>
              <w:spacing w:after="0"/>
              <w:rPr>
                <w:sz w:val="13"/>
                <w:szCs w:val="13"/>
                <w:color w:val="auto"/>
              </w:rPr>
            </w:pPr>
          </w:p>
        </w:tc>
        <w:tc>
          <w:tcPr>
            <w:tcW w:w="1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spacing w:after="0"/>
              <w:rPr>
                <w:sz w:val="13"/>
                <w:szCs w:val="13"/>
                <w:color w:val="auto"/>
              </w:rPr>
            </w:pPr>
          </w:p>
        </w:tc>
        <w:tc>
          <w:tcPr>
            <w:tcW w:w="820" w:type="dxa"/>
            <w:vAlign w:val="bottom"/>
            <w:gridSpan w:val="5"/>
          </w:tcPr>
          <w:p>
            <w:pPr>
              <w:jc w:val="center"/>
              <w:ind w:left="59"/>
              <w:spacing w:after="0" w:line="155" w:lineRule="exact"/>
              <w:rPr>
                <w:sz w:val="20"/>
                <w:szCs w:val="20"/>
                <w:color w:val="auto"/>
              </w:rPr>
            </w:pPr>
            <w:r>
              <w:rPr>
                <w:rFonts w:ascii="Arial" w:cs="Arial" w:eastAsia="Arial" w:hAnsi="Arial"/>
                <w:sz w:val="14"/>
                <w:szCs w:val="14"/>
                <w:b w:val="1"/>
                <w:bCs w:val="1"/>
                <w:i w:val="1"/>
                <w:iCs w:val="1"/>
                <w:color w:val="auto"/>
                <w:w w:val="89"/>
              </w:rPr>
              <w:t>2016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80" w:type="dxa"/>
            <w:vAlign w:val="bottom"/>
          </w:tcPr>
          <w:p>
            <w:pPr>
              <w:spacing w:after="0"/>
              <w:rPr>
                <w:sz w:val="13"/>
                <w:szCs w:val="13"/>
                <w:color w:val="auto"/>
              </w:rPr>
            </w:pPr>
          </w:p>
        </w:tc>
        <w:tc>
          <w:tcPr>
            <w:tcW w:w="360" w:type="dxa"/>
            <w:vAlign w:val="bottom"/>
            <w:gridSpan w:val="4"/>
          </w:tcPr>
          <w:p>
            <w:pPr>
              <w:jc w:val="center"/>
              <w:ind w:right="80"/>
              <w:spacing w:after="0" w:line="155" w:lineRule="exact"/>
              <w:rPr>
                <w:sz w:val="20"/>
                <w:szCs w:val="20"/>
                <w:color w:val="auto"/>
              </w:rPr>
            </w:pPr>
            <w:r>
              <w:rPr>
                <w:rFonts w:ascii="Arial" w:cs="Arial" w:eastAsia="Arial" w:hAnsi="Arial"/>
                <w:sz w:val="14"/>
                <w:szCs w:val="14"/>
                <w:b w:val="1"/>
                <w:bCs w:val="1"/>
                <w:i w:val="1"/>
                <w:iCs w:val="1"/>
                <w:color w:val="auto"/>
                <w:w w:val="96"/>
              </w:rPr>
              <w:t>%</w:t>
            </w:r>
          </w:p>
        </w:tc>
      </w:tr>
      <w:tr>
        <w:trPr>
          <w:trHeight w:val="235"/>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7,776</w:t>
            </w:r>
          </w:p>
        </w:tc>
        <w:tc>
          <w:tcPr>
            <w:tcW w:w="2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0"/>
              </w:rPr>
              <w:t>$5,194</w:t>
            </w:r>
          </w:p>
        </w:tc>
        <w:tc>
          <w:tcPr>
            <w:tcW w:w="2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$2,582</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50%</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$ 6,604</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1"/>
                <w:szCs w:val="21"/>
                <w:color w:val="auto"/>
              </w:rPr>
            </w:pPr>
          </w:p>
        </w:tc>
        <w:tc>
          <w:tcPr>
            <w:tcW w:w="3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18%</w:t>
            </w:r>
          </w:p>
        </w:tc>
      </w:tr>
      <w:tr>
        <w:trPr>
          <w:trHeight w:val="205"/>
        </w:trPr>
        <w:tc>
          <w:tcPr>
            <w:tcW w:w="3320" w:type="dxa"/>
            <w:vAlign w:val="bottom"/>
          </w:tcPr>
          <w:p>
            <w:pPr>
              <w:spacing w:after="0" w:line="205" w:lineRule="exact"/>
              <w:rPr>
                <w:sz w:val="20"/>
                <w:szCs w:val="20"/>
                <w:color w:val="auto"/>
              </w:rPr>
            </w:pPr>
            <w:r>
              <w:rPr>
                <w:rFonts w:ascii="Arial" w:cs="Arial" w:eastAsia="Arial" w:hAnsi="Arial"/>
                <w:sz w:val="18"/>
                <w:szCs w:val="18"/>
                <w:color w:val="auto"/>
              </w:rPr>
              <w:t>EMS</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6,404</w:t>
            </w:r>
          </w:p>
        </w:tc>
        <w:tc>
          <w:tcPr>
            <w:tcW w:w="20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7"/>
              </w:rPr>
              <w:t>3,453</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2,951</w:t>
            </w:r>
          </w:p>
        </w:tc>
        <w:tc>
          <w:tcPr>
            <w:tcW w:w="180" w:type="dxa"/>
            <w:vAlign w:val="bottom"/>
          </w:tcPr>
          <w:p>
            <w:pPr>
              <w:spacing w:after="0"/>
              <w:rPr>
                <w:sz w:val="17"/>
                <w:szCs w:val="17"/>
                <w:color w:val="auto"/>
              </w:rPr>
            </w:pPr>
          </w:p>
        </w:tc>
        <w:tc>
          <w:tcPr>
            <w:tcW w:w="4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94"/>
              </w:rPr>
              <w:t>85%</w:t>
            </w:r>
          </w:p>
        </w:tc>
        <w:tc>
          <w:tcPr>
            <w:tcW w:w="240" w:type="dxa"/>
            <w:vAlign w:val="bottom"/>
            <w:gridSpan w:val="2"/>
          </w:tcPr>
          <w:p>
            <w:pPr>
              <w:spacing w:after="0"/>
              <w:rPr>
                <w:sz w:val="17"/>
                <w:szCs w:val="17"/>
                <w:color w:val="auto"/>
              </w:rPr>
            </w:pPr>
          </w:p>
        </w:tc>
        <w:tc>
          <w:tcPr>
            <w:tcW w:w="5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3,668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88"/>
              </w:rPr>
              <w:t>2,736</w:t>
            </w:r>
          </w:p>
        </w:tc>
        <w:tc>
          <w:tcPr>
            <w:tcW w:w="180" w:type="dxa"/>
            <w:vAlign w:val="bottom"/>
          </w:tcPr>
          <w:p>
            <w:pPr>
              <w:spacing w:after="0"/>
              <w:rPr>
                <w:sz w:val="17"/>
                <w:szCs w:val="17"/>
                <w:color w:val="auto"/>
              </w:rPr>
            </w:pPr>
          </w:p>
        </w:tc>
        <w:tc>
          <w:tcPr>
            <w:tcW w:w="360" w:type="dxa"/>
            <w:vAlign w:val="bottom"/>
            <w:gridSpan w:val="4"/>
          </w:tcPr>
          <w:p>
            <w:pPr>
              <w:jc w:val="center"/>
              <w:ind w:right="40"/>
              <w:spacing w:after="0" w:line="205" w:lineRule="exact"/>
              <w:rPr>
                <w:sz w:val="20"/>
                <w:szCs w:val="20"/>
                <w:color w:val="auto"/>
              </w:rPr>
            </w:pPr>
            <w:r>
              <w:rPr>
                <w:rFonts w:ascii="Arial" w:cs="Arial" w:eastAsia="Arial" w:hAnsi="Arial"/>
                <w:sz w:val="18"/>
                <w:szCs w:val="18"/>
                <w:color w:val="auto"/>
                <w:w w:val="88"/>
              </w:rPr>
              <w:t>75%</w:t>
            </w:r>
          </w:p>
        </w:tc>
      </w:tr>
      <w:tr>
        <w:trPr>
          <w:trHeight w:val="223"/>
        </w:trPr>
        <w:tc>
          <w:tcPr>
            <w:tcW w:w="3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14,180</w:t>
            </w:r>
          </w:p>
        </w:tc>
        <w:tc>
          <w:tcPr>
            <w:tcW w:w="20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8,647</w:t>
            </w:r>
          </w:p>
        </w:tc>
        <w:tc>
          <w:tcPr>
            <w:tcW w:w="2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5,533</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64%</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10,272</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3,908</w:t>
            </w:r>
          </w:p>
        </w:tc>
        <w:tc>
          <w:tcPr>
            <w:tcW w:w="180" w:type="dxa"/>
            <w:vAlign w:val="bottom"/>
          </w:tcPr>
          <w:p>
            <w:pPr>
              <w:spacing w:after="0"/>
              <w:rPr>
                <w:sz w:val="19"/>
                <w:szCs w:val="19"/>
                <w:color w:val="auto"/>
              </w:rPr>
            </w:pPr>
          </w:p>
        </w:tc>
        <w:tc>
          <w:tcPr>
            <w:tcW w:w="3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38%</w:t>
            </w: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505"/>
        </w:trPr>
        <w:tc>
          <w:tcPr>
            <w:tcW w:w="3320" w:type="dxa"/>
            <w:vAlign w:val="bottom"/>
          </w:tcPr>
          <w:p>
            <w:pPr>
              <w:spacing w:after="0"/>
              <w:rPr>
                <w:sz w:val="20"/>
                <w:szCs w:val="20"/>
                <w:color w:val="auto"/>
              </w:rPr>
            </w:pPr>
            <w:r>
              <w:rPr>
                <w:rFonts w:ascii="Arial" w:cs="Arial" w:eastAsia="Arial" w:hAnsi="Arial"/>
                <w:sz w:val="18"/>
                <w:szCs w:val="18"/>
                <w:color w:val="auto"/>
              </w:rPr>
              <w:t>ATE market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10,439</w:t>
            </w:r>
          </w:p>
        </w:tc>
        <w:tc>
          <w:tcPr>
            <w:tcW w:w="200" w:type="dxa"/>
            <w:vAlign w:val="bottom"/>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0"/>
              </w:rPr>
              <w:t>$6,069</w:t>
            </w:r>
          </w:p>
        </w:tc>
        <w:tc>
          <w:tcPr>
            <w:tcW w:w="2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$4,370</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72%</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$ 5,977</w:t>
            </w: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24"/>
                <w:szCs w:val="24"/>
                <w:color w:val="auto"/>
              </w:rPr>
            </w:pPr>
          </w:p>
        </w:tc>
        <w:tc>
          <w:tcPr>
            <w:tcW w:w="3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75%</w:t>
            </w:r>
          </w:p>
        </w:tc>
      </w:tr>
      <w:tr>
        <w:trPr>
          <w:trHeight w:val="205"/>
        </w:trPr>
        <w:tc>
          <w:tcPr>
            <w:tcW w:w="33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80" w:type="dxa"/>
            <w:vAlign w:val="bottom"/>
          </w:tcPr>
          <w:p>
            <w:pPr>
              <w:spacing w:after="0"/>
              <w:rPr>
                <w:sz w:val="17"/>
                <w:szCs w:val="17"/>
                <w:color w:val="auto"/>
              </w:rPr>
            </w:pP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3,741</w:t>
            </w:r>
          </w:p>
        </w:tc>
        <w:tc>
          <w:tcPr>
            <w:tcW w:w="20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7"/>
              </w:rPr>
              <w:t>2,578</w:t>
            </w:r>
          </w:p>
        </w:tc>
        <w:tc>
          <w:tcPr>
            <w:tcW w:w="24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Arial" w:cs="Arial" w:eastAsia="Arial" w:hAnsi="Arial"/>
                <w:sz w:val="18"/>
                <w:szCs w:val="18"/>
                <w:color w:val="auto"/>
                <w:w w:val="93"/>
              </w:rPr>
              <w:t>1,163</w:t>
            </w:r>
          </w:p>
        </w:tc>
        <w:tc>
          <w:tcPr>
            <w:tcW w:w="180" w:type="dxa"/>
            <w:vAlign w:val="bottom"/>
          </w:tcPr>
          <w:p>
            <w:pPr>
              <w:spacing w:after="0"/>
              <w:rPr>
                <w:sz w:val="17"/>
                <w:szCs w:val="17"/>
                <w:color w:val="auto"/>
              </w:rPr>
            </w:pPr>
          </w:p>
        </w:tc>
        <w:tc>
          <w:tcPr>
            <w:tcW w:w="4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w w:val="94"/>
              </w:rPr>
              <w:t>45%</w:t>
            </w:r>
          </w:p>
        </w:tc>
        <w:tc>
          <w:tcPr>
            <w:tcW w:w="240" w:type="dxa"/>
            <w:vAlign w:val="bottom"/>
            <w:gridSpan w:val="2"/>
          </w:tcPr>
          <w:p>
            <w:pPr>
              <w:spacing w:after="0"/>
              <w:rPr>
                <w:sz w:val="17"/>
                <w:szCs w:val="17"/>
                <w:color w:val="auto"/>
              </w:rPr>
            </w:pPr>
          </w:p>
        </w:tc>
        <w:tc>
          <w:tcPr>
            <w:tcW w:w="5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4,295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6"/>
          </w:tcPr>
          <w:p>
            <w:pPr>
              <w:ind w:left="80"/>
              <w:spacing w:after="0" w:line="205" w:lineRule="exact"/>
              <w:rPr>
                <w:sz w:val="20"/>
                <w:szCs w:val="20"/>
                <w:color w:val="auto"/>
              </w:rPr>
            </w:pPr>
            <w:r>
              <w:rPr>
                <w:rFonts w:ascii="Arial" w:cs="Arial" w:eastAsia="Arial" w:hAnsi="Arial"/>
                <w:sz w:val="18"/>
                <w:szCs w:val="18"/>
                <w:color w:val="auto"/>
                <w:w w:val="88"/>
              </w:rPr>
              <w:t>(554) (13)%</w:t>
            </w: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23"/>
        </w:trPr>
        <w:tc>
          <w:tcPr>
            <w:tcW w:w="3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14,180</w:t>
            </w:r>
          </w:p>
        </w:tc>
        <w:tc>
          <w:tcPr>
            <w:tcW w:w="20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8,647</w:t>
            </w:r>
          </w:p>
        </w:tc>
        <w:tc>
          <w:tcPr>
            <w:tcW w:w="2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5,533</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64%</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10,272</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3,908</w:t>
            </w:r>
          </w:p>
        </w:tc>
        <w:tc>
          <w:tcPr>
            <w:tcW w:w="180" w:type="dxa"/>
            <w:vAlign w:val="bottom"/>
          </w:tcPr>
          <w:p>
            <w:pPr>
              <w:spacing w:after="0"/>
              <w:rPr>
                <w:sz w:val="19"/>
                <w:szCs w:val="19"/>
                <w:color w:val="auto"/>
              </w:rPr>
            </w:pPr>
          </w:p>
        </w:tc>
        <w:tc>
          <w:tcPr>
            <w:tcW w:w="3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38%</w:t>
            </w: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Total consolidated net revenues for the quarter ended March 31, 2017 were $14.2 million compared to $8.6 million for the same period in 2016 and $10.3 million for the quarter ended December 31, 2016, reflecting the aforementioned strengthening in demand within the ATE and non-ATE markets. As a percent of our total consolidated net revenues, net revenues from customers in non-ATE markets were 26% in the first quarter of 2017 compared to 30% for the same period in 2016 and 42% for the fourth quarter of 2016.</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color w:val="auto"/>
        </w:rPr>
        <w:t>Both of our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347" w:right="25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MANAGEMENT'S DISCUSSION AND ANALYSIS OF FINANCIAL CONDITION AND RESULTS OF OPERATIONS </w:t>
      </w:r>
      <w:r>
        <w:rPr>
          <w:rFonts w:ascii="Arial" w:cs="Arial" w:eastAsia="Arial" w:hAnsi="Arial"/>
          <w:sz w:val="16"/>
          <w:szCs w:val="16"/>
          <w:color w:val="auto"/>
        </w:rPr>
        <w:t>(Continued)</w:t>
      </w:r>
    </w:p>
    <w:p>
      <w:pPr>
        <w:sectPr>
          <w:pgSz w:w="11900" w:h="16838" w:orient="portrait"/>
          <w:cols w:equalWidth="0" w:num="1">
            <w:col w:w="11400"/>
          </w:cols>
          <w:pgMar w:left="240" w:top="347" w:right="259" w:bottom="0" w:gutter="0" w:footer="0" w:header="0"/>
          <w:type w:val="continuous"/>
        </w:sectPr>
      </w:pPr>
    </w:p>
    <w:bookmarkStart w:id="15" w:name="page16"/>
    <w:bookmarkEnd w:id="15"/>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quarters ended March 31, 2017 and 2016, our OEM sales as a percentage of net revenues were 12% and 6%, respectively.</w:t>
      </w:r>
    </w:p>
    <w:p>
      <w:pPr>
        <w:spacing w:after="0" w:line="1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240"/>
        <w:spacing w:after="0" w:line="306" w:lineRule="auto"/>
        <w:rPr>
          <w:sz w:val="20"/>
          <w:szCs w:val="20"/>
          <w:color w:val="auto"/>
        </w:rPr>
      </w:pPr>
      <w:r>
        <w:rPr>
          <w:rFonts w:ascii="Arial" w:cs="Arial" w:eastAsia="Arial" w:hAnsi="Arial"/>
          <w:sz w:val="16"/>
          <w:szCs w:val="16"/>
          <w:color w:val="auto"/>
        </w:rPr>
        <w:t>The results of operations for our two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2017 Compared to Quarter Ended March 31, 2016</w:t>
      </w:r>
    </w:p>
    <w:p>
      <w:pPr>
        <w:spacing w:after="0" w:line="22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$14.2 million for the quarter ended March 31, 2017 compared to $8.6 million for the same period in 2016,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$5.5 million, or 64%. We believe the increase in our net revenues during the first quarter of 2017 primarily reflects the factors previously discussed in the Overview.</w:t>
      </w:r>
    </w:p>
    <w:p>
      <w:pPr>
        <w:spacing w:after="0" w:line="194"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55% for the quarter ended March 31, 2017 as compared to 47% for the same period in 2016.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our fixed operating costs increased $102,000 in absolute dollar terms, they were more fully absorbed due to the higher net revenue levels and, as a result, represented 10% of our net revenues for the first quarter of 2017 as compared to 16% for the same period in 2016. The $102,000 increase in the absolute dollar value of these costs primarily reflects higher salary and benefits expense for iTS as a result of an increased use of temporary labor for operations support due to the increased order and shipment activity.</w:t>
      </w:r>
    </w:p>
    <w:p>
      <w:pPr>
        <w:spacing w:after="0" w:line="170" w:lineRule="exact"/>
        <w:rPr>
          <w:sz w:val="20"/>
          <w:szCs w:val="20"/>
          <w:color w:val="auto"/>
        </w:rPr>
      </w:pPr>
    </w:p>
    <w:p>
      <w:pPr>
        <w:ind w:left="540" w:right="44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$1.7 million for the quarter ended March 31, 2017 compared to $1.3 million for the same period in 2016,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$333,000, or 25%. The increase primarily reflects higher levels of commission expense reflecting the higher net revenues, and to a lesser extent, an increase in travel expense for iTS.</w:t>
      </w:r>
    </w:p>
    <w:p>
      <w:pPr>
        <w:spacing w:after="0" w:line="19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$935,000 for the first quarter of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$991,000 for the same period in 2016, a decrease of $56,000, or 6%. The decrease in engineering and product development expense primarily reflects decreased spending on materials used in new product development for iTS.</w:t>
      </w:r>
    </w:p>
    <w:p>
      <w:pPr>
        <w:spacing w:after="0" w:line="194"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$2.0 million for the first quarter of 2017 compared to $1.6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2016, an increase of $349,000, or 21%. The increase primarily reflects higher salary and benefits expense and an increase in accruals for profit related bonuses. To a lesser extent there was also an increase in travel costs and professional fees.</w:t>
      </w:r>
    </w:p>
    <w:p>
      <w:pPr>
        <w:spacing w:after="0" w:line="161"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March 31, 2017, we recorded income tax expense of $1.1 million compared to $43,000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Our effective tax rate was 35% in each of the quarters ended March 31, 2017 and 2016. On a quarterly basis, we record income tax expense or benefit based on the expected annualized effective tax rate for the various taxing jurisdictions in which we operate our businesses.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21"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Mar. 31, 2017</w:t>
            </w:r>
          </w:p>
        </w:tc>
        <w:tc>
          <w:tcPr>
            <w:tcW w:w="160" w:type="dxa"/>
            <w:vAlign w:val="bottom"/>
          </w:tcPr>
          <w:p>
            <w:pPr>
              <w:spacing w:after="0"/>
              <w:rPr>
                <w:sz w:val="14"/>
                <w:szCs w:val="14"/>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2016</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$27,455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$28,611</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$35,134</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$32,950</w:t>
            </w:r>
          </w:p>
        </w:tc>
      </w:tr>
    </w:tbl>
    <w:p>
      <w:pPr>
        <w:spacing w:after="0" w:line="200" w:lineRule="exact"/>
        <w:rPr>
          <w:sz w:val="20"/>
          <w:szCs w:val="20"/>
          <w:color w:val="auto"/>
        </w:rPr>
      </w:pPr>
    </w:p>
    <w:p>
      <w:pPr>
        <w:spacing w:after="0" w:line="239"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As of March 31, 2017, $1.8 million of our cash and cash equivalents was held by our foreign subsidiaries. When these funds are needed for our operations in the U.S., we may be required to accrue and pay U.S. taxes if we repatriate certain of these funds.</w:t>
      </w:r>
    </w:p>
    <w:p>
      <w:pPr>
        <w:sectPr>
          <w:pgSz w:w="11900" w:h="16838" w:orient="portrait"/>
          <w:cols w:equalWidth="0" w:num="1">
            <w:col w:w="11420"/>
          </w:cols>
          <w:pgMar w:left="240" w:top="131" w:right="239" w:bottom="0" w:gutter="0" w:footer="0" w:header="0"/>
        </w:sectPr>
      </w:pPr>
    </w:p>
    <w:bookmarkStart w:id="16" w:name="page17"/>
    <w:bookmarkEnd w:id="16"/>
    <w:p>
      <w:pPr>
        <w:spacing w:after="0" w:line="43"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 and other corporate requirements.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40"/>
        <w:spacing w:after="0" w:line="314"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used in operations for the three months ended March 31, 2017 was $1.0 million. During the three months ended March 31,</w:t>
      </w:r>
      <w:r>
        <w:rPr>
          <w:rFonts w:ascii="Arial" w:cs="Arial" w:eastAsia="Arial" w:hAnsi="Arial"/>
          <w:sz w:val="15"/>
          <w:szCs w:val="15"/>
          <w:i w:val="1"/>
          <w:iCs w:val="1"/>
          <w:color w:val="auto"/>
        </w:rPr>
        <w:t xml:space="preserve"> </w:t>
      </w:r>
      <w:r>
        <w:rPr>
          <w:rFonts w:ascii="Arial" w:cs="Arial" w:eastAsia="Arial" w:hAnsi="Arial"/>
          <w:sz w:val="15"/>
          <w:szCs w:val="15"/>
          <w:color w:val="auto"/>
        </w:rPr>
        <w:t>2017, we recorded net earnings of $2.1 million. During the three months ended March 31, 2017, accounts receivable and accounts payable increased $4.4 million and $465,000, respectively, compared to the levels at the end of 2016. These increases primarily reflect increased business activity during the first quarter of 2017 as compared to the fourth quarter of 2016. During the three months ended March 31, 2017, domestic and foreign income taxes payable increased $1.1 million as a result of accruing taxes due on our income for the first quarter of 2017. During the three months ended March 31, 2017, accrued wages and benefits decreased $400,000, primarily reflecting the payment of profit-based bonuses that had been accrued on our earnings for 2016.</w:t>
      </w:r>
    </w:p>
    <w:p>
      <w:pPr>
        <w:spacing w:after="0" w:line="159"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2017, purchases of property and equipment were $114,000. We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for capital expenditures for the balance of 2017; however, depending upon changes in market demand or manufacturing and sales strategies, we may make such purchases or investments as we deem necessary and appropriate.</w:t>
      </w:r>
    </w:p>
    <w:p>
      <w:pPr>
        <w:spacing w:after="0" w:line="194"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three months ended March 31, 2017, we utilized $62,000 to repurchase 13,883 shares of our common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2015 Repurchase Plan.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2017, there have been no significant changes to the accounting policies that we have deemed critical. These policies are more fully described in our 2016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44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2017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1"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ectPr>
          <w:pgSz w:w="11900" w:h="16882" w:orient="portrait"/>
          <w:cols w:equalWidth="0" w:num="1">
            <w:col w:w="11400"/>
          </w:cols>
          <w:pgMar w:left="240" w:top="347" w:right="259" w:bottom="0" w:gutter="0" w:footer="0" w:header="0"/>
        </w:sectPr>
      </w:pPr>
    </w:p>
    <w:bookmarkStart w:id="17" w:name="page18"/>
    <w:bookmarkEnd w:id="17"/>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2016 filed with the Securities and Exchange Commission on March 27,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provides information with respect to purchases made by us, or on our behalf, of our common stock during the three months ended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31, 2017:</w:t>
      </w:r>
    </w:p>
    <w:p>
      <w:pPr>
        <w:spacing w:after="0" w:line="21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3"/>
              </w:rPr>
              <w:t>Total Number of</w:t>
            </w:r>
          </w:p>
        </w:tc>
        <w:tc>
          <w:tcPr>
            <w:tcW w:w="3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Approximate Dollar</w:t>
            </w:r>
          </w:p>
        </w:tc>
      </w:tr>
      <w:tr>
        <w:trPr>
          <w:trHeight w:val="149"/>
        </w:trPr>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Shares Purchased</w:t>
            </w:r>
          </w:p>
        </w:tc>
        <w:tc>
          <w:tcPr>
            <w:tcW w:w="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gridSpan w:val="4"/>
          </w:tcPr>
          <w:p>
            <w:pPr>
              <w:jc w:val="center"/>
              <w:ind w:left="699"/>
              <w:spacing w:after="0" w:line="149" w:lineRule="exact"/>
              <w:rPr>
                <w:sz w:val="20"/>
                <w:szCs w:val="20"/>
                <w:color w:val="auto"/>
              </w:rPr>
            </w:pPr>
            <w:r>
              <w:rPr>
                <w:rFonts w:ascii="Arial" w:cs="Arial" w:eastAsia="Arial" w:hAnsi="Arial"/>
                <w:sz w:val="14"/>
                <w:szCs w:val="14"/>
                <w:b w:val="1"/>
                <w:bCs w:val="1"/>
                <w:i w:val="1"/>
                <w:iCs w:val="1"/>
                <w:color w:val="auto"/>
                <w:w w:val="86"/>
              </w:rPr>
              <w:t>Total Number</w:t>
            </w:r>
          </w:p>
        </w:tc>
        <w:tc>
          <w:tcPr>
            <w:tcW w:w="1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as Part of Publicly</w:t>
            </w:r>
          </w:p>
        </w:tc>
        <w:tc>
          <w:tcPr>
            <w:tcW w:w="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That May Yet Be</w:t>
            </w:r>
          </w:p>
        </w:tc>
      </w:tr>
      <w:tr>
        <w:trPr>
          <w:trHeight w:val="149"/>
        </w:trPr>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4"/>
              </w:rPr>
              <w:t>of Shares</w:t>
            </w: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Announced Plans</w:t>
            </w:r>
          </w:p>
        </w:tc>
        <w:tc>
          <w:tcPr>
            <w:tcW w:w="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38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Period</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Repurchased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500"/>
              <w:spacing w:after="0" w:line="146" w:lineRule="exact"/>
              <w:rPr>
                <w:sz w:val="20"/>
                <w:szCs w:val="20"/>
                <w:color w:val="auto"/>
              </w:rPr>
            </w:pPr>
            <w:r>
              <w:rPr>
                <w:rFonts w:ascii="Arial" w:cs="Arial" w:eastAsia="Arial" w:hAnsi="Arial"/>
                <w:sz w:val="14"/>
                <w:szCs w:val="14"/>
                <w:b w:val="1"/>
                <w:bCs w:val="1"/>
                <w:i w:val="1"/>
                <w:iCs w:val="1"/>
                <w:color w:val="auto"/>
                <w:w w:val="85"/>
              </w:rPr>
              <w:t>Per Share</w:t>
            </w:r>
          </w:p>
        </w:tc>
        <w:tc>
          <w:tcPr>
            <w:tcW w:w="1040" w:type="dxa"/>
            <w:vAlign w:val="bottom"/>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or Programs</w:t>
            </w:r>
          </w:p>
        </w:tc>
        <w:tc>
          <w:tcPr>
            <w:tcW w:w="1620" w:type="dxa"/>
            <w:vAlign w:val="bottom"/>
            <w:gridSpan w:val="2"/>
          </w:tcPr>
          <w:p>
            <w:pPr>
              <w:jc w:val="center"/>
              <w:ind w:left="277"/>
              <w:spacing w:after="0" w:line="146" w:lineRule="exact"/>
              <w:rPr>
                <w:sz w:val="20"/>
                <w:szCs w:val="20"/>
                <w:color w:val="auto"/>
              </w:rPr>
            </w:pPr>
            <w:r>
              <w:rPr>
                <w:rFonts w:ascii="Arial" w:cs="Arial" w:eastAsia="Arial" w:hAnsi="Arial"/>
                <w:sz w:val="14"/>
                <w:szCs w:val="14"/>
                <w:b w:val="1"/>
                <w:bCs w:val="1"/>
                <w:i w:val="1"/>
                <w:iCs w:val="1"/>
                <w:color w:val="auto"/>
                <w:w w:val="84"/>
              </w:rPr>
              <w:t>the Plans or Programs</w:t>
            </w:r>
          </w:p>
        </w:tc>
      </w:tr>
      <w:tr>
        <w:trPr>
          <w:trHeight w:val="20"/>
        </w:trPr>
        <w:tc>
          <w:tcPr>
            <w:tcW w:w="3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35"/>
        </w:trPr>
        <w:tc>
          <w:tcPr>
            <w:tcW w:w="1980" w:type="dxa"/>
            <w:vAlign w:val="bottom"/>
            <w:gridSpan w:val="2"/>
          </w:tcPr>
          <w:p>
            <w:pPr>
              <w:spacing w:after="0"/>
              <w:rPr>
                <w:sz w:val="20"/>
                <w:szCs w:val="20"/>
                <w:color w:val="auto"/>
              </w:rPr>
            </w:pPr>
            <w:r>
              <w:rPr>
                <w:rFonts w:ascii="Arial" w:cs="Arial" w:eastAsia="Arial" w:hAnsi="Arial"/>
                <w:sz w:val="18"/>
                <w:szCs w:val="18"/>
                <w:color w:val="auto"/>
              </w:rPr>
              <w:t>January 1-31</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13,883</w:t>
            </w:r>
          </w:p>
        </w:tc>
        <w:tc>
          <w:tcPr>
            <w:tcW w:w="200" w:type="dxa"/>
            <w:vAlign w:val="bottom"/>
          </w:tcPr>
          <w:p>
            <w:pPr>
              <w:spacing w:after="0"/>
              <w:rPr>
                <w:sz w:val="20"/>
                <w:szCs w:val="20"/>
                <w:color w:val="auto"/>
              </w:rPr>
            </w:pPr>
          </w:p>
        </w:tc>
        <w:tc>
          <w:tcPr>
            <w:tcW w:w="740" w:type="dxa"/>
            <w:vAlign w:val="bottom"/>
            <w:gridSpan w:val="2"/>
          </w:tcPr>
          <w:p>
            <w:pPr>
              <w:jc w:val="center"/>
              <w:ind w:left="96"/>
              <w:spacing w:after="0"/>
              <w:rPr>
                <w:sz w:val="20"/>
                <w:szCs w:val="20"/>
                <w:color w:val="auto"/>
              </w:rPr>
            </w:pPr>
            <w:r>
              <w:rPr>
                <w:rFonts w:ascii="Arial" w:cs="Arial" w:eastAsia="Arial" w:hAnsi="Arial"/>
                <w:sz w:val="18"/>
                <w:szCs w:val="18"/>
                <w:color w:val="auto"/>
                <w:w w:val="88"/>
              </w:rPr>
              <w:t>$4.49</w:t>
            </w:r>
          </w:p>
        </w:tc>
        <w:tc>
          <w:tcPr>
            <w:tcW w:w="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tcPr>
          <w:p>
            <w:pPr>
              <w:spacing w:after="0"/>
              <w:rPr>
                <w:sz w:val="20"/>
                <w:szCs w:val="20"/>
                <w:color w:val="auto"/>
              </w:rPr>
            </w:pPr>
          </w:p>
        </w:tc>
        <w:tc>
          <w:tcPr>
            <w:tcW w:w="1620" w:type="dxa"/>
            <w:vAlign w:val="bottom"/>
            <w:gridSpan w:val="2"/>
          </w:tcPr>
          <w:p>
            <w:pPr>
              <w:jc w:val="center"/>
              <w:ind w:left="277"/>
              <w:spacing w:after="0"/>
              <w:rPr>
                <w:sz w:val="20"/>
                <w:szCs w:val="20"/>
                <w:color w:val="auto"/>
              </w:rPr>
            </w:pPr>
            <w:r>
              <w:rPr>
                <w:rFonts w:ascii="Arial" w:cs="Arial" w:eastAsia="Arial" w:hAnsi="Arial"/>
                <w:sz w:val="18"/>
                <w:szCs w:val="18"/>
                <w:color w:val="auto"/>
                <w:w w:val="86"/>
              </w:rPr>
              <w:t>$3,812,000</w:t>
            </w:r>
          </w:p>
        </w:tc>
      </w:tr>
      <w:tr>
        <w:trPr>
          <w:trHeight w:val="243"/>
        </w:trPr>
        <w:tc>
          <w:tcPr>
            <w:tcW w:w="1980" w:type="dxa"/>
            <w:vAlign w:val="bottom"/>
            <w:gridSpan w:val="2"/>
          </w:tcPr>
          <w:p>
            <w:pPr>
              <w:spacing w:after="0"/>
              <w:rPr>
                <w:sz w:val="20"/>
                <w:szCs w:val="20"/>
                <w:color w:val="auto"/>
              </w:rPr>
            </w:pPr>
            <w:r>
              <w:rPr>
                <w:rFonts w:ascii="Arial" w:cs="Arial" w:eastAsia="Arial" w:hAnsi="Arial"/>
                <w:sz w:val="18"/>
                <w:szCs w:val="18"/>
                <w:color w:val="auto"/>
              </w:rPr>
              <w:t>February 1-28</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20" w:type="dxa"/>
            <w:vAlign w:val="bottom"/>
            <w:gridSpan w:val="2"/>
          </w:tcPr>
          <w:p>
            <w:pPr>
              <w:jc w:val="center"/>
              <w:ind w:left="277"/>
              <w:spacing w:after="0"/>
              <w:rPr>
                <w:sz w:val="20"/>
                <w:szCs w:val="20"/>
                <w:color w:val="auto"/>
              </w:rPr>
            </w:pPr>
            <w:r>
              <w:rPr>
                <w:rFonts w:ascii="Arial" w:cs="Arial" w:eastAsia="Arial" w:hAnsi="Arial"/>
                <w:sz w:val="18"/>
                <w:szCs w:val="18"/>
                <w:color w:val="auto"/>
                <w:w w:val="86"/>
              </w:rPr>
              <w:t>$3,812,000</w:t>
            </w:r>
          </w:p>
        </w:tc>
      </w:tr>
      <w:tr>
        <w:trPr>
          <w:trHeight w:val="205"/>
        </w:trPr>
        <w:tc>
          <w:tcPr>
            <w:tcW w:w="1980" w:type="dxa"/>
            <w:vAlign w:val="bottom"/>
            <w:gridSpan w:val="2"/>
          </w:tcPr>
          <w:p>
            <w:pPr>
              <w:spacing w:after="0" w:line="205" w:lineRule="exact"/>
              <w:rPr>
                <w:sz w:val="20"/>
                <w:szCs w:val="20"/>
                <w:color w:val="auto"/>
              </w:rPr>
            </w:pPr>
            <w:r>
              <w:rPr>
                <w:rFonts w:ascii="Arial" w:cs="Arial" w:eastAsia="Arial" w:hAnsi="Arial"/>
                <w:sz w:val="18"/>
                <w:szCs w:val="18"/>
                <w:color w:val="auto"/>
              </w:rPr>
              <w:t>March 1-31</w:t>
            </w:r>
          </w:p>
        </w:tc>
        <w:tc>
          <w:tcPr>
            <w:tcW w:w="1240" w:type="dxa"/>
            <w:vAlign w:val="bottom"/>
            <w:gridSpan w:val="2"/>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gridSpan w:val="2"/>
          </w:tcPr>
          <w:p>
            <w:pPr>
              <w:jc w:val="center"/>
              <w:ind w:left="116"/>
              <w:spacing w:after="0" w:line="205" w:lineRule="exact"/>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20" w:type="dxa"/>
            <w:vAlign w:val="bottom"/>
            <w:gridSpan w:val="2"/>
          </w:tcPr>
          <w:p>
            <w:pPr>
              <w:jc w:val="center"/>
              <w:ind w:left="277"/>
              <w:spacing w:after="0" w:line="205" w:lineRule="exact"/>
              <w:rPr>
                <w:sz w:val="20"/>
                <w:szCs w:val="20"/>
                <w:color w:val="auto"/>
              </w:rPr>
            </w:pPr>
            <w:r>
              <w:rPr>
                <w:rFonts w:ascii="Arial" w:cs="Arial" w:eastAsia="Arial" w:hAnsi="Arial"/>
                <w:sz w:val="18"/>
                <w:szCs w:val="18"/>
                <w:color w:val="auto"/>
                <w:w w:val="86"/>
              </w:rPr>
              <w:t>$3,812,000</w:t>
            </w: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7"/>
              </w:rPr>
              <w:t>13,883</w:t>
            </w:r>
          </w:p>
        </w:tc>
        <w:tc>
          <w:tcPr>
            <w:tcW w:w="200" w:type="dxa"/>
            <w:vAlign w:val="bottom"/>
          </w:tcPr>
          <w:p>
            <w:pPr>
              <w:spacing w:after="0"/>
              <w:rPr>
                <w:sz w:val="19"/>
                <w:szCs w:val="19"/>
                <w:color w:val="auto"/>
              </w:rPr>
            </w:pPr>
          </w:p>
        </w:tc>
        <w:tc>
          <w:tcPr>
            <w:tcW w:w="740" w:type="dxa"/>
            <w:vAlign w:val="bottom"/>
            <w:gridSpan w:val="2"/>
          </w:tcPr>
          <w:p>
            <w:pPr>
              <w:jc w:val="center"/>
              <w:ind w:left="96"/>
              <w:spacing w:after="0"/>
              <w:rPr>
                <w:sz w:val="20"/>
                <w:szCs w:val="20"/>
                <w:color w:val="auto"/>
              </w:rPr>
            </w:pPr>
            <w:r>
              <w:rPr>
                <w:rFonts w:ascii="Arial" w:cs="Arial" w:eastAsia="Arial" w:hAnsi="Arial"/>
                <w:sz w:val="18"/>
                <w:szCs w:val="18"/>
                <w:color w:val="auto"/>
                <w:w w:val="88"/>
              </w:rPr>
              <w:t>$4.49</w:t>
            </w:r>
          </w:p>
        </w:tc>
        <w:tc>
          <w:tcPr>
            <w:tcW w:w="5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Exchange Act, or in privately negotiated transactions (the "2015 Repurchase Plan"). Repurchases may also be made under trading plans entered into with RW Baird &amp; Co. (each a "10b5-1 Plan"), which permits shares to be repurchased when we might otherwise be precluded from doing so under insider trading laws. The timing, price and amount of any shares repurchased under the 2015 Repurchase Plan is determined by our management, based on our evaluation of market conditions and other factors. To date, all purchases have been made in accordance with 10b5-1 Plans, including the 10b5-1 Plan that is currently in place which was entered into on August 8, 2016, and provided for purchases to be made so long as the price did not exceed a maximum price. Recently, the price of our shares has exceeded the cap. Management is considering new parameters for future purchases.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4"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During the three months ended March 31, 2017 we repurchased 13,883 shares under the 2015 Repurchase Plan. The total cost to repurchase these shares was $62,000. As of March 31, 2017, we had repurchased a total of 297,020 shares under the 2015 Repurchase Plan at a cost of $1.2 million. All of the repurchased shares were retired.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ectPr>
          <w:pgSz w:w="11900" w:h="16892" w:orient="portrait"/>
          <w:cols w:equalWidth="0" w:num="1">
            <w:col w:w="11400"/>
          </w:cols>
          <w:pgMar w:left="240" w:top="341" w:right="259" w:bottom="0" w:gutter="0" w:footer="0" w:header="0"/>
        </w:sectPr>
      </w:pPr>
    </w:p>
    <w:bookmarkStart w:id="18" w:name="page19"/>
    <w:bookmarkEnd w:id="18"/>
    <w:p>
      <w:pPr>
        <w:ind w:left="4260"/>
        <w:spacing w:after="0"/>
        <w:rPr>
          <w:sz w:val="20"/>
          <w:szCs w:val="20"/>
          <w:color w:val="auto"/>
        </w:rPr>
      </w:pPr>
      <w:r>
        <w:rPr>
          <w:rFonts w:ascii="Arial" w:cs="Arial" w:eastAsia="Arial" w:hAnsi="Arial"/>
          <w:sz w:val="18"/>
          <w:szCs w:val="18"/>
          <w:color w:val="auto"/>
        </w:rPr>
        <w:t>_________________________________</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88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w w:val="87"/>
              </w:rPr>
              <w:t>May 12, 2017</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8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w w:val="87"/>
              </w:rPr>
              <w:t>May 12, 2017</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2017 Executive Compensation Plan (1)</w:t>
      </w:r>
    </w:p>
    <w:p>
      <w:pPr>
        <w:spacing w:after="0" w:line="3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w:t>
      </w:r>
    </w:p>
    <w:p>
      <w:pPr>
        <w:spacing w:after="0" w:line="3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w:t>
      </w:r>
    </w:p>
    <w:p>
      <w:pPr>
        <w:spacing w:after="0" w:line="3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906 of the Sarbanes-Oxley Act of 2002.</w:t>
      </w:r>
    </w:p>
    <w:p>
      <w:pPr>
        <w:spacing w:after="0" w:line="30"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906 of the Sarbanes-Oxley Act of 2002.</w:t>
      </w:r>
    </w:p>
    <w:p>
      <w:pPr>
        <w:spacing w:after="0" w:line="273" w:lineRule="exact"/>
        <w:rPr>
          <w:sz w:val="20"/>
          <w:szCs w:val="20"/>
          <w:color w:val="auto"/>
        </w:rPr>
      </w:pPr>
    </w:p>
    <w:p>
      <w:pPr>
        <w:ind w:left="620" w:right="2700" w:hanging="598"/>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March 15, 2017, File No. 001-36117, filed March 20, 2017, and incorporated herein by reference.</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620" w:hanging="96"/>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40"/>
          </w:cols>
          <w:pgMar w:left="240" w:top="523" w:right="71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12,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12,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2017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12,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2017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12,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2019-12-06T07:09:23Z</dcterms:created>
  <dcterms:modified xsi:type="dcterms:W3CDTF">2019-12-06T07:09:23Z</dcterms:modified>
</cp:coreProperties>
</file>