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188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135890</wp:posOffset>
            </wp:positionV>
            <wp:extent cx="11188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2011</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874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 YES ____ NO ____</w:t>
      </w:r>
    </w:p>
    <w:p>
      <w:pPr>
        <w:spacing w:after="0" w:line="194"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340" w:type="dxa"/>
            <w:vAlign w:val="bottom"/>
          </w:tcPr>
          <w:p>
            <w:pPr>
              <w:jc w:val="right"/>
              <w:ind w:right="2912"/>
              <w:spacing w:after="0"/>
              <w:rPr>
                <w:sz w:val="20"/>
                <w:szCs w:val="20"/>
                <w:color w:val="auto"/>
              </w:rPr>
            </w:pPr>
            <w:r>
              <w:rPr>
                <w:rFonts w:ascii="Arial" w:cs="Arial" w:eastAsia="Arial" w:hAnsi="Arial"/>
                <w:sz w:val="18"/>
                <w:szCs w:val="18"/>
                <w:color w:val="auto"/>
              </w:rPr>
              <w:t>___</w:t>
            </w:r>
          </w:p>
        </w:tc>
        <w:tc>
          <w:tcPr>
            <w:tcW w:w="2780" w:type="dxa"/>
            <w:vAlign w:val="bottom"/>
            <w:gridSpan w:val="2"/>
          </w:tcPr>
          <w:p>
            <w:pPr>
              <w:ind w:left="500"/>
              <w:spacing w:after="0"/>
              <w:rPr>
                <w:sz w:val="20"/>
                <w:szCs w:val="20"/>
                <w:color w:val="auto"/>
              </w:rPr>
            </w:pPr>
            <w:r>
              <w:rPr>
                <w:rFonts w:ascii="Arial" w:cs="Arial" w:eastAsia="Arial" w:hAnsi="Arial"/>
                <w:sz w:val="18"/>
                <w:szCs w:val="18"/>
                <w:color w:val="auto"/>
              </w:rPr>
              <w:t>Accelerated filer ___</w:t>
            </w:r>
          </w:p>
        </w:tc>
      </w:tr>
      <w:tr>
        <w:trPr>
          <w:trHeight w:val="184"/>
        </w:trPr>
        <w:tc>
          <w:tcPr>
            <w:tcW w:w="1600" w:type="dxa"/>
            <w:vAlign w:val="bottom"/>
          </w:tcPr>
          <w:p>
            <w:pPr>
              <w:spacing w:after="0" w:line="184" w:lineRule="exact"/>
              <w:rPr>
                <w:sz w:val="20"/>
                <w:szCs w:val="20"/>
                <w:color w:val="auto"/>
              </w:rPr>
            </w:pPr>
            <w:r>
              <w:rPr>
                <w:rFonts w:ascii="Arial" w:cs="Arial" w:eastAsia="Arial" w:hAnsi="Arial"/>
                <w:sz w:val="18"/>
                <w:szCs w:val="18"/>
                <w:color w:val="auto"/>
                <w:w w:val="95"/>
              </w:rPr>
              <w:t>Non-accelerated filer</w:t>
            </w:r>
          </w:p>
        </w:tc>
        <w:tc>
          <w:tcPr>
            <w:tcW w:w="3340" w:type="dxa"/>
            <w:vAlign w:val="bottom"/>
          </w:tcPr>
          <w:p>
            <w:pPr>
              <w:jc w:val="right"/>
              <w:ind w:right="41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780" w:type="dxa"/>
            <w:vAlign w:val="bottom"/>
            <w:gridSpan w:val="2"/>
          </w:tcPr>
          <w:p>
            <w:pPr>
              <w:ind w:left="560"/>
              <w:spacing w:after="0" w:line="184" w:lineRule="exact"/>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April 30, 2011:</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10,364,606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1874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7900" w:type="dxa"/>
            <w:vAlign w:val="bottom"/>
          </w:tcPr>
          <w:p>
            <w:pPr>
              <w:ind w:left="4720"/>
              <w:spacing w:after="0"/>
              <w:rPr>
                <w:sz w:val="20"/>
                <w:szCs w:val="20"/>
                <w:color w:val="auto"/>
              </w:rPr>
            </w:pPr>
            <w:r>
              <w:rPr>
                <w:rFonts w:ascii="Arial" w:cs="Arial" w:eastAsia="Arial" w:hAnsi="Arial"/>
                <w:sz w:val="18"/>
                <w:szCs w:val="18"/>
                <w:b w:val="1"/>
                <w:bCs w:val="1"/>
                <w:color w:val="auto"/>
              </w:rPr>
              <w:t>inTEST CORPORATION</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7900" w:type="dxa"/>
            <w:vAlign w:val="bottom"/>
          </w:tcPr>
          <w:p>
            <w:pPr>
              <w:ind w:left="542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79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900" w:type="dxa"/>
            <w:vAlign w:val="bottom"/>
          </w:tcPr>
          <w:p>
            <w:pPr>
              <w:spacing w:after="0"/>
              <w:rPr>
                <w:sz w:val="17"/>
                <w:szCs w:val="17"/>
                <w:color w:val="auto"/>
              </w:rPr>
            </w:pPr>
          </w:p>
        </w:tc>
        <w:tc>
          <w:tcPr>
            <w:tcW w:w="1300" w:type="dxa"/>
            <w:vAlign w:val="bottom"/>
            <w:gridSpan w:val="2"/>
          </w:tcPr>
          <w:p>
            <w:pPr>
              <w:jc w:val="center"/>
              <w:ind w:left="85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9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7900" w:type="dxa"/>
            <w:vAlign w:val="bottom"/>
          </w:tcPr>
          <w:p>
            <w:pPr>
              <w:ind w:left="760"/>
              <w:spacing w:after="0"/>
              <w:rPr>
                <w:sz w:val="20"/>
                <w:szCs w:val="20"/>
                <w:color w:val="auto"/>
              </w:rPr>
            </w:pPr>
            <w:r>
              <w:rPr>
                <w:rFonts w:ascii="Arial" w:cs="Arial" w:eastAsia="Arial" w:hAnsi="Arial"/>
                <w:sz w:val="18"/>
                <w:szCs w:val="18"/>
                <w:color w:val="auto"/>
              </w:rPr>
              <w:t>Consolidated Balance Sheets as of March 31, 2011 (Unaudited) and December 31, 2010</w:t>
            </w:r>
          </w:p>
        </w:tc>
        <w:tc>
          <w:tcPr>
            <w:tcW w:w="130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1</w:t>
            </w:r>
          </w:p>
        </w:tc>
      </w:tr>
      <w:tr>
        <w:trPr>
          <w:trHeight w:val="237"/>
        </w:trPr>
        <w:tc>
          <w:tcPr>
            <w:tcW w:w="7900" w:type="dxa"/>
            <w:vAlign w:val="bottom"/>
          </w:tcPr>
          <w:p>
            <w:pPr>
              <w:ind w:left="760"/>
              <w:spacing w:after="0"/>
              <w:rPr>
                <w:sz w:val="20"/>
                <w:szCs w:val="20"/>
                <w:color w:val="auto"/>
              </w:rPr>
            </w:pPr>
            <w:r>
              <w:rPr>
                <w:rFonts w:ascii="Arial" w:cs="Arial" w:eastAsia="Arial" w:hAnsi="Arial"/>
                <w:sz w:val="18"/>
                <w:szCs w:val="18"/>
                <w:color w:val="auto"/>
              </w:rPr>
              <w:t>Unaudited Consolidated Statements of Operations for the three months ended March 31,</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900" w:type="dxa"/>
            <w:vAlign w:val="bottom"/>
          </w:tcPr>
          <w:p>
            <w:pPr>
              <w:ind w:left="880"/>
              <w:spacing w:after="0"/>
              <w:rPr>
                <w:sz w:val="20"/>
                <w:szCs w:val="20"/>
                <w:color w:val="auto"/>
              </w:rPr>
            </w:pPr>
            <w:r>
              <w:rPr>
                <w:rFonts w:ascii="Arial" w:cs="Arial" w:eastAsia="Arial" w:hAnsi="Arial"/>
                <w:sz w:val="18"/>
                <w:szCs w:val="18"/>
                <w:color w:val="auto"/>
              </w:rPr>
              <w:t>2011 and 2010</w:t>
            </w:r>
          </w:p>
        </w:tc>
        <w:tc>
          <w:tcPr>
            <w:tcW w:w="130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2</w:t>
            </w:r>
          </w:p>
        </w:tc>
      </w:tr>
      <w:tr>
        <w:trPr>
          <w:trHeight w:val="237"/>
        </w:trPr>
        <w:tc>
          <w:tcPr>
            <w:tcW w:w="7900" w:type="dxa"/>
            <w:vAlign w:val="bottom"/>
          </w:tcPr>
          <w:p>
            <w:pPr>
              <w:ind w:left="76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900" w:type="dxa"/>
            <w:vAlign w:val="bottom"/>
          </w:tcPr>
          <w:p>
            <w:pPr>
              <w:ind w:left="880"/>
              <w:spacing w:after="0"/>
              <w:rPr>
                <w:sz w:val="20"/>
                <w:szCs w:val="20"/>
                <w:color w:val="auto"/>
              </w:rPr>
            </w:pPr>
            <w:r>
              <w:rPr>
                <w:rFonts w:ascii="Arial" w:cs="Arial" w:eastAsia="Arial" w:hAnsi="Arial"/>
                <w:sz w:val="18"/>
                <w:szCs w:val="18"/>
                <w:color w:val="auto"/>
              </w:rPr>
              <w:t>ended March 31, 2011 and 2010</w:t>
            </w:r>
          </w:p>
        </w:tc>
        <w:tc>
          <w:tcPr>
            <w:tcW w:w="130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3</w:t>
            </w:r>
          </w:p>
        </w:tc>
      </w:tr>
      <w:tr>
        <w:trPr>
          <w:trHeight w:val="237"/>
        </w:trPr>
        <w:tc>
          <w:tcPr>
            <w:tcW w:w="7900" w:type="dxa"/>
            <w:vAlign w:val="bottom"/>
          </w:tcPr>
          <w:p>
            <w:pPr>
              <w:ind w:left="760"/>
              <w:spacing w:after="0"/>
              <w:rPr>
                <w:sz w:val="20"/>
                <w:szCs w:val="20"/>
                <w:color w:val="auto"/>
              </w:rPr>
            </w:pPr>
            <w:r>
              <w:rPr>
                <w:rFonts w:ascii="Arial" w:cs="Arial" w:eastAsia="Arial" w:hAnsi="Arial"/>
                <w:sz w:val="18"/>
                <w:szCs w:val="18"/>
                <w:color w:val="auto"/>
              </w:rPr>
              <w:t>Unaudited Consolidated Statement of Stockholders' Equity for the three months ended</w:t>
            </w:r>
          </w:p>
        </w:tc>
        <w:tc>
          <w:tcPr>
            <w:tcW w:w="1300" w:type="dxa"/>
            <w:vAlign w:val="bottom"/>
            <w:gridSpan w:val="2"/>
          </w:tcPr>
          <w:p>
            <w:pPr>
              <w:jc w:val="center"/>
              <w:ind w:left="852"/>
              <w:spacing w:after="0"/>
              <w:rPr>
                <w:sz w:val="20"/>
                <w:szCs w:val="20"/>
                <w:color w:val="auto"/>
              </w:rPr>
            </w:pPr>
            <w:r>
              <w:rPr>
                <w:rFonts w:ascii="Arial" w:cs="Arial" w:eastAsia="Arial" w:hAnsi="Arial"/>
                <w:sz w:val="18"/>
                <w:szCs w:val="18"/>
                <w:color w:val="auto"/>
                <w:w w:val="79"/>
              </w:rPr>
              <w:t>4</w:t>
            </w:r>
          </w:p>
        </w:tc>
      </w:tr>
      <w:tr>
        <w:trPr>
          <w:trHeight w:val="222"/>
        </w:trPr>
        <w:tc>
          <w:tcPr>
            <w:tcW w:w="7900" w:type="dxa"/>
            <w:vAlign w:val="bottom"/>
          </w:tcPr>
          <w:p>
            <w:pPr>
              <w:ind w:left="880"/>
              <w:spacing w:after="0"/>
              <w:rPr>
                <w:sz w:val="20"/>
                <w:szCs w:val="20"/>
                <w:color w:val="auto"/>
              </w:rPr>
            </w:pPr>
            <w:r>
              <w:rPr>
                <w:rFonts w:ascii="Arial" w:cs="Arial" w:eastAsia="Arial" w:hAnsi="Arial"/>
                <w:sz w:val="18"/>
                <w:szCs w:val="18"/>
                <w:color w:val="auto"/>
              </w:rPr>
              <w:t>March 31, 2011</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95"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79"/>
              </w:rPr>
              <w:t>5</w:t>
            </w:r>
          </w:p>
        </w:tc>
      </w:tr>
      <w:tr>
        <w:trPr>
          <w:trHeight w:val="222"/>
        </w:trPr>
        <w:tc>
          <w:tcPr>
            <w:tcW w:w="7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March 31, 2011 and 2010</w:t>
            </w:r>
          </w:p>
        </w:tc>
        <w:tc>
          <w:tcPr>
            <w:tcW w:w="124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86"/>
              </w:rPr>
              <w:t>6 - 16</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16 - 22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22 - 23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[Removed and Reserved]</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23</w:t>
            </w:r>
          </w:p>
        </w:tc>
      </w:tr>
      <w:tr>
        <w:trPr>
          <w:trHeight w:val="486"/>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24</w:t>
            </w:r>
          </w:p>
        </w:tc>
      </w:tr>
      <w:tr>
        <w:trPr>
          <w:trHeight w:val="24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$ 5,248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$ 6,895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$151 and $150,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8,833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6,244</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4,003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3,489</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267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430</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18,351</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17,058</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3,627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3,534</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507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765</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4,134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4,299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(2,891)</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(3,581)</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1,243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718</w:t>
            </w:r>
          </w:p>
        </w:tc>
        <w:tc>
          <w:tcPr>
            <w:tcW w:w="100" w:type="dxa"/>
            <w:vAlign w:val="bottom"/>
          </w:tcPr>
          <w:p>
            <w:pPr>
              <w:spacing w:after="0"/>
              <w:rPr>
                <w:sz w:val="15"/>
                <w:szCs w:val="15"/>
                <w:color w:val="auto"/>
              </w:rPr>
            </w:pPr>
          </w:p>
        </w:tc>
      </w:tr>
      <w:tr>
        <w:trPr>
          <w:trHeight w:val="424"/>
        </w:trPr>
        <w:tc>
          <w:tcPr>
            <w:tcW w:w="6880" w:type="dxa"/>
            <w:vAlign w:val="bottom"/>
          </w:tcPr>
          <w:p>
            <w:pPr>
              <w:spacing w:after="0"/>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199</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$23,204</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$ 2,325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$ 1,672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1,296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522</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497</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45"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ind w:left="220"/>
              <w:spacing w:after="0"/>
              <w:rPr>
                <w:sz w:val="20"/>
                <w:szCs w:val="20"/>
                <w:color w:val="auto"/>
              </w:rPr>
            </w:pPr>
            <w:r>
              <w:rPr>
                <w:rFonts w:ascii="Courier New" w:cs="Courier New" w:eastAsia="Courier New" w:hAnsi="Courier New"/>
                <w:sz w:val="18"/>
                <w:szCs w:val="18"/>
                <w:color w:val="auto"/>
              </w:rPr>
              <w:t>Domestic and foreign income taxes payable</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33</w:t>
            </w:r>
          </w:p>
        </w:tc>
        <w:tc>
          <w:tcPr>
            <w:tcW w:w="1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30</w:t>
            </w:r>
          </w:p>
        </w:tc>
        <w:tc>
          <w:tcPr>
            <w:tcW w:w="100" w:type="dxa"/>
            <w:vAlign w:val="bottom"/>
          </w:tcPr>
          <w:p>
            <w:pPr>
              <w:spacing w:after="0"/>
              <w:rPr>
                <w:sz w:val="17"/>
                <w:szCs w:val="17"/>
                <w:color w:val="auto"/>
              </w:rPr>
            </w:pPr>
          </w:p>
        </w:tc>
      </w:tr>
      <w:tr>
        <w:trPr>
          <w:trHeight w:val="164"/>
        </w:trPr>
        <w:tc>
          <w:tcPr>
            <w:tcW w:w="68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Deferred rent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100" w:type="dxa"/>
            <w:vAlign w:val="bottom"/>
          </w:tcPr>
          <w:p>
            <w:pPr>
              <w:spacing w:after="0"/>
              <w:rPr>
                <w:sz w:val="14"/>
                <w:szCs w:val="14"/>
                <w:color w:val="auto"/>
              </w:rPr>
            </w:pPr>
          </w:p>
        </w:tc>
      </w:tr>
      <w:tr>
        <w:trPr>
          <w:trHeight w:val="183"/>
        </w:trPr>
        <w:tc>
          <w:tcPr>
            <w:tcW w:w="68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5,693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5,265</w:t>
            </w:r>
          </w:p>
        </w:tc>
        <w:tc>
          <w:tcPr>
            <w:tcW w:w="100" w:type="dxa"/>
            <w:vAlign w:val="bottom"/>
          </w:tcPr>
          <w:p>
            <w:pPr>
              <w:spacing w:after="0"/>
              <w:rPr>
                <w:sz w:val="15"/>
                <w:szCs w:val="15"/>
                <w:color w:val="auto"/>
              </w:rPr>
            </w:pPr>
          </w:p>
        </w:tc>
      </w:tr>
      <w:tr>
        <w:trPr>
          <w:trHeight w:val="385"/>
        </w:trPr>
        <w:tc>
          <w:tcPr>
            <w:tcW w:w="6860" w:type="dxa"/>
            <w:vAlign w:val="bottom"/>
          </w:tcPr>
          <w:p>
            <w:pPr>
              <w:spacing w:after="0"/>
              <w:rPr>
                <w:sz w:val="20"/>
                <w:szCs w:val="20"/>
                <w:color w:val="auto"/>
              </w:rPr>
            </w:pPr>
            <w:r>
              <w:rPr>
                <w:rFonts w:ascii="Courier New" w:cs="Courier New" w:eastAsia="Courier New" w:hAnsi="Courier New"/>
                <w:sz w:val="18"/>
                <w:szCs w:val="18"/>
                <w:color w:val="auto"/>
              </w:rPr>
              <w:t>Deferred rent, net of current portion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18"/>
                <w:szCs w:val="18"/>
                <w:color w:val="auto"/>
              </w:rPr>
              <w:t>39</w:t>
            </w:r>
          </w:p>
        </w:tc>
        <w:tc>
          <w:tcPr>
            <w:tcW w:w="100" w:type="dxa"/>
            <w:vAlign w:val="bottom"/>
          </w:tcPr>
          <w:p>
            <w:pPr>
              <w:spacing w:after="0"/>
              <w:rPr>
                <w:sz w:val="24"/>
                <w:szCs w:val="24"/>
                <w:color w:val="auto"/>
              </w:rPr>
            </w:pPr>
          </w:p>
        </w:tc>
      </w:tr>
      <w:tr>
        <w:trPr>
          <w:trHeight w:val="183"/>
        </w:trPr>
        <w:tc>
          <w:tcPr>
            <w:tcW w:w="68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5"/>
                <w:szCs w:val="15"/>
                <w:color w:val="auto"/>
              </w:rPr>
            </w:pPr>
          </w:p>
        </w:tc>
        <w:tc>
          <w:tcPr>
            <w:tcW w:w="90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5,703</w:t>
            </w:r>
          </w:p>
        </w:tc>
        <w:tc>
          <w:tcPr>
            <w:tcW w:w="160" w:type="dxa"/>
            <w:vAlign w:val="bottom"/>
          </w:tcPr>
          <w:p>
            <w:pPr>
              <w:spacing w:after="0"/>
              <w:rPr>
                <w:sz w:val="15"/>
                <w:szCs w:val="15"/>
                <w:color w:val="auto"/>
              </w:rPr>
            </w:pPr>
          </w:p>
        </w:tc>
        <w:tc>
          <w:tcPr>
            <w:tcW w:w="11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5,304</w:t>
            </w:r>
          </w:p>
        </w:tc>
      </w:tr>
      <w:tr>
        <w:trPr>
          <w:trHeight w:val="221"/>
        </w:trPr>
        <w:tc>
          <w:tcPr>
            <w:tcW w:w="68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Preferred stock, $0.01 par value; 5,000,000 shares authorized;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and 10,464,505 shares issued, respectively</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26,051</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25,973</w:t>
            </w:r>
          </w:p>
        </w:tc>
        <w:tc>
          <w:tcPr>
            <w:tcW w:w="10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6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(9,292)</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(10,549)</w:t>
            </w: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1,373</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1,311</w:t>
            </w:r>
          </w:p>
        </w:tc>
        <w:tc>
          <w:tcPr>
            <w:tcW w:w="100" w:type="dxa"/>
            <w:vAlign w:val="bottom"/>
          </w:tcPr>
          <w:p>
            <w:pPr>
              <w:spacing w:after="0"/>
              <w:rPr>
                <w:sz w:val="17"/>
                <w:szCs w:val="17"/>
                <w:color w:val="auto"/>
              </w:rPr>
            </w:pPr>
          </w:p>
        </w:tc>
      </w:tr>
      <w:tr>
        <w:trPr>
          <w:trHeight w:val="164"/>
        </w:trPr>
        <w:tc>
          <w:tcPr>
            <w:tcW w:w="7120" w:type="dxa"/>
            <w:vAlign w:val="bottom"/>
            <w:gridSpan w:val="2"/>
          </w:tcPr>
          <w:p>
            <w:pPr>
              <w:ind w:left="220"/>
              <w:spacing w:after="0" w:line="164" w:lineRule="exact"/>
              <w:rPr>
                <w:sz w:val="20"/>
                <w:szCs w:val="20"/>
                <w:color w:val="auto"/>
              </w:rPr>
            </w:pPr>
            <w:r>
              <w:rPr>
                <w:rFonts w:ascii="Courier New" w:cs="Courier New" w:eastAsia="Courier New" w:hAnsi="Courier New"/>
                <w:sz w:val="18"/>
                <w:szCs w:val="18"/>
                <w:color w:val="auto"/>
                <w:w w:val="98"/>
              </w:rPr>
              <w:t>Treasury stock, at cost; 119,029 and 119,029 shares, respectively</w:t>
            </w:r>
          </w:p>
        </w:tc>
        <w:tc>
          <w:tcPr>
            <w:tcW w:w="160" w:type="dxa"/>
            <w:vAlign w:val="bottom"/>
          </w:tcPr>
          <w:p>
            <w:pPr>
              <w:spacing w:after="0"/>
              <w:rPr>
                <w:sz w:val="14"/>
                <w:szCs w:val="14"/>
                <w:color w:val="auto"/>
              </w:rPr>
            </w:pPr>
          </w:p>
        </w:tc>
        <w:tc>
          <w:tcPr>
            <w:tcW w:w="90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(736)</w:t>
            </w:r>
          </w:p>
        </w:tc>
        <w:tc>
          <w:tcPr>
            <w:tcW w:w="11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(736)</w:t>
            </w:r>
          </w:p>
        </w:tc>
      </w:tr>
      <w:tr>
        <w:trPr>
          <w:trHeight w:val="183"/>
        </w:trPr>
        <w:tc>
          <w:tcPr>
            <w:tcW w:w="68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17,501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16,104</w:t>
            </w:r>
          </w:p>
        </w:tc>
        <w:tc>
          <w:tcPr>
            <w:tcW w:w="100" w:type="dxa"/>
            <w:vAlign w:val="bottom"/>
          </w:tcPr>
          <w:p>
            <w:pPr>
              <w:spacing w:after="0"/>
              <w:rPr>
                <w:sz w:val="15"/>
                <w:szCs w:val="15"/>
                <w:color w:val="auto"/>
              </w:rPr>
            </w:pPr>
          </w:p>
        </w:tc>
      </w:tr>
      <w:tr>
        <w:trPr>
          <w:trHeight w:val="221"/>
        </w:trPr>
        <w:tc>
          <w:tcPr>
            <w:tcW w:w="68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$23,204</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100" w:type="dxa"/>
            <w:vAlign w:val="bottom"/>
          </w:tcPr>
          <w:p>
            <w:pPr>
              <w:spacing w:after="0"/>
              <w:rPr>
                <w:sz w:val="19"/>
                <w:szCs w:val="19"/>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385"/>
        </w:trPr>
        <w:tc>
          <w:tcPr>
            <w:tcW w:w="8020" w:type="dxa"/>
            <w:vAlign w:val="bottom"/>
            <w:gridSpan w:val="4"/>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860" w:type="dxa"/>
            <w:vAlign w:val="bottom"/>
          </w:tcPr>
          <w:p>
            <w:pPr>
              <w:jc w:val="center"/>
              <w:ind w:left="4472"/>
              <w:spacing w:after="0"/>
              <w:rPr>
                <w:sz w:val="20"/>
                <w:szCs w:val="20"/>
                <w:color w:val="auto"/>
              </w:rPr>
            </w:pPr>
            <w:r>
              <w:rPr>
                <w:rFonts w:ascii="Arial" w:cs="Arial" w:eastAsia="Arial" w:hAnsi="Arial"/>
                <w:sz w:val="18"/>
                <w:szCs w:val="18"/>
                <w:color w:val="auto"/>
                <w:w w:val="93"/>
              </w:rPr>
              <w:t>- 1 -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71"/>
        </w:trPr>
        <w:tc>
          <w:tcPr>
            <w:tcW w:w="6860" w:type="dxa"/>
            <w:vAlign w:val="bottom"/>
          </w:tcPr>
          <w:p>
            <w:pPr>
              <w:jc w:val="center"/>
              <w:ind w:left="4492"/>
              <w:spacing w:after="0"/>
              <w:rPr>
                <w:sz w:val="20"/>
                <w:szCs w:val="20"/>
                <w:color w:val="auto"/>
              </w:rPr>
            </w:pPr>
            <w:r>
              <w:rPr>
                <w:rFonts w:ascii="Arial" w:cs="Arial" w:eastAsia="Arial" w:hAnsi="Arial"/>
                <w:sz w:val="18"/>
                <w:szCs w:val="18"/>
                <w:b w:val="1"/>
                <w:bCs w:val="1"/>
                <w:color w:val="auto"/>
                <w:w w:val="96"/>
              </w:rPr>
              <w:t>inTEST CORPORATION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020" w:type="dxa"/>
            <w:vAlign w:val="bottom"/>
            <w:gridSpan w:val="4"/>
          </w:tcPr>
          <w:p>
            <w:pPr>
              <w:jc w:val="center"/>
              <w:ind w:left="33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20" w:type="dxa"/>
            <w:vAlign w:val="bottom"/>
            <w:gridSpan w:val="4"/>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60" w:type="dxa"/>
            <w:vAlign w:val="bottom"/>
          </w:tcPr>
          <w:p>
            <w:pPr>
              <w:jc w:val="center"/>
              <w:ind w:left="4472"/>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81"/>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6"/>
          </w:tcPr>
          <w:p>
            <w:pPr>
              <w:jc w:val="right"/>
              <w:ind w:right="220"/>
              <w:spacing w:after="0"/>
              <w:rPr>
                <w:sz w:val="20"/>
                <w:szCs w:val="20"/>
                <w:color w:val="auto"/>
              </w:rPr>
            </w:pPr>
            <w:r>
              <w:rPr>
                <w:rFonts w:ascii="Courier New" w:cs="Courier New" w:eastAsia="Courier New" w:hAnsi="Courier New"/>
                <w:sz w:val="18"/>
                <w:szCs w:val="18"/>
                <w:color w:val="auto"/>
                <w:w w:val="98"/>
              </w:rPr>
              <w:t>Three Months Ended</w:t>
            </w: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5"/>
          </w:tcPr>
          <w:p>
            <w:pPr>
              <w:jc w:val="right"/>
              <w:ind w:right="640"/>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2011</w:t>
            </w:r>
          </w:p>
        </w:tc>
        <w:tc>
          <w:tcPr>
            <w:tcW w:w="160" w:type="dxa"/>
            <w:vAlign w:val="bottom"/>
          </w:tcPr>
          <w:p>
            <w:pPr>
              <w:spacing w:after="0"/>
              <w:rPr>
                <w:sz w:val="17"/>
                <w:szCs w:val="17"/>
                <w:color w:val="auto"/>
              </w:rPr>
            </w:pP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2010</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$11,704</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$ 9,529</w:t>
            </w:r>
          </w:p>
        </w:tc>
        <w:tc>
          <w:tcPr>
            <w:tcW w:w="100" w:type="dxa"/>
            <w:vAlign w:val="bottom"/>
          </w:tcPr>
          <w:p>
            <w:pPr>
              <w:spacing w:after="0"/>
              <w:rPr>
                <w:sz w:val="24"/>
                <w:szCs w:val="24"/>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6,611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4,992</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5,093</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4,537</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1,385</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1,229</w:t>
            </w:r>
          </w:p>
        </w:tc>
        <w:tc>
          <w:tcPr>
            <w:tcW w:w="10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813</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701</w:t>
            </w:r>
          </w:p>
        </w:tc>
        <w:tc>
          <w:tcPr>
            <w:tcW w:w="100" w:type="dxa"/>
            <w:vAlign w:val="bottom"/>
          </w:tcPr>
          <w:p>
            <w:pPr>
              <w:spacing w:after="0"/>
              <w:rPr>
                <w:sz w:val="17"/>
                <w:szCs w:val="17"/>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1,634</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1,481</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3,832</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3,411</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1,126</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 expense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1,317</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1,115</w:t>
            </w:r>
          </w:p>
        </w:tc>
        <w:tc>
          <w:tcPr>
            <w:tcW w:w="1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$ 1,257</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$ 1,112</w:t>
            </w:r>
          </w:p>
        </w:tc>
        <w:tc>
          <w:tcPr>
            <w:tcW w:w="100" w:type="dxa"/>
            <w:vAlign w:val="bottom"/>
          </w:tcPr>
          <w:p>
            <w:pPr>
              <w:spacing w:after="0"/>
              <w:rPr>
                <w:sz w:val="24"/>
                <w:szCs w:val="24"/>
                <w:color w:val="auto"/>
              </w:rPr>
            </w:pPr>
          </w:p>
        </w:tc>
      </w:tr>
      <w:tr>
        <w:trPr>
          <w:trHeight w:val="203"/>
        </w:trPr>
        <w:tc>
          <w:tcPr>
            <w:tcW w:w="6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608"/>
        </w:trPr>
        <w:tc>
          <w:tcPr>
            <w:tcW w:w="68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$0.13</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$0.11</w:t>
            </w:r>
          </w:p>
        </w:tc>
        <w:tc>
          <w:tcPr>
            <w:tcW w:w="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1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10,067,748</w:t>
            </w:r>
          </w:p>
        </w:tc>
        <w:tc>
          <w:tcPr>
            <w:tcW w:w="11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9,993,089</w:t>
            </w:r>
          </w:p>
        </w:tc>
        <w:tc>
          <w:tcPr>
            <w:tcW w:w="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$0.12</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$0.11</w:t>
            </w:r>
          </w:p>
        </w:tc>
        <w:tc>
          <w:tcPr>
            <w:tcW w:w="1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10,266,644</w:t>
            </w:r>
          </w:p>
        </w:tc>
        <w:tc>
          <w:tcPr>
            <w:tcW w:w="1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9,998,892</w:t>
            </w:r>
          </w:p>
        </w:tc>
        <w:tc>
          <w:tcPr>
            <w:tcW w:w="10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219"/>
          </w:cols>
          <w:pgMar w:left="240" w:top="136" w:right="1440" w:bottom="0" w:gutter="0" w:footer="0" w:header="0"/>
        </w:sectPr>
      </w:pPr>
    </w:p>
    <w:bookmarkStart w:id="3" w:name="page4"/>
    <w:bookmarkEnd w:id="3"/>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905" w:orient="portrait"/>
          <w:cols w:equalWidth="0" w:num="1">
            <w:col w:w="10219"/>
          </w:cols>
          <w:pgMar w:left="2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2011</w:t>
      </w:r>
      <w:r>
        <w:rPr>
          <w:sz w:val="20"/>
          <w:szCs w:val="20"/>
          <w:color w:val="auto"/>
        </w:rPr>
        <w:tab/>
      </w:r>
      <w:r>
        <w:rPr>
          <w:rFonts w:ascii="Courier New" w:cs="Courier New" w:eastAsia="Courier New" w:hAnsi="Courier New"/>
          <w:sz w:val="18"/>
          <w:szCs w:val="18"/>
          <w:color w:val="auto"/>
        </w:rPr>
        <w:t>2010</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$1,257</w:t>
      </w:r>
      <w:r>
        <w:rPr>
          <w:sz w:val="20"/>
          <w:szCs w:val="20"/>
          <w:color w:val="auto"/>
        </w:rPr>
        <w:tab/>
      </w:r>
      <w:r>
        <w:rPr>
          <w:rFonts w:ascii="Courier New" w:cs="Courier New" w:eastAsia="Courier New" w:hAnsi="Courier New"/>
          <w:sz w:val="16"/>
          <w:szCs w:val="16"/>
          <w:color w:val="auto"/>
        </w:rPr>
        <w:t>$1,112</w:t>
      </w:r>
    </w:p>
    <w:p>
      <w:pPr>
        <w:spacing w:after="0" w:line="200" w:lineRule="exact"/>
        <w:rPr>
          <w:sz w:val="20"/>
          <w:szCs w:val="20"/>
          <w:color w:val="auto"/>
        </w:rPr>
      </w:pPr>
    </w:p>
    <w:p>
      <w:pPr>
        <w:sectPr>
          <w:pgSz w:w="11900" w:h="16905" w:orient="portrait"/>
          <w:cols w:equalWidth="0" w:num="2">
            <w:col w:w="6020" w:space="720"/>
            <w:col w:w="3479"/>
          </w:cols>
          <w:pgMar w:left="240" w:top="144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(54)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905" w:orient="portrait"/>
          <w:cols w:equalWidth="0" w:num="3">
            <w:col w:w="6140" w:space="720"/>
            <w:col w:w="620" w:space="540"/>
            <w:col w:w="2199"/>
          </w:cols>
          <w:pgMar w:left="240" w:top="144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$1,319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$1,058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905" w:orient="portrait"/>
          <w:cols w:equalWidth="0" w:num="3">
            <w:col w:w="6140" w:space="720"/>
            <w:col w:w="620" w:space="540"/>
            <w:col w:w="2199"/>
          </w:cols>
          <w:pgMar w:left="240" w:top="1440" w:right="1440" w:bottom="0" w:gutter="0" w:footer="0" w:header="0"/>
          <w:type w:val="continuous"/>
        </w:sectPr>
      </w:pPr>
    </w:p>
    <w:p>
      <w:pPr>
        <w:spacing w:after="0" w:line="202"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CONSOLIDATED STATEMENT OF STOCKHOLDERS' EQUITY</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(Unaudited)</w:t>
      </w:r>
    </w:p>
    <w:p>
      <w:pPr>
        <w:sectPr>
          <w:pgSz w:w="11900" w:h="16905" w:orient="portrait"/>
          <w:cols w:equalWidth="0" w:num="1">
            <w:col w:w="10219"/>
          </w:cols>
          <w:pgMar w:left="240" w:top="1440" w:right="1440" w:bottom="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2480"/>
        <w:spacing w:after="0"/>
        <w:tabs>
          <w:tab w:leader="none" w:pos="3560" w:val="left"/>
        </w:tabs>
        <w:rPr>
          <w:sz w:val="20"/>
          <w:szCs w:val="20"/>
          <w:color w:val="auto"/>
        </w:rPr>
      </w:pPr>
      <w:r>
        <w:rPr>
          <w:rFonts w:ascii="Courier New" w:cs="Courier New" w:eastAsia="Courier New" w:hAnsi="Courier New"/>
          <w:sz w:val="12"/>
          <w:szCs w:val="12"/>
          <w:color w:val="auto"/>
        </w:rPr>
        <w:t>Common Stock</w:t>
      </w:r>
      <w:r>
        <w:rPr>
          <w:sz w:val="20"/>
          <w:szCs w:val="20"/>
          <w:color w:val="auto"/>
        </w:rPr>
        <w:tab/>
      </w:r>
      <w:r>
        <w:rPr>
          <w:rFonts w:ascii="Courier New" w:cs="Courier New" w:eastAsia="Courier New" w:hAnsi="Courier New"/>
          <w:sz w:val="12"/>
          <w:szCs w:val="12"/>
          <w:color w:val="auto"/>
        </w:rPr>
        <w:t>Additional</w:t>
      </w:r>
    </w:p>
    <w:p>
      <w:pPr>
        <w:ind w:left="2340"/>
        <w:spacing w:after="0"/>
        <w:tabs>
          <w:tab w:leader="none" w:pos="37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Paid-In</w:t>
      </w:r>
    </w:p>
    <w:p>
      <w:pPr>
        <w:ind w:left="2420"/>
        <w:spacing w:after="0"/>
        <w:tabs>
          <w:tab w:leader="none" w:pos="3060" w:val="left"/>
          <w:tab w:leader="none" w:pos="3700" w:val="left"/>
        </w:tabs>
        <w:rPr>
          <w:sz w:val="20"/>
          <w:szCs w:val="20"/>
          <w:color w:val="auto"/>
        </w:rPr>
      </w:pPr>
      <w:r>
        <w:rPr>
          <w:rFonts w:ascii="Courier New" w:cs="Courier New" w:eastAsia="Courier New" w:hAnsi="Courier New"/>
          <w:sz w:val="12"/>
          <w:szCs w:val="12"/>
          <w:color w:val="auto"/>
        </w:rPr>
        <w:t>Shares</w:t>
      </w:r>
      <w:r>
        <w:rPr>
          <w:sz w:val="20"/>
          <w:szCs w:val="20"/>
          <w:color w:val="auto"/>
        </w:rPr>
        <w:tab/>
      </w:r>
      <w:r>
        <w:rPr>
          <w:rFonts w:ascii="Courier New" w:cs="Courier New" w:eastAsia="Courier New" w:hAnsi="Courier New"/>
          <w:sz w:val="12"/>
          <w:szCs w:val="12"/>
          <w:color w:val="auto"/>
        </w:rPr>
        <w:t>Amount</w:t>
      </w:r>
      <w:r>
        <w:rPr>
          <w:sz w:val="20"/>
          <w:szCs w:val="20"/>
          <w:color w:val="auto"/>
        </w:rPr>
        <w:tab/>
      </w:r>
      <w:r>
        <w:rPr>
          <w:rFonts w:ascii="Courier New" w:cs="Courier New" w:eastAsia="Courier New" w:hAnsi="Courier New"/>
          <w:sz w:val="12"/>
          <w:szCs w:val="12"/>
          <w:color w:val="auto"/>
        </w:rPr>
        <w:t>Capital</w:t>
      </w:r>
    </w:p>
    <w:p>
      <w:pPr>
        <w:ind w:left="2260"/>
        <w:spacing w:after="0"/>
        <w:rPr>
          <w:sz w:val="20"/>
          <w:szCs w:val="20"/>
          <w:color w:val="auto"/>
        </w:rPr>
      </w:pPr>
      <w:r>
        <w:rPr>
          <w:rFonts w:ascii="Courier New" w:cs="Courier New" w:eastAsia="Courier New" w:hAnsi="Courier New"/>
          <w:sz w:val="12"/>
          <w:szCs w:val="12"/>
          <w:color w:val="auto"/>
        </w:rPr>
        <w:t>---------- ------ ----------</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940"/>
        <w:spacing w:after="0"/>
        <w:tabs>
          <w:tab w:leader="none" w:pos="2520" w:val="left"/>
        </w:tabs>
        <w:rPr>
          <w:sz w:val="20"/>
          <w:szCs w:val="20"/>
          <w:color w:val="auto"/>
        </w:rPr>
      </w:pPr>
      <w:r>
        <w:rPr>
          <w:rFonts w:ascii="Courier New" w:cs="Courier New" w:eastAsia="Courier New" w:hAnsi="Courier New"/>
          <w:sz w:val="12"/>
          <w:szCs w:val="12"/>
          <w:color w:val="auto"/>
        </w:rPr>
        <w:t>Accumulated</w:t>
      </w:r>
      <w:r>
        <w:rPr>
          <w:sz w:val="20"/>
          <w:szCs w:val="20"/>
          <w:color w:val="auto"/>
        </w:rPr>
        <w:tab/>
      </w:r>
      <w:r>
        <w:rPr>
          <w:rFonts w:ascii="Courier New" w:cs="Courier New" w:eastAsia="Courier New" w:hAnsi="Courier New"/>
          <w:sz w:val="12"/>
          <w:szCs w:val="12"/>
          <w:color w:val="auto"/>
        </w:rPr>
        <w:t>Total</w:t>
      </w:r>
    </w:p>
    <w:p>
      <w:pPr>
        <w:ind w:left="1100"/>
        <w:spacing w:after="0"/>
        <w:tabs>
          <w:tab w:leader="none" w:pos="2520" w:val="left"/>
        </w:tabs>
        <w:rPr>
          <w:sz w:val="20"/>
          <w:szCs w:val="20"/>
          <w:color w:val="auto"/>
        </w:rPr>
      </w:pPr>
      <w:r>
        <w:rPr>
          <w:rFonts w:ascii="Courier New" w:cs="Courier New" w:eastAsia="Courier New" w:hAnsi="Courier New"/>
          <w:sz w:val="12"/>
          <w:szCs w:val="12"/>
          <w:color w:val="auto"/>
        </w:rPr>
        <w:t>Other</w:t>
      </w:r>
      <w:r>
        <w:rPr>
          <w:sz w:val="20"/>
          <w:szCs w:val="20"/>
          <w:color w:val="auto"/>
        </w:rPr>
        <w:tab/>
      </w:r>
      <w:r>
        <w:rPr>
          <w:rFonts w:ascii="Courier New" w:cs="Courier New" w:eastAsia="Courier New" w:hAnsi="Courier New"/>
          <w:sz w:val="12"/>
          <w:szCs w:val="12"/>
          <w:color w:val="auto"/>
        </w:rPr>
        <w:t>Stock-</w:t>
      </w:r>
    </w:p>
    <w:p>
      <w:pPr>
        <w:spacing w:after="0"/>
        <w:rPr>
          <w:sz w:val="20"/>
          <w:szCs w:val="20"/>
          <w:color w:val="auto"/>
        </w:rPr>
      </w:pPr>
      <w:r>
        <w:rPr>
          <w:rFonts w:ascii="Courier New" w:cs="Courier New" w:eastAsia="Courier New" w:hAnsi="Courier New"/>
          <w:sz w:val="12"/>
          <w:szCs w:val="12"/>
          <w:color w:val="auto"/>
        </w:rPr>
        <w:t>Accumulated Comprehensive Treasury holders'</w:t>
      </w:r>
    </w:p>
    <w:p>
      <w:pPr>
        <w:ind w:left="140"/>
        <w:spacing w:after="0"/>
        <w:tabs>
          <w:tab w:leader="none" w:pos="1000" w:val="left"/>
          <w:tab w:leader="none" w:pos="1940" w:val="left"/>
          <w:tab w:leader="none" w:pos="2520" w:val="left"/>
        </w:tabs>
        <w:rPr>
          <w:sz w:val="20"/>
          <w:szCs w:val="20"/>
          <w:color w:val="auto"/>
        </w:rPr>
      </w:pPr>
      <w:r>
        <w:rPr>
          <w:rFonts w:ascii="Courier New" w:cs="Courier New" w:eastAsia="Courier New" w:hAnsi="Courier New"/>
          <w:sz w:val="12"/>
          <w:szCs w:val="12"/>
          <w:color w:val="auto"/>
        </w:rPr>
        <w:t>Deficit</w:t>
      </w:r>
      <w:r>
        <w:rPr>
          <w:sz w:val="20"/>
          <w:szCs w:val="20"/>
          <w:color w:val="auto"/>
        </w:rPr>
        <w:tab/>
      </w:r>
      <w:r>
        <w:rPr>
          <w:rFonts w:ascii="Courier New" w:cs="Courier New" w:eastAsia="Courier New" w:hAnsi="Courier New"/>
          <w:sz w:val="12"/>
          <w:szCs w:val="12"/>
          <w:color w:val="auto"/>
        </w:rPr>
        <w:t>Earnings</w:t>
      </w:r>
      <w:r>
        <w:rPr>
          <w:sz w:val="20"/>
          <w:szCs w:val="20"/>
          <w:color w:val="auto"/>
        </w:rPr>
        <w:tab/>
      </w:r>
      <w:r>
        <w:rPr>
          <w:rFonts w:ascii="Courier New" w:cs="Courier New" w:eastAsia="Courier New" w:hAnsi="Courier New"/>
          <w:sz w:val="12"/>
          <w:szCs w:val="12"/>
          <w:color w:val="auto"/>
        </w:rPr>
        <w:t>Stock</w:t>
        <w:tab/>
        <w:t>Equity</w:t>
      </w:r>
    </w:p>
    <w:p>
      <w:pPr>
        <w:spacing w:after="0"/>
        <w:rPr>
          <w:sz w:val="20"/>
          <w:szCs w:val="20"/>
          <w:color w:val="auto"/>
        </w:rPr>
      </w:pPr>
      <w:r>
        <w:rPr>
          <w:rFonts w:ascii="Courier New" w:cs="Courier New" w:eastAsia="Courier New" w:hAnsi="Courier New"/>
          <w:sz w:val="12"/>
          <w:szCs w:val="12"/>
          <w:color w:val="auto"/>
        </w:rPr>
        <w:t>----------- ------------- -------- -------</w:t>
      </w:r>
    </w:p>
    <w:p>
      <w:pPr>
        <w:spacing w:after="0" w:line="134" w:lineRule="exact"/>
        <w:rPr>
          <w:sz w:val="20"/>
          <w:szCs w:val="20"/>
          <w:color w:val="auto"/>
        </w:rPr>
      </w:pPr>
    </w:p>
    <w:p>
      <w:pPr>
        <w:sectPr>
          <w:pgSz w:w="11900" w:h="16905" w:orient="portrait"/>
          <w:cols w:equalWidth="0" w:num="2">
            <w:col w:w="4320" w:space="140"/>
            <w:col w:w="575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Balance, January 1,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10,464,505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$25,973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$(10,549)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$(736)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$16,104</w:t>
      </w:r>
    </w:p>
    <w:p>
      <w:pPr>
        <w:spacing w:after="0" w:line="134" w:lineRule="exact"/>
        <w:rPr>
          <w:sz w:val="20"/>
          <w:szCs w:val="20"/>
          <w:color w:val="auto"/>
        </w:rPr>
      </w:pPr>
    </w:p>
    <w:p>
      <w:pPr>
        <w:sectPr>
          <w:pgSz w:w="11900" w:h="16905" w:orient="portrait"/>
          <w:cols w:equalWidth="0" w:num="8">
            <w:col w:w="1760" w:space="500"/>
            <w:col w:w="740" w:space="140"/>
            <w:col w:w="360" w:space="220"/>
            <w:col w:w="520" w:space="280"/>
            <w:col w:w="660" w:space="380"/>
            <w:col w:w="420" w:space="440"/>
            <w:col w:w="440" w:space="140"/>
            <w:col w:w="321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Net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1,257</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1,257</w:t>
      </w:r>
    </w:p>
    <w:p>
      <w:pPr>
        <w:spacing w:after="0" w:line="145" w:lineRule="exact"/>
        <w:rPr>
          <w:sz w:val="20"/>
          <w:szCs w:val="20"/>
          <w:color w:val="auto"/>
        </w:rPr>
      </w:pPr>
    </w:p>
    <w:p>
      <w:pPr>
        <w:sectPr>
          <w:pgSz w:w="11900" w:h="16905" w:orient="portrait"/>
          <w:cols w:equalWidth="0" w:num="8">
            <w:col w:w="2200" w:space="720"/>
            <w:col w:w="80" w:space="440"/>
            <w:col w:w="60" w:space="660"/>
            <w:col w:w="80" w:space="500"/>
            <w:col w:w="460" w:space="720"/>
            <w:col w:w="80" w:space="720"/>
            <w:col w:w="80" w:space="360"/>
            <w:col w:w="305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Other comprehensive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1"/>
          <w:szCs w:val="11"/>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62</w:t>
      </w:r>
    </w:p>
    <w:p>
      <w:pPr>
        <w:spacing w:after="0" w:line="144" w:lineRule="exact"/>
        <w:rPr>
          <w:sz w:val="20"/>
          <w:szCs w:val="20"/>
          <w:color w:val="auto"/>
        </w:rPr>
      </w:pPr>
    </w:p>
    <w:p>
      <w:pPr>
        <w:sectPr>
          <w:pgSz w:w="11900" w:h="16905" w:orient="portrait"/>
          <w:cols w:equalWidth="0" w:num="8">
            <w:col w:w="2200" w:space="720"/>
            <w:col w:w="80" w:space="440"/>
            <w:col w:w="60" w:space="660"/>
            <w:col w:w="160" w:space="720"/>
            <w:col w:w="80" w:space="720"/>
            <w:col w:w="160" w:space="720"/>
            <w:col w:w="80" w:space="580"/>
            <w:col w:w="283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Amortization of deferred</w:t>
      </w:r>
    </w:p>
    <w:p>
      <w:pPr>
        <w:spacing w:after="0"/>
        <w:rPr>
          <w:sz w:val="20"/>
          <w:szCs w:val="20"/>
          <w:color w:val="auto"/>
        </w:rPr>
      </w:pPr>
      <w:r>
        <w:rPr>
          <w:rFonts w:ascii="Courier New" w:cs="Courier New" w:eastAsia="Courier New" w:hAnsi="Courier New"/>
          <w:sz w:val="12"/>
          <w:szCs w:val="12"/>
          <w:color w:val="auto"/>
        </w:rPr>
        <w:t>compensation related</w:t>
      </w:r>
    </w:p>
    <w:p>
      <w:pPr>
        <w:sectPr>
          <w:pgSz w:w="11900" w:h="16905" w:orient="portrait"/>
          <w:cols w:equalWidth="0" w:num="1">
            <w:col w:w="1021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to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48</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48</w:t>
      </w:r>
    </w:p>
    <w:p>
      <w:pPr>
        <w:spacing w:after="0" w:line="143" w:lineRule="exact"/>
        <w:rPr>
          <w:sz w:val="20"/>
          <w:szCs w:val="20"/>
          <w:color w:val="auto"/>
        </w:rPr>
      </w:pPr>
    </w:p>
    <w:p>
      <w:pPr>
        <w:sectPr>
          <w:pgSz w:w="11900" w:h="16905" w:orient="portrait"/>
          <w:cols w:equalWidth="0" w:num="8">
            <w:col w:w="2200" w:space="720"/>
            <w:col w:w="80" w:space="440"/>
            <w:col w:w="60" w:space="600"/>
            <w:col w:w="220" w:space="720"/>
            <w:col w:w="160" w:space="720"/>
            <w:col w:w="80" w:space="720"/>
            <w:col w:w="80" w:space="580"/>
            <w:col w:w="283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Stock options 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30</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30</w:t>
      </w:r>
    </w:p>
    <w:p>
      <w:pPr>
        <w:spacing w:after="0" w:line="145" w:lineRule="exact"/>
        <w:rPr>
          <w:sz w:val="20"/>
          <w:szCs w:val="20"/>
          <w:color w:val="auto"/>
        </w:rPr>
      </w:pPr>
    </w:p>
    <w:p>
      <w:pPr>
        <w:sectPr>
          <w:pgSz w:w="11900" w:h="16905" w:orient="portrait"/>
          <w:cols w:equalWidth="0" w:num="8">
            <w:col w:w="1840" w:space="720"/>
            <w:col w:w="440" w:space="440"/>
            <w:col w:w="60" w:space="600"/>
            <w:col w:w="220" w:space="720"/>
            <w:col w:w="160" w:space="720"/>
            <w:col w:w="80" w:space="720"/>
            <w:col w:w="80" w:space="580"/>
            <w:col w:w="283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Forfeiture of non-vested</w:t>
      </w:r>
    </w:p>
    <w:p>
      <w:pPr>
        <w:sectPr>
          <w:pgSz w:w="11900" w:h="16905" w:orient="portrait"/>
          <w:cols w:equalWidth="0" w:num="1">
            <w:col w:w="10219"/>
          </w:cols>
          <w:pgMar w:left="240" w:top="1440"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shares of restricted stock</w:t>
      </w:r>
    </w:p>
    <w:p>
      <w:pPr>
        <w:spacing w:after="0" w:line="20" w:lineRule="exact"/>
        <w:rPr>
          <w:sz w:val="20"/>
          <w:szCs w:val="20"/>
          <w:color w:val="auto"/>
        </w:rPr>
      </w:pPr>
      <w:r>
        <w:rPr>
          <w:sz w:val="20"/>
          <w:szCs w:val="20"/>
          <w:color w:val="auto"/>
        </w:rPr>
        <w:br w:type="column"/>
      </w:r>
    </w:p>
    <w:p>
      <w:pPr>
        <w:ind w:left="220"/>
        <w:spacing w:after="0" w:line="236" w:lineRule="auto"/>
        <w:rPr>
          <w:sz w:val="20"/>
          <w:szCs w:val="20"/>
          <w:color w:val="auto"/>
        </w:rPr>
      </w:pPr>
      <w:r>
        <w:rPr>
          <w:rFonts w:ascii="Courier New" w:cs="Courier New" w:eastAsia="Courier New" w:hAnsi="Courier New"/>
          <w:sz w:val="12"/>
          <w:szCs w:val="12"/>
          <w:color w:val="auto"/>
        </w:rPr>
        <w:t>(11,250)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firstLine="292"/>
        <w:spacing w:after="0" w:line="238" w:lineRule="auto"/>
        <w:rPr>
          <w:sz w:val="20"/>
          <w:szCs w:val="20"/>
          <w:color w:val="auto"/>
        </w:rPr>
      </w:pPr>
      <w:r>
        <w:rPr>
          <w:rFonts w:ascii="Courier New" w:cs="Courier New" w:eastAsia="Courier New" w:hAnsi="Courier New"/>
          <w:sz w:val="12"/>
          <w:szCs w:val="12"/>
          <w:color w:val="auto"/>
        </w:rPr>
        <w:t>- - ----- -------</w:t>
      </w:r>
    </w:p>
    <w:p>
      <w:pPr>
        <w:spacing w:after="0" w:line="20" w:lineRule="exact"/>
        <w:rPr>
          <w:sz w:val="20"/>
          <w:szCs w:val="20"/>
          <w:color w:val="auto"/>
        </w:rPr>
      </w:pPr>
      <w:r>
        <w:rPr>
          <w:sz w:val="20"/>
          <w:szCs w:val="20"/>
          <w:color w:val="auto"/>
        </w:rPr>
        <w:br w:type="column"/>
      </w:r>
    </w:p>
    <w:p>
      <w:pPr>
        <w:jc w:val="right"/>
        <w:spacing w:after="0" w:line="236" w:lineRule="auto"/>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spacing w:after="0" w:line="236" w:lineRule="auto"/>
        <w:rPr>
          <w:sz w:val="20"/>
          <w:szCs w:val="20"/>
          <w:color w:val="auto"/>
        </w:rPr>
      </w:pPr>
      <w:r>
        <w:rPr>
          <w:rFonts w:ascii="Courier New" w:cs="Courier New" w:eastAsia="Courier New" w:hAnsi="Courier New"/>
          <w:sz w:val="12"/>
          <w:szCs w:val="12"/>
          <w:color w:val="auto"/>
        </w:rPr>
        <w:t>-</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300"/>
        <w:spacing w:after="0" w:line="236" w:lineRule="auto"/>
        <w:tabs>
          <w:tab w:leader="none" w:pos="10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2"/>
          <w:szCs w:val="12"/>
          <w:color w:val="auto"/>
        </w:rPr>
        <w:t>-----</w:t>
        <w:tab/>
        <w:t>-------</w:t>
      </w:r>
    </w:p>
    <w:p>
      <w:pPr>
        <w:spacing w:after="0" w:line="132" w:lineRule="exact"/>
        <w:rPr>
          <w:sz w:val="20"/>
          <w:szCs w:val="20"/>
          <w:color w:val="auto"/>
        </w:rPr>
      </w:pPr>
    </w:p>
    <w:p>
      <w:pPr>
        <w:sectPr>
          <w:pgSz w:w="11900" w:h="16905" w:orient="portrait"/>
          <w:cols w:equalWidth="0" w:num="6">
            <w:col w:w="1900" w:space="360"/>
            <w:col w:w="820" w:space="60"/>
            <w:col w:w="1100" w:space="280"/>
            <w:col w:w="600" w:space="440"/>
            <w:col w:w="420" w:space="440"/>
            <w:col w:w="3799"/>
          </w:cols>
          <w:pgMar w:left="240" w:top="1440"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Balance, March 31,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10,463,255</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$ 105 $26,051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(9,292)</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$1,373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$(736)</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$17,501</w:t>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905" w:orient="portrait"/>
          <w:cols w:equalWidth="0" w:num="7">
            <w:col w:w="1680" w:space="580"/>
            <w:col w:w="740" w:space="140"/>
            <w:col w:w="1100" w:space="280"/>
            <w:col w:w="660" w:space="380"/>
            <w:col w:w="420" w:space="440"/>
            <w:col w:w="440" w:space="140"/>
            <w:col w:w="3219"/>
          </w:cols>
          <w:pgMar w:left="240" w:top="1440" w:right="144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- 4 -</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p>
      <w:pPr>
        <w:ind w:left="5920"/>
        <w:spacing w:after="0"/>
        <w:rPr>
          <w:sz w:val="20"/>
          <w:szCs w:val="20"/>
          <w:color w:val="auto"/>
        </w:rPr>
      </w:pPr>
      <w:r>
        <w:rPr>
          <w:rFonts w:ascii="Courier New" w:cs="Courier New" w:eastAsia="Courier New" w:hAnsi="Courier New"/>
          <w:sz w:val="12"/>
          <w:szCs w:val="12"/>
          <w:color w:val="auto"/>
        </w:rPr>
        <w:t>Three Months Ended</w:t>
      </w:r>
    </w:p>
    <w:p>
      <w:pPr>
        <w:ind w:left="6360"/>
        <w:spacing w:after="0"/>
        <w:rPr>
          <w:sz w:val="20"/>
          <w:szCs w:val="20"/>
          <w:color w:val="auto"/>
        </w:rPr>
      </w:pPr>
      <w:r>
        <w:rPr>
          <w:rFonts w:ascii="Courier New" w:cs="Courier New" w:eastAsia="Courier New" w:hAnsi="Courier New"/>
          <w:sz w:val="12"/>
          <w:szCs w:val="12"/>
          <w:color w:val="auto"/>
        </w:rPr>
        <w:t>March 31,</w:t>
      </w:r>
    </w:p>
    <w:p>
      <w:pPr>
        <w:ind w:left="5920"/>
        <w:spacing w:after="0"/>
        <w:rPr>
          <w:sz w:val="20"/>
          <w:szCs w:val="20"/>
          <w:color w:val="auto"/>
        </w:rPr>
      </w:pPr>
      <w:r>
        <w:rPr>
          <w:rFonts w:ascii="Courier New" w:cs="Courier New" w:eastAsia="Courier New" w:hAnsi="Courier New"/>
          <w:sz w:val="12"/>
          <w:szCs w:val="12"/>
          <w:color w:val="auto"/>
        </w:rPr>
        <w:t>------------------</w:t>
      </w:r>
    </w:p>
    <w:p>
      <w:pPr>
        <w:ind w:left="6060"/>
        <w:spacing w:after="0"/>
        <w:tabs>
          <w:tab w:leader="none" w:pos="6840" w:val="left"/>
        </w:tabs>
        <w:rPr>
          <w:sz w:val="20"/>
          <w:szCs w:val="20"/>
          <w:color w:val="auto"/>
        </w:rPr>
      </w:pPr>
      <w:r>
        <w:rPr>
          <w:rFonts w:ascii="Courier New" w:cs="Courier New" w:eastAsia="Courier New" w:hAnsi="Courier New"/>
          <w:sz w:val="12"/>
          <w:szCs w:val="12"/>
          <w:color w:val="auto"/>
        </w:rPr>
        <w:t>2011</w:t>
      </w:r>
      <w:r>
        <w:rPr>
          <w:sz w:val="20"/>
          <w:szCs w:val="20"/>
          <w:color w:val="auto"/>
        </w:rPr>
        <w:tab/>
      </w:r>
      <w:r>
        <w:rPr>
          <w:rFonts w:ascii="Courier New" w:cs="Courier New" w:eastAsia="Courier New" w:hAnsi="Courier New"/>
          <w:sz w:val="12"/>
          <w:szCs w:val="12"/>
          <w:color w:val="auto"/>
        </w:rPr>
        <w:t>2010</w:t>
      </w:r>
    </w:p>
    <w:p>
      <w:pPr>
        <w:ind w:left="5920"/>
        <w:spacing w:after="0"/>
        <w:tabs>
          <w:tab w:leader="none" w:pos="67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CASH FLOWS FROM OPERATING ACTIVITIES</w:t>
      </w:r>
    </w:p>
    <w:p>
      <w:pPr>
        <w:sectPr>
          <w:pgSz w:w="11900" w:h="16905" w:orient="portrait"/>
          <w:cols w:equalWidth="0" w:num="1">
            <w:col w:w="10219"/>
          </w:cols>
          <w:pgMar w:left="240" w:top="1440" w:right="1440" w:bottom="0" w:gutter="0" w:footer="0" w:header="0"/>
          <w:type w:val="continuous"/>
        </w:sectPr>
      </w:pP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Net earnings</w:t>
      </w:r>
    </w:p>
    <w:p>
      <w:pPr>
        <w:spacing w:after="0"/>
        <w:rPr>
          <w:sz w:val="20"/>
          <w:szCs w:val="20"/>
          <w:color w:val="auto"/>
        </w:rPr>
      </w:pPr>
      <w:r>
        <w:rPr>
          <w:rFonts w:ascii="Courier New" w:cs="Courier New" w:eastAsia="Courier New" w:hAnsi="Courier New"/>
          <w:sz w:val="12"/>
          <w:szCs w:val="12"/>
          <w:color w:val="auto"/>
        </w:rPr>
        <w:t>Adjustments to reconcile net earnings to net cash provided</w:t>
      </w:r>
    </w:p>
    <w:p>
      <w:pPr>
        <w:ind w:left="80"/>
        <w:spacing w:after="0"/>
        <w:rPr>
          <w:sz w:val="20"/>
          <w:szCs w:val="20"/>
          <w:color w:val="auto"/>
        </w:rPr>
      </w:pPr>
      <w:r>
        <w:rPr>
          <w:rFonts w:ascii="Courier New" w:cs="Courier New" w:eastAsia="Courier New" w:hAnsi="Courier New"/>
          <w:sz w:val="12"/>
          <w:szCs w:val="12"/>
          <w:color w:val="auto"/>
        </w:rPr>
        <w:t>by (used in) operating activities:</w:t>
      </w:r>
    </w:p>
    <w:p>
      <w:pPr>
        <w:ind w:left="160"/>
        <w:spacing w:after="0"/>
        <w:rPr>
          <w:sz w:val="20"/>
          <w:szCs w:val="20"/>
          <w:color w:val="auto"/>
        </w:rPr>
      </w:pPr>
      <w:r>
        <w:rPr>
          <w:rFonts w:ascii="Courier New" w:cs="Courier New" w:eastAsia="Courier New" w:hAnsi="Courier New"/>
          <w:sz w:val="12"/>
          <w:szCs w:val="12"/>
          <w:color w:val="auto"/>
        </w:rPr>
        <w:t>Depreciation and amortization</w:t>
      </w:r>
    </w:p>
    <w:p>
      <w:pPr>
        <w:ind w:left="160"/>
        <w:spacing w:after="0"/>
        <w:rPr>
          <w:sz w:val="20"/>
          <w:szCs w:val="20"/>
          <w:color w:val="auto"/>
        </w:rPr>
      </w:pPr>
      <w:r>
        <w:rPr>
          <w:rFonts w:ascii="Courier New" w:cs="Courier New" w:eastAsia="Courier New" w:hAnsi="Courier New"/>
          <w:sz w:val="12"/>
          <w:szCs w:val="12"/>
          <w:color w:val="auto"/>
        </w:rPr>
        <w:t>Foreign exchange (gain) loss</w:t>
      </w:r>
    </w:p>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p>
      <w:pPr>
        <w:ind w:left="160"/>
        <w:spacing w:after="0"/>
        <w:rPr>
          <w:sz w:val="20"/>
          <w:szCs w:val="20"/>
          <w:color w:val="auto"/>
        </w:rPr>
      </w:pPr>
      <w:r>
        <w:rPr>
          <w:rFonts w:ascii="Courier New" w:cs="Courier New" w:eastAsia="Courier New" w:hAnsi="Courier New"/>
          <w:sz w:val="12"/>
          <w:szCs w:val="12"/>
          <w:color w:val="auto"/>
        </w:rPr>
        <w:t>Gain on sale of property and equipment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$ 1,257</w:t>
      </w:r>
    </w:p>
    <w:p>
      <w:pPr>
        <w:spacing w:after="0" w:line="268" w:lineRule="exact"/>
        <w:rPr>
          <w:sz w:val="20"/>
          <w:szCs w:val="20"/>
          <w:color w:val="auto"/>
        </w:rPr>
      </w:pPr>
    </w:p>
    <w:p>
      <w:pPr>
        <w:ind w:left="280"/>
        <w:spacing w:after="0"/>
        <w:rPr>
          <w:sz w:val="20"/>
          <w:szCs w:val="20"/>
          <w:color w:val="auto"/>
        </w:rPr>
      </w:pPr>
      <w:r>
        <w:rPr>
          <w:rFonts w:ascii="Courier New" w:cs="Courier New" w:eastAsia="Courier New" w:hAnsi="Courier New"/>
          <w:sz w:val="12"/>
          <w:szCs w:val="12"/>
          <w:color w:val="auto"/>
        </w:rPr>
        <w:t>104</w:t>
      </w:r>
    </w:p>
    <w:p>
      <w:pPr>
        <w:ind w:left="360"/>
        <w:spacing w:after="0"/>
        <w:rPr>
          <w:sz w:val="20"/>
          <w:szCs w:val="20"/>
          <w:color w:val="auto"/>
        </w:rPr>
      </w:pPr>
      <w:r>
        <w:rPr>
          <w:rFonts w:ascii="Courier New" w:cs="Courier New" w:eastAsia="Courier New" w:hAnsi="Courier New"/>
          <w:sz w:val="12"/>
          <w:szCs w:val="12"/>
          <w:color w:val="auto"/>
        </w:rPr>
        <w:t>(9)</w:t>
      </w:r>
    </w:p>
    <w:p>
      <w:pPr>
        <w:ind w:left="360"/>
        <w:spacing w:after="0"/>
        <w:rPr>
          <w:sz w:val="20"/>
          <w:szCs w:val="20"/>
          <w:color w:val="auto"/>
        </w:rPr>
      </w:pPr>
      <w:r>
        <w:rPr>
          <w:rFonts w:ascii="Courier New" w:cs="Courier New" w:eastAsia="Courier New" w:hAnsi="Courier New"/>
          <w:sz w:val="12"/>
          <w:szCs w:val="12"/>
          <w:color w:val="auto"/>
        </w:rPr>
        <w:t>48</w:t>
      </w:r>
    </w:p>
    <w:p>
      <w:pPr>
        <w:ind w:left="280"/>
        <w:spacing w:after="0"/>
        <w:rPr>
          <w:sz w:val="20"/>
          <w:szCs w:val="20"/>
          <w:color w:val="auto"/>
        </w:rPr>
      </w:pPr>
      <w:r>
        <w:rPr>
          <w:rFonts w:ascii="Courier New" w:cs="Courier New" w:eastAsia="Courier New" w:hAnsi="Courier New"/>
          <w:sz w:val="12"/>
          <w:szCs w:val="12"/>
          <w:color w:val="auto"/>
        </w:rPr>
        <w:t>(40)</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1"/>
          <w:szCs w:val="11"/>
          <w:color w:val="auto"/>
        </w:rPr>
        <w:t>$ 1,112</w:t>
      </w:r>
    </w:p>
    <w:p>
      <w:pPr>
        <w:spacing w:after="0" w:line="280"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2"/>
          <w:szCs w:val="12"/>
          <w:color w:val="auto"/>
        </w:rPr>
        <w:t>95</w:t>
      </w:r>
    </w:p>
    <w:p>
      <w:pPr>
        <w:jc w:val="right"/>
        <w:ind w:right="2999"/>
        <w:spacing w:after="0"/>
        <w:rPr>
          <w:sz w:val="20"/>
          <w:szCs w:val="20"/>
          <w:color w:val="auto"/>
        </w:rPr>
      </w:pPr>
      <w:r>
        <w:rPr>
          <w:rFonts w:ascii="Courier New" w:cs="Courier New" w:eastAsia="Courier New" w:hAnsi="Courier New"/>
          <w:sz w:val="12"/>
          <w:szCs w:val="12"/>
          <w:color w:val="auto"/>
        </w:rPr>
        <w:t>5</w:t>
      </w:r>
    </w:p>
    <w:p>
      <w:pPr>
        <w:jc w:val="right"/>
        <w:ind w:right="2999"/>
        <w:spacing w:after="0"/>
        <w:rPr>
          <w:sz w:val="20"/>
          <w:szCs w:val="20"/>
          <w:color w:val="auto"/>
        </w:rPr>
      </w:pPr>
      <w:r>
        <w:rPr>
          <w:rFonts w:ascii="Courier New" w:cs="Courier New" w:eastAsia="Courier New" w:hAnsi="Courier New"/>
          <w:sz w:val="12"/>
          <w:szCs w:val="12"/>
          <w:color w:val="auto"/>
        </w:rPr>
        <w:t>40</w:t>
      </w:r>
    </w:p>
    <w:p>
      <w:pPr>
        <w:jc w:val="right"/>
        <w:ind w:right="2999"/>
        <w:spacing w:after="0"/>
        <w:rPr>
          <w:sz w:val="20"/>
          <w:szCs w:val="20"/>
          <w:color w:val="auto"/>
        </w:rPr>
      </w:pPr>
      <w:r>
        <w:rPr>
          <w:rFonts w:ascii="Courier New" w:cs="Courier New" w:eastAsia="Courier New" w:hAnsi="Courier New"/>
          <w:sz w:val="12"/>
          <w:szCs w:val="12"/>
          <w:color w:val="auto"/>
        </w:rPr>
        <w:t>-</w:t>
      </w:r>
    </w:p>
    <w:p>
      <w:pPr>
        <w:sectPr>
          <w:pgSz w:w="11900" w:h="16905" w:orient="portrait"/>
          <w:cols w:equalWidth="0" w:num="3">
            <w:col w:w="5200" w:space="720"/>
            <w:col w:w="580" w:space="220"/>
            <w:col w:w="3499"/>
          </w:cols>
          <w:pgMar w:left="240" w:top="1440" w:right="1440" w:bottom="0" w:gutter="0" w:footer="0" w:header="0"/>
          <w:type w:val="continuous"/>
        </w:sectPr>
      </w:pPr>
    </w:p>
    <w:bookmarkStart w:id="4" w:name="page5"/>
    <w:bookmarkEnd w:id="4"/>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(2,576)</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(1,153)</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(504)</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(563)</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164</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Restricted certificates of deposit</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(250)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653</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479</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(492)</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422</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(16)</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warranty</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56</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restructuring and other charges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(97)</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Other accrued expenses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190</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177</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Deferred rent</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(29)</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(29)</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(1,173)</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299</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70"/>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Purchases of property and equipment</w:t>
            </w:r>
          </w:p>
        </w:tc>
        <w:tc>
          <w:tcPr>
            <w:tcW w:w="5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(574)</w:t>
            </w:r>
          </w:p>
        </w:tc>
        <w:tc>
          <w:tcPr>
            <w:tcW w:w="2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(54)</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40</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(534)</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(54)</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70"/>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Proceeds from stock options exercised</w:t>
            </w:r>
          </w:p>
        </w:tc>
        <w:tc>
          <w:tcPr>
            <w:tcW w:w="50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260" w:type="dxa"/>
            <w:vAlign w:val="bottom"/>
          </w:tcPr>
          <w:p>
            <w:pPr>
              <w:spacing w:after="0"/>
              <w:rPr>
                <w:sz w:val="23"/>
                <w:szCs w:val="23"/>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(1,647)</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226</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6,895</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4"/>
              </w:rPr>
              <w:t>2,647</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$ 5,248</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$ 2,873</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r>
        <w:trPr>
          <w:trHeight w:val="137"/>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355</w:t>
            </w:r>
          </w:p>
        </w:tc>
      </w:tr>
      <w:tr>
        <w:trPr>
          <w:trHeight w:val="137"/>
        </w:trPr>
        <w:tc>
          <w:tcPr>
            <w:tcW w:w="548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(11)</w:t>
            </w:r>
          </w:p>
        </w:tc>
      </w:tr>
    </w:tbl>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w:t>
      </w:r>
    </w:p>
    <w:p>
      <w:pPr>
        <w:sectPr>
          <w:pgSz w:w="11900" w:h="16877" w:orient="portrait"/>
          <w:cols w:equalWidth="0" w:num="1">
            <w:col w:w="11400"/>
          </w:cols>
          <w:pgMar w:left="240" w:top="132" w:right="259" w:bottom="0" w:gutter="0" w:footer="0" w:header="0"/>
        </w:sectPr>
      </w:pPr>
    </w:p>
    <w:bookmarkStart w:id="5" w:name="page6"/>
    <w:bookmarkEnd w:id="5"/>
    <w:p>
      <w:pPr>
        <w:ind w:left="532" w:right="260"/>
        <w:spacing w:after="0" w:line="332" w:lineRule="auto"/>
        <w:rPr>
          <w:sz w:val="20"/>
          <w:szCs w:val="20"/>
          <w:color w:val="auto"/>
        </w:rPr>
      </w:pPr>
      <w:r>
        <w:rPr>
          <w:rFonts w:ascii="Arial" w:cs="Arial" w:eastAsia="Arial" w:hAnsi="Arial"/>
          <w:sz w:val="16"/>
          <w:szCs w:val="16"/>
          <w:color w:val="auto"/>
        </w:rPr>
        <w:t>should be read in conjunction with the consolidated financial statements and accompanying footnotes included in our Annual Report on Form 10-K for the year ended December 31, 2010 filed with the Securities and Exchange Commission on March 31, 2011 (the "2010 Form 10-K").</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4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$86 and $142 for the three months ended March 31, 2011 and 2010, respectively.</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74" w:lineRule="exact"/>
        <w:rPr>
          <w:sz w:val="20"/>
          <w:szCs w:val="20"/>
          <w:color w:val="auto"/>
        </w:rPr>
      </w:pPr>
    </w:p>
    <w:p>
      <w:pPr>
        <w:ind w:left="532" w:right="12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32"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6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jc w:val="both"/>
        <w:ind w:left="532" w:right="100"/>
        <w:spacing w:after="0" w:line="259" w:lineRule="auto"/>
        <w:rPr>
          <w:sz w:val="20"/>
          <w:szCs w:val="20"/>
          <w:color w:val="auto"/>
        </w:rPr>
      </w:pPr>
      <w:r>
        <w:rPr>
          <w:rFonts w:ascii="Arial" w:cs="Arial" w:eastAsia="Arial" w:hAnsi="Arial"/>
          <w:sz w:val="18"/>
          <w:szCs w:val="18"/>
          <w:color w:val="auto"/>
        </w:rPr>
        <w:t>We have made an assessment of our operations and determined that, other than the filing of the shelf registration statement on Form S-3 discussed below, there were no material subsequent events requiring adjustment to, or disclosure in, our consolidated financial statements for the quarter ended March 31, 2011.</w:t>
      </w:r>
    </w:p>
    <w:p>
      <w:pPr>
        <w:spacing w:after="0" w:line="194" w:lineRule="exact"/>
        <w:rPr>
          <w:sz w:val="20"/>
          <w:szCs w:val="20"/>
          <w:color w:val="auto"/>
        </w:rPr>
      </w:pPr>
    </w:p>
    <w:p>
      <w:pPr>
        <w:ind w:left="532" w:right="40"/>
        <w:spacing w:after="0" w:line="287" w:lineRule="auto"/>
        <w:rPr>
          <w:sz w:val="20"/>
          <w:szCs w:val="20"/>
          <w:color w:val="auto"/>
        </w:rPr>
      </w:pPr>
      <w:r>
        <w:rPr>
          <w:rFonts w:ascii="Arial" w:cs="Arial" w:eastAsia="Arial" w:hAnsi="Arial"/>
          <w:sz w:val="16"/>
          <w:szCs w:val="16"/>
          <w:color w:val="auto"/>
        </w:rPr>
        <w:t>On May 4, 2011, we filed a shelf registration statement on Form S-3 with the Securities and Exchange Commission for the offering, from time to time, of securities to be issued by us. The shelf registration statement is intended to provide us with financial flexibility to raise capital from the offering of up to $30,000 of common stock, preferred stock, warrants, debt securities and/or units, conducted in one or more offerings while the shelf registration statement is effective. The specific terms of any particular securities that we may offer will be determined at the time of such offering and will be described in a separately filed prospectus supplement at the time of such offering. Any offering under the registration statement will be subject to the requirement that the amount of securities offered and sold during any period of twelve months immediately prior to and including such sale may not exceed one-third of the aggregate market value of the common equity held by non-affiliates. We do not have any immediate plans to offer or sell our securities under the shelf registration statement. We intend to use the proceeds from any sale of securities under the registration statement for possible acquisition of businesses, technologies or products that are complementary to our existing businesses or other general corporate purposes, which may include working capital. At the present time, we have no specific plans or agreements with respect to any acquisition and are</w:t>
      </w:r>
    </w:p>
    <w:p>
      <w:pPr>
        <w:spacing w:after="0" w:line="13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12"/>
          </w:cols>
          <w:pgMar w:left="248" w:top="131" w:right="239" w:bottom="0" w:gutter="0" w:footer="0" w:header="0"/>
        </w:sectPr>
      </w:pPr>
    </w:p>
    <w:bookmarkStart w:id="6" w:name="page7"/>
    <w:bookmarkEnd w:id="6"/>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not engaged in any negotiations regarding any acquisition. On May 12, 2011, we received correspondence from the Securities and Exchange Commission indicating that it will not conduct a review of the shelf registration on Form S-3 and that we were permitted to request acceleration of the effective date of this registration statement.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26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8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For the quarters ended March 31, 2011 and 2010, we recorded income tax expense of $60 and $3, respectively.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jc w:val="both"/>
        <w:ind w:left="540" w:right="60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12" w:lineRule="exact"/>
        <w:rPr>
          <w:sz w:val="20"/>
          <w:szCs w:val="20"/>
          <w:color w:val="auto"/>
        </w:rPr>
      </w:pPr>
    </w:p>
    <w:p>
      <w:pPr>
        <w:ind w:left="6540"/>
        <w:spacing w:after="0"/>
        <w:rPr>
          <w:sz w:val="20"/>
          <w:szCs w:val="20"/>
          <w:color w:val="auto"/>
        </w:rPr>
      </w:pPr>
      <w:r>
        <w:rPr>
          <w:rFonts w:ascii="Arial" w:cs="Arial" w:eastAsia="Arial" w:hAnsi="Arial"/>
          <w:sz w:val="14"/>
          <w:szCs w:val="14"/>
          <w:b w:val="1"/>
          <w:bCs w:val="1"/>
          <w:i w:val="1"/>
          <w:iCs w:val="1"/>
          <w:color w:val="auto"/>
        </w:rPr>
        <w:t>Three Months Ended</w:t>
      </w:r>
    </w:p>
    <w:p>
      <w:pPr>
        <w:ind w:left="682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-16510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ectPr>
          <w:pgSz w:w="11900" w:h="16944" w:orient="portrait"/>
          <w:cols w:equalWidth="0" w:num="1">
            <w:col w:w="11380"/>
          </w:cols>
          <w:pgMar w:left="240" w:top="125" w:right="279" w:bottom="0" w:gutter="0" w:footer="0" w:header="0"/>
        </w:sectPr>
      </w:pPr>
    </w:p>
    <w:p>
      <w:pPr>
        <w:spacing w:after="0" w:line="3" w:lineRule="exact"/>
        <w:rPr>
          <w:sz w:val="20"/>
          <w:szCs w:val="20"/>
          <w:color w:val="auto"/>
        </w:rPr>
      </w:pPr>
    </w:p>
    <w:p>
      <w:pPr>
        <w:ind w:left="6560"/>
        <w:spacing w:after="0"/>
        <w:tabs>
          <w:tab w:leader="none" w:pos="7400" w:val="left"/>
        </w:tabs>
        <w:rPr>
          <w:sz w:val="20"/>
          <w:szCs w:val="20"/>
          <w:color w:val="auto"/>
        </w:rPr>
      </w:pPr>
      <w:r>
        <w:rPr>
          <w:rFonts w:ascii="Arial" w:cs="Arial" w:eastAsia="Arial" w:hAnsi="Arial"/>
          <w:sz w:val="12"/>
          <w:szCs w:val="12"/>
          <w:b w:val="1"/>
          <w:bCs w:val="1"/>
          <w:i w:val="1"/>
          <w:iCs w:val="1"/>
          <w:color w:val="auto"/>
        </w:rPr>
        <w:t>2011</w:t>
      </w:r>
      <w:r>
        <w:rPr>
          <w:sz w:val="20"/>
          <w:szCs w:val="20"/>
          <w:color w:val="auto"/>
        </w:rPr>
        <w:tab/>
      </w:r>
      <w:r>
        <w:rPr>
          <w:rFonts w:ascii="Arial" w:cs="Arial" w:eastAsia="Arial" w:hAnsi="Arial"/>
          <w:sz w:val="12"/>
          <w:szCs w:val="12"/>
          <w:b w:val="1"/>
          <w:bCs w:val="1"/>
          <w:i w:val="1"/>
          <w:iCs w:val="1"/>
          <w:color w:val="auto"/>
        </w:rPr>
        <w:t>2010</w:t>
      </w:r>
    </w:p>
    <w:p>
      <w:pPr>
        <w:sectPr>
          <w:pgSz w:w="11900" w:h="16944" w:orient="portrait"/>
          <w:cols w:equalWidth="0" w:num="1">
            <w:col w:w="11380"/>
          </w:cols>
          <w:pgMar w:left="240" w:top="125" w:right="279" w:bottom="0" w:gutter="0" w:footer="0" w:header="0"/>
          <w:type w:val="continuous"/>
        </w:sectPr>
      </w:pPr>
    </w:p>
    <w:bookmarkStart w:id="7" w:name="page8"/>
    <w:bookmarkEnd w:id="7"/>
    <w:tbl>
      <w:tblPr>
        <w:tblLayout w:type="fixed"/>
        <w:tblInd w:w="560" w:type="dxa"/>
        <w:tblCellMar>
          <w:top w:w="0" w:type="dxa"/>
          <w:left w:w="0" w:type="dxa"/>
          <w:bottom w:w="0" w:type="dxa"/>
          <w:right w:w="0" w:type="dxa"/>
        </w:tblCellMar>
      </w:tblP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10,067,748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9,993,089</w:t>
            </w:r>
          </w:p>
        </w:tc>
      </w:tr>
      <w:tr>
        <w:trPr>
          <w:trHeight w:val="459"/>
        </w:trPr>
        <w:tc>
          <w:tcPr>
            <w:tcW w:w="57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21"/>
        </w:trPr>
        <w:tc>
          <w:tcPr>
            <w:tcW w:w="576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198,896</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5,803</w:t>
            </w:r>
          </w:p>
        </w:tc>
      </w:tr>
      <w:tr>
        <w:trPr>
          <w:trHeight w:val="471"/>
        </w:trPr>
        <w:tc>
          <w:tcPr>
            <w:tcW w:w="576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w:t>
            </w:r>
          </w:p>
        </w:tc>
        <w:tc>
          <w:tcPr>
            <w:tcW w:w="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184"/>
        </w:trPr>
        <w:tc>
          <w:tcPr>
            <w:tcW w:w="5760" w:type="dxa"/>
            <w:vAlign w:val="bottom"/>
          </w:tcPr>
          <w:p>
            <w:pPr>
              <w:ind w:left="80"/>
              <w:spacing w:after="0" w:line="184" w:lineRule="exact"/>
              <w:rPr>
                <w:sz w:val="20"/>
                <w:szCs w:val="20"/>
                <w:color w:val="auto"/>
              </w:rPr>
            </w:pPr>
            <w:r>
              <w:rPr>
                <w:rFonts w:ascii="Arial" w:cs="Arial" w:eastAsia="Arial" w:hAnsi="Arial"/>
                <w:sz w:val="18"/>
                <w:szCs w:val="18"/>
                <w:color w:val="auto"/>
              </w:rPr>
              <w:t>outstanding -- diluted</w:t>
            </w:r>
          </w:p>
        </w:tc>
        <w:tc>
          <w:tcPr>
            <w:tcW w:w="80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86"/>
              </w:rPr>
              <w:t>10,266,644</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84"/>
              </w:rPr>
              <w:t>9,998,892</w:t>
            </w:r>
          </w:p>
        </w:tc>
      </w:tr>
      <w:tr>
        <w:trPr>
          <w:trHeight w:val="869"/>
        </w:trPr>
        <w:tc>
          <w:tcPr>
            <w:tcW w:w="5760" w:type="dxa"/>
            <w:vAlign w:val="bottom"/>
          </w:tcPr>
          <w:p>
            <w:pPr>
              <w:spacing w:after="0"/>
              <w:rPr>
                <w:sz w:val="20"/>
                <w:szCs w:val="20"/>
                <w:color w:val="auto"/>
              </w:rPr>
            </w:pPr>
            <w:r>
              <w:rPr>
                <w:rFonts w:ascii="Arial" w:cs="Arial" w:eastAsia="Arial" w:hAnsi="Arial"/>
                <w:sz w:val="18"/>
                <w:szCs w:val="18"/>
                <w:color w:val="auto"/>
                <w:w w:val="97"/>
              </w:rPr>
              <w:t>Average number of potentially dilutive securities excluded from calculation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59,950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452,562</w:t>
            </w:r>
          </w:p>
        </w:tc>
      </w:tr>
      <w:tr>
        <w:trPr>
          <w:trHeight w:val="459"/>
        </w:trPr>
        <w:tc>
          <w:tcPr>
            <w:tcW w:w="576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$3.62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4314825</wp:posOffset>
            </wp:positionH>
            <wp:positionV relativeFrom="page">
              <wp:posOffset>114935</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page">
              <wp:posOffset>4869815</wp:posOffset>
            </wp:positionH>
            <wp:positionV relativeFrom="page">
              <wp:posOffset>114935</wp:posOffset>
            </wp:positionV>
            <wp:extent cx="171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In January 2010, the Financial Accounting Standards Board (the "FASB") issued an amendment to an accounting standard regarding disclosure 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This amendment is effective for interim and annual reporting periods beginning after December 15, 2009, with the exception of the new guidance around the Level 3 activity reconciliations, which is effective for fiscal years beginning after December 15, 2010. The adoption of this amendment did not have any impact on our consolidated financial statements.</w:t>
      </w:r>
    </w:p>
    <w:p>
      <w:pPr>
        <w:spacing w:after="0" w:line="172" w:lineRule="exact"/>
        <w:rPr>
          <w:sz w:val="20"/>
          <w:szCs w:val="20"/>
          <w:color w:val="auto"/>
        </w:rPr>
      </w:pPr>
    </w:p>
    <w:p>
      <w:pPr>
        <w:ind w:left="540" w:right="240"/>
        <w:spacing w:after="0" w:line="255" w:lineRule="auto"/>
        <w:rPr>
          <w:sz w:val="20"/>
          <w:szCs w:val="20"/>
          <w:color w:val="auto"/>
        </w:rPr>
      </w:pPr>
      <w:r>
        <w:rPr>
          <w:rFonts w:ascii="Arial" w:cs="Arial" w:eastAsia="Arial" w:hAnsi="Arial"/>
          <w:sz w:val="18"/>
          <w:szCs w:val="18"/>
          <w:color w:val="auto"/>
        </w:rPr>
        <w:t>In July 2010, the FASB issued an amendment to an accounting standard that requires additional disclosure about the credit quality of financing receivables, such as aging information and credit quality indicators. Both new and existing disclosures must be disaggregated by portfolio segment or class, if applicable. The disaggregation of information is based on how allowances for credit losses are developed and how credit exposure is managed. This amendment is effective for interim periods and fiscal years ending after December 15, 2010. The adoption of this amendment did not have any impact on our consolidated financial statements.</w:t>
      </w:r>
    </w:p>
    <w:p>
      <w:pPr>
        <w:spacing w:after="0" w:line="197"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 December 2010, the FASB issued an amendment to goodwill impairment testing. The amendment modifies Step I of the goodwill impairment test for reporting units with zero or negative carrying amounts. For those reporting units, an entity is required to perform Step II of the goodwill impairment test if it is more likely than not that a goodwill impairment exists. In determining whether it is more likely than not that goodwill impairment exists, an entity should consider whether there are any adverse qualitative factors indicating that impairment may exist. The qualitative factors are consistent with the existing guidance and examples, which require that goodwill of a reporting unit be tested for impairment between annual tests if an event occurs or circumstances change that would more likely than not reduce the fair value of a reporting unit below its carrying amount. The amendment is effective for fiscal years, and interim periods within those years, beginning after December 15, 2010. Early adoption is not permitted. The adoption of this guidance did not have any impact on our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December 2010, the FASB issued an amendment to the disclosure of supplementary pro forma information for business combinations. The amendment specifies that if a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amendment also expands the supplemental pro forma disclosures to include a description of the nature and amount of material, nonrecurring pro forma adjustments directly attributable to the business combination included in the reported pro forma revenue and earnings. The amendment is effective prospectively for business combinations for which the acquisition date is on or after the beginning of the first annual reporting period beginning on or after December 15, 2010. We will implement this guidance in the event we consummate a business acquisition in the future.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As of March 31, 2011 and December 31, 2010, our goodwill totaled $1,656 and our indefinite-lived intangible asset totaled $510. The goodwill and indefinite-lived intangible asset are both a result of our acquisition of Sigma Systems Corp. ("Sigma") in October 2008 and are allocated to our Thermal Products reporting unit.</w:t>
      </w:r>
    </w:p>
    <w:p>
      <w:pPr>
        <w:spacing w:after="0" w:line="194"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As of March 31, 2011 and December 31, 2010, we had finite-lived intangible assets which totaled $533 and $567, net of accumulated amortization of $337 and $303, respectively. At March 31, 2011 and December 31, 2010 we had three finite-lived intangible assets which consisted of customer relationships, software and patents held by Sigma at the time of our acquisition of this operation in October 2008. These intangible assets are being amortized on a straight-line basis over estimated useful lives of 72 months, 120 months and 60 months, respectively. As of March 31, 2011, these assets had remaining estimated useful lives of 42 months, 90 months, and 30 months, respectively. These intangible assets are allocated to our Thermal Products segment.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three months ended March 31, 2011: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1260" w:type="dxa"/>
            <w:vAlign w:val="bottom"/>
          </w:tcPr>
          <w:p>
            <w:pPr>
              <w:jc w:val="right"/>
              <w:spacing w:after="0"/>
              <w:rPr>
                <w:sz w:val="20"/>
                <w:szCs w:val="20"/>
                <w:color w:val="auto"/>
              </w:rPr>
            </w:pPr>
            <w:r>
              <w:rPr>
                <w:rFonts w:ascii="Arial" w:cs="Arial" w:eastAsia="Arial" w:hAnsi="Arial"/>
                <w:sz w:val="18"/>
                <w:szCs w:val="18"/>
                <w:color w:val="auto"/>
              </w:rPr>
              <w:t>$567</w:t>
            </w:r>
          </w:p>
        </w:tc>
      </w:tr>
    </w:tbl>
    <w:p>
      <w:pPr>
        <w:sectPr>
          <w:pgSz w:w="11900" w:h="16838" w:orient="portrait"/>
          <w:cols w:equalWidth="0" w:num="1">
            <w:col w:w="11420"/>
          </w:cols>
          <w:pgMar w:left="240" w:top="307" w:right="239" w:bottom="0" w:gutter="0" w:footer="0" w:header="0"/>
        </w:sectPr>
      </w:pPr>
    </w:p>
    <w:bookmarkStart w:id="8" w:name="page9"/>
    <w:bookmarkEnd w:id="8"/>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640" w:type="dxa"/>
            <w:vAlign w:val="bottom"/>
            <w:vMerge w:val="restart"/>
          </w:tcPr>
          <w:p>
            <w:pPr>
              <w:spacing w:after="0"/>
              <w:rPr>
                <w:sz w:val="20"/>
                <w:szCs w:val="20"/>
                <w:color w:val="auto"/>
              </w:rPr>
            </w:pPr>
            <w:r>
              <w:rPr>
                <w:rFonts w:ascii="Arial" w:cs="Arial" w:eastAsia="Arial" w:hAnsi="Arial"/>
                <w:sz w:val="18"/>
                <w:szCs w:val="18"/>
                <w:color w:val="auto"/>
              </w:rPr>
              <w:t>Amortization</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6"/>
        </w:trPr>
        <w:tc>
          <w:tcPr>
            <w:tcW w:w="3640" w:type="dxa"/>
            <w:vAlign w:val="bottom"/>
            <w:vMerge w:val="continue"/>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3640" w:type="dxa"/>
            <w:vAlign w:val="bottom"/>
          </w:tcPr>
          <w:p>
            <w:pPr>
              <w:spacing w:after="0"/>
              <w:rPr>
                <w:sz w:val="20"/>
                <w:szCs w:val="20"/>
                <w:color w:val="auto"/>
              </w:rPr>
            </w:pPr>
            <w:r>
              <w:rPr>
                <w:rFonts w:ascii="Arial" w:cs="Arial" w:eastAsia="Arial" w:hAnsi="Arial"/>
                <w:sz w:val="18"/>
                <w:szCs w:val="18"/>
                <w:color w:val="auto"/>
              </w:rPr>
              <w:t>Balance - March 31, 2011</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the estimated annual amortization expense for our finite-lived intangible assets for each of the next five years:</w:t>
      </w:r>
    </w:p>
    <w:p>
      <w:pPr>
        <w:spacing w:after="0" w:line="262"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52"/>
              <w:spacing w:after="0"/>
              <w:rPr>
                <w:sz w:val="20"/>
                <w:szCs w:val="20"/>
                <w:color w:val="auto"/>
              </w:rPr>
            </w:pPr>
            <w:r>
              <w:rPr>
                <w:rFonts w:ascii="Arial" w:cs="Arial" w:eastAsia="Arial" w:hAnsi="Arial"/>
                <w:sz w:val="18"/>
                <w:szCs w:val="18"/>
                <w:color w:val="auto"/>
                <w:w w:val="79"/>
              </w:rPr>
              <w:t>2011</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2012</w:t>
            </w: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$ 73</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$ 27</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In response to the significant decline in our orders and net revenues during 2008 and 2009, we took actions to reduce our cost structure, including facility closures, workforce reductions and temporary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97"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During three months ended March 31, 2011 and 2010, we did not record any restructuring charges. Changes in our liability for restructuring and other charges for the three months ended March 31, 2010 are summarized as follows: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71"/>
              </w:rPr>
              <w:t>Sigma</w:t>
            </w:r>
          </w:p>
        </w:tc>
      </w:tr>
      <w:tr>
        <w:trPr>
          <w:trHeight w:val="146"/>
        </w:trPr>
        <w:tc>
          <w:tcPr>
            <w:tcW w:w="3660" w:type="dxa"/>
            <w:vAlign w:val="bottom"/>
          </w:tcPr>
          <w:p>
            <w:pPr>
              <w:spacing w:after="0"/>
              <w:rPr>
                <w:sz w:val="12"/>
                <w:szCs w:val="12"/>
                <w:color w:val="auto"/>
              </w:rPr>
            </w:pPr>
          </w:p>
        </w:tc>
        <w:tc>
          <w:tcPr>
            <w:tcW w:w="960" w:type="dxa"/>
            <w:vAlign w:val="bottom"/>
            <w:gridSpan w:val="4"/>
          </w:tcPr>
          <w:p>
            <w:pPr>
              <w:jc w:val="center"/>
              <w:ind w:left="279"/>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35"/>
        </w:trPr>
        <w:tc>
          <w:tcPr>
            <w:tcW w:w="366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360" w:type="dxa"/>
            <w:vAlign w:val="bottom"/>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auto"/>
            </w:tcBorders>
          </w:tcPr>
          <w:p>
            <w:pPr>
              <w:spacing w:after="0"/>
              <w:rPr>
                <w:sz w:val="20"/>
                <w:szCs w:val="20"/>
                <w:color w:val="auto"/>
              </w:rPr>
            </w:pPr>
          </w:p>
        </w:tc>
      </w:tr>
      <w:tr>
        <w:trPr>
          <w:trHeight w:val="453"/>
        </w:trPr>
        <w:tc>
          <w:tcPr>
            <w:tcW w:w="3660" w:type="dxa"/>
            <w:vAlign w:val="bottom"/>
          </w:tcPr>
          <w:p>
            <w:pPr>
              <w:spacing w:after="0"/>
              <w:rPr>
                <w:sz w:val="20"/>
                <w:szCs w:val="20"/>
                <w:color w:val="auto"/>
              </w:rPr>
            </w:pPr>
            <w:r>
              <w:rPr>
                <w:rFonts w:ascii="Arial" w:cs="Arial" w:eastAsia="Arial" w:hAnsi="Arial"/>
                <w:sz w:val="18"/>
                <w:szCs w:val="18"/>
                <w:color w:val="auto"/>
                <w:w w:val="99"/>
              </w:rPr>
              <w:t>Accruals for one-time termination benefits and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660" w:type="dxa"/>
            <w:vAlign w:val="bottom"/>
          </w:tcPr>
          <w:p>
            <w:pPr>
              <w:ind w:left="180"/>
              <w:spacing w:after="0"/>
              <w:rPr>
                <w:sz w:val="20"/>
                <w:szCs w:val="20"/>
                <w:color w:val="auto"/>
              </w:rPr>
            </w:pPr>
            <w:r>
              <w:rPr>
                <w:rFonts w:ascii="Arial" w:cs="Arial" w:eastAsia="Arial" w:hAnsi="Arial"/>
                <w:sz w:val="18"/>
                <w:szCs w:val="18"/>
                <w:color w:val="auto"/>
              </w:rPr>
              <w:t>facility closure costs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453"/>
        </w:trPr>
        <w:tc>
          <w:tcPr>
            <w:tcW w:w="3660" w:type="dxa"/>
            <w:vAlign w:val="bottom"/>
          </w:tcPr>
          <w:p>
            <w:pPr>
              <w:spacing w:after="0"/>
              <w:rPr>
                <w:sz w:val="20"/>
                <w:szCs w:val="20"/>
                <w:color w:val="auto"/>
              </w:rPr>
            </w:pPr>
            <w:r>
              <w:rPr>
                <w:rFonts w:ascii="Arial" w:cs="Arial" w:eastAsia="Arial" w:hAnsi="Arial"/>
                <w:sz w:val="18"/>
                <w:szCs w:val="18"/>
                <w:color w:val="auto"/>
                <w:w w:val="97"/>
              </w:rPr>
              <w:t>Severance and other cash payments related to</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one-time termination benefits and facility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4"/>
        </w:trPr>
        <w:tc>
          <w:tcPr>
            <w:tcW w:w="366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520" w:type="dxa"/>
            <w:vAlign w:val="bottom"/>
            <w:gridSpan w:val="2"/>
          </w:tcPr>
          <w:p>
            <w:pPr>
              <w:spacing w:after="0"/>
              <w:rPr>
                <w:sz w:val="15"/>
                <w:szCs w:val="15"/>
                <w:color w:val="auto"/>
              </w:rPr>
            </w:pPr>
          </w:p>
        </w:tc>
        <w:tc>
          <w:tcPr>
            <w:tcW w:w="440" w:type="dxa"/>
            <w:vAlign w:val="bottom"/>
            <w:gridSpan w:val="2"/>
          </w:tcPr>
          <w:p>
            <w:pPr>
              <w:jc w:val="right"/>
              <w:ind w:right="100"/>
              <w:spacing w:after="0" w:line="184" w:lineRule="exact"/>
              <w:rPr>
                <w:sz w:val="20"/>
                <w:szCs w:val="20"/>
                <w:color w:val="auto"/>
              </w:rPr>
            </w:pPr>
            <w:r>
              <w:rPr>
                <w:rFonts w:ascii="Arial" w:cs="Arial" w:eastAsia="Arial" w:hAnsi="Arial"/>
                <w:sz w:val="18"/>
                <w:szCs w:val="18"/>
                <w:color w:val="auto"/>
                <w:w w:val="99"/>
              </w:rPr>
              <w:t>(96)</w:t>
            </w:r>
          </w:p>
        </w:tc>
      </w:tr>
      <w:tr>
        <w:trPr>
          <w:trHeight w:val="20"/>
        </w:trPr>
        <w:tc>
          <w:tcPr>
            <w:tcW w:w="3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Balance - March 31, 2010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$ 34</w:t>
            </w:r>
          </w:p>
        </w:tc>
        <w:tc>
          <w:tcPr>
            <w:tcW w:w="1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During the three months ended March 31, 2011, no customer accounted for 10% or more of our consolidated net revenues. During the three months ended March 31, 2010, Teradyne, Inc. accounted for 19% of our consolidated net revenues. These revenues were generated by both our Mechanical and Electrical Products segments. During the three months ended March 31, 2010, Texas Instruments Incorporated accounted for 18% of our consolidated net revenues. While all three of our operating segments sold products to this customer, these revenues were primarily generated by our Mechanical Products segment. No other customer accounted for 10% or more of our consolidated net revenues during the three months ended March 31, 2010.</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2011 and December 31, 2010 were comprised of the following: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640" w:type="dxa"/>
            <w:vAlign w:val="bottom"/>
            <w:gridSpan w:val="3"/>
          </w:tcPr>
          <w:p>
            <w:pPr>
              <w:jc w:val="center"/>
              <w:ind w:left="519"/>
              <w:spacing w:after="0"/>
              <w:rPr>
                <w:sz w:val="20"/>
                <w:szCs w:val="20"/>
                <w:color w:val="auto"/>
              </w:rPr>
            </w:pPr>
            <w:r>
              <w:rPr>
                <w:rFonts w:ascii="Arial" w:cs="Arial" w:eastAsia="Arial" w:hAnsi="Arial"/>
                <w:sz w:val="14"/>
                <w:szCs w:val="14"/>
                <w:b w:val="1"/>
                <w:bCs w:val="1"/>
                <w:i w:val="1"/>
                <w:iCs w:val="1"/>
                <w:color w:val="auto"/>
                <w:w w:val="91"/>
              </w:rPr>
              <w:t>Mar. 31,</w:t>
            </w:r>
          </w:p>
        </w:tc>
        <w:tc>
          <w:tcPr>
            <w:tcW w:w="540" w:type="dxa"/>
            <w:vAlign w:val="bottom"/>
            <w:gridSpan w:val="2"/>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300" w:type="dxa"/>
            <w:vAlign w:val="bottom"/>
          </w:tcPr>
          <w:p>
            <w:pPr>
              <w:spacing w:after="0"/>
              <w:rPr>
                <w:sz w:val="12"/>
                <w:szCs w:val="12"/>
                <w:color w:val="auto"/>
              </w:rPr>
            </w:pPr>
          </w:p>
        </w:tc>
        <w:tc>
          <w:tcPr>
            <w:tcW w:w="480" w:type="dxa"/>
            <w:vAlign w:val="bottom"/>
            <w:tcBorders>
              <w:bottom w:val="single" w:sz="8" w:color="auto"/>
            </w:tcBorders>
          </w:tcPr>
          <w:p>
            <w:pPr>
              <w:jc w:val="right"/>
              <w:ind w:right="22"/>
              <w:spacing w:after="0" w:line="146" w:lineRule="exact"/>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12"/>
                <w:szCs w:val="12"/>
                <w:color w:val="auto"/>
              </w:rPr>
            </w:pPr>
          </w:p>
        </w:tc>
      </w:tr>
      <w:tr>
        <w:trPr>
          <w:trHeight w:val="235"/>
        </w:trPr>
        <w:tc>
          <w:tcPr>
            <w:tcW w:w="2040" w:type="dxa"/>
            <w:vAlign w:val="bottom"/>
          </w:tcPr>
          <w:p>
            <w:pPr>
              <w:spacing w:after="0"/>
              <w:rPr>
                <w:sz w:val="20"/>
                <w:szCs w:val="20"/>
                <w:color w:val="auto"/>
              </w:rPr>
            </w:pPr>
            <w:r>
              <w:rPr>
                <w:rFonts w:ascii="Arial" w:cs="Arial" w:eastAsia="Arial" w:hAnsi="Arial"/>
                <w:sz w:val="18"/>
                <w:szCs w:val="18"/>
                <w:color w:val="auto"/>
              </w:rPr>
              <w:t>Raw materials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$2,854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$2,268</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Work in process</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498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385</w:t>
            </w:r>
          </w:p>
        </w:tc>
      </w:tr>
    </w:tbl>
    <w:p>
      <w:pPr>
        <w:sectPr>
          <w:pgSz w:w="11900" w:h="16838" w:orient="portrait"/>
          <w:cols w:equalWidth="0" w:num="1">
            <w:col w:w="11380"/>
          </w:cols>
          <w:pgMar w:left="240" w:top="41" w:right="279" w:bottom="0" w:gutter="0" w:footer="0" w:header="0"/>
        </w:sectPr>
      </w:pPr>
    </w:p>
    <w:bookmarkStart w:id="9" w:name="page10"/>
    <w:bookmarkEnd w:id="9"/>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223</w:t>
            </w:r>
          </w:p>
        </w:tc>
      </w:tr>
      <w:tr>
        <w:trPr>
          <w:trHeight w:val="421"/>
        </w:trPr>
        <w:tc>
          <w:tcPr>
            <w:tcW w:w="2980" w:type="dxa"/>
            <w:vAlign w:val="bottom"/>
          </w:tcPr>
          <w:p>
            <w:pPr>
              <w:spacing w:after="0"/>
              <w:rPr>
                <w:sz w:val="20"/>
                <w:szCs w:val="20"/>
                <w:color w:val="auto"/>
              </w:rPr>
            </w:pPr>
            <w:r>
              <w:rPr>
                <w:rFonts w:ascii="Arial" w:cs="Arial" w:eastAsia="Arial" w:hAnsi="Arial"/>
                <w:sz w:val="18"/>
                <w:szCs w:val="18"/>
                <w:color w:val="auto"/>
              </w:rPr>
              <w:t>Finished goods</w:t>
            </w:r>
          </w:p>
        </w:tc>
        <w:tc>
          <w:tcPr>
            <w:tcW w:w="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40" w:type="dxa"/>
            <w:vAlign w:val="bottom"/>
            <w:gridSpan w:val="2"/>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439"/>
        </w:trPr>
        <w:tc>
          <w:tcPr>
            <w:tcW w:w="298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4,003</w:t>
            </w:r>
          </w:p>
        </w:tc>
        <w:tc>
          <w:tcPr>
            <w:tcW w:w="28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At each of March 31, 2011 and December 31, 2010, we had a secured credit facility that provides for maximum borrowings of $250. We have not used this credit facility to borrow any funds. Our usage consists of the issuance of letters of credit in the face amount of $250. This facility is secured by pledged certificates of deposit totaling $250. These certificates of deposit are included in Restricted Certificates of Deposit on our balance sheet. We pay a quarterly fee of 1.5% per annum on the total amount of the outstanding letters of credit. This credit facility expires on September 30, 2011.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At each of March 31, 2011 and December 31, 2010, we had four outstanding letters of credit totaling $700. All of these letters of credit were issued as security deposits under various operating leases we have entered into for our domestic facilities. Two of these letters of credit were issued under our credit facility, which is secured by pledged certificates of deposit as discussed above. The remaining two letters of credit are secured by separate pledged certificates of deposit. The individual letters of credit are discussed in more detail below.</w:t>
      </w:r>
    </w:p>
    <w:p>
      <w:pPr>
        <w:spacing w:after="0" w:line="16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At each of March 31, 2011 and December 31, 2010, we had an outstanding letter of credit in the amount of $200. This letter of credit was originally issued in December 2000 as a security deposit under a lease that our Temptronic subsidiary entered into for its facility in Sharon, Massachusetts. This letter of credit expired January 1, 2011 and was renewed for an additional year. The terms of the lease required that the letter of credit be renewed at least thirty days prior to its expiration date for successive terms of not less than one year throughout the entire lease term, which ended February 28, 2011. As a result of the termination of this lease in February 2011, this letter of credit will not be renewed when it expires on January 1, 2012.</w:t>
      </w:r>
    </w:p>
    <w:p>
      <w:pPr>
        <w:spacing w:after="0" w:line="170"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At each of March 31, 2011 and December 31, 2010, we had an outstanding letter of credit in the amount of $50. This letter of credit was originally issued in September 2004 as a portion of the security deposit under a lease that we entered into for a facility for our Electrical Products operation based in northern California. This letter of credit expires September 13, 2011; however,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97"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At each of March 31, 2011 and December 31, 2010, we had an outstanding letter of credit in the amount of $250. This letter of credit is secured by a separate pledged certificate of deposit in the amount of $250. This letter of credit was originally issued in April 2010 as a security deposit under a lease that we have entered into for a facility in Mt. Laurel, New Jersey. Our Mechanical Products operation, which was located in Cherry Hill, New Jersey on December 31, 2010, relocated to this smaller facility in Mt. Laurel, New Jersey during the first quarter of 2011. This letter of credit expires April 1, 2012; however, the terms of the lease require that the letter of credit be renewed at least thirty days prior to its expiration date for successive terms of not less than one year throughout the entire lease term, which ends April 30, 2021. Provided that there is no event of default as defined under the terms and conditions of the lease, the required amount of the letter of credit shall decrease to $125 as of the sixty-fourth month of the term of the lease and to $90 as of the one-hundredth month of the term of the lease.</w:t>
      </w:r>
    </w:p>
    <w:p>
      <w:pPr>
        <w:spacing w:after="0" w:line="172" w:lineRule="exact"/>
        <w:rPr>
          <w:sz w:val="20"/>
          <w:szCs w:val="20"/>
          <w:color w:val="auto"/>
        </w:rPr>
      </w:pPr>
    </w:p>
    <w:p>
      <w:pPr>
        <w:ind w:left="540" w:right="100"/>
        <w:spacing w:after="0" w:line="289" w:lineRule="auto"/>
        <w:rPr>
          <w:sz w:val="20"/>
          <w:szCs w:val="20"/>
          <w:color w:val="auto"/>
        </w:rPr>
      </w:pPr>
      <w:r>
        <w:rPr>
          <w:rFonts w:ascii="Arial" w:cs="Arial" w:eastAsia="Arial" w:hAnsi="Arial"/>
          <w:sz w:val="16"/>
          <w:szCs w:val="16"/>
          <w:color w:val="auto"/>
        </w:rPr>
        <w:t>At each of March 31, 2011 and December 31, 2010, we had an outstanding letter of credit in the amount of $200. This letter of credit is secured by a separate pledged certificate of deposit in the amount of $200. This letter of credit was originally issued in November 2010 as a security deposit under a lease that we have entered into for a facility in Mansfield, Massachusetts. Our Thermal Products operation, which was located in Sharon, Massachusetts on December 31, 2010, relocated to this facility in Mansfield, Massachusetts during the first quarter of 2011. This letter of credit expires November 8, 2011; however, the terms of the lease require that the letter of credit be renewed at least thirty days prior to its expiration date for successive terms of not less than one year throughout the entire lease term, which ends August 23, 2021. Provided that there is no event of default as defined under the terms and conditions of the lease, the required amount of the letter of credit shall decrease to $100 as of the thirty-seventh month of the term of the lease and to $50 as of the sixty-first month of the term of the lease.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LEASEHOLD IMPROVEMENTS AND DEFERRED RENT</w:t>
      </w:r>
    </w:p>
    <w:p>
      <w:pPr>
        <w:spacing w:after="0" w:line="191"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the three months ended March 31, 2011 and 2010 was $29 and $29, respectively.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158" w:right="239" w:bottom="472" w:gutter="0" w:footer="0" w:header="0"/>
        </w:sectPr>
      </w:pPr>
    </w:p>
    <w:bookmarkStart w:id="10" w:name="page11"/>
    <w:bookmarkEnd w:id="10"/>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ind w:left="540" w:right="9300" w:hanging="532"/>
        <w:spacing w:after="0" w:line="577" w:lineRule="auto"/>
        <w:tabs>
          <w:tab w:leader="none" w:pos="29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60"/>
        <w:spacing w:after="0" w:line="268" w:lineRule="auto"/>
        <w:rPr>
          <w:sz w:val="20"/>
          <w:szCs w:val="20"/>
          <w:color w:val="auto"/>
        </w:rPr>
      </w:pPr>
      <w:r>
        <w:rPr>
          <w:rFonts w:ascii="Arial" w:cs="Arial" w:eastAsia="Arial" w:hAnsi="Arial"/>
          <w:sz w:val="18"/>
          <w:szCs w:val="18"/>
          <w:color w:val="auto"/>
        </w:rPr>
        <w:t>Warranty expense for the three months ended March 31, 2011 and 2010 was $73 and $14, respectively. The following table sets forth the changes in the liability for product warranties for the three months ended March 31, 2011:</w:t>
      </w:r>
    </w:p>
    <w:p>
      <w:pPr>
        <w:spacing w:after="0" w:line="159" w:lineRule="exact"/>
        <w:rPr>
          <w:sz w:val="20"/>
          <w:szCs w:val="20"/>
          <w:color w:val="auto"/>
        </w:rPr>
      </w:pPr>
    </w:p>
    <w:tbl>
      <w:tblPr>
        <w:tblLayout w:type="fixed"/>
        <w:tblInd w:w="164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Balance - January 1, 2011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$274</w:t>
            </w:r>
          </w:p>
        </w:tc>
        <w:tc>
          <w:tcPr>
            <w:tcW w:w="40" w:type="dxa"/>
            <w:vAlign w:val="bottom"/>
          </w:tcPr>
          <w:p>
            <w:pPr>
              <w:spacing w:after="0"/>
              <w:rPr>
                <w:sz w:val="19"/>
                <w:szCs w:val="19"/>
                <w:color w:val="auto"/>
              </w:rPr>
            </w:pP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421"/>
        </w:trPr>
        <w:tc>
          <w:tcPr>
            <w:tcW w:w="336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r>
      <w:tr>
        <w:trPr>
          <w:trHeight w:val="439"/>
        </w:trPr>
        <w:tc>
          <w:tcPr>
            <w:tcW w:w="3360" w:type="dxa"/>
            <w:vAlign w:val="bottom"/>
          </w:tcPr>
          <w:p>
            <w:pPr>
              <w:spacing w:after="0"/>
              <w:rPr>
                <w:sz w:val="20"/>
                <w:szCs w:val="20"/>
                <w:color w:val="auto"/>
              </w:rPr>
            </w:pPr>
            <w:r>
              <w:rPr>
                <w:rFonts w:ascii="Arial" w:cs="Arial" w:eastAsia="Arial" w:hAnsi="Arial"/>
                <w:sz w:val="18"/>
                <w:szCs w:val="18"/>
                <w:color w:val="auto"/>
              </w:rPr>
              <w:t>Balance - March 31, 2011</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1"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As of March 31, 2011, we had outstanding stock options and unvested restricted stock awards granted under stock-based employee compensation plans that are described more fully in Note 15 to the consolidated financial statements in our 2010 Form 10-K.</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March 31, 2011, total compensation expense to be recognized in future periods was $330. The weighted average period over which this expense is expected to be recognized is 2.9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280"/>
        <w:spacing w:after="0" w:line="306" w:lineRule="auto"/>
        <w:rPr>
          <w:sz w:val="20"/>
          <w:szCs w:val="20"/>
          <w:color w:val="auto"/>
        </w:rPr>
      </w:pPr>
      <w:r>
        <w:rPr>
          <w:rFonts w:ascii="Arial" w:cs="Arial" w:eastAsia="Arial" w:hAnsi="Arial"/>
          <w:sz w:val="16"/>
          <w:szCs w:val="16"/>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ended March 31, 2011 and 2010, respectively, related to nonvested shares:</w:t>
      </w:r>
    </w:p>
    <w:p>
      <w:pPr>
        <w:spacing w:after="0" w:line="119"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740" w:type="dxa"/>
            <w:vAlign w:val="bottom"/>
            <w:gridSpan w:val="9"/>
          </w:tcPr>
          <w:p>
            <w:pPr>
              <w:jc w:val="center"/>
              <w:ind w:left="479"/>
              <w:spacing w:after="0"/>
              <w:rPr>
                <w:sz w:val="20"/>
                <w:szCs w:val="20"/>
                <w:color w:val="auto"/>
              </w:rPr>
            </w:pPr>
            <w:r>
              <w:rPr>
                <w:rFonts w:ascii="Arial" w:cs="Arial" w:eastAsia="Arial" w:hAnsi="Arial"/>
                <w:sz w:val="14"/>
                <w:szCs w:val="14"/>
                <w:b w:val="1"/>
                <w:bCs w:val="1"/>
                <w:i w:val="1"/>
                <w:iCs w:val="1"/>
                <w:color w:val="auto"/>
                <w:w w:val="85"/>
              </w:rPr>
              <w:t>Three Months Ended</w:t>
            </w:r>
          </w:p>
        </w:tc>
      </w:tr>
      <w:tr>
        <w:trPr>
          <w:trHeight w:val="146"/>
        </w:trPr>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80" w:type="dxa"/>
            <w:vAlign w:val="bottom"/>
            <w:gridSpan w:val="2"/>
          </w:tcPr>
          <w:p>
            <w:pPr>
              <w:spacing w:after="0"/>
              <w:rPr>
                <w:sz w:val="12"/>
                <w:szCs w:val="12"/>
                <w:color w:val="auto"/>
              </w:rPr>
            </w:pPr>
          </w:p>
        </w:tc>
      </w:tr>
      <w:tr>
        <w:trPr>
          <w:trHeight w:val="291"/>
        </w:trPr>
        <w:tc>
          <w:tcPr>
            <w:tcW w:w="386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b w:val="1"/>
                <w:bCs w:val="1"/>
                <w:i w:val="1"/>
                <w:iCs w:val="1"/>
                <w:color w:val="auto"/>
                <w:w w:val="74"/>
              </w:rPr>
              <w:t>2011</w:t>
            </w:r>
          </w:p>
        </w:tc>
        <w:tc>
          <w:tcPr>
            <w:tcW w:w="6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60" w:type="dxa"/>
            <w:vAlign w:val="bottom"/>
          </w:tcPr>
          <w:p>
            <w:pPr>
              <w:spacing w:after="0"/>
              <w:rPr>
                <w:sz w:val="24"/>
                <w:szCs w:val="24"/>
                <w:color w:val="auto"/>
              </w:rPr>
            </w:pPr>
          </w:p>
        </w:tc>
      </w:tr>
      <w:tr>
        <w:trPr>
          <w:trHeight w:val="20"/>
        </w:trPr>
        <w:tc>
          <w:tcPr>
            <w:tcW w:w="3860" w:type="dxa"/>
            <w:vAlign w:val="bottom"/>
          </w:tcPr>
          <w:p>
            <w:pPr>
              <w:spacing w:after="0" w:line="20" w:lineRule="exact"/>
              <w:rPr>
                <w:sz w:val="1"/>
                <w:szCs w:val="1"/>
                <w:color w:val="auto"/>
              </w:rPr>
            </w:pPr>
          </w:p>
        </w:tc>
        <w:tc>
          <w:tcPr>
            <w:tcW w:w="72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3860" w:type="dxa"/>
            <w:vAlign w:val="bottom"/>
          </w:tcPr>
          <w:p>
            <w:pPr>
              <w:spacing w:after="0"/>
              <w:rPr>
                <w:sz w:val="20"/>
                <w:szCs w:val="20"/>
                <w:color w:val="auto"/>
              </w:rPr>
            </w:pPr>
            <w:r>
              <w:rPr>
                <w:rFonts w:ascii="Arial" w:cs="Arial" w:eastAsia="Arial" w:hAnsi="Arial"/>
                <w:sz w:val="18"/>
                <w:szCs w:val="18"/>
                <w:color w:val="auto"/>
              </w:rPr>
              <w:t>Cost of revenues</w:t>
            </w:r>
          </w:p>
        </w:tc>
        <w:tc>
          <w:tcPr>
            <w:tcW w:w="720" w:type="dxa"/>
            <w:vAlign w:val="bottom"/>
            <w:gridSpan w:val="2"/>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$ 3</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$ 2</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Selling expense</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38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421"/>
        </w:trPr>
        <w:tc>
          <w:tcPr>
            <w:tcW w:w="38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28</w:t>
            </w:r>
          </w:p>
        </w:tc>
      </w:tr>
      <w:tr>
        <w:trPr>
          <w:trHeight w:val="439"/>
        </w:trPr>
        <w:tc>
          <w:tcPr>
            <w:tcW w:w="3860" w:type="dxa"/>
            <w:vAlign w:val="bottom"/>
          </w:tcPr>
          <w:p>
            <w:pPr>
              <w:spacing w:after="0"/>
              <w:rPr>
                <w:sz w:val="24"/>
                <w:szCs w:val="24"/>
                <w:color w:val="auto"/>
              </w:rPr>
            </w:pPr>
          </w:p>
        </w:tc>
        <w:tc>
          <w:tcPr>
            <w:tcW w:w="72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$ 48</w:t>
            </w:r>
          </w:p>
        </w:tc>
        <w:tc>
          <w:tcPr>
            <w:tcW w:w="30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6"/>
              </w:rPr>
              <w:t>$ 40</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months ended March 31, 2011 or 2010.</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three months ended March 31, 2011:</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760" w:type="dxa"/>
            <w:vAlign w:val="bottom"/>
            <w:gridSpan w:val="3"/>
          </w:tcPr>
          <w:p>
            <w:pPr>
              <w:jc w:val="center"/>
              <w:ind w:left="58"/>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160" w:type="dxa"/>
            <w:vAlign w:val="bottom"/>
            <w:gridSpan w:val="2"/>
          </w:tcPr>
          <w:p>
            <w:pPr>
              <w:spacing w:after="0"/>
              <w:rPr>
                <w:sz w:val="12"/>
                <w:szCs w:val="12"/>
                <w:color w:val="auto"/>
              </w:rPr>
            </w:pPr>
          </w:p>
        </w:tc>
        <w:tc>
          <w:tcPr>
            <w:tcW w:w="760" w:type="dxa"/>
            <w:vAlign w:val="bottom"/>
            <w:gridSpan w:val="3"/>
          </w:tcPr>
          <w:p>
            <w:pPr>
              <w:jc w:val="center"/>
              <w:ind w:left="58"/>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January 1, 2011</w:t>
            </w:r>
          </w:p>
        </w:tc>
        <w:tc>
          <w:tcPr>
            <w:tcW w:w="68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303,250</w:t>
            </w: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0"/>
                <w:szCs w:val="20"/>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Vested</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(79,500)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4"/>
                <w:szCs w:val="24"/>
                <w:color w:val="auto"/>
              </w:rPr>
            </w:pPr>
          </w:p>
        </w:tc>
      </w:tr>
      <w:tr>
        <w:trPr>
          <w:trHeight w:val="421"/>
        </w:trPr>
        <w:tc>
          <w:tcPr>
            <w:tcW w:w="40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780" w:type="dxa"/>
            <w:vAlign w:val="bottom"/>
            <w:gridSpan w:val="3"/>
          </w:tcPr>
          <w:p>
            <w:pPr>
              <w:spacing w:after="0"/>
              <w:rPr>
                <w:sz w:val="24"/>
                <w:szCs w:val="2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(11,250)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4"/>
                <w:szCs w:val="24"/>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March 31, 2011</w:t>
            </w:r>
          </w:p>
        </w:tc>
        <w:tc>
          <w:tcPr>
            <w:tcW w:w="760" w:type="dxa"/>
            <w:vAlign w:val="bottom"/>
            <w:gridSpan w:val="2"/>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212,500</w:t>
            </w:r>
          </w:p>
        </w:tc>
        <w:tc>
          <w:tcPr>
            <w:tcW w:w="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60"/>
          </w:cols>
          <w:pgMar w:left="240" w:top="125" w:right="399" w:bottom="0" w:gutter="0" w:footer="0" w:header="0"/>
        </w:sectPr>
      </w:pPr>
    </w:p>
    <w:bookmarkStart w:id="11" w:name="page12"/>
    <w:bookmarkEnd w:id="11"/>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2011:</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6"/>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Exercise Price</w:t>
            </w:r>
          </w:p>
        </w:tc>
      </w:tr>
      <w:tr>
        <w:trPr>
          <w:trHeight w:val="235"/>
        </w:trPr>
        <w:tc>
          <w:tcPr>
            <w:tcW w:w="4440" w:type="dxa"/>
            <w:vAlign w:val="bottom"/>
          </w:tcPr>
          <w:p>
            <w:pPr>
              <w:spacing w:after="0"/>
              <w:rPr>
                <w:sz w:val="20"/>
                <w:szCs w:val="20"/>
                <w:color w:val="auto"/>
              </w:rPr>
            </w:pPr>
            <w:r>
              <w:rPr>
                <w:rFonts w:ascii="Arial" w:cs="Arial" w:eastAsia="Arial" w:hAnsi="Arial"/>
                <w:sz w:val="18"/>
                <w:szCs w:val="18"/>
                <w:color w:val="auto"/>
                <w:w w:val="92"/>
              </w:rPr>
              <w:t>Options outstanding, January 1, 2011 (337,000 exercisable)</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337,000</w:t>
            </w:r>
          </w:p>
        </w:tc>
        <w:tc>
          <w:tcPr>
            <w:tcW w:w="60" w:type="dxa"/>
            <w:vAlign w:val="bottom"/>
          </w:tcPr>
          <w:p>
            <w:pPr>
              <w:spacing w:after="0"/>
              <w:rPr>
                <w:sz w:val="20"/>
                <w:szCs w:val="20"/>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$ 3.26</w:t>
            </w:r>
          </w:p>
        </w:tc>
      </w:tr>
      <w:tr>
        <w:trPr>
          <w:trHeight w:val="459"/>
        </w:trPr>
        <w:tc>
          <w:tcPr>
            <w:tcW w:w="4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459"/>
        </w:trPr>
        <w:tc>
          <w:tcPr>
            <w:tcW w:w="44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3.04</w:t>
            </w:r>
          </w:p>
        </w:tc>
      </w:tr>
      <w:tr>
        <w:trPr>
          <w:trHeight w:val="421"/>
        </w:trPr>
        <w:tc>
          <w:tcPr>
            <w:tcW w:w="444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400" w:type="dxa"/>
            <w:vAlign w:val="bottom"/>
            <w:gridSpan w:val="3"/>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439"/>
        </w:trPr>
        <w:tc>
          <w:tcPr>
            <w:tcW w:w="4440" w:type="dxa"/>
            <w:vAlign w:val="bottom"/>
          </w:tcPr>
          <w:p>
            <w:pPr>
              <w:spacing w:after="0"/>
              <w:rPr>
                <w:sz w:val="20"/>
                <w:szCs w:val="20"/>
                <w:color w:val="auto"/>
              </w:rPr>
            </w:pPr>
            <w:r>
              <w:rPr>
                <w:rFonts w:ascii="Arial" w:cs="Arial" w:eastAsia="Arial" w:hAnsi="Arial"/>
                <w:sz w:val="18"/>
                <w:szCs w:val="18"/>
                <w:color w:val="auto"/>
                <w:w w:val="93"/>
              </w:rPr>
              <w:t>Options outstanding, March 31, 2011 (327,000 exercisable)</w:t>
            </w:r>
          </w:p>
        </w:tc>
        <w:tc>
          <w:tcPr>
            <w:tcW w:w="320" w:type="dxa"/>
            <w:vAlign w:val="bottom"/>
            <w:gridSpan w:val="2"/>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327,000</w:t>
            </w:r>
          </w:p>
        </w:tc>
        <w:tc>
          <w:tcPr>
            <w:tcW w:w="60" w:type="dxa"/>
            <w:vAlign w:val="bottom"/>
          </w:tcPr>
          <w:p>
            <w:pPr>
              <w:spacing w:after="0"/>
              <w:rPr>
                <w:sz w:val="24"/>
                <w:szCs w:val="24"/>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3.26</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91"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We have a defined contribution 401(k) plan (the "inTEST 401(k) Plan") for our employees who work in the U.S. As a part of this plan, we may match a portion of employee contributions. This plan, including our discretionary employer matching contributions, is more fully discussed in Note 16 to the consolidated financial statements in our 2010 Form 10-K. Effective April 1, 2010, we restored the 401(k) Plan discretionary matching contribution for all domestic employees which had been eliminated for most of these employees at the beginning of 2009.</w:t>
      </w:r>
    </w:p>
    <w:p>
      <w:pPr>
        <w:spacing w:after="0" w:line="16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In addition to the employer matching contributions for which employees of our Temptronic subsidiary are eligible, upon the termination of the Temptronic Equity Participation Plan ("EPP"), we acknowledged that it was our intention to contribute $3,000 in the aggregate to the inTEST 401(k) Plan as a form of profit sharing (not to exceed $300 per year) for the benefit of Temptronic employees. The amount of these profit sharing contributions approximates the amount that we had been committed to contribute to the EPP as of its termination date. All such profit sharing contributions are at the discretion of management, and will be allocated to employees annually in essentially the same manner in which the shares held by the EPP had been allocated. The vesting provisions for these contributions will be the same as those of the inTEST 401(k) Plan. Effective January 1, 2009, we temporarily suspended profit sharing contributions due to operating losses being incurred by Temptronic. Effective April 1, 2010, profit sharing contributions were reinstated. Accruals for profit sharing contributions totaling $75 and $0 were made during the three months ended March 31, 2011 and 2010, respectively. Through March 31, 2011, we had made a total of $1,628 in profit sharing contributions. We have historically funded these obligations through the use of treasury shares during the quarter subsequent to the quarter in which we record the profit sharing liability, although management has the discretion to use cash to fund these obligations. Our current intention is to use cash to fund these obligations when our stock price is below $3.00 per share.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w:t>
      </w:r>
    </w:p>
    <w:p>
      <w:pPr>
        <w:spacing w:after="0" w:line="225"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jc w:val="both"/>
        <w:ind w:left="540" w:right="26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Sigma Systems Corp., Temptronic GmbH (Germany), and inTEST Pte, Limited (Singapore). Sales of this segment consist primarily of temperature management systems which we design, manufacture and market under our Temptronic and Sigma Systems product lines. In addition, this segment provides post warranty service and support.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30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 automotive, communications, consumer electronics, defense and medical industries. Intercompany pricing between segments is either a multiple of cost for component parts or list price for finished goods.</w:t>
      </w:r>
    </w:p>
    <w:p>
      <w:pPr>
        <w:sectPr>
          <w:pgSz w:w="11900" w:h="16974"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Three Months Ended</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-15875</wp:posOffset>
            </wp:positionV>
            <wp:extent cx="7315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jc w:val="both"/>
        <w:ind w:left="200"/>
        <w:spacing w:after="0"/>
        <w:tabs>
          <w:tab w:leader="none" w:pos="940" w:val="left"/>
        </w:tabs>
        <w:rPr>
          <w:sz w:val="20"/>
          <w:szCs w:val="20"/>
          <w:color w:val="auto"/>
        </w:rPr>
      </w:pPr>
      <w:r>
        <w:rPr>
          <w:rFonts w:ascii="Arial" w:cs="Arial" w:eastAsia="Arial" w:hAnsi="Arial"/>
          <w:sz w:val="14"/>
          <w:szCs w:val="14"/>
          <w:b w:val="1"/>
          <w:bCs w:val="1"/>
          <w:i w:val="1"/>
          <w:iCs w:val="1"/>
          <w:u w:val="single" w:color="auto"/>
          <w:color w:val="auto"/>
        </w:rPr>
        <w:t>2011</w:t>
      </w:r>
      <w:r>
        <w:rPr>
          <w:sz w:val="20"/>
          <w:szCs w:val="20"/>
          <w:color w:val="auto"/>
        </w:rPr>
        <w:tab/>
      </w:r>
      <w:r>
        <w:rPr>
          <w:rFonts w:ascii="Arial" w:cs="Arial" w:eastAsia="Arial" w:hAnsi="Arial"/>
          <w:sz w:val="14"/>
          <w:szCs w:val="14"/>
          <w:b w:val="1"/>
          <w:bCs w:val="1"/>
          <w:i w:val="1"/>
          <w:iCs w:val="1"/>
          <w:u w:val="single" w:color="auto"/>
          <w:color w:val="auto"/>
        </w:rPr>
        <w:t>2010</w:t>
      </w:r>
    </w:p>
    <w:p>
      <w:pPr>
        <w:spacing w:after="0" w:line="213" w:lineRule="exact"/>
        <w:rPr>
          <w:sz w:val="20"/>
          <w:szCs w:val="20"/>
          <w:color w:val="auto"/>
        </w:rPr>
      </w:pPr>
    </w:p>
    <w:p>
      <w:pPr>
        <w:sectPr>
          <w:pgSz w:w="11900" w:h="16974" w:orient="portrait"/>
          <w:cols w:equalWidth="0" w:num="2">
            <w:col w:w="4420" w:space="720"/>
            <w:col w:w="6280"/>
          </w:cols>
          <w:pgMar w:left="240" w:top="341" w:right="239" w:bottom="0" w:gutter="0" w:footer="0" w:header="0"/>
          <w:type w:val="continuous"/>
        </w:sectPr>
      </w:pPr>
    </w:p>
    <w:p>
      <w:pPr>
        <w:spacing w:after="0" w:line="87" w:lineRule="exact"/>
        <w:rPr>
          <w:sz w:val="20"/>
          <w:szCs w:val="20"/>
          <w:color w:val="auto"/>
        </w:rPr>
      </w:pPr>
    </w:p>
    <w:p>
      <w:pPr>
        <w:jc w:val="center"/>
        <w:ind w:right="-159"/>
        <w:spacing w:after="0"/>
        <w:tabs>
          <w:tab w:leader="none" w:pos="260" w:val="left"/>
        </w:tabs>
        <w:rPr>
          <w:sz w:val="20"/>
          <w:szCs w:val="20"/>
          <w:color w:val="auto"/>
        </w:rPr>
      </w:pPr>
      <w:r>
        <w:rPr>
          <w:rFonts w:ascii="Arial" w:cs="Arial" w:eastAsia="Arial" w:hAnsi="Arial"/>
          <w:sz w:val="18"/>
          <w:szCs w:val="18"/>
          <w:color w:val="auto"/>
        </w:rPr>
        <w:t>$ 5 030</w:t>
      </w:r>
      <w:r>
        <w:rPr>
          <w:sz w:val="20"/>
          <w:szCs w:val="20"/>
          <w:color w:val="auto"/>
        </w:rPr>
        <w:tab/>
      </w:r>
      <w:r>
        <w:rPr>
          <w:rFonts w:ascii="Arial" w:cs="Arial" w:eastAsia="Arial" w:hAnsi="Arial"/>
          <w:sz w:val="15"/>
          <w:szCs w:val="15"/>
          <w:color w:val="auto"/>
        </w:rPr>
        <w:t>$4 756</w:t>
      </w:r>
    </w:p>
    <w:p>
      <w:pPr>
        <w:sectPr>
          <w:pgSz w:w="11900" w:h="16974" w:orient="portrait"/>
          <w:cols w:equalWidth="0" w:num="1">
            <w:col w:w="11420"/>
          </w:cols>
          <w:pgMar w:left="240" w:top="341" w:right="239" w:bottom="0" w:gutter="0" w:footer="0" w:header="0"/>
          <w:type w:val="continuous"/>
        </w:sectPr>
      </w:pPr>
    </w:p>
    <w:bookmarkStart w:id="12" w:name="page13"/>
    <w:bookmarkEnd w:id="12"/>
    <w:p>
      <w:pPr>
        <w:spacing w:after="0" w:line="105"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5,354</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3,512</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1,346</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1,262</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Intersegment sales</w:t>
            </w:r>
          </w:p>
        </w:tc>
        <w:tc>
          <w:tcPr>
            <w:tcW w:w="200" w:type="dxa"/>
            <w:vAlign w:val="bottom"/>
          </w:tcPr>
          <w:p>
            <w:pPr>
              <w:spacing w:after="0"/>
              <w:rPr>
                <w:sz w:val="24"/>
                <w:szCs w:val="24"/>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rPr>
              <w:t>(26)</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11,704</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w:t>
            </w:r>
          </w:p>
        </w:tc>
      </w:tr>
      <w:tr>
        <w:trPr>
          <w:trHeight w:val="41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  -</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26</w:t>
            </w:r>
          </w:p>
        </w:tc>
        <w:tc>
          <w:tcPr>
            <w:tcW w:w="18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$ 1</w:t>
            </w:r>
          </w:p>
        </w:tc>
      </w:tr>
      <w:tr>
        <w:trPr>
          <w:trHeight w:val="41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 expense: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$1,050</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24</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165</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4"/>
                <w:szCs w:val="24"/>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(122)</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4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1,317</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1,115</w:t>
            </w:r>
          </w:p>
        </w:tc>
      </w:tr>
      <w:tr>
        <w:trPr>
          <w:trHeight w:val="41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20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$1,047</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24</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165</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4"/>
                <w:szCs w:val="24"/>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(111)</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4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1,257</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1,112</w:t>
            </w:r>
          </w:p>
        </w:tc>
      </w:tr>
      <w:tr>
        <w:trPr>
          <w:trHeight w:val="20"/>
        </w:trPr>
        <w:tc>
          <w:tcPr>
            <w:tcW w:w="4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601"/>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4"/>
          </w:tcPr>
          <w:p>
            <w:pPr>
              <w:jc w:val="right"/>
              <w:ind w:right="260"/>
              <w:spacing w:after="0"/>
              <w:rPr>
                <w:sz w:val="20"/>
                <w:szCs w:val="20"/>
                <w:color w:val="auto"/>
              </w:rPr>
            </w:pPr>
            <w:r>
              <w:rPr>
                <w:rFonts w:ascii="Arial" w:cs="Arial" w:eastAsia="Arial" w:hAnsi="Arial"/>
                <w:sz w:val="10"/>
                <w:szCs w:val="10"/>
                <w:b w:val="1"/>
                <w:bCs w:val="1"/>
                <w:i w:val="1"/>
                <w:iCs w:val="1"/>
                <w:color w:val="auto"/>
                <w:w w:val="75"/>
              </w:rPr>
              <w:t>Mar. 31,</w:t>
            </w:r>
          </w:p>
        </w:tc>
        <w:tc>
          <w:tcPr>
            <w:tcW w:w="180" w:type="dxa"/>
            <w:vAlign w:val="bottom"/>
          </w:tcPr>
          <w:p>
            <w:pPr>
              <w:spacing w:after="0"/>
              <w:rPr>
                <w:sz w:val="24"/>
                <w:szCs w:val="24"/>
                <w:color w:val="auto"/>
              </w:rPr>
            </w:pPr>
          </w:p>
        </w:tc>
        <w:tc>
          <w:tcPr>
            <w:tcW w:w="460" w:type="dxa"/>
            <w:vAlign w:val="bottom"/>
            <w:gridSpan w:val="4"/>
          </w:tcPr>
          <w:p>
            <w:pPr>
              <w:jc w:val="center"/>
              <w:ind w:right="140"/>
              <w:spacing w:after="0"/>
              <w:rPr>
                <w:sz w:val="20"/>
                <w:szCs w:val="20"/>
                <w:color w:val="auto"/>
              </w:rPr>
            </w:pPr>
            <w:r>
              <w:rPr>
                <w:rFonts w:ascii="Arial" w:cs="Arial" w:eastAsia="Arial" w:hAnsi="Arial"/>
                <w:sz w:val="12"/>
                <w:szCs w:val="12"/>
                <w:b w:val="1"/>
                <w:bCs w:val="1"/>
                <w:i w:val="1"/>
                <w:iCs w:val="1"/>
                <w:color w:val="auto"/>
                <w:w w:val="70"/>
              </w:rPr>
              <w:t>Dec. 31,</w:t>
            </w:r>
          </w:p>
        </w:tc>
      </w:tr>
      <w:tr>
        <w:trPr>
          <w:trHeight w:val="163"/>
        </w:trPr>
        <w:tc>
          <w:tcPr>
            <w:tcW w:w="4000" w:type="dxa"/>
            <w:vAlign w:val="bottom"/>
          </w:tcPr>
          <w:p>
            <w:pPr>
              <w:spacing w:after="0"/>
              <w:rPr>
                <w:sz w:val="14"/>
                <w:szCs w:val="14"/>
                <w:color w:val="auto"/>
              </w:rPr>
            </w:pPr>
          </w:p>
        </w:tc>
        <w:tc>
          <w:tcPr>
            <w:tcW w:w="5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i w:val="1"/>
                <w:iCs w:val="1"/>
                <w:color w:val="auto"/>
              </w:rPr>
              <w:t>2011</w:t>
            </w:r>
          </w:p>
        </w:tc>
        <w:tc>
          <w:tcPr>
            <w:tcW w:w="180" w:type="dxa"/>
            <w:vAlign w:val="bottom"/>
          </w:tcPr>
          <w:p>
            <w:pPr>
              <w:spacing w:after="0"/>
              <w:rPr>
                <w:sz w:val="14"/>
                <w:szCs w:val="14"/>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i w:val="1"/>
                <w:iCs w:val="1"/>
                <w:color w:val="auto"/>
              </w:rPr>
              <w:t>2010</w:t>
            </w: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62"/>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6"/>
              </w:rPr>
              <w:t>$ 8,404</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w w:val="96"/>
              </w:rPr>
              <w:t>$ 7,617</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12,140</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11,315</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Electrical Products</w:t>
            </w: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2,660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2,476</w:t>
            </w:r>
          </w:p>
        </w:tc>
      </w:tr>
      <w:tr>
        <w:trPr>
          <w:trHeight w:val="20"/>
        </w:trPr>
        <w:tc>
          <w:tcPr>
            <w:tcW w:w="4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400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23,204</w:t>
            </w:r>
          </w:p>
        </w:tc>
        <w:tc>
          <w:tcPr>
            <w:tcW w:w="180" w:type="dxa"/>
            <w:vAlign w:val="bottom"/>
          </w:tcPr>
          <w:p>
            <w:pPr>
              <w:spacing w:after="0"/>
              <w:rPr>
                <w:sz w:val="24"/>
                <w:szCs w:val="24"/>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21,408</w:t>
            </w:r>
          </w:p>
        </w:tc>
      </w:tr>
      <w:tr>
        <w:trPr>
          <w:trHeight w:val="20"/>
        </w:trPr>
        <w:tc>
          <w:tcPr>
            <w:tcW w:w="40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96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5"/>
          </w:tcPr>
          <w:p>
            <w:pPr>
              <w:jc w:val="right"/>
              <w:ind w:right="53"/>
              <w:spacing w:after="0"/>
              <w:rPr>
                <w:sz w:val="20"/>
                <w:szCs w:val="20"/>
                <w:color w:val="auto"/>
              </w:rPr>
            </w:pPr>
            <w:r>
              <w:rPr>
                <w:rFonts w:ascii="Arial" w:cs="Arial" w:eastAsia="Arial" w:hAnsi="Arial"/>
                <w:sz w:val="18"/>
                <w:szCs w:val="18"/>
                <w:color w:val="auto"/>
              </w:rPr>
              <w:t>- 15 -</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ectPr>
          <w:pgSz w:w="11900" w:h="16944" w:orient="portrait"/>
          <w:cols w:equalWidth="0" w:num="1">
            <w:col w:w="11260"/>
          </w:cols>
          <w:pgMar w:left="240" w:top="131" w:right="399" w:bottom="0" w:gutter="0" w:footer="0" w:header="0"/>
        </w:sectPr>
      </w:pP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i w:val="1"/>
          <w:iCs w:val="1"/>
          <w:color w:val="auto"/>
        </w:rPr>
        <w:t>Three Months Ended</w:t>
      </w:r>
    </w:p>
    <w:p>
      <w:pPr>
        <w:sectPr>
          <w:pgSz w:w="11900" w:h="16944" w:orient="portrait"/>
          <w:cols w:equalWidth="0" w:num="1">
            <w:col w:w="11260"/>
          </w:cols>
          <w:pgMar w:left="240" w:top="131" w:right="399" w:bottom="0" w:gutter="0" w:footer="0" w:header="0"/>
          <w:type w:val="continuous"/>
        </w:sectPr>
      </w:pPr>
    </w:p>
    <w:bookmarkStart w:id="13" w:name="page14"/>
    <w:bookmarkEnd w:id="13"/>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9"/>
          </w:tcPr>
          <w:p>
            <w:pPr>
              <w:jc w:val="right"/>
              <w:ind w:right="212"/>
              <w:spacing w:after="0"/>
              <w:rPr>
                <w:sz w:val="20"/>
                <w:szCs w:val="20"/>
                <w:color w:val="auto"/>
              </w:rPr>
            </w:pPr>
            <w:r>
              <w:rPr>
                <w:rFonts w:ascii="Arial" w:cs="Arial" w:eastAsia="Arial" w:hAnsi="Arial"/>
                <w:sz w:val="14"/>
                <w:szCs w:val="14"/>
                <w:b w:val="1"/>
                <w:bCs w:val="1"/>
                <w:i w:val="1"/>
                <w:iCs w:val="1"/>
                <w:color w:val="auto"/>
              </w:rPr>
              <w:t>March 31,</w:t>
            </w:r>
          </w:p>
        </w:tc>
        <w:tc>
          <w:tcPr>
            <w:tcW w:w="140" w:type="dxa"/>
            <w:vAlign w:val="bottom"/>
            <w:gridSpan w:val="3"/>
          </w:tcPr>
          <w:p>
            <w:pPr>
              <w:spacing w:after="0"/>
              <w:rPr>
                <w:sz w:val="14"/>
                <w:szCs w:val="14"/>
                <w:color w:val="auto"/>
              </w:rPr>
            </w:pPr>
          </w:p>
        </w:tc>
      </w:tr>
      <w:tr>
        <w:trPr>
          <w:trHeight w:val="250"/>
        </w:trPr>
        <w:tc>
          <w:tcPr>
            <w:tcW w:w="4000" w:type="dxa"/>
            <w:vAlign w:val="bottom"/>
          </w:tcPr>
          <w:p>
            <w:pPr>
              <w:spacing w:after="0"/>
              <w:rPr>
                <w:sz w:val="21"/>
                <w:szCs w:val="21"/>
                <w:color w:val="auto"/>
              </w:rPr>
            </w:pPr>
          </w:p>
        </w:tc>
        <w:tc>
          <w:tcPr>
            <w:tcW w:w="520" w:type="dxa"/>
            <w:vAlign w:val="bottom"/>
            <w:gridSpan w:val="7"/>
          </w:tcPr>
          <w:p>
            <w:pPr>
              <w:jc w:val="right"/>
              <w:ind w:right="20"/>
              <w:spacing w:after="0"/>
              <w:rPr>
                <w:sz w:val="20"/>
                <w:szCs w:val="20"/>
                <w:color w:val="auto"/>
              </w:rPr>
            </w:pPr>
            <w:r>
              <w:rPr>
                <w:rFonts w:ascii="Arial" w:cs="Arial" w:eastAsia="Arial" w:hAnsi="Arial"/>
                <w:sz w:val="14"/>
                <w:szCs w:val="14"/>
                <w:b w:val="1"/>
                <w:bCs w:val="1"/>
                <w:i w:val="1"/>
                <w:iCs w:val="1"/>
                <w:color w:val="auto"/>
              </w:rPr>
              <w:t>2011</w:t>
            </w:r>
          </w:p>
        </w:tc>
        <w:tc>
          <w:tcPr>
            <w:tcW w:w="80" w:type="dxa"/>
            <w:vAlign w:val="bottom"/>
          </w:tcPr>
          <w:p>
            <w:pPr>
              <w:spacing w:after="0"/>
              <w:rPr>
                <w:sz w:val="21"/>
                <w:szCs w:val="21"/>
                <w:color w:val="auto"/>
              </w:rPr>
            </w:pPr>
          </w:p>
        </w:tc>
        <w:tc>
          <w:tcPr>
            <w:tcW w:w="660" w:type="dxa"/>
            <w:vAlign w:val="bottom"/>
            <w:gridSpan w:val="7"/>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51"/>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600" w:type="dxa"/>
            <w:vAlign w:val="bottom"/>
            <w:gridSpan w:val="8"/>
          </w:tcPr>
          <w:p>
            <w:pPr>
              <w:jc w:val="right"/>
              <w:spacing w:after="0"/>
              <w:rPr>
                <w:sz w:val="20"/>
                <w:szCs w:val="20"/>
                <w:color w:val="auto"/>
              </w:rPr>
            </w:pPr>
            <w:r>
              <w:rPr>
                <w:rFonts w:ascii="Arial" w:cs="Arial" w:eastAsia="Arial" w:hAnsi="Arial"/>
                <w:sz w:val="18"/>
                <w:szCs w:val="18"/>
                <w:color w:val="auto"/>
                <w:w w:val="96"/>
              </w:rPr>
              <w:t>$ 4,227</w:t>
            </w:r>
          </w:p>
        </w:tc>
        <w:tc>
          <w:tcPr>
            <w:tcW w:w="760" w:type="dxa"/>
            <w:vAlign w:val="bottom"/>
            <w:gridSpan w:val="9"/>
          </w:tcPr>
          <w:p>
            <w:pPr>
              <w:jc w:val="right"/>
              <w:spacing w:after="0"/>
              <w:rPr>
                <w:sz w:val="20"/>
                <w:szCs w:val="20"/>
                <w:color w:val="auto"/>
              </w:rPr>
            </w:pPr>
            <w:r>
              <w:rPr>
                <w:rFonts w:ascii="Arial" w:cs="Arial" w:eastAsia="Arial" w:hAnsi="Arial"/>
                <w:sz w:val="18"/>
                <w:szCs w:val="18"/>
                <w:color w:val="auto"/>
              </w:rPr>
              <w:t>$2,783</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Foreign</w:t>
            </w:r>
          </w:p>
        </w:tc>
        <w:tc>
          <w:tcPr>
            <w:tcW w:w="60" w:type="dxa"/>
            <w:vAlign w:val="bottom"/>
            <w:gridSpan w:val="2"/>
          </w:tcPr>
          <w:p>
            <w:pPr>
              <w:spacing w:after="0"/>
              <w:rPr>
                <w:sz w:val="24"/>
                <w:szCs w:val="24"/>
                <w:color w:val="auto"/>
              </w:rPr>
            </w:pPr>
          </w:p>
        </w:tc>
        <w:tc>
          <w:tcPr>
            <w:tcW w:w="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7,477</w:t>
            </w:r>
          </w:p>
        </w:tc>
        <w:tc>
          <w:tcPr>
            <w:tcW w:w="320" w:type="dxa"/>
            <w:vAlign w:val="bottom"/>
            <w:gridSpan w:val="3"/>
          </w:tcPr>
          <w:p>
            <w:pPr>
              <w:spacing w:after="0"/>
              <w:rPr>
                <w:sz w:val="24"/>
                <w:szCs w:val="24"/>
                <w:color w:val="auto"/>
              </w:rPr>
            </w:pPr>
          </w:p>
        </w:tc>
        <w:tc>
          <w:tcPr>
            <w:tcW w:w="4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3"/>
              </w:rPr>
              <w:t>6,746</w:t>
            </w:r>
          </w:p>
        </w:tc>
      </w:tr>
      <w:tr>
        <w:trPr>
          <w:trHeight w:val="439"/>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11,704</w:t>
            </w:r>
          </w:p>
        </w:tc>
        <w:tc>
          <w:tcPr>
            <w:tcW w:w="76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w:t>
            </w: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601"/>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7"/>
          </w:tcPr>
          <w:p>
            <w:pPr>
              <w:jc w:val="center"/>
              <w:ind w:right="100"/>
              <w:spacing w:after="0"/>
              <w:rPr>
                <w:sz w:val="20"/>
                <w:szCs w:val="20"/>
                <w:color w:val="auto"/>
              </w:rPr>
            </w:pPr>
            <w:r>
              <w:rPr>
                <w:rFonts w:ascii="Arial" w:cs="Arial" w:eastAsia="Arial" w:hAnsi="Arial"/>
                <w:sz w:val="14"/>
                <w:szCs w:val="14"/>
                <w:b w:val="1"/>
                <w:bCs w:val="1"/>
                <w:i w:val="1"/>
                <w:iCs w:val="1"/>
                <w:color w:val="auto"/>
                <w:w w:val="91"/>
              </w:rPr>
              <w:t>Mar. 31,</w:t>
            </w:r>
          </w:p>
        </w:tc>
        <w:tc>
          <w:tcPr>
            <w:tcW w:w="160" w:type="dxa"/>
            <w:vAlign w:val="bottom"/>
          </w:tcPr>
          <w:p>
            <w:pPr>
              <w:spacing w:after="0"/>
              <w:rPr>
                <w:sz w:val="24"/>
                <w:szCs w:val="24"/>
                <w:color w:val="auto"/>
              </w:rPr>
            </w:pPr>
          </w:p>
        </w:tc>
        <w:tc>
          <w:tcPr>
            <w:tcW w:w="600" w:type="dxa"/>
            <w:vAlign w:val="bottom"/>
            <w:gridSpan w:val="8"/>
          </w:tcPr>
          <w:p>
            <w:pPr>
              <w:jc w:val="right"/>
              <w:ind w:right="100"/>
              <w:spacing w:after="0"/>
              <w:rPr>
                <w:sz w:val="20"/>
                <w:szCs w:val="20"/>
                <w:color w:val="auto"/>
              </w:rPr>
            </w:pPr>
            <w:r>
              <w:rPr>
                <w:rFonts w:ascii="Arial" w:cs="Arial" w:eastAsia="Arial" w:hAnsi="Arial"/>
                <w:sz w:val="14"/>
                <w:szCs w:val="14"/>
                <w:b w:val="1"/>
                <w:bCs w:val="1"/>
                <w:i w:val="1"/>
                <w:iCs w:val="1"/>
                <w:color w:val="auto"/>
                <w:w w:val="90"/>
              </w:rPr>
              <w:t>Dec. 31,</w:t>
            </w:r>
          </w:p>
        </w:tc>
      </w:tr>
      <w:tr>
        <w:trPr>
          <w:trHeight w:val="163"/>
        </w:trPr>
        <w:tc>
          <w:tcPr>
            <w:tcW w:w="4000" w:type="dxa"/>
            <w:vAlign w:val="bottom"/>
          </w:tcPr>
          <w:p>
            <w:pPr>
              <w:spacing w:after="0"/>
              <w:rPr>
                <w:sz w:val="14"/>
                <w:szCs w:val="14"/>
                <w:color w:val="auto"/>
              </w:rPr>
            </w:pPr>
          </w:p>
        </w:tc>
        <w:tc>
          <w:tcPr>
            <w:tcW w:w="500" w:type="dxa"/>
            <w:vAlign w:val="bottom"/>
            <w:gridSpan w:val="6"/>
          </w:tcPr>
          <w:p>
            <w:pPr>
              <w:jc w:val="right"/>
              <w:ind w:right="52"/>
              <w:spacing w:after="0"/>
              <w:rPr>
                <w:sz w:val="20"/>
                <w:szCs w:val="20"/>
                <w:color w:val="auto"/>
              </w:rPr>
            </w:pPr>
            <w:r>
              <w:rPr>
                <w:rFonts w:ascii="Arial" w:cs="Arial" w:eastAsia="Arial" w:hAnsi="Arial"/>
                <w:sz w:val="14"/>
                <w:szCs w:val="14"/>
                <w:b w:val="1"/>
                <w:bCs w:val="1"/>
                <w:i w:val="1"/>
                <w:i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6"/>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2"/>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Long-lived assets:</w:t>
            </w: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600" w:type="dxa"/>
            <w:vAlign w:val="bottom"/>
            <w:gridSpan w:val="8"/>
          </w:tcPr>
          <w:p>
            <w:pPr>
              <w:jc w:val="right"/>
              <w:spacing w:after="0"/>
              <w:rPr>
                <w:sz w:val="20"/>
                <w:szCs w:val="20"/>
                <w:color w:val="auto"/>
              </w:rPr>
            </w:pPr>
            <w:r>
              <w:rPr>
                <w:rFonts w:ascii="Arial" w:cs="Arial" w:eastAsia="Arial" w:hAnsi="Arial"/>
                <w:sz w:val="18"/>
                <w:szCs w:val="18"/>
                <w:color w:val="auto"/>
              </w:rPr>
              <w:t>$ 818</w:t>
            </w:r>
          </w:p>
        </w:tc>
        <w:tc>
          <w:tcPr>
            <w:tcW w:w="760" w:type="dxa"/>
            <w:vAlign w:val="bottom"/>
            <w:gridSpan w:val="9"/>
          </w:tcPr>
          <w:p>
            <w:pPr>
              <w:jc w:val="right"/>
              <w:spacing w:after="0"/>
              <w:rPr>
                <w:sz w:val="20"/>
                <w:szCs w:val="20"/>
                <w:color w:val="auto"/>
              </w:rPr>
            </w:pPr>
            <w:r>
              <w:rPr>
                <w:rFonts w:ascii="Arial" w:cs="Arial" w:eastAsia="Arial" w:hAnsi="Arial"/>
                <w:sz w:val="18"/>
                <w:szCs w:val="18"/>
                <w:color w:val="auto"/>
              </w:rPr>
              <w:t>$359</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gridSpan w:val="4"/>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425</w:t>
            </w:r>
          </w:p>
        </w:tc>
        <w:tc>
          <w:tcPr>
            <w:tcW w:w="360" w:type="dxa"/>
            <w:vAlign w:val="bottom"/>
            <w:gridSpan w:val="4"/>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359</w:t>
            </w:r>
          </w:p>
        </w:tc>
      </w:tr>
      <w:tr>
        <w:trPr>
          <w:trHeight w:val="439"/>
        </w:trPr>
        <w:tc>
          <w:tcPr>
            <w:tcW w:w="400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1,243</w:t>
            </w:r>
          </w:p>
        </w:tc>
        <w:tc>
          <w:tcPr>
            <w:tcW w:w="400" w:type="dxa"/>
            <w:vAlign w:val="bottom"/>
            <w:gridSpan w:val="5"/>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620014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4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2010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2010 Form 10-K. Material changes to such risk factors may be reported in subsequent Quarterly Reports on Form 10-Q in Part II, Item 1A. There have been no such changes from the risk factors set forth in our 2010 Form 10-K.</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w:t>
      </w:r>
    </w:p>
    <w:p>
      <w:pPr>
        <w:sectPr>
          <w:pgSz w:w="11900" w:h="16838" w:orient="portrait"/>
          <w:cols w:equalWidth="0" w:num="1">
            <w:col w:w="11400"/>
          </w:cols>
          <w:pgMar w:left="240" w:top="168" w:right="259" w:bottom="0" w:gutter="0" w:footer="0" w:header="0"/>
        </w:sectPr>
      </w:pPr>
    </w:p>
    <w:bookmarkStart w:id="14" w:name="page15"/>
    <w:bookmarkEnd w:id="14"/>
    <w:p>
      <w:pPr>
        <w:ind w:left="540" w:right="40"/>
        <w:spacing w:after="0" w:line="312" w:lineRule="auto"/>
        <w:rPr>
          <w:sz w:val="20"/>
          <w:szCs w:val="20"/>
          <w:color w:val="auto"/>
        </w:rPr>
      </w:pPr>
      <w:r>
        <w:rPr>
          <w:rFonts w:ascii="Arial" w:cs="Arial" w:eastAsia="Arial" w:hAnsi="Arial"/>
          <w:sz w:val="15"/>
          <w:szCs w:val="15"/>
          <w:color w:val="auto"/>
        </w:rPr>
        <w:t>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 management systems in industries outside semiconductor test, such as the automotive, aerospace, medical and telecommunications industries. We believe that these industries usually are less cyclical than the ATE industry.</w:t>
      </w:r>
    </w:p>
    <w:p>
      <w:pPr>
        <w:spacing w:after="0" w:line="159"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-8890</wp:posOffset>
            </wp:positionV>
            <wp:extent cx="967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91"/>
              </w:rPr>
              <w:t>Mar.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3"/>
          </w:tcPr>
          <w:p>
            <w:pPr>
              <w:jc w:val="center"/>
              <w:ind w:left="112"/>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56"/>
        </w:trPr>
        <w:tc>
          <w:tcPr>
            <w:tcW w:w="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0" w:type="dxa"/>
            <w:vAlign w:val="bottom"/>
          </w:tcPr>
          <w:p>
            <w:pPr>
              <w:spacing w:after="0"/>
              <w:rPr>
                <w:sz w:val="13"/>
                <w:szCs w:val="13"/>
                <w:color w:val="auto"/>
              </w:rPr>
            </w:pPr>
          </w:p>
        </w:tc>
      </w:tr>
    </w:tbl>
    <w:p>
      <w:pPr>
        <w:spacing w:after="0" w:line="215" w:lineRule="exact"/>
        <w:rPr>
          <w:sz w:val="20"/>
          <w:szCs w:val="20"/>
          <w:color w:val="auto"/>
        </w:rPr>
      </w:pPr>
    </w:p>
    <w:p>
      <w:pPr>
        <w:sectPr>
          <w:pgSz w:w="11900" w:h="16838" w:orient="portrait"/>
          <w:cols w:equalWidth="0" w:num="2">
            <w:col w:w="5800" w:space="720"/>
            <w:col w:w="4880"/>
          </w:cols>
          <w:pgMar w:left="240" w:top="131" w:right="25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$ 5,030</w:t>
            </w:r>
          </w:p>
        </w:tc>
        <w:tc>
          <w:tcPr>
            <w:tcW w:w="160" w:type="dxa"/>
            <w:vAlign w:val="bottom"/>
          </w:tcPr>
          <w:p>
            <w:pPr>
              <w:spacing w:after="0"/>
              <w:rPr>
                <w:sz w:val="19"/>
                <w:szCs w:val="19"/>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$4,756</w:t>
            </w:r>
          </w:p>
        </w:tc>
        <w:tc>
          <w:tcPr>
            <w:tcW w:w="80" w:type="dxa"/>
            <w:vAlign w:val="bottom"/>
          </w:tcPr>
          <w:p>
            <w:pPr>
              <w:spacing w:after="0"/>
              <w:rPr>
                <w:sz w:val="19"/>
                <w:szCs w:val="19"/>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w w:val="96"/>
              </w:rPr>
              <w:t>$ 3,601</w:t>
            </w: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Thermal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5,354</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3,512</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5,126</w:t>
            </w: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Electrical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1,383</w:t>
            </w:r>
          </w:p>
        </w:tc>
      </w:tr>
      <w:tr>
        <w:trPr>
          <w:trHeight w:val="421"/>
        </w:trPr>
        <w:tc>
          <w:tcPr>
            <w:tcW w:w="5160" w:type="dxa"/>
            <w:vAlign w:val="bottom"/>
          </w:tcPr>
          <w:p>
            <w:pPr>
              <w:spacing w:after="0"/>
              <w:rPr>
                <w:sz w:val="20"/>
                <w:szCs w:val="20"/>
                <w:color w:val="auto"/>
              </w:rPr>
            </w:pPr>
            <w:r>
              <w:rPr>
                <w:rFonts w:ascii="Arial" w:cs="Arial" w:eastAsia="Arial" w:hAnsi="Arial"/>
                <w:sz w:val="18"/>
                <w:szCs w:val="18"/>
                <w:color w:val="auto"/>
              </w:rPr>
              <w:t>Intersegment sales</w:t>
            </w:r>
          </w:p>
        </w:tc>
        <w:tc>
          <w:tcPr>
            <w:tcW w:w="240" w:type="dxa"/>
            <w:vAlign w:val="bottom"/>
            <w:gridSpan w:val="2"/>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r>
      <w:tr>
        <w:trPr>
          <w:trHeight w:val="439"/>
        </w:trPr>
        <w:tc>
          <w:tcPr>
            <w:tcW w:w="516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11,704</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10,110</w:t>
            </w:r>
          </w:p>
        </w:tc>
      </w:tr>
      <w:tr>
        <w:trPr>
          <w:trHeight w:val="41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8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Thermal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5160" w:type="dxa"/>
            <w:vAlign w:val="bottom"/>
          </w:tcPr>
          <w:p>
            <w:pPr>
              <w:spacing w:after="0"/>
              <w:rPr>
                <w:sz w:val="20"/>
                <w:szCs w:val="20"/>
                <w:color w:val="auto"/>
              </w:rPr>
            </w:pPr>
            <w:r>
              <w:rPr>
                <w:rFonts w:ascii="Arial" w:cs="Arial" w:eastAsia="Arial" w:hAnsi="Arial"/>
                <w:sz w:val="18"/>
                <w:szCs w:val="18"/>
                <w:color w:val="auto"/>
              </w:rPr>
              <w:t>Electrical Products</w:t>
            </w:r>
          </w:p>
        </w:tc>
        <w:tc>
          <w:tcPr>
            <w:tcW w:w="500" w:type="dxa"/>
            <w:vAlign w:val="bottom"/>
            <w:gridSpan w:val="4"/>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516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$ 26</w:t>
            </w:r>
          </w:p>
        </w:tc>
        <w:tc>
          <w:tcPr>
            <w:tcW w:w="16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480" w:type="dxa"/>
            <w:vAlign w:val="bottom"/>
            <w:gridSpan w:val="6"/>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78"/>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w w:val="87"/>
              </w:rPr>
              <w:t>Net revenues from unaffiliated customers (net of intersegment sales)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Mechanical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$ 5,030</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$4,756</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w w:val="96"/>
              </w:rPr>
              <w:t>$ 3,601</w:t>
            </w: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Thermal Products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5,354</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3,512</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5,126</w:t>
            </w:r>
          </w:p>
        </w:tc>
      </w:tr>
      <w:tr>
        <w:trPr>
          <w:trHeight w:val="421"/>
        </w:trPr>
        <w:tc>
          <w:tcPr>
            <w:tcW w:w="5160" w:type="dxa"/>
            <w:vAlign w:val="bottom"/>
          </w:tcPr>
          <w:p>
            <w:pPr>
              <w:spacing w:after="0"/>
              <w:rPr>
                <w:sz w:val="20"/>
                <w:szCs w:val="20"/>
                <w:color w:val="auto"/>
              </w:rPr>
            </w:pPr>
            <w:r>
              <w:rPr>
                <w:rFonts w:ascii="Arial" w:cs="Arial" w:eastAsia="Arial" w:hAnsi="Arial"/>
                <w:sz w:val="18"/>
                <w:szCs w:val="18"/>
                <w:color w:val="auto"/>
              </w:rPr>
              <w:t>Electrical Products</w:t>
            </w:r>
          </w:p>
        </w:tc>
        <w:tc>
          <w:tcPr>
            <w:tcW w:w="240" w:type="dxa"/>
            <w:vAlign w:val="bottom"/>
            <w:gridSpan w:val="2"/>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3"/>
              </w:rPr>
              <w:t>1,261</w:t>
            </w:r>
          </w:p>
        </w:tc>
        <w:tc>
          <w:tcPr>
            <w:tcW w:w="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1,383</w:t>
            </w:r>
          </w:p>
        </w:tc>
      </w:tr>
      <w:tr>
        <w:trPr>
          <w:trHeight w:val="439"/>
        </w:trPr>
        <w:tc>
          <w:tcPr>
            <w:tcW w:w="516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11,704</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9,529</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10,110</w:t>
            </w:r>
          </w:p>
        </w:tc>
      </w:tr>
      <w:tr>
        <w:trPr>
          <w:trHeight w:val="41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rPr>
              <w:t>U.S.</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$ 4,227</w:t>
            </w:r>
          </w:p>
        </w:tc>
        <w:tc>
          <w:tcPr>
            <w:tcW w:w="16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w w:val="96"/>
              </w:rPr>
              <w:t>$ 4,703</w:t>
            </w:r>
          </w:p>
        </w:tc>
      </w:tr>
      <w:tr>
        <w:trPr>
          <w:trHeight w:val="421"/>
        </w:trPr>
        <w:tc>
          <w:tcPr>
            <w:tcW w:w="51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gridSpan w:val="2"/>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7,477</w:t>
            </w:r>
          </w:p>
        </w:tc>
        <w:tc>
          <w:tcPr>
            <w:tcW w:w="1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3"/>
              </w:rPr>
              <w:t>6,746</w:t>
            </w:r>
          </w:p>
        </w:tc>
        <w:tc>
          <w:tcPr>
            <w:tcW w:w="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5,407</w:t>
            </w:r>
          </w:p>
        </w:tc>
      </w:tr>
    </w:tbl>
    <w:p>
      <w:pPr>
        <w:sectPr>
          <w:pgSz w:w="11900" w:h="16838" w:orient="portrait"/>
          <w:cols w:equalWidth="0" w:num="1">
            <w:col w:w="11400"/>
          </w:cols>
          <w:pgMar w:left="240" w:top="131" w:right="259" w:bottom="0" w:gutter="0" w:footer="0" w:header="0"/>
          <w:type w:val="continuous"/>
        </w:sectPr>
      </w:pPr>
    </w:p>
    <w:bookmarkStart w:id="15" w:name="page16"/>
    <w:bookmarkEnd w:id="15"/>
    <w:p>
      <w:pPr>
        <w:ind w:left="6460"/>
        <w:spacing w:after="0"/>
        <w:tabs>
          <w:tab w:leader="none" w:pos="7280" w:val="left"/>
        </w:tabs>
        <w:rPr>
          <w:sz w:val="20"/>
          <w:szCs w:val="20"/>
          <w:color w:val="auto"/>
        </w:rPr>
      </w:pPr>
      <w:r>
        <w:rPr>
          <w:rFonts w:ascii="Arial" w:cs="Arial" w:eastAsia="Arial" w:hAnsi="Arial"/>
          <w:sz w:val="18"/>
          <w:szCs w:val="18"/>
          <w:u w:val="single" w:color="auto"/>
          <w:color w:val="auto"/>
        </w:rPr>
        <w:t>$11,704</w:t>
      </w:r>
      <w:r>
        <w:rPr>
          <w:sz w:val="20"/>
          <w:szCs w:val="20"/>
          <w:color w:val="auto"/>
        </w:rPr>
        <w:tab/>
      </w:r>
      <w:r>
        <w:rPr>
          <w:rFonts w:ascii="Arial" w:cs="Arial" w:eastAsia="Arial" w:hAnsi="Arial"/>
          <w:sz w:val="16"/>
          <w:szCs w:val="16"/>
          <w:u w:val="single" w:color="auto"/>
          <w:color w:val="auto"/>
        </w:rPr>
        <w:t>$9,529 $10,110</w:t>
      </w:r>
    </w:p>
    <w:p>
      <w:pPr>
        <w:spacing w:after="0" w:line="387"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Our consolidated net revenues for the quarter ended March 31, 2011 increased $2.2 million or 23% as compared to the same period in 2010. For the quarter ended March 31, 2011, net revenues (net of intersegment sales) of our Mechanical, Thermal and Electrical Products segments increased $274,000 or 6%, $1.8 million or 52% and $59,000 or 5%, respectively, as compared to the same period in 2010. We believe the increase in our net revenues reflects continued strong demand in the ATE industry. We believe the more significant increase in the net revenues of our Thermal Products segment reflects that this segment lagged our other two product segments in coming out of the downturn that started in late 2008 and continued throughout the first half of 2009 and, as a result, did not experience as significant an increase in the levels of its net revenues until the second quarter of 2010. Historically, this segment has lagged our other two product segments in both entering and exiting industry cycles.</w:t>
      </w:r>
    </w:p>
    <w:p>
      <w:pPr>
        <w:spacing w:after="0" w:line="172"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Total orders for the quarter ended March 31, 2011 were $13.1 million compared to $11.7 million for the quarter ended December 31, 2010 and $14.0 million for the quarter ended March 31, 2010. Although the level of demand for our products in any given quarter during 2010 exceeded that which we experienced for the comparable quarter during 2009, we experienced fluctuations in the level of our orders and our net revenues on a sequential quarterly basis during 2010. Although it currently appears that demand within the ATE industry remains strong, we cannot be certain what the level of our orders or net revenues will be in any future period for any of our product segments and we may experience fluctuations in the level of our sequential quarterly net revenues as 2011 progresses.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right="300"/>
        <w:spacing w:after="0" w:line="291" w:lineRule="auto"/>
        <w:rPr>
          <w:sz w:val="20"/>
          <w:szCs w:val="20"/>
          <w:color w:val="auto"/>
        </w:rPr>
      </w:pPr>
      <w:r>
        <w:rPr>
          <w:rFonts w:ascii="Arial" w:cs="Arial" w:eastAsia="Arial" w:hAnsi="Arial"/>
          <w:sz w:val="16"/>
          <w:szCs w:val="16"/>
          <w:color w:val="auto"/>
        </w:rPr>
        <w:t>At March 31, 2011, our backlog of unfilled orders for all products was approximately $7.5 million compared with approximately $6.1 million at December 31, 2010 and $9.1 million at March 31, 2010. Our backlog includes customer orders which we have accepted, substantially all of which we expect to deliver in 2011.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In response to the significant decline in our orders and net revenues during 2008 and early 2009, we took actions to reduce our cost structure, including facility closures, workforce reductions and temporary salary and benefits reductions. 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The actions we took during 2009 are discussed in Note 4 to our 2010 Form 10-K. There were no additional restructuring actions taken in either 2010 or the first quarter of 2011.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70"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quarters ended March 31, 2011 and 2010, our OEM sales as a percentage of net revenues were 14% and 25%, respectively.</w:t>
      </w:r>
    </w:p>
    <w:p>
      <w:pPr>
        <w:spacing w:after="0" w:line="170"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w:t>
      </w:r>
    </w:p>
    <w:p>
      <w:pPr>
        <w:sectPr>
          <w:pgSz w:w="11900" w:h="16838" w:orient="portrait"/>
          <w:cols w:equalWidth="0" w:num="1">
            <w:col w:w="11380"/>
          </w:cols>
          <w:pgMar w:left="240" w:top="158" w:right="279" w:bottom="0" w:gutter="0" w:footer="0" w:header="0"/>
        </w:sectPr>
      </w:pPr>
    </w:p>
    <w:bookmarkStart w:id="16" w:name="page17"/>
    <w:bookmarkEnd w:id="16"/>
    <w:p>
      <w:pPr>
        <w:ind w:left="540" w:right="180"/>
        <w:spacing w:after="0" w:line="294" w:lineRule="auto"/>
        <w:rPr>
          <w:sz w:val="20"/>
          <w:szCs w:val="20"/>
          <w:color w:val="auto"/>
        </w:rPr>
      </w:pPr>
      <w:r>
        <w:rPr>
          <w:rFonts w:ascii="Arial" w:cs="Arial" w:eastAsia="Arial" w:hAnsi="Arial"/>
          <w:sz w:val="16"/>
          <w:szCs w:val="16"/>
          <w:color w:val="auto"/>
        </w:rPr>
        <w:t>manufactured by our Thermal Products segment are used in industries outside of the semiconductor industry, including the aerospace, automotive, communications, consumer electronics, defense and medical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56" w:lineRule="exact"/>
        <w:rPr>
          <w:sz w:val="20"/>
          <w:szCs w:val="20"/>
          <w:color w:val="auto"/>
        </w:rPr>
      </w:pPr>
    </w:p>
    <w:p>
      <w:pPr>
        <w:ind w:left="4920"/>
        <w:spacing w:after="0"/>
        <w:rPr>
          <w:sz w:val="20"/>
          <w:szCs w:val="20"/>
          <w:color w:val="auto"/>
        </w:rPr>
      </w:pPr>
      <w:r>
        <w:rPr>
          <w:rFonts w:ascii="Arial" w:cs="Arial" w:eastAsia="Arial" w:hAnsi="Arial"/>
          <w:sz w:val="14"/>
          <w:szCs w:val="14"/>
          <w:b w:val="1"/>
          <w:bCs w:val="1"/>
          <w:i w:val="1"/>
          <w:iCs w:val="1"/>
          <w:u w:val="single" w:color="auto"/>
          <w:color w:val="auto"/>
        </w:rPr>
        <w:t>Percentage of Net Revenues</w:t>
      </w:r>
    </w:p>
    <w:p>
      <w:pPr>
        <w:ind w:left="4960"/>
        <w:spacing w:after="0"/>
        <w:rPr>
          <w:sz w:val="20"/>
          <w:szCs w:val="20"/>
          <w:color w:val="auto"/>
        </w:rPr>
      </w:pPr>
      <w:r>
        <w:rPr>
          <w:rFonts w:ascii="Arial" w:cs="Arial" w:eastAsia="Arial" w:hAnsi="Arial"/>
          <w:sz w:val="14"/>
          <w:szCs w:val="14"/>
          <w:b w:val="1"/>
          <w:bCs w:val="1"/>
          <w:i w:val="1"/>
          <w:iCs w:val="1"/>
          <w:u w:val="single" w:color="auto"/>
          <w:color w:val="auto"/>
        </w:rPr>
        <w:t>Quarters Ended March 31,</w:t>
      </w:r>
    </w:p>
    <w:tbl>
      <w:tblPr>
        <w:tblLayout w:type="fixed"/>
        <w:tblInd w:w="560" w:type="dxa"/>
        <w:tblCellMar>
          <w:top w:w="0" w:type="dxa"/>
          <w:left w:w="0" w:type="dxa"/>
          <w:bottom w:w="0" w:type="dxa"/>
          <w:right w:w="0" w:type="dxa"/>
        </w:tblCellMar>
      </w:tblPr>
      <w:tr>
        <w:trPr>
          <w:trHeight w:val="148"/>
        </w:trPr>
        <w:tc>
          <w:tcPr>
            <w:tcW w:w="39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2011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2010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39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1"/>
        </w:trPr>
        <w:tc>
          <w:tcPr>
            <w:tcW w:w="3920" w:type="dxa"/>
            <w:vAlign w:val="bottom"/>
          </w:tcPr>
          <w:p>
            <w:pPr>
              <w:spacing w:after="0"/>
              <w:rPr>
                <w:sz w:val="20"/>
                <w:szCs w:val="20"/>
                <w:color w:val="auto"/>
              </w:rPr>
            </w:pPr>
            <w:r>
              <w:rPr>
                <w:rFonts w:ascii="Arial" w:cs="Arial" w:eastAsia="Arial" w:hAnsi="Arial"/>
                <w:sz w:val="18"/>
                <w:szCs w:val="18"/>
                <w:color w:val="auto"/>
              </w:rPr>
              <w:t>Net revenues</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100.0%</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100.0%</w:t>
            </w:r>
          </w:p>
        </w:tc>
      </w:tr>
      <w:tr>
        <w:trPr>
          <w:trHeight w:val="421"/>
        </w:trPr>
        <w:tc>
          <w:tcPr>
            <w:tcW w:w="3920" w:type="dxa"/>
            <w:vAlign w:val="bottom"/>
          </w:tcPr>
          <w:p>
            <w:pPr>
              <w:spacing w:after="0"/>
              <w:rPr>
                <w:sz w:val="20"/>
                <w:szCs w:val="20"/>
                <w:color w:val="auto"/>
              </w:rPr>
            </w:pPr>
            <w:r>
              <w:rPr>
                <w:rFonts w:ascii="Arial" w:cs="Arial" w:eastAsia="Arial" w:hAnsi="Arial"/>
                <w:sz w:val="18"/>
                <w:szCs w:val="18"/>
                <w:color w:val="auto"/>
              </w:rPr>
              <w:t>Cost of revenues</w:t>
            </w:r>
          </w:p>
        </w:tc>
        <w:tc>
          <w:tcPr>
            <w:tcW w:w="72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56.</w:t>
            </w:r>
            <w:r>
              <w:rPr>
                <w:rFonts w:ascii="Arial" w:cs="Arial" w:eastAsia="Arial" w:hAnsi="Arial"/>
                <w:sz w:val="18"/>
                <w:szCs w:val="18"/>
                <w:u w:val="single" w:color="auto"/>
                <w:color w:val="auto"/>
                <w:w w:val="85"/>
              </w:rPr>
              <w:t>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52.</w:t>
            </w:r>
            <w:r>
              <w:rPr>
                <w:rFonts w:ascii="Arial" w:cs="Arial" w:eastAsia="Arial" w:hAnsi="Arial"/>
                <w:sz w:val="18"/>
                <w:szCs w:val="18"/>
                <w:u w:val="single" w:color="auto"/>
                <w:color w:val="auto"/>
                <w:w w:val="85"/>
              </w:rPr>
              <w:t>4</w:t>
            </w:r>
          </w:p>
        </w:tc>
        <w:tc>
          <w:tcPr>
            <w:tcW w:w="120" w:type="dxa"/>
            <w:vAlign w:val="bottom"/>
          </w:tcPr>
          <w:p>
            <w:pPr>
              <w:spacing w:after="0"/>
              <w:rPr>
                <w:sz w:val="24"/>
                <w:szCs w:val="24"/>
                <w:color w:val="auto"/>
              </w:rPr>
            </w:pPr>
          </w:p>
        </w:tc>
      </w:tr>
      <w:tr>
        <w:trPr>
          <w:trHeight w:val="439"/>
        </w:trPr>
        <w:tc>
          <w:tcPr>
            <w:tcW w:w="3920" w:type="dxa"/>
            <w:vAlign w:val="bottom"/>
          </w:tcPr>
          <w:p>
            <w:pPr>
              <w:spacing w:after="0"/>
              <w:rPr>
                <w:sz w:val="20"/>
                <w:szCs w:val="20"/>
                <w:color w:val="auto"/>
              </w:rPr>
            </w:pPr>
            <w:r>
              <w:rPr>
                <w:rFonts w:ascii="Arial" w:cs="Arial" w:eastAsia="Arial" w:hAnsi="Arial"/>
                <w:sz w:val="18"/>
                <w:szCs w:val="18"/>
                <w:color w:val="auto"/>
              </w:rPr>
              <w:t>Gross margin</w:t>
            </w:r>
          </w:p>
        </w:tc>
        <w:tc>
          <w:tcPr>
            <w:tcW w:w="72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43.</w:t>
            </w:r>
            <w:r>
              <w:rPr>
                <w:rFonts w:ascii="Arial" w:cs="Arial" w:eastAsia="Arial" w:hAnsi="Arial"/>
                <w:sz w:val="18"/>
                <w:szCs w:val="18"/>
                <w:u w:val="single" w:color="auto"/>
                <w:color w:val="auto"/>
                <w:w w:val="85"/>
              </w:rPr>
              <w:t>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47.</w:t>
            </w:r>
            <w:r>
              <w:rPr>
                <w:rFonts w:ascii="Arial" w:cs="Arial" w:eastAsia="Arial" w:hAnsi="Arial"/>
                <w:sz w:val="18"/>
                <w:szCs w:val="18"/>
                <w:u w:val="single" w:color="auto"/>
                <w:color w:val="auto"/>
                <w:w w:val="85"/>
              </w:rPr>
              <w:t>6</w:t>
            </w:r>
          </w:p>
        </w:tc>
        <w:tc>
          <w:tcPr>
            <w:tcW w:w="120" w:type="dxa"/>
            <w:vAlign w:val="bottom"/>
          </w:tcPr>
          <w:p>
            <w:pPr>
              <w:spacing w:after="0"/>
              <w:rPr>
                <w:sz w:val="24"/>
                <w:szCs w:val="24"/>
                <w:color w:val="auto"/>
              </w:rPr>
            </w:pPr>
          </w:p>
        </w:tc>
      </w:tr>
      <w:tr>
        <w:trPr>
          <w:trHeight w:val="478"/>
        </w:trPr>
        <w:tc>
          <w:tcPr>
            <w:tcW w:w="3920" w:type="dxa"/>
            <w:vAlign w:val="bottom"/>
          </w:tcPr>
          <w:p>
            <w:pPr>
              <w:spacing w:after="0"/>
              <w:rPr>
                <w:sz w:val="20"/>
                <w:szCs w:val="20"/>
                <w:color w:val="auto"/>
              </w:rPr>
            </w:pPr>
            <w:r>
              <w:rPr>
                <w:rFonts w:ascii="Arial" w:cs="Arial" w:eastAsia="Arial" w:hAnsi="Arial"/>
                <w:sz w:val="18"/>
                <w:szCs w:val="18"/>
                <w:color w:val="auto"/>
              </w:rPr>
              <w:t>Selling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4"/>
                <w:szCs w:val="24"/>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12.9</w:t>
            </w: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7.4</w:t>
            </w:r>
          </w:p>
        </w:tc>
      </w:tr>
      <w:tr>
        <w:trPr>
          <w:trHeight w:val="421"/>
        </w:trPr>
        <w:tc>
          <w:tcPr>
            <w:tcW w:w="3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14.</w:t>
            </w:r>
            <w:r>
              <w:rPr>
                <w:rFonts w:ascii="Arial" w:cs="Arial" w:eastAsia="Arial" w:hAnsi="Arial"/>
                <w:sz w:val="18"/>
                <w:szCs w:val="18"/>
                <w:u w:val="single" w:color="auto"/>
                <w:color w:val="auto"/>
                <w:w w:val="85"/>
              </w:rPr>
              <w:t>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15.</w:t>
            </w:r>
            <w:r>
              <w:rPr>
                <w:rFonts w:ascii="Arial" w:cs="Arial" w:eastAsia="Arial" w:hAnsi="Arial"/>
                <w:sz w:val="18"/>
                <w:szCs w:val="18"/>
                <w:u w:val="single" w:color="auto"/>
                <w:color w:val="auto"/>
                <w:w w:val="85"/>
              </w:rPr>
              <w:t>5</w:t>
            </w:r>
          </w:p>
        </w:tc>
        <w:tc>
          <w:tcPr>
            <w:tcW w:w="120" w:type="dxa"/>
            <w:vAlign w:val="bottom"/>
          </w:tcPr>
          <w:p>
            <w:pPr>
              <w:spacing w:after="0"/>
              <w:rPr>
                <w:sz w:val="24"/>
                <w:szCs w:val="24"/>
                <w:color w:val="auto"/>
              </w:rPr>
            </w:pPr>
          </w:p>
        </w:tc>
      </w:tr>
      <w:tr>
        <w:trPr>
          <w:trHeight w:val="478"/>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11.8</w:t>
            </w:r>
          </w:p>
        </w:tc>
      </w:tr>
      <w:tr>
        <w:trPr>
          <w:trHeight w:val="421"/>
        </w:trPr>
        <w:tc>
          <w:tcPr>
            <w:tcW w:w="3920" w:type="dxa"/>
            <w:vAlign w:val="bottom"/>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(0.1)</w:t>
            </w:r>
          </w:p>
        </w:tc>
      </w:tr>
      <w:tr>
        <w:trPr>
          <w:trHeight w:val="20"/>
        </w:trPr>
        <w:tc>
          <w:tcPr>
            <w:tcW w:w="39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78"/>
        </w:trPr>
        <w:tc>
          <w:tcPr>
            <w:tcW w:w="392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7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5"/>
              </w:rPr>
              <w:t>11.3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gridSpan w:val="4"/>
          </w:tcPr>
          <w:p>
            <w:pPr>
              <w:jc w:val="right"/>
              <w:ind w:right="120"/>
              <w:spacing w:after="0"/>
              <w:rPr>
                <w:sz w:val="20"/>
                <w:szCs w:val="20"/>
                <w:color w:val="auto"/>
              </w:rPr>
            </w:pPr>
            <w:r>
              <w:rPr>
                <w:rFonts w:ascii="Arial" w:cs="Arial" w:eastAsia="Arial" w:hAnsi="Arial"/>
                <w:sz w:val="18"/>
                <w:szCs w:val="18"/>
                <w:color w:val="auto"/>
                <w:w w:val="85"/>
              </w:rPr>
              <w:t>11.7</w:t>
            </w:r>
          </w:p>
        </w:tc>
      </w:tr>
      <w:tr>
        <w:trPr>
          <w:trHeight w:val="421"/>
        </w:trPr>
        <w:tc>
          <w:tcPr>
            <w:tcW w:w="392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4"/>
                <w:szCs w:val="24"/>
                <w:color w:val="auto"/>
              </w:rPr>
            </w:pPr>
          </w:p>
        </w:tc>
      </w:tr>
      <w:tr>
        <w:trPr>
          <w:trHeight w:val="439"/>
        </w:trPr>
        <w:tc>
          <w:tcPr>
            <w:tcW w:w="3920" w:type="dxa"/>
            <w:vAlign w:val="bottom"/>
          </w:tcPr>
          <w:p>
            <w:pPr>
              <w:spacing w:after="0"/>
              <w:rPr>
                <w:sz w:val="20"/>
                <w:szCs w:val="20"/>
                <w:color w:val="auto"/>
              </w:rPr>
            </w:pPr>
            <w:r>
              <w:rPr>
                <w:rFonts w:ascii="Arial" w:cs="Arial" w:eastAsia="Arial" w:hAnsi="Arial"/>
                <w:sz w:val="18"/>
                <w:szCs w:val="18"/>
                <w:color w:val="auto"/>
              </w:rPr>
              <w:t>Net earnings</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10.8%</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2011 Compared to Quarter Ended March 31, 2010</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$11.7 million for the quarter ended March 31, 2011 compared to $9.5 million for the same period in 2010,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$2.2 million or 23%. We believe the increase in our net revenues during the first quarter of 2011 primarily reflects continued strong demand in the ATE industry in the first quarter of 2011, as previously discussed in the Overview.</w:t>
      </w:r>
    </w:p>
    <w:p>
      <w:pPr>
        <w:spacing w:after="0" w:line="194" w:lineRule="exact"/>
        <w:rPr>
          <w:sz w:val="20"/>
          <w:szCs w:val="20"/>
          <w:color w:val="auto"/>
        </w:rPr>
      </w:pPr>
    </w:p>
    <w:p>
      <w:pPr>
        <w:ind w:left="540" w:right="340"/>
        <w:spacing w:after="0" w:line="256" w:lineRule="auto"/>
        <w:rPr>
          <w:sz w:val="20"/>
          <w:szCs w:val="20"/>
          <w:color w:val="auto"/>
        </w:rPr>
      </w:pPr>
      <w:r>
        <w:rPr>
          <w:rFonts w:ascii="Arial" w:cs="Arial" w:eastAsia="Arial" w:hAnsi="Arial"/>
          <w:sz w:val="18"/>
          <w:szCs w:val="18"/>
          <w:color w:val="auto"/>
        </w:rPr>
        <w:t>During the quarter ended March 31, 2011, our net revenues from customers in the U.S. increased 52% and our net revenues from foreign customers increased 11%, respectively, as compared to the same period in 2010. The impact of changes in foreign currency exchange rates on the increase in net revenues from foreign customers was less than 1%. The higher percentage increase for our U.S. customers primarily reflects greater levels of demand from US-based customers.</w:t>
      </w:r>
    </w:p>
    <w:p>
      <w:pPr>
        <w:spacing w:after="0" w:line="19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44% for the first quarter of 2011 compared to 48% for the same period in 2010. The decline in gross margin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the result of an increase in component material costs from 34% of net revenues for the quarter ended March 31, 2010 to 37% of net revenues for the quarter ended March 31, 2011. This increase primarily reflects changes in product mix for our Mechanical Products segment. To a lesser extent, there were also increases in our fixed operating costs and direct labor costs. Our fixed operating costs represented 16% of net revenues in the first quarter of 2011 compared to 15% of net revenues for the same period in 2010. In absolute dollar terms, these costs increased $475,000 from the first quarter of 2010 to the first quarter of 2011. Our direct labor costs, which were 3% of net revenues in both the first quarter of 2011 and 2010, increased $77,000 in absolute dollar terms over the comparable prior period. These increases were primarily the result of higher salary and benefits expense during the first quarter of 2011 as compared to the same period in 2010, reflecting additional headcount and, to a lesser extent, the restoration of 401(k) Plan discretionary matching contributions effective April 1, 2010 and annual raises for employees which generally occur each July. We also incurred additional rent and maintenance costs associated with the relocation of our domestic Mechanical and Thermal product segments during the first quarter of 2011. The move-related costs included in our fixed operating costs for the first quarter of 2011 were $74,000.</w:t>
      </w:r>
    </w:p>
    <w:p>
      <w:pPr>
        <w:spacing w:after="0" w:line="181" w:lineRule="exact"/>
        <w:rPr>
          <w:sz w:val="20"/>
          <w:szCs w:val="20"/>
          <w:color w:val="auto"/>
        </w:rPr>
      </w:pPr>
    </w:p>
    <w:p>
      <w:pPr>
        <w:ind w:left="540" w:right="60"/>
        <w:spacing w:after="0" w:line="335" w:lineRule="auto"/>
        <w:rPr>
          <w:sz w:val="20"/>
          <w:szCs w:val="20"/>
          <w:color w:val="auto"/>
        </w:rPr>
      </w:pPr>
      <w:r>
        <w:rPr>
          <w:rFonts w:ascii="Arial" w:cs="Arial" w:eastAsia="Arial" w:hAnsi="Arial"/>
          <w:sz w:val="15"/>
          <w:szCs w:val="15"/>
          <w:i w:val="1"/>
          <w:iCs w:val="1"/>
          <w:color w:val="auto"/>
        </w:rPr>
        <w:t xml:space="preserve">Selling Expense. </w:t>
      </w:r>
      <w:r>
        <w:rPr>
          <w:rFonts w:ascii="Arial" w:cs="Arial" w:eastAsia="Arial" w:hAnsi="Arial"/>
          <w:sz w:val="15"/>
          <w:szCs w:val="15"/>
          <w:color w:val="auto"/>
        </w:rPr>
        <w:t>Selling expense was $1.4 million for the first quarter of 2011 compared to $1.2 million for the same period in 2010, an increase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$156,000 or 13%. The increase in selling expense primarily reflects an increase in accruals for warranty expense combined with higher levels of commissions, both of which are primarily a result of the increase in net revenue levels in the first quarter of 2011 as compared to the first quarter of 2010.</w:t>
      </w:r>
    </w:p>
    <w:p>
      <w:pPr>
        <w:spacing w:after="0" w:line="142"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$813,000 for the first quarter of 2011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$701,000 for the same period in 2010, an increase of $112,000 or 16%. The increase in engineering and product development expense primarily reflects the restoration of 401(k) Plan discretionary matching contributions effective April 1, 2010 and, to a lesser extent, increased spending on materials used in new product development.</w:t>
      </w:r>
    </w:p>
    <w:p>
      <w:pPr>
        <w:sectPr>
          <w:pgSz w:w="11900" w:h="16838" w:orient="portrait"/>
          <w:cols w:equalWidth="0" w:num="1">
            <w:col w:w="11400"/>
          </w:cols>
          <w:pgMar w:left="240" w:top="131" w:right="259" w:bottom="0" w:gutter="0" w:footer="0" w:header="0"/>
        </w:sectPr>
      </w:pPr>
    </w:p>
    <w:bookmarkStart w:id="17" w:name="page18"/>
    <w:bookmarkEnd w:id="17"/>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$1.6 million for the first quarter of 2011 compared to $1.5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2010, an increase of $153,000 or 10%. This increase was primarily a result of higher salary and benefits expense reflecting the restoration of 401(k) Plan discretionary matching contributions effective April 1, 2010 and annual raises for employees which generally occur each July. Also contributing to the increase, but to a lesser extent, were $54,000 of costs associated with the relocation of our domestic Mechanical and Thermal product segments during the first quarter. These increases were offset by reductions in professional fees.</w:t>
      </w:r>
    </w:p>
    <w:p>
      <w:pPr>
        <w:spacing w:after="0" w:line="170"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was $56,000 for the first quarter of 2011 compared to other expense of $11,000 for the first quarter of 2010,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income of $67,000. The increase primarily represents a gain on sale of property and equipment.</w:t>
      </w:r>
    </w:p>
    <w:p>
      <w:pPr>
        <w:spacing w:after="0" w:line="186"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March 31, 2011, we recorded income tax expense of $60,000 compared to income tax expense of $3,000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2010.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Net cash used in operations for the three months ended March 31, 2011 was $1.2 million compared to net cash provided by operations of $299,000 for the same period in 2010. The shift from net cash provided by operations to net cash used in operations primarily reflects increases in the amount of trade accounts receivable and inventories at March 31, 2011 as compared to December 31, 2010. During the first quarter of 2011, trade accounts receivable increased $2.6 million and inventories increased $504,000, both reflecting increased business activity in the first quarter of 2011 as compared to the fourth quarter of 2010. During the three months ended March 31, 2011, accounts payable increased $653,000, also reflecting the increase in the level of business during the first quarter of 2011, while accrued wages and benefits decreased $492,000, primarily reflecting the payment in March 2011 of profit-related bonuses that had been accrued based on the financial results for the year ended December 31, 2010.</w:t>
      </w:r>
    </w:p>
    <w:p>
      <w:pPr>
        <w:spacing w:after="0" w:line="172"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color w:val="auto"/>
        </w:rPr>
        <w:t>Purchases of property and equipment were $574,000 for the three months ended March 31, 2011. These purchases primarily represent leasehold improvements and other equipment purchased as a result of the relocation of two of our domestic facilities during the first quarter of 2011. We have no significant commitments for capital expenditures for the balance of 2011, however, depending upon changes in market demand, we may make such purchases as we deem necessary and appropriate.</w:t>
      </w:r>
    </w:p>
    <w:p>
      <w:pPr>
        <w:spacing w:after="0" w:line="19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We have a secured credit facility that provides for maximum borrowings of $250,000. We have not used this credit facility to borrow any funds. Our usage consists of the issuance of letters of credit in the face amount of $250,000. This facility is secured by pledged certificates of deposit totaling $250,000. We pay a quarterly fee of 1.5% per annum on the total amount of the outstanding letters of credit. This credit facility expires on September 30, 2011. On April 1, 2010 and November 8, 2010, two additional letters of credit were issued in the face amounts of $250,000 and $200,000, respectively. These letters of credit are supported by separate pledged certificates of deposit that are not a part of our secured credit facility.</w:t>
      </w:r>
    </w:p>
    <w:p>
      <w:pPr>
        <w:spacing w:after="0" w:line="170"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As of March 31, 2011, we had cash and cash equivalents of $5.2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2011, there have been no significant changes to the accounting policies that we have deemed critical. These policies are more fully described in our 2010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191" w:lineRule="exact"/>
        <w:rPr>
          <w:sz w:val="20"/>
          <w:szCs w:val="20"/>
          <w:color w:val="auto"/>
        </w:rPr>
      </w:pPr>
    </w:p>
    <w:p>
      <w:pPr>
        <w:ind w:left="540" w:right="460"/>
        <w:spacing w:after="0" w:line="370" w:lineRule="auto"/>
        <w:rPr>
          <w:sz w:val="20"/>
          <w:szCs w:val="20"/>
          <w:color w:val="auto"/>
        </w:rPr>
      </w:pPr>
      <w:r>
        <w:rPr>
          <w:rFonts w:ascii="Arial" w:cs="Arial" w:eastAsia="Arial" w:hAnsi="Arial"/>
          <w:sz w:val="15"/>
          <w:szCs w:val="15"/>
          <w:color w:val="auto"/>
        </w:rPr>
        <w:t>There were no off-balance sheet arrangements during the three months ended March 31, 2011 that have or are reasonably likely to have, a current or future effect on our financial condition, changes in financial condition, revenues or expenses, results of operations, liquidity, capital expenditures or</w:t>
      </w:r>
    </w:p>
    <w:p>
      <w:pPr>
        <w:sectPr>
          <w:pgSz w:w="11900" w:h="16962" w:orient="portrait"/>
          <w:cols w:equalWidth="0" w:num="1">
            <w:col w:w="11420"/>
          </w:cols>
          <w:pgMar w:left="240" w:top="131" w:right="239" w:bottom="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color w:val="auto"/>
        </w:rPr>
        <w:t>capital resources that is material to our interests.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6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jc w:val="both"/>
        <w:ind w:left="540" w:right="2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117475</wp:posOffset>
            </wp:positionV>
            <wp:extent cx="620839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400"/>
          </w:cols>
          <w:pgMar w:left="240" w:top="131" w:right="259" w:bottom="0" w:gutter="0" w:footer="0" w:header="0"/>
        </w:sectPr>
      </w:pPr>
    </w:p>
    <w:bookmarkStart w:id="19" w:name="page20"/>
    <w:bookmarkEnd w:id="19"/>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110490</wp:posOffset>
            </wp:positionV>
            <wp:extent cx="620839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May 13, 2011</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May 13, 2011</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382905</wp:posOffset>
            </wp:positionV>
            <wp:extent cx="62083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ind w:left="400" w:right="522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4660"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940"/>
          </w:cols>
          <w:pgMar w:left="240" w:top="131" w:right="71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March 31, 2011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13,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March 31, 2011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13,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7"/>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2019-12-10T16:21:52Z</dcterms:created>
  <dcterms:modified xsi:type="dcterms:W3CDTF">2019-12-10T16:21:52Z</dcterms:modified>
</cp:coreProperties>
</file>