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4000" w:right="1900" w:hanging="3992"/>
        <w:spacing w:after="0" w:line="253"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2019</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-390525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2760" w:right="1520" w:hanging="2752"/>
        <w:spacing w:after="0" w:line="266" w:lineRule="auto"/>
        <w:tabs>
          <w:tab w:leader="none" w:pos="3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-272415</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1-36117</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120" w:type="dxa"/>
            <w:vAlign w:val="bottom"/>
          </w:tcPr>
          <w:p>
            <w:pPr>
              <w:spacing w:after="0"/>
              <w:rPr>
                <w:sz w:val="19"/>
                <w:szCs w:val="19"/>
                <w:color w:val="auto"/>
              </w:rPr>
            </w:pPr>
          </w:p>
        </w:tc>
        <w:tc>
          <w:tcPr>
            <w:tcW w:w="4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gridSpan w:val="2"/>
          </w:tcPr>
          <w:p>
            <w:pPr>
              <w:jc w:val="right"/>
              <w:ind w:right="2090"/>
              <w:spacing w:after="0"/>
              <w:rPr>
                <w:sz w:val="20"/>
                <w:szCs w:val="20"/>
                <w:color w:val="auto"/>
              </w:rPr>
            </w:pPr>
            <w:r>
              <w:rPr>
                <w:rFonts w:ascii="Arial" w:cs="Arial" w:eastAsia="Arial" w:hAnsi="Arial"/>
                <w:sz w:val="18"/>
                <w:szCs w:val="18"/>
                <w:b w:val="1"/>
                <w:bCs w:val="1"/>
                <w:color w:val="auto"/>
              </w:rPr>
              <w:t>22-2370659</w:t>
            </w:r>
          </w:p>
        </w:tc>
      </w:tr>
      <w:tr>
        <w:trPr>
          <w:trHeight w:val="230"/>
        </w:trPr>
        <w:tc>
          <w:tcPr>
            <w:tcW w:w="120" w:type="dxa"/>
            <w:vAlign w:val="bottom"/>
          </w:tcPr>
          <w:p>
            <w:pPr>
              <w:spacing w:after="0"/>
              <w:rPr>
                <w:sz w:val="20"/>
                <w:szCs w:val="20"/>
                <w:color w:val="auto"/>
              </w:rPr>
            </w:pPr>
          </w:p>
        </w:tc>
        <w:tc>
          <w:tcPr>
            <w:tcW w:w="6020" w:type="dxa"/>
            <w:vAlign w:val="bottom"/>
            <w:gridSpan w:val="4"/>
          </w:tcPr>
          <w:p>
            <w:pPr>
              <w:jc w:val="center"/>
              <w:ind w:right="15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40" w:type="dxa"/>
            <w:vAlign w:val="bottom"/>
            <w:gridSpan w:val="2"/>
          </w:tcPr>
          <w:p>
            <w:pPr>
              <w:jc w:val="center"/>
              <w:ind w:right="69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120" w:type="dxa"/>
            <w:vAlign w:val="bottom"/>
          </w:tcPr>
          <w:p>
            <w:pPr>
              <w:spacing w:after="0"/>
              <w:rPr>
                <w:sz w:val="24"/>
                <w:szCs w:val="24"/>
                <w:color w:val="auto"/>
              </w:rPr>
            </w:pPr>
          </w:p>
        </w:tc>
        <w:tc>
          <w:tcPr>
            <w:tcW w:w="4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804 EAST GATE DRIVE, SUITE 200</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4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MT. LAUREL, NEW JERSEY</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08054</w:t>
            </w:r>
          </w:p>
        </w:tc>
      </w:tr>
      <w:tr>
        <w:trPr>
          <w:trHeight w:val="230"/>
        </w:trPr>
        <w:tc>
          <w:tcPr>
            <w:tcW w:w="120" w:type="dxa"/>
            <w:vAlign w:val="bottom"/>
          </w:tcPr>
          <w:p>
            <w:pPr>
              <w:spacing w:after="0"/>
              <w:rPr>
                <w:sz w:val="20"/>
                <w:szCs w:val="20"/>
                <w:color w:val="auto"/>
              </w:rPr>
            </w:pPr>
          </w:p>
        </w:tc>
        <w:tc>
          <w:tcPr>
            <w:tcW w:w="442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20" w:type="dxa"/>
            <w:vAlign w:val="bottom"/>
          </w:tcPr>
          <w:p>
            <w:pPr>
              <w:jc w:val="center"/>
              <w:ind w:right="1610"/>
              <w:spacing w:after="0"/>
              <w:rPr>
                <w:sz w:val="20"/>
                <w:szCs w:val="20"/>
                <w:color w:val="auto"/>
              </w:rPr>
            </w:pPr>
            <w:r>
              <w:rPr>
                <w:rFonts w:ascii="Arial" w:cs="Arial" w:eastAsia="Arial" w:hAnsi="Arial"/>
                <w:sz w:val="18"/>
                <w:szCs w:val="18"/>
                <w:color w:val="auto"/>
                <w:w w:val="91"/>
              </w:rPr>
              <w:t>(Zip Code)</w:t>
            </w:r>
          </w:p>
        </w:tc>
      </w:tr>
      <w:tr>
        <w:trPr>
          <w:trHeight w:val="432"/>
        </w:trPr>
        <w:tc>
          <w:tcPr>
            <w:tcW w:w="120" w:type="dxa"/>
            <w:vAlign w:val="bottom"/>
          </w:tcPr>
          <w:p>
            <w:pPr>
              <w:spacing w:after="0"/>
              <w:rPr>
                <w:sz w:val="24"/>
                <w:szCs w:val="24"/>
                <w:color w:val="auto"/>
              </w:rPr>
            </w:pPr>
          </w:p>
        </w:tc>
        <w:tc>
          <w:tcPr>
            <w:tcW w:w="10460" w:type="dxa"/>
            <w:vAlign w:val="bottom"/>
            <w:gridSpan w:val="6"/>
          </w:tcPr>
          <w:p>
            <w:pPr>
              <w:jc w:val="center"/>
              <w:ind w:right="290"/>
              <w:spacing w:after="0"/>
              <w:rPr>
                <w:sz w:val="20"/>
                <w:szCs w:val="20"/>
                <w:color w:val="auto"/>
              </w:rPr>
            </w:pPr>
            <w:r>
              <w:rPr>
                <w:rFonts w:ascii="Arial" w:cs="Arial" w:eastAsia="Arial" w:hAnsi="Arial"/>
                <w:sz w:val="18"/>
                <w:szCs w:val="18"/>
                <w:b w:val="1"/>
                <w:bCs w:val="1"/>
                <w:color w:val="auto"/>
                <w:w w:val="89"/>
              </w:rPr>
              <w:t>Registrant's telephone number, including area code: (856) 505-8800</w:t>
            </w:r>
          </w:p>
        </w:tc>
      </w:tr>
      <w:tr>
        <w:trPr>
          <w:trHeight w:val="432"/>
        </w:trPr>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660" w:type="dxa"/>
            <w:vAlign w:val="bottom"/>
            <w:gridSpan w:val="5"/>
          </w:tcPr>
          <w:p>
            <w:pPr>
              <w:jc w:val="center"/>
              <w:ind w:right="30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2"/>
        </w:trPr>
        <w:tc>
          <w:tcPr>
            <w:tcW w:w="12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62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7"/>
        </w:trPr>
        <w:tc>
          <w:tcPr>
            <w:tcW w:w="454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Common Stock, par value $0.01 per share</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rPr>
              <w:t>INTT</w:t>
            </w:r>
          </w:p>
        </w:tc>
        <w:tc>
          <w:tcPr>
            <w:tcW w:w="9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emerging growth company. See definitions of "large accelerated filer," "accelerated filer" and "smaller reporting company" and “emerging growth company” in Rule 12b-2 of the Exchange Act.</w:t>
      </w:r>
    </w:p>
    <w:p>
      <w:pPr>
        <w:sectPr>
          <w:pgSz w:w="11900" w:h="16838" w:orient="portrait"/>
          <w:cols w:equalWidth="0" w:num="1">
            <w:col w:w="11080"/>
          </w:cols>
          <w:pgMar w:left="320" w:top="688" w:right="49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20" w:space="720"/>
            <w:col w:w="4640"/>
          </w:cols>
          <w:pgMar w:left="320" w:top="688" w:right="49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2019 (the last business day of the registrant's most recently completed second fiscal quarter), was: $49,247,830.</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16, 2020, was 10,429,759.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Portions of the definitive proxy statement of the Registrant for the Registrant's 2020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88"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inTEST CORPORATION</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40" w:type="dxa"/>
            <w:vAlign w:val="bottom"/>
          </w:tcPr>
          <w:p>
            <w:pPr>
              <w:jc w:val="center"/>
              <w:ind w:right="250"/>
              <w:spacing w:after="0"/>
              <w:rPr>
                <w:sz w:val="20"/>
                <w:szCs w:val="20"/>
                <w:color w:val="auto"/>
              </w:rPr>
            </w:pPr>
            <w:r>
              <w:rPr>
                <w:rFonts w:ascii="Arial" w:cs="Arial" w:eastAsia="Arial" w:hAnsi="Arial"/>
                <w:sz w:val="18"/>
                <w:szCs w:val="18"/>
                <w:b w:val="1"/>
                <w:bCs w:val="1"/>
                <w:color w:val="auto"/>
              </w:rPr>
              <w:t>FORM 10-K</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FOR THE YEAR ENDED DECEMBER 31, 2019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0040" w:type="dxa"/>
            <w:vAlign w:val="bottom"/>
          </w:tcPr>
          <w:p>
            <w:pPr>
              <w:jc w:val="center"/>
              <w:ind w:right="250"/>
              <w:spacing w:after="0"/>
              <w:rPr>
                <w:sz w:val="20"/>
                <w:szCs w:val="20"/>
                <w:color w:val="auto"/>
              </w:rPr>
            </w:pPr>
            <w:r>
              <w:rPr>
                <w:rFonts w:ascii="Arial" w:cs="Arial" w:eastAsia="Arial" w:hAnsi="Arial"/>
                <w:sz w:val="18"/>
                <w:szCs w:val="18"/>
                <w:b w:val="1"/>
                <w:bCs w:val="1"/>
                <w:color w:val="auto"/>
              </w:rPr>
              <w:t>INDEX</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Page</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98"/>
              </w:rPr>
              <w:t>PART I</w:t>
            </w: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Properties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Mine Safety Disclosures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rPr>
              <w:t>PART II</w:t>
            </w: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100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40" w:type="dxa"/>
            <w:vAlign w:val="bottom"/>
          </w:tcPr>
          <w:p>
            <w:pPr>
              <w:jc w:val="center"/>
              <w:ind w:right="270"/>
              <w:spacing w:after="0"/>
              <w:rPr>
                <w:sz w:val="20"/>
                <w:szCs w:val="20"/>
                <w:color w:val="auto"/>
              </w:rPr>
            </w:pPr>
            <w:r>
              <w:rPr>
                <w:rFonts w:ascii="Arial" w:cs="Arial" w:eastAsia="Arial" w:hAnsi="Arial"/>
                <w:sz w:val="18"/>
                <w:szCs w:val="18"/>
                <w:b w:val="1"/>
                <w:bCs w:val="1"/>
                <w:color w:val="auto"/>
              </w:rPr>
              <w:t>PART III</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1004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40" w:type="dxa"/>
            <w:vAlign w:val="bottom"/>
          </w:tcPr>
          <w:p>
            <w:pPr>
              <w:jc w:val="center"/>
              <w:ind w:right="270"/>
              <w:spacing w:after="0"/>
              <w:rPr>
                <w:sz w:val="20"/>
                <w:szCs w:val="20"/>
                <w:color w:val="auto"/>
              </w:rPr>
            </w:pPr>
            <w:r>
              <w:rPr>
                <w:rFonts w:ascii="Arial" w:cs="Arial" w:eastAsia="Arial" w:hAnsi="Arial"/>
                <w:sz w:val="18"/>
                <w:szCs w:val="18"/>
                <w:b w:val="1"/>
                <w:bCs w:val="1"/>
                <w:color w:val="auto"/>
              </w:rPr>
              <w:t>PART IV</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10040" w:type="dxa"/>
            <w:vAlign w:val="bottom"/>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10-K Summary</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rPr>
              <w:t>Index to Exhibits</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0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Signatures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40" w:type="dxa"/>
            <w:vAlign w:val="bottom"/>
          </w:tcPr>
          <w:p>
            <w:pPr>
              <w:ind w:left="14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10040" w:type="dxa"/>
            <w:vAlign w:val="bottom"/>
          </w:tcPr>
          <w:p>
            <w:pPr>
              <w:jc w:val="center"/>
              <w:ind w:right="250"/>
              <w:spacing w:after="0"/>
              <w:rPr>
                <w:sz w:val="20"/>
                <w:szCs w:val="20"/>
                <w:color w:val="auto"/>
              </w:rPr>
            </w:pPr>
            <w:r>
              <w:rPr>
                <w:rFonts w:ascii="Arial" w:cs="Arial" w:eastAsia="Arial" w:hAnsi="Arial"/>
                <w:sz w:val="18"/>
                <w:szCs w:val="18"/>
                <w:color w:val="auto"/>
                <w:w w:val="93"/>
              </w:rPr>
              <w:t>- 2 -</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auto"/>
            </w:tcBorders>
          </w:tcPr>
          <w:p>
            <w:pPr>
              <w:spacing w:after="0"/>
              <w:rPr>
                <w:sz w:val="10"/>
                <w:szCs w:val="10"/>
                <w:color w:val="auto"/>
              </w:rPr>
            </w:pPr>
          </w:p>
        </w:tc>
        <w:tc>
          <w:tcPr>
            <w:tcW w:w="10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time to time, we make written or oral "forward-looking statements" within the meaning of the Private Securities Litigation Reform Act of 1995, as amended, including statements contained in our filings with the Securities and Exchange Commission (“SEC”) (including this Annual Report on Form 10-K (“Report”)), in our annual report to stockholders and in other communications. These statements do not convey historical information, but relate to predicted or potential future events, such as statements of our plans, strategies and intentions, or our future performance or goals, that are based on management’s current expectations. Our forward-looking statements can often be identified by the use of forward-looking terminology such as "believes," "expects," "intends," "may," "will," "should," "plans," “projects,” “forecasts,” “outlook” or "anticipates" or similar terminology, and include, but are not limited to, statements made in this Report regarding:</w:t>
      </w:r>
    </w:p>
    <w:p>
      <w:pPr>
        <w:spacing w:after="0" w:line="195"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pandemic on our business, financial condition and results of operations;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indications of a change in the market cycles in the semiconductor and automated test equipment (“ATE”) markets or other markets we serve;</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trends in the semiconductor and ATE markets, including changes in the demand for semiconductors;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 in particular in light of the coronavirus pandemic;</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 including any impacts from the coronavirus pandemic;</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 including any impacts from the coronavirus pandemic;</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 including any impacts from the coronavirus pandemic;</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fluctuations, in particular the most recent stock price changes as a result of the coronavirus pandemic;</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major potential acquisitions;</w:t>
      </w:r>
    </w:p>
    <w:p>
      <w:pPr>
        <w:spacing w:after="0" w:line="36" w:lineRule="exact"/>
        <w:rPr>
          <w:rFonts w:ascii="Arial" w:cs="Arial" w:eastAsia="Arial" w:hAnsi="Arial"/>
          <w:sz w:val="18"/>
          <w:szCs w:val="18"/>
          <w:color w:val="auto"/>
        </w:rPr>
      </w:pPr>
    </w:p>
    <w:p>
      <w:pPr>
        <w:ind w:left="820" w:right="80" w:hanging="326"/>
        <w:spacing w:after="0" w:line="274" w:lineRule="auto"/>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strategy to diversify our business by entering markets outside the semiconductor and ATE markets, including the automotive, defense/aerospace, energy, industrial, telecommunications and other markets and changes in demand in these markets;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exchange rate fluctuations, especially most recently as a result of the coronavirus pandemic;</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revenues generated by foreign subsidiaries; and</w:t>
      </w:r>
    </w:p>
    <w:p>
      <w:pPr>
        <w:spacing w:after="0" w:line="36"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RECENT DEVELOPMENTS</w:t>
      </w:r>
    </w:p>
    <w:p>
      <w:pPr>
        <w:spacing w:after="0" w:line="225" w:lineRule="exact"/>
        <w:rPr>
          <w:sz w:val="20"/>
          <w:szCs w:val="20"/>
          <w:color w:val="auto"/>
        </w:rPr>
      </w:pPr>
    </w:p>
    <w:p>
      <w:pPr>
        <w:ind w:left="500" w:right="40"/>
        <w:spacing w:after="0" w:line="271" w:lineRule="auto"/>
        <w:rPr>
          <w:sz w:val="20"/>
          <w:szCs w:val="20"/>
          <w:color w:val="auto"/>
        </w:rPr>
      </w:pPr>
      <w:r>
        <w:rPr>
          <w:rFonts w:ascii="Arial" w:cs="Arial" w:eastAsia="Arial" w:hAnsi="Arial"/>
          <w:sz w:val="17"/>
          <w:szCs w:val="17"/>
          <w:color w:val="auto"/>
        </w:rPr>
        <w:t>In December 2019, instances of a human infection of unknown cause originating in China were first reported to the World Health Organization. In early January 2020, this infection was traced to a novel strain of coronavirus. The virus has subsequently spread to other parts of the world, including the U.S. and Europe, and has caused unprecedented disruptions in the global economy as efforts to contain the spread of the virus have intensified. On March 11, 2020, the World Health Organization officially declared the coronavirus outbreak (also referred to as COVID-19) a pandemic. Since March 17, 2020, a number of states in the U.S., including all of the states in which we have manufacturing facilities, have instituted ‘shelter-in place’ orders as well as provided guidance in response to the pandemic and the need to contain it. We are carefully reviewing all rules, regulations, and orders and responding accordingly. On March 17, 2020, we temporarily shut down our EMS manufacturing facility in Fremont, California. As of the date of this filing, all of our other manufacturing facilities remain open.</w:t>
      </w:r>
    </w:p>
    <w:p>
      <w:pPr>
        <w:spacing w:after="0" w:line="17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the meantime, we have taken steps to take care of our employees, including providing the ability for employees to work remotely and implementing strategies to support appropriate social distancing techniques for those employees who are not able to work remotely. We have also taken precautions with regard to employee, facility and office hygiene as well as implementing significant travel restrictions. We have developed a process for the ongoing screening of employees and visitors to our facilities to assess their risk of exposure to and/or infection with the coronavirus. We are also assessing our business continuity plans for all business units in the context of the pandemic. This is a rapidly evolving situation, and we will continue to monitor and mitigate developments affecting our workforce, our suppliers, our customers, and the public at large to the extent we are able to do so.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65"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inTEST Corporation was incorporated in New Jersey in 1981 and reincorporated in Delaware in April 1997. The consolidated entity is comprised of inTEST Corporation (parent) and our wholly-owned subsidiaries. In this report, "we," "us," "our," and the "Company" refer to inTEST Corporation and its consolidated subsidiaries.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Products ("Thermal”) and Electromechanical Semiconductor Products ("EMS"), which are also our reporting units. Our Thermal segment designs, manufactures and sells our thermal test and thermal process products while our EMS segment designs, manufactures and sells our semiconductor test products.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Corporation (“Ambrell”) in May 2017, our Thermal segment also sells into the consumer products packaging, fiber optics and other sectors within the broader industrial market, and into the wafer processing sector within the broader semiconductor market.</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or through third party distributors. Our largest customers include Aixtron SE, Analog Devices, Inc., Cohu, Inc., Emerson Electric Co., Hakuto Co. Ltd., NXP Semiconductors N.V., Raytheon Company, Siemens AG, Teradyne, Inc. and Texas Instruments Incorporated.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semiconductor ATE and wafer processing sectors within the broader semiconductor market), and “Non-Semiconductor” (which includes all of the other markets we serve). In the second quarter of 2019, we began referring to the semiconductor market, including the ATE and wafer processing sectors within that market, as the “Semi Market.” All other markets, when referred to collectively, are designated as “Multimarket.”</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the Semi Market represents the historical roots of inTEST and remains a very important component of our business, Multimarket is where we have focused our strategic growth efforts over the last several years. Our goal has been to grow our business, both organically and through acquisition, in Multimarket as we believe these markets have historically been less cyclical than the Semi Market. Prior to the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It is important to note that business within our Thermal segment can fall into either the Semi Market or Multimarket, depending upon how our customers utilize our products or upon their respective applications, while business within our EMS segment is all within the Semi Market.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Multimarket. During 2019 and 2018, our net revenues from Multimarket were $29.7 million and $33.2 million, respectively, and represented 49% and 42%, respectively, of our total net revenues. In the five years prior to the acquisition of Ambrell, our net revenues from Multimarket ranged from 18% to 30% of our total net revenues.</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level of our net revenues in Multimarket varies significantly from market to market. During 2019 and 2018, our net revenues from the industrial market represented 35% and 27%, respectively, of our total net revenues, while our net revenues from the defense/aerospace market represented 8% and 6%, respectively, of our total net revenues and our net revenues from the telecommunications market represented 3% and 7%, respectively, of our total net revenues. The level of our net revenues in these markets has varied significantly in the past and we expect will vary significantly in the future as we build our presence in these markets and establish new markets for our products. One of our goals is to further expand our Multimarket sales; however, due to the highly specialized nature of many of our product offerings, we do not expect broad market penetration in many of these markets and therefore do not anticipate developing meaningful market shares in most of these markets. Consequently, we are continuing to evaluate buying patterns and opportunities for growth in these markets that may affect our performance.</w:t>
      </w:r>
    </w:p>
    <w:p>
      <w:pPr>
        <w:spacing w:after="0" w:line="16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the last several years, we have developed a meaningful market share in two markets outside of the Semi Market: the induction heating market for systems with 500KW or less of power (which is a subset of the industrial market) and the optical transceiver market (which is a subset of the telecommunications market). However, more recently, we have seen technological advances in the optical transceiver market that have significantly reduced the demand for the products we sell that are used to test and characterize these devices. Furthermore, as a result of the significant demand for equipment used to test optical transceivers over the last five years, we have a large installed base of test equipment within the optical transceiver market. The combination of these two factors effectively eliminated the optical transceiver market as a meaningful market for us in 2019 and going forward. In addition, in contrast to the Semi Market, where we serve a broad range of customers and where our business trends generally follow overall market trends within the Semi Market, in the industrial market, where induction heating products are used, and in the optical transceiver submarket, we only serve a limited number of market participants, which represent only a portion of these markets and, therefore, market trends in these areas do not have as material an impact on our financial results. The following discussion of our markets is, therefore, limited to the Semi Market.</w:t>
      </w:r>
    </w:p>
    <w:p>
      <w:pPr>
        <w:spacing w:after="0" w:line="18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578"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Semi Market</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noted above, the Semi Market includes both the broader semiconductor market as well as the more specialized semiconductor ATE and wafer processing sectors within the broader semiconductor market. Historically, the Semi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integrated circuits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Demand for new ATE and related equipment depends upon several factors, including the test equipment utilization rates of semiconductor manufacturers, the demand for products that incorporate ICs, the increasing complexity of ICs and the emergence of new IC design, production and packaging technologies. Some of the evolutionary changes in IC technologies included the shift to 300 mm wafers in production, system-on-a-chip (“SOC”) where digital, analog and memory functions are combined on a single IC, and chip scale packaging. As a result of these factors and other advances, semiconductor manufacturers may require additional ATE not only to handle increases in production but also to handle the more sophisticated testing requirements of 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Semiconductor manufacturers typically produce ICs in multiples of several hundred or more on a silicon wafer that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during test. Once the good ICs have been identified, they are packaged.</w:t>
      </w:r>
    </w:p>
    <w:p>
      <w:pPr>
        <w:spacing w:after="0" w:line="18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that is attached to the test head. These handlers may be temperature controlled for testing.</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back-end test are moved to front-end test.</w:t>
      </w:r>
    </w:p>
    <w:p>
      <w:pPr>
        <w:spacing w:after="0" w:line="16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20" w:top="584"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these higher standards, including SOC designs, are more complex and dense. These technology trends have significant implications for the IC testing process, including:</w:t>
      </w:r>
    </w:p>
    <w:p>
      <w:pPr>
        <w:spacing w:after="0" w:line="184" w:lineRule="exact"/>
        <w:rPr>
          <w:sz w:val="20"/>
          <w:szCs w:val="20"/>
          <w:color w:val="auto"/>
        </w:rPr>
      </w:pPr>
    </w:p>
    <w:p>
      <w:pPr>
        <w:ind w:left="800" w:hanging="32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test heads of higher complexity;</w:t>
      </w:r>
    </w:p>
    <w:p>
      <w:pPr>
        <w:spacing w:after="0" w:line="23" w:lineRule="exact"/>
        <w:rPr>
          <w:rFonts w:ascii="Arial" w:cs="Arial" w:eastAsia="Arial" w:hAnsi="Arial"/>
          <w:sz w:val="18"/>
          <w:szCs w:val="18"/>
          <w:color w:val="auto"/>
        </w:rPr>
      </w:pPr>
    </w:p>
    <w:p>
      <w:pPr>
        <w:ind w:left="800" w:hanging="32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signal densities;</w:t>
      </w:r>
    </w:p>
    <w:p>
      <w:pPr>
        <w:spacing w:after="0" w:line="9" w:lineRule="exact"/>
        <w:rPr>
          <w:rFonts w:ascii="Arial" w:cs="Arial" w:eastAsia="Arial" w:hAnsi="Arial"/>
          <w:sz w:val="18"/>
          <w:szCs w:val="18"/>
          <w:color w:val="auto"/>
        </w:rPr>
      </w:pPr>
    </w:p>
    <w:p>
      <w:pPr>
        <w:ind w:left="800" w:hanging="32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test speeds; and</w:t>
      </w:r>
    </w:p>
    <w:p>
      <w:pPr>
        <w:spacing w:after="0" w:line="9" w:lineRule="exact"/>
        <w:rPr>
          <w:rFonts w:ascii="Arial" w:cs="Arial" w:eastAsia="Arial" w:hAnsi="Arial"/>
          <w:sz w:val="18"/>
          <w:szCs w:val="18"/>
          <w:color w:val="auto"/>
        </w:rPr>
      </w:pPr>
    </w:p>
    <w:p>
      <w:pPr>
        <w:ind w:left="800" w:hanging="32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generation of testers for SOC and other technologies.</w:t>
      </w:r>
    </w:p>
    <w:p>
      <w:pPr>
        <w:spacing w:after="0" w:line="2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w:t>
      </w:r>
      <w:r>
        <w:rPr>
          <w:rFonts w:ascii="Arial" w:cs="Arial" w:eastAsia="Arial" w:hAnsi="Arial"/>
          <w:sz w:val="16"/>
          <w:szCs w:val="16"/>
          <w:i w:val="1"/>
          <w:iCs w:val="1"/>
          <w:color w:val="auto"/>
        </w:rPr>
        <w:t xml:space="preserve"> </w:t>
      </w:r>
      <w:r>
        <w:rPr>
          <w:rFonts w:ascii="Arial" w:cs="Arial" w:eastAsia="Arial" w:hAnsi="Arial"/>
          <w:sz w:val="16"/>
          <w:szCs w:val="16"/>
          <w:color w:val="auto"/>
        </w:rPr>
        <w:t>while 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wafer-level testing. Creating a uniform thermal profile over much larger wafer areas represents a significant engineering and design challenge for ATE manufacturers.</w:t>
      </w:r>
    </w:p>
    <w:p>
      <w:pPr>
        <w:spacing w:after="0" w:line="18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4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w:t>
      </w:r>
      <w:r>
        <w:rPr>
          <w:rFonts w:ascii="Arial" w:cs="Arial" w:eastAsia="Arial" w:hAnsi="Arial"/>
          <w:sz w:val="16"/>
          <w:szCs w:val="16"/>
          <w:i w:val="1"/>
          <w:iCs w:val="1"/>
          <w:color w:val="auto"/>
        </w:rPr>
        <w:t xml:space="preserve"> </w:t>
      </w:r>
      <w:r>
        <w:rPr>
          <w:rFonts w:ascii="Arial" w:cs="Arial" w:eastAsia="Arial" w:hAnsi="Arial"/>
          <w:sz w:val="16"/>
          <w:szCs w:val="16"/>
          <w:color w:val="auto"/>
        </w:rPr>
        <w:t>ways to streamline the testing process to make it more cost-effective, such as the trend to use massive parallel testing, in which semiconductor manufacturers test multiple ICs on the wafer simultaneously. We believe that this factor will lead to more front-end, wafer-level testing.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Semi Market and other markets that we serve, which we believe provide the following advantages:</w:t>
      </w:r>
    </w:p>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17"/>
          <w:szCs w:val="17"/>
          <w:i w:val="1"/>
          <w:iCs w:val="1"/>
          <w:color w:val="auto"/>
        </w:rPr>
        <w:t>Temperature-Controlled Testing</w:t>
      </w:r>
      <w:r>
        <w:rPr>
          <w:rFonts w:ascii="Arial" w:cs="Arial" w:eastAsia="Arial" w:hAnsi="Arial"/>
          <w:sz w:val="17"/>
          <w:szCs w:val="17"/>
          <w:color w:val="auto"/>
        </w:rPr>
        <w:t>. Our Thermostream</w:t>
      </w:r>
      <w:r>
        <w:rPr>
          <w:rFonts w:ascii="Arial" w:cs="Arial" w:eastAsia="Arial" w:hAnsi="Arial"/>
          <w:sz w:val="28"/>
          <w:szCs w:val="28"/>
          <w:color w:val="auto"/>
          <w:vertAlign w:val="superscript"/>
        </w:rPr>
        <w:t>(R)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used by manufacturers in a number of markets to stress test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significantly increased our product offerings in the area of temperature-controlled testing and enabled us to begin serving customers in other markets outside the Semi Market. Sigma's thermal platforms and temperature chambers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96"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i w:val="1"/>
          <w:iCs w:val="1"/>
          <w:color w:val="auto"/>
        </w:rPr>
        <w:t xml:space="preserve">Induction Heating. </w:t>
      </w:r>
      <w:r>
        <w:rPr>
          <w:rFonts w:ascii="Arial" w:cs="Arial" w:eastAsia="Arial" w:hAnsi="Arial"/>
          <w:sz w:val="16"/>
          <w:szCs w:val="16"/>
          <w:color w:val="auto"/>
        </w:rPr>
        <w:t>Our acquisition of Ambrell added induction heating capabilities to our product offerings, which can be used by customers in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applications where precision controlled heating is needed. Customers use our induction heating products in conjunction with other technologies in various manufacturing environments to improve production efficiencies. Applications for our EKOHEAT</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or EASYHEAT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induction heating products include annealing, bonding, brazing, curing, forging, heat treating, melting, shrink-fitting and testing.</w:t>
      </w:r>
    </w:p>
    <w:p>
      <w:pPr>
        <w:spacing w:after="0" w:line="1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i w:val="1"/>
          <w:iCs w:val="1"/>
          <w:color w:val="auto"/>
        </w:rPr>
        <w:t>Scalable, Universal, High Performance Interface Technology</w:t>
      </w:r>
      <w:r>
        <w:rPr>
          <w:rFonts w:ascii="Arial" w:cs="Arial" w:eastAsia="Arial" w:hAnsi="Arial"/>
          <w:sz w:val="17"/>
          <w:szCs w:val="17"/>
          <w:color w:val="auto"/>
        </w:rPr>
        <w:t>. Our universal test head manipulators provide a high degree of positioning flexibility</w:t>
      </w:r>
      <w:r>
        <w:rPr>
          <w:rFonts w:ascii="Arial" w:cs="Arial" w:eastAsia="Arial" w:hAnsi="Arial"/>
          <w:sz w:val="17"/>
          <w:szCs w:val="17"/>
          <w:i w:val="1"/>
          <w:iCs w:val="1"/>
          <w:color w:val="auto"/>
        </w:rPr>
        <w:t xml:space="preserve"> </w:t>
      </w:r>
      <w:r>
        <w:rPr>
          <w:rFonts w:ascii="Arial" w:cs="Arial" w:eastAsia="Arial" w:hAnsi="Arial"/>
          <w:sz w:val="17"/>
          <w:szCs w:val="17"/>
          <w:color w:val="auto"/>
        </w:rPr>
        <w:t>with a minimum amount of effort. As a result, our products can be used in virtually any test setting. Our manipulator products are designed to accommodate the increased size of test heads. Our docking hardware products offer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Compatibility and Integration</w:t>
      </w:r>
      <w:r>
        <w:rPr>
          <w:rFonts w:ascii="Arial" w:cs="Arial" w:eastAsia="Arial" w:hAnsi="Arial"/>
          <w:sz w:val="18"/>
          <w:szCs w:val="18"/>
          <w:color w:val="auto"/>
        </w:rPr>
        <w:t>. A hallmark of our products has been, and continues to be, compatibility with a wide variety of ATE. Our manipulator</w:t>
      </w:r>
      <w:r>
        <w:rPr>
          <w:rFonts w:ascii="Arial" w:cs="Arial" w:eastAsia="Arial" w:hAnsi="Arial"/>
          <w:sz w:val="18"/>
          <w:szCs w:val="18"/>
          <w:i w:val="1"/>
          <w:iCs w:val="1"/>
          <w:color w:val="auto"/>
        </w:rPr>
        <w:t xml:space="preserve"> </w:t>
      </w:r>
      <w:r>
        <w:rPr>
          <w:rFonts w:ascii="Arial" w:cs="Arial" w:eastAsia="Arial" w:hAnsi="Arial"/>
          <w:sz w:val="18"/>
          <w:szCs w:val="18"/>
          <w:color w:val="auto"/>
        </w:rPr>
        <w:t>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Worldwide Customer Service and Support</w:t>
      </w:r>
      <w:r>
        <w:rPr>
          <w:rFonts w:ascii="Arial" w:cs="Arial" w:eastAsia="Arial" w:hAnsi="Arial"/>
          <w:sz w:val="17"/>
          <w:szCs w:val="17"/>
          <w:color w:val="auto"/>
        </w:rPr>
        <w:t>. We have long recognized the need to maintain a physical presence near our customers' facilities.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we had domestic manufacturing facilities in California, Massachusetts, New Jersey and New York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remain committed to our goals of being recognized in our markets as the designer and manufacturer of the highest quality and most cost-effective products and becoming the key supplier of all of our customers' product needs. Our strategies to achieve these goals include the following:</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Pursuing Revenue Growth Opportunities Outside the Semi Market. </w:t>
      </w:r>
      <w:r>
        <w:rPr>
          <w:rFonts w:ascii="Arial" w:cs="Arial" w:eastAsia="Arial" w:hAnsi="Arial"/>
          <w:sz w:val="18"/>
          <w:szCs w:val="18"/>
          <w:color w:val="auto"/>
        </w:rPr>
        <w:t>A key element of our growth strategy is to pursue revenue growth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Multimarket, which includes the automotive, defense/aerospace, energy, industrial and telecommunications markets. We believe that we may be able to reduce some of the cyclicality that we have historically experienced by further diversifying our revenue streams outside the Semi Market. We see the most potential for this within our Thermal segment. During 2019 and 2018, approximately $29.7 million, or 49%, and $33.2 million, or 42%, respectively, of our total net revenues were derived from Multimarket, as noted above. These revenues were all generated by our Thermal segment. We cannot determine at this time whether we will be successful in building our sales in Multimarket or what the growth rate of our sales in Multimarket will be in future periods.</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Pursuing Synergistic Acquisitions</w:t>
      </w:r>
      <w:r>
        <w:rPr>
          <w:rFonts w:ascii="Arial" w:cs="Arial" w:eastAsia="Arial" w:hAnsi="Arial"/>
          <w:sz w:val="18"/>
          <w:szCs w:val="18"/>
          <w:color w:val="auto"/>
        </w:rPr>
        <w:t>. Another element of our growth strategy has been to acquire businesses, technologies or products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complementary to our current product offerings. Since our initial public offering, we have acquired several businesses that have enabled us to expand our line of product offerings and have given us the opportunity to market a broader range of products to our customer base. In particular, the acquisitions of Temptronic in 2000, Sigma in 2008, Thermonics in 2012 and Ambrell in 2017 have provided access to markets that are less sensitive to cyclicality than the Semi Market. We seek to make acquisitions that will further expand our product lines as well as increase our exposure to markets outside of the Semi Market.</w:t>
      </w:r>
    </w:p>
    <w:p>
      <w:pPr>
        <w:spacing w:after="0" w:line="19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w:t>
      </w:r>
      <w:r>
        <w:rPr>
          <w:rFonts w:ascii="Arial" w:cs="Arial" w:eastAsia="Arial" w:hAnsi="Arial"/>
          <w:sz w:val="16"/>
          <w:szCs w:val="16"/>
          <w:i w:val="1"/>
          <w:iCs w:val="1"/>
          <w:color w:val="auto"/>
        </w:rPr>
        <w:t xml:space="preserve"> </w:t>
      </w:r>
      <w:r>
        <w:rPr>
          <w:rFonts w:ascii="Arial" w:cs="Arial" w:eastAsia="Arial" w:hAnsi="Arial"/>
          <w:sz w:val="16"/>
          <w:szCs w:val="16"/>
          <w:color w:val="auto"/>
        </w:rPr>
        <w:t>docking 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 Engineering is also at the heart of the Thermal segment where customers often return to inTEST with their next thermal challenge. We work to solidify relationships with customers that have demanding specifications, whether it be thermal testing at temperature extremes for aerospace application or delivering precise heating for efficient industrial processes, for example. We believe that with our consistent demonstration of solutions from proof of concept to manufactured products with required specifications, we can continue to strengthen our customer relationships.</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Maintaining Our International Presence</w:t>
      </w:r>
      <w:r>
        <w:rPr>
          <w:rFonts w:ascii="Arial" w:cs="Arial" w:eastAsia="Arial" w:hAnsi="Arial"/>
          <w:sz w:val="18"/>
          <w:szCs w:val="18"/>
          <w:color w:val="auto"/>
        </w:rPr>
        <w:t>. Our existing and potential customers are concentrated in certain regions throughout the world.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must maintain a presence in the markets in which our customers operate. We currently have offices in the U.S., Germany, Singapore and the Netherlands.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Controlling Costs. </w:t>
      </w:r>
      <w:r>
        <w:rPr>
          <w:rFonts w:ascii="Arial" w:cs="Arial" w:eastAsia="Arial" w:hAnsi="Arial"/>
          <w:sz w:val="18"/>
          <w:szCs w:val="18"/>
          <w:color w:val="auto"/>
        </w:rPr>
        <w:t>At the same time as we are pursuing growth opportunities, we will seek ways to more aggressively streamline our cost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so that we are positioned to offer products at prices that provide the margin for a reasonable profit as well as the resources for continual product development.</w:t>
      </w:r>
    </w:p>
    <w:p>
      <w:pPr>
        <w:spacing w:after="0" w:line="1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noted above, we have two operating segments, Thermal and EMS, which are also our reporting units. Our Thermal segment consists of (i) inTEST Thermal Solutions (“iTS”), which manufactures and sells products under the Temptronic, Sigma and Thermonics brand names, and (ii) Ambrell. iTS has operations in Massachusetts, Germany and Singapore. Ambrell has operations in New York, the Netherlands and the U.K. Customers use the thermal solutions produced by iTS for product development, characterization and production test or process applications. Ambrell provides customers with induction heating system solutions for conditioning, joining, and forming conductive materials in the manufacturing process. Our Thermal segment provides these solutions across an array of markets including automotive, defense/aerospace, energy, industrial, semiconductor and telecommunications.</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EMS segment consists of our manufacturing operations in New Jersey and California. Semiconductor manufacturers use our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defense/aerospace, energy, industrial and telecommunications markets. We custom design most of our products for each customer's particular combination of 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right="40"/>
        <w:spacing w:after="0" w:line="207" w:lineRule="auto"/>
        <w:rPr>
          <w:sz w:val="20"/>
          <w:szCs w:val="20"/>
          <w:color w:val="auto"/>
        </w:rPr>
      </w:pPr>
      <w:r>
        <w:rPr>
          <w:rFonts w:ascii="Arial" w:cs="Arial" w:eastAsia="Arial" w:hAnsi="Arial"/>
          <w:sz w:val="16"/>
          <w:szCs w:val="16"/>
          <w:i w:val="1"/>
          <w:iCs w:val="1"/>
          <w:color w:val="auto"/>
        </w:rPr>
        <w:t>ThermoStream</w:t>
      </w:r>
      <w:r>
        <w:rPr>
          <w:rFonts w:ascii="Arial" w:cs="Arial" w:eastAsia="Arial" w:hAnsi="Arial"/>
          <w:sz w:val="26"/>
          <w:szCs w:val="26"/>
          <w:i w:val="1"/>
          <w:iCs w:val="1"/>
          <w:color w:val="auto"/>
          <w:vertAlign w:val="superscript"/>
        </w:rPr>
        <w:t>(R)</w:t>
      </w:r>
      <w:r>
        <w:rPr>
          <w:rFonts w:ascii="Arial" w:cs="Arial" w:eastAsia="Arial" w:hAnsi="Arial"/>
          <w:sz w:val="16"/>
          <w:szCs w:val="16"/>
          <w:i w:val="1"/>
          <w:iCs w:val="1"/>
          <w:color w:val="auto"/>
        </w:rPr>
        <w:t xml:space="preserve"> Products</w:t>
      </w:r>
      <w:r>
        <w:rPr>
          <w:rFonts w:ascii="Arial" w:cs="Arial" w:eastAsia="Arial" w:hAnsi="Arial"/>
          <w:sz w:val="16"/>
          <w:szCs w:val="16"/>
          <w:color w:val="auto"/>
        </w:rPr>
        <w:t>: Our ThermoStream</w:t>
      </w:r>
      <w:r>
        <w:rPr>
          <w:rFonts w:ascii="Arial" w:cs="Arial" w:eastAsia="Arial" w:hAnsi="Arial"/>
          <w:sz w:val="26"/>
          <w:szCs w:val="26"/>
          <w:color w:val="auto"/>
          <w:vertAlign w:val="superscript"/>
        </w:rPr>
        <w:t>(R)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used in the Semi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provide a source of heated and cooled air that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provide a temperature-controlled air stream to rapidly change and stabilize the temperature of packaged ICs and other devices.</w:t>
      </w:r>
    </w:p>
    <w:p>
      <w:pPr>
        <w:spacing w:after="0" w:line="205"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Our MobileTemp Series combines our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 Market and have found application in the automotive, electronic, fiber optic and oil field service markets testing such things as electronic sub-assemblies, sensor assemblies, and printed circuit boards.</w:t>
      </w:r>
    </w:p>
    <w:p>
      <w:pPr>
        <w:spacing w:after="0" w:line="197" w:lineRule="exact"/>
        <w:rPr>
          <w:sz w:val="20"/>
          <w:szCs w:val="20"/>
          <w:color w:val="auto"/>
        </w:rPr>
      </w:pPr>
    </w:p>
    <w:p>
      <w:pPr>
        <w:ind w:right="20"/>
        <w:spacing w:after="0" w:line="189" w:lineRule="auto"/>
        <w:rPr>
          <w:sz w:val="20"/>
          <w:szCs w:val="20"/>
          <w:color w:val="auto"/>
        </w:rPr>
      </w:pPr>
      <w:r>
        <w:rPr>
          <w:rFonts w:ascii="Arial" w:cs="Arial" w:eastAsia="Arial" w:hAnsi="Arial"/>
          <w:sz w:val="17"/>
          <w:szCs w:val="17"/>
          <w:color w:val="auto"/>
        </w:rPr>
        <w:t>Traditionally, our customers used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primarily in engineering, quality assurance and small-run manufacturing environments. However, increasingly, our customers use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products in longer-run production applications. ThermoStream</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and MobileTemp products range in price from approximately $15,000 to $50,000.</w:t>
      </w:r>
    </w:p>
    <w:p>
      <w:pPr>
        <w:spacing w:after="0" w:line="20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w:t>
      </w:r>
      <w:r>
        <w:rPr>
          <w:rFonts w:ascii="Arial" w:cs="Arial" w:eastAsia="Arial" w:hAnsi="Arial"/>
          <w:sz w:val="16"/>
          <w:szCs w:val="16"/>
          <w:i w:val="1"/>
          <w:iCs w:val="1"/>
          <w:color w:val="auto"/>
        </w:rPr>
        <w:t xml:space="preserve"> </w:t>
      </w:r>
      <w:r>
        <w:rPr>
          <w:rFonts w:ascii="Arial" w:cs="Arial" w:eastAsia="Arial" w:hAnsi="Arial"/>
          <w:sz w:val="16"/>
          <w:szCs w:val="16"/>
          <w:color w:val="auto"/>
        </w:rPr>
        <w:t>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616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61" w:lineRule="exact"/>
        <w:rPr>
          <w:sz w:val="20"/>
          <w:szCs w:val="20"/>
          <w:color w:val="auto"/>
        </w:rPr>
      </w:pPr>
    </w:p>
    <w:p>
      <w:pPr>
        <w:ind w:right="140"/>
        <w:spacing w:after="0" w:line="212" w:lineRule="auto"/>
        <w:rPr>
          <w:sz w:val="20"/>
          <w:szCs w:val="20"/>
          <w:color w:val="auto"/>
        </w:rPr>
      </w:pPr>
      <w:r>
        <w:rPr>
          <w:rFonts w:ascii="Arial" w:cs="Arial" w:eastAsia="Arial" w:hAnsi="Arial"/>
          <w:sz w:val="18"/>
          <w:szCs w:val="18"/>
          <w:i w:val="1"/>
          <w:iCs w:val="1"/>
          <w:color w:val="auto"/>
        </w:rPr>
        <w:t>Thermonics</w:t>
      </w:r>
      <w:r>
        <w:rPr>
          <w:rFonts w:ascii="Arial" w:cs="Arial" w:eastAsia="Arial" w:hAnsi="Arial"/>
          <w:sz w:val="29"/>
          <w:szCs w:val="29"/>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Thermonics temperature conditioning products provide tempered gas or fluid to enable customers to maintain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conditions within their tool or process. Applications include general industrial, chemical processing, energy, electronics, automotive, defense/aerospace and semiconductor markets. Prices range from $20,000 to greater than $230,000.</w:t>
      </w:r>
    </w:p>
    <w:p>
      <w:pPr>
        <w:spacing w:after="0" w:line="204" w:lineRule="exact"/>
        <w:rPr>
          <w:sz w:val="20"/>
          <w:szCs w:val="20"/>
          <w:color w:val="auto"/>
        </w:rPr>
      </w:pPr>
    </w:p>
    <w:p>
      <w:pPr>
        <w:ind w:right="120"/>
        <w:spacing w:after="0" w:line="212" w:lineRule="auto"/>
        <w:rPr>
          <w:sz w:val="20"/>
          <w:szCs w:val="20"/>
          <w:color w:val="auto"/>
        </w:rPr>
      </w:pPr>
      <w:r>
        <w:rPr>
          <w:rFonts w:ascii="Arial" w:cs="Arial" w:eastAsia="Arial" w:hAnsi="Arial"/>
          <w:sz w:val="18"/>
          <w:szCs w:val="18"/>
          <w:i w:val="1"/>
          <w:iCs w:val="1"/>
          <w:color w:val="auto"/>
        </w:rPr>
        <w:t>EKOHEAT</w:t>
      </w:r>
      <w:r>
        <w:rPr>
          <w:rFonts w:ascii="Arial" w:cs="Arial" w:eastAsia="Arial" w:hAnsi="Arial"/>
          <w:sz w:val="29"/>
          <w:szCs w:val="29"/>
          <w:i w:val="1"/>
          <w:iCs w:val="1"/>
          <w:color w:val="auto"/>
          <w:vertAlign w:val="superscript"/>
        </w:rPr>
        <w:t>(R)</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EKOHEAT</w:t>
      </w:r>
      <w:r>
        <w:rPr>
          <w:rFonts w:ascii="Arial" w:cs="Arial" w:eastAsia="Arial" w:hAnsi="Arial"/>
          <w:sz w:val="29"/>
          <w:szCs w:val="29"/>
          <w:color w:val="auto"/>
          <w:vertAlign w:val="superscript"/>
        </w:rPr>
        <w:t>(R)</w:t>
      </w:r>
      <w:r>
        <w:rPr>
          <w:rFonts w:ascii="Arial" w:cs="Arial" w:eastAsia="Arial" w:hAnsi="Arial"/>
          <w:sz w:val="18"/>
          <w:szCs w:val="18"/>
          <w:i w:val="1"/>
          <w:iCs w:val="1"/>
          <w:color w:val="auto"/>
        </w:rPr>
        <w:t xml:space="preserve"> </w:t>
      </w:r>
      <w:r>
        <w:rPr>
          <w:rFonts w:ascii="Arial" w:cs="Arial" w:eastAsia="Arial" w:hAnsi="Arial"/>
          <w:sz w:val="18"/>
          <w:szCs w:val="18"/>
          <w:color w:val="auto"/>
        </w:rPr>
        <w:t>induction heating systems with power ratings from 10KW to 500KW are manufactured by Ambrell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used to conduct fast, efficient, repeatable non-contact heating of metals or other electrically conductive materials in order to transform raw materials into finished parts. Prices range from $25,000 to $250,000.</w:t>
      </w:r>
    </w:p>
    <w:p>
      <w:pPr>
        <w:spacing w:after="0" w:line="20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8" w:name="page9"/>
    <w:bookmarkEnd w:id="8"/>
    <w:p>
      <w:pPr>
        <w:ind w:right="180"/>
        <w:spacing w:after="0" w:line="263" w:lineRule="auto"/>
        <w:rPr>
          <w:sz w:val="20"/>
          <w:szCs w:val="20"/>
          <w:color w:val="auto"/>
        </w:rPr>
      </w:pPr>
      <w:r>
        <w:rPr>
          <w:rFonts w:ascii="Arial" w:cs="Arial" w:eastAsia="Arial" w:hAnsi="Arial"/>
          <w:sz w:val="18"/>
          <w:szCs w:val="18"/>
          <w:i w:val="1"/>
          <w:iCs w:val="1"/>
          <w:color w:val="auto"/>
        </w:rPr>
        <w:t xml:space="preserve">EASYHEAT™ Products: </w:t>
      </w:r>
      <w:r>
        <w:rPr>
          <w:rFonts w:ascii="Arial" w:cs="Arial" w:eastAsia="Arial" w:hAnsi="Arial"/>
          <w:sz w:val="18"/>
          <w:szCs w:val="18"/>
          <w:color w:val="auto"/>
        </w:rPr>
        <w:t>Our compact EASYHEAT™ induction heating systems with power ratings from 1KW to 10KW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Ambrell are used to conduct fast, efficient, repeatable non-contact heating of metals or other electrically conductive materials in order to transform raw materials into finished parts. Prices range from $5,000 to $25,000.</w:t>
      </w:r>
    </w:p>
    <w:p>
      <w:pPr>
        <w:spacing w:after="0" w:line="184" w:lineRule="exact"/>
        <w:rPr>
          <w:sz w:val="20"/>
          <w:szCs w:val="20"/>
          <w:color w:val="auto"/>
        </w:rPr>
      </w:pPr>
    </w:p>
    <w:p>
      <w:pPr>
        <w:ind w:right="540"/>
        <w:spacing w:after="0" w:line="198" w:lineRule="auto"/>
        <w:rPr>
          <w:sz w:val="20"/>
          <w:szCs w:val="20"/>
          <w:color w:val="auto"/>
        </w:rPr>
      </w:pPr>
      <w:r>
        <w:rPr>
          <w:rFonts w:ascii="Arial" w:cs="Arial" w:eastAsia="Arial" w:hAnsi="Arial"/>
          <w:sz w:val="18"/>
          <w:szCs w:val="18"/>
          <w:color w:val="auto"/>
        </w:rPr>
        <w:t>Applications for both EKOHEAT</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and EASYHEAT™ products include annealing, bonding, brazing, curing, forging, heat treating, melting, shrink-fitting, soldering and testing.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EMS Products</w:t>
      </w:r>
    </w:p>
    <w:p>
      <w:pPr>
        <w:spacing w:after="0" w:line="225"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three lines of manipulator products: the in2</w:t>
      </w:r>
      <w:r>
        <w:rPr>
          <w:rFonts w:ascii="Arial" w:cs="Arial" w:eastAsia="Arial" w:hAnsi="Arial"/>
          <w:sz w:val="29"/>
          <w:szCs w:val="29"/>
          <w:color w:val="auto"/>
          <w:vertAlign w:val="superscript"/>
        </w:rPr>
        <w:t>(R)</w:t>
      </w:r>
      <w:r>
        <w:rPr>
          <w:rFonts w:ascii="Arial" w:cs="Arial" w:eastAsia="Arial" w:hAnsi="Arial"/>
          <w:sz w:val="18"/>
          <w:szCs w:val="18"/>
          <w:color w:val="auto"/>
        </w:rPr>
        <w:t>, the Cobal and the recently introduced LS Series. These free-standing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manipulators can hold a variety of test heads and enable an operator to reposition a test head for alternate use with any one of several probers or handlers on a test floor.</w:t>
      </w:r>
    </w:p>
    <w:p>
      <w:pPr>
        <w:spacing w:after="0" w:line="20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manipulator products incorporate a balanced floating-head design. This design permits a test head weighing up to 1,760 pounds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or Cobal Series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pendant. Our manipulator products range in price from approximately $12,000 to $75,000.</w:t>
      </w:r>
    </w:p>
    <w:p>
      <w:pPr>
        <w:spacing w:after="0" w:line="18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Docking Hardware Products</w:t>
      </w:r>
      <w:r>
        <w:rPr>
          <w:rFonts w:ascii="Arial" w:cs="Arial" w:eastAsia="Arial" w:hAnsi="Arial"/>
          <w:sz w:val="17"/>
          <w:szCs w:val="17"/>
          <w:color w:val="auto"/>
        </w:rPr>
        <w:t>. We offer two lines of docking hardware products: fixed manual docking and IntelliDock pin and cup docking. Both</w:t>
      </w:r>
      <w:r>
        <w:rPr>
          <w:rFonts w:ascii="Arial" w:cs="Arial" w:eastAsia="Arial" w:hAnsi="Arial"/>
          <w:sz w:val="17"/>
          <w:szCs w:val="17"/>
          <w:i w:val="1"/>
          <w:iCs w:val="1"/>
          <w:color w:val="auto"/>
        </w:rPr>
        <w:t xml:space="preserve"> </w:t>
      </w:r>
      <w:r>
        <w:rPr>
          <w:rFonts w:ascii="Arial" w:cs="Arial" w:eastAsia="Arial" w:hAnsi="Arial"/>
          <w:sz w:val="17"/>
          <w:szCs w:val="17"/>
          <w:color w:val="auto"/>
        </w:rPr>
        <w:t>types 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and when coupled with the LS Series manipulator, redeployment of the test head can be done automatically and accurately via the computer pendant. Both types of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spacing w:after="0" w:line="18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Interface Products</w:t>
      </w:r>
      <w:r>
        <w:rPr>
          <w:rFonts w:ascii="Arial" w:cs="Arial" w:eastAsia="Arial" w:hAnsi="Arial"/>
          <w:sz w:val="16"/>
          <w:szCs w:val="16"/>
          <w:color w:val="auto"/>
        </w:rPr>
        <w:t>. Our tester interface products provide the electrical connections between the tester and the wafer prober or IC handler to carry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modular interface is designed to provide flexibility and scalability through the use of replaceable signal modules which can be easily changed on the test floor as our customers' testing requirements change. In addition to the Centaur</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modular interface, we also offer over 200 different types of tester interface models that we custom designed for our customers' specific applications. These tester interface products range in price from approximately $7,000 to $110,000.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Information About Operating Segments and Geographic Areas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Please see Note 15 to the consolidated financial statements included in Item 8 of this Report on Form 10-K for additional data regarding net revenues, profit or loss and total assets of each of our segments and revenues attributable to foreign countries.</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market and sell our products primarily in markets where semiconductors are manufactured.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 We have been providing a greater number of engineered solutions to markets outside the Semi Market. These are thermal-based solutions that fall into the categories of test and process, involving automotive, defense/aerospace, energy, industrial and telecommunications markets.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Thermal Products</w:t>
      </w:r>
      <w:r>
        <w:rPr>
          <w:rFonts w:ascii="Arial" w:cs="Arial" w:eastAsia="Arial" w:hAnsi="Arial"/>
          <w:sz w:val="16"/>
          <w:szCs w:val="16"/>
          <w:color w:val="auto"/>
        </w:rPr>
        <w:t>: We market our thermal products brands, Temptronic, Sigma and Thermonics, under the umbrella name of inTEST Thermal</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visit our distributors regularly and have trained them to sell and service our thermal products.</w:t>
      </w:r>
    </w:p>
    <w:p>
      <w:pPr>
        <w:spacing w:after="0" w:line="16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We market our EASYHEAT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EKOHEAT</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precision induction heating equipment to manufacturers who require specialized industrial heating in a wide array of industries, including automotive, aerospace and semiconductor, and are sold globally through a combination of regional sales managers, independent sales representatives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w:t>
      </w:r>
    </w:p>
    <w:p>
      <w:pPr>
        <w:spacing w:after="0" w:line="20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Europe and Asia have factory-trained service technicians.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EMS Products</w:t>
      </w:r>
      <w:r>
        <w:rPr>
          <w:rFonts w:ascii="Arial" w:cs="Arial" w:eastAsia="Arial" w:hAnsi="Arial"/>
          <w:sz w:val="16"/>
          <w:szCs w:val="16"/>
          <w:color w:val="auto"/>
        </w:rPr>
        <w:t>: In North America, we sell to semiconductor manufacturers principally through independent, commissioned sales representatives.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North American sales representatives also coordinate product installation and support with our technical staff and participate in trade shows.</w:t>
      </w:r>
    </w:p>
    <w:p>
      <w:pPr>
        <w:spacing w:after="0" w:line="22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providers, as well as to original equipment manufacturers ("OEMs"), which include ATE manufacturers and their third-party outsource manufacturing partners. In the case of thermal products, we also market our products to independent testers of semiconductors, manufacturers of automotive, defense/aerospace, energy, industrial and telecommunications products, semiconductor research facilities, and manufacturers and manufacturing process integrators for a variety of industrial process applications. Our customers use our products principally in production testing or process/manufacturing applications, although our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traditionally have been used largely in engineering development and quality assurance. We believe that we sell to most of the major semiconductor manufacturers in the world.</w:t>
      </w:r>
    </w:p>
    <w:p>
      <w:pPr>
        <w:spacing w:after="0" w:line="17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0" w:name="page11"/>
    <w:bookmarkEnd w:id="10"/>
    <w:p>
      <w:pPr>
        <w:ind w:right="40"/>
        <w:spacing w:after="0" w:line="275" w:lineRule="auto"/>
        <w:rPr>
          <w:sz w:val="20"/>
          <w:szCs w:val="20"/>
          <w:color w:val="auto"/>
        </w:rPr>
      </w:pPr>
      <w:r>
        <w:rPr>
          <w:rFonts w:ascii="Arial" w:cs="Arial" w:eastAsia="Arial" w:hAnsi="Arial"/>
          <w:sz w:val="17"/>
          <w:szCs w:val="17"/>
          <w:color w:val="auto"/>
        </w:rPr>
        <w:t>During the years ended December 31, 2019 and 2018, Texas Instruments Incorporated accounted for 10% and 11% of our consolidated net revenues, respectively. While both of our operating segments sold products to this customer, these revenues were primarily generated by our EMS segment. Our ten largest customers accounted for approximately 34% and 40% of our consolidated net revenues in 2019 and 2018,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Our largest customers in 2019 include:</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1"/>
        </w:trPr>
        <w:tc>
          <w:tcPr>
            <w:tcW w:w="2360" w:type="dxa"/>
            <w:vAlign w:val="bottom"/>
          </w:tcPr>
          <w:p>
            <w:pPr>
              <w:spacing w:after="0"/>
              <w:rPr>
                <w:sz w:val="20"/>
                <w:szCs w:val="20"/>
                <w:color w:val="auto"/>
              </w:rPr>
            </w:pPr>
            <w:r>
              <w:rPr>
                <w:rFonts w:ascii="Arial" w:cs="Arial" w:eastAsia="Arial" w:hAnsi="Arial"/>
                <w:sz w:val="18"/>
                <w:szCs w:val="18"/>
                <w:b w:val="1"/>
                <w:bCs w:val="1"/>
                <w:color w:val="auto"/>
                <w:w w:val="89"/>
              </w:rPr>
              <w:t>Semiconductor Manufacturers</w:t>
            </w:r>
          </w:p>
        </w:tc>
        <w:tc>
          <w:tcPr>
            <w:tcW w:w="760" w:type="dxa"/>
            <w:vAlign w:val="bottom"/>
          </w:tcPr>
          <w:p>
            <w:pPr>
              <w:spacing w:after="0"/>
              <w:rPr>
                <w:sz w:val="24"/>
                <w:szCs w:val="24"/>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w w:val="93"/>
              </w:rPr>
              <w:t>ATE Manufacturers</w:t>
            </w:r>
          </w:p>
        </w:tc>
        <w:tc>
          <w:tcPr>
            <w:tcW w:w="86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r>
      <w:tr>
        <w:trPr>
          <w:trHeight w:val="20"/>
        </w:trPr>
        <w:tc>
          <w:tcPr>
            <w:tcW w:w="2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2"/>
        </w:trPr>
        <w:tc>
          <w:tcPr>
            <w:tcW w:w="2360" w:type="dxa"/>
            <w:vAlign w:val="bottom"/>
          </w:tcPr>
          <w:p>
            <w:pPr>
              <w:spacing w:after="0"/>
              <w:rPr>
                <w:sz w:val="20"/>
                <w:szCs w:val="20"/>
                <w:color w:val="auto"/>
              </w:rPr>
            </w:pPr>
            <w:r>
              <w:rPr>
                <w:rFonts w:ascii="Arial" w:cs="Arial" w:eastAsia="Arial" w:hAnsi="Arial"/>
                <w:sz w:val="18"/>
                <w:szCs w:val="18"/>
                <w:color w:val="auto"/>
              </w:rPr>
              <w:t>Aixtron SE</w:t>
            </w:r>
          </w:p>
        </w:tc>
        <w:tc>
          <w:tcPr>
            <w:tcW w:w="760" w:type="dxa"/>
            <w:vAlign w:val="bottom"/>
          </w:tcPr>
          <w:p>
            <w:pPr>
              <w:spacing w:after="0"/>
              <w:rPr>
                <w:sz w:val="19"/>
                <w:szCs w:val="19"/>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color w:val="auto"/>
              </w:rPr>
              <w:t>Cohu, Inc.</w:t>
            </w:r>
          </w:p>
        </w:tc>
        <w:tc>
          <w:tcPr>
            <w:tcW w:w="86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9"/>
              </w:rPr>
              <w:t>Emerson Electric Co.</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1880" w:type="dxa"/>
            <w:vAlign w:val="bottom"/>
            <w:gridSpan w:val="2"/>
          </w:tcPr>
          <w:p>
            <w:pPr>
              <w:ind w:left="320"/>
              <w:spacing w:after="0"/>
              <w:rPr>
                <w:sz w:val="20"/>
                <w:szCs w:val="20"/>
                <w:color w:val="auto"/>
              </w:rPr>
            </w:pPr>
            <w:r>
              <w:rPr>
                <w:rFonts w:ascii="Arial" w:cs="Arial" w:eastAsia="Arial" w:hAnsi="Arial"/>
                <w:sz w:val="18"/>
                <w:szCs w:val="18"/>
                <w:color w:val="auto"/>
              </w:rPr>
              <w:t>Teradyne, Inc.</w:t>
            </w:r>
          </w:p>
        </w:tc>
        <w:tc>
          <w:tcPr>
            <w:tcW w:w="8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Hakuto Co. Ltd.</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NXP Semiconductors N.V.</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5"/>
              </w:rPr>
              <w:t>Raytheon Company</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Siemens AG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December 31, 2019, our principal manufacturing operations consisted of assembly and testing at our facilities in California, Massachusetts, New Jersey and New York.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We believe, however, that all materials and components are available in adequate amounts from other sources, although from time to time, certain components may be in short supply because of high demand or the inability of some vendors to consistently meet our quality or delivery requirements. We expect the coronavirus pandemic will impact our supply chain in the coming months and may cause delays in receipt of materials needed to manufacture our products. Additionally, as discussed above, since March 17, 2020, a number of states in the U.S., including all of the states in which we have manufacturing facilities, have instituted ‘shelter-in place’ orders as well as provided guidance in response to the pandemic and the need to contain it. We are carefully reviewing all rules, regulations, and orders and responding accordingly. On March 17, 2020, we temporarily shut down our EMS manufacturing facility in Fremont, California. As of the date of this filing, all of our other manufacturing facilities remain open.</w:t>
      </w:r>
    </w:p>
    <w:p>
      <w:pPr>
        <w:spacing w:after="0" w:line="16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Massachusetts facility is ISO 9001:2015 certified. Our New York facility is ISO 9001:2015 certified. Our New Jersey and California facilities manufacture products only for the semiconductor industry where ISO certification is not required. However, these locations do employ the practices embodied in the ISO 9001:2008.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success depends on our ability to provide our customers with products and solutions that are well engineered and to design those products and solutions before, or at least no later than, our competitors. As of December 31, 2019, we employed a total of 43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spent approximately $5.0 million in 2019 and $4.9 million in 2018 on engineering and product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policy is to protect our technology by filing patent applications for the technologies that we consider important to our business. We also rely on trademarks, trade secrets, copyrights and unpatented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1" w:name="page12"/>
    <w:bookmarkEnd w:id="11"/>
    <w:p>
      <w:pPr>
        <w:ind w:right="20"/>
        <w:spacing w:after="0" w:line="257" w:lineRule="auto"/>
        <w:rPr>
          <w:sz w:val="20"/>
          <w:szCs w:val="20"/>
          <w:color w:val="auto"/>
        </w:rPr>
      </w:pPr>
      <w:r>
        <w:rPr>
          <w:rFonts w:ascii="Arial" w:cs="Arial" w:eastAsia="Arial" w:hAnsi="Arial"/>
          <w:sz w:val="18"/>
          <w:szCs w:val="18"/>
          <w:color w:val="auto"/>
        </w:rPr>
        <w:t>As of December 31, 2019, we held 64 active U.S. patents and had four pending U.S. patent applications covering various aspects of our technology. Our U.S. patents expire at various times beginning in 2020 and extending through 2034. During 2019, one U.S. patent was issued and we had eight U.S. patents expire. We do not believe that the upcoming expiration of certain of our patents in 2020 will have a material impact on our business. We also hold foreign patents and file foreign patent applications, in selected cases corresponding to our U.S. patents and patent applications, to the extent management deems appropriate.</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the "Risk Factors" section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operate in an increasingly competitive environment within both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88" w:lineRule="exact"/>
        <w:rPr>
          <w:sz w:val="20"/>
          <w:szCs w:val="20"/>
          <w:color w:val="auto"/>
        </w:rPr>
      </w:pPr>
    </w:p>
    <w:p>
      <w:pPr>
        <w:ind w:right="140"/>
        <w:spacing w:after="0" w:line="218" w:lineRule="auto"/>
        <w:rPr>
          <w:sz w:val="20"/>
          <w:szCs w:val="20"/>
          <w:color w:val="auto"/>
        </w:rPr>
      </w:pPr>
      <w:r>
        <w:rPr>
          <w:rFonts w:ascii="Arial" w:cs="Arial" w:eastAsia="Arial" w:hAnsi="Arial"/>
          <w:sz w:val="16"/>
          <w:szCs w:val="16"/>
          <w:color w:val="auto"/>
        </w:rPr>
        <w:t>Our principal competitors for Thermostream</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products are FTS Systems, a part of SP Industries, and MPI Corporation. Our principal competitors for environmental chambers are Cincinnati Sub-Zero Products, Inc., Espec Corp. and Thermotron Industries. Our principal competitor for thermal platforms is Environmental Stress Systems Inc. Our principal competitors for EKOHEAT</w:t>
      </w:r>
      <w:r>
        <w:rPr>
          <w:rFonts w:ascii="Arial" w:cs="Arial" w:eastAsia="Arial" w:hAnsi="Arial"/>
          <w:sz w:val="26"/>
          <w:szCs w:val="26"/>
          <w:color w:val="auto"/>
          <w:vertAlign w:val="superscript"/>
        </w:rPr>
        <w:t>(R)</w:t>
      </w:r>
      <w:r>
        <w:rPr>
          <w:rFonts w:ascii="Arial" w:cs="Arial" w:eastAsia="Arial" w:hAnsi="Arial"/>
          <w:sz w:val="16"/>
          <w:szCs w:val="16"/>
          <w:color w:val="auto"/>
        </w:rPr>
        <w:t xml:space="preserve"> and EASYHEAT™ products are Inductotherm Corporation, Park-Ohio Holdings, EFD Induction Corporation, Trumpf Huettinger GmbH, Ultraflex Power Technologies and CEIA SpA.</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 Our principal competitors for tester interface products are Advantest Corporation, Esmo AG, Reid-Ashman Manufacturing and Teradyne,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At December 31, 2019, our backlog of unfilled orders for all products was approximately $5.5 million compared with approximately $13.4 million at December 31, 2018. Our backlog includes customer orders that we have accepted, substantially all of which we expect to deliver in 2020.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which has the effect of increasing backlog. As a result of these factors, our backlog at a particular date is not necessarily indicative of sales for any future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2019, we had 198 full time employees, including 101 in manufacturing operations, 56 in customer support/operations and 41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Our Annual Report on Form 10-K, Quarterly Reports on Form 10-Q and Current Reports on Form 8-K, and amendments to these reports that are filed with the SEC pursuant to Section 13(a) or 15(d) of the Securities Exchange Act of 1934, as amended (“Exchange Act”), are available free of charge through our website (www.intest.com) as soon as reasonably practicable after we electronically file them with, or furnish them to, the SEC.</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also routinely post press releases, presentations, webcasts and other information regarding the Company on our website. The information posted to our website is not part of this Report.</w:t>
      </w:r>
    </w:p>
    <w:p>
      <w:pPr>
        <w:spacing w:after="0" w:line="18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500" w:right="80"/>
        <w:spacing w:after="0" w:line="275" w:lineRule="auto"/>
        <w:rPr>
          <w:sz w:val="20"/>
          <w:szCs w:val="20"/>
          <w:color w:val="auto"/>
        </w:rPr>
      </w:pPr>
      <w:r>
        <w:rPr>
          <w:rFonts w:ascii="Arial" w:cs="Arial" w:eastAsia="Arial" w:hAnsi="Arial"/>
          <w:sz w:val="17"/>
          <w:szCs w:val="17"/>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72"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and the market price of our common stock have been and will continue to be adversely affected by the coronavirus pandemic.</w:t>
      </w:r>
    </w:p>
    <w:p>
      <w:pPr>
        <w:spacing w:after="0" w:line="166" w:lineRule="exact"/>
        <w:rPr>
          <w:sz w:val="20"/>
          <w:szCs w:val="20"/>
          <w:color w:val="auto"/>
        </w:rPr>
      </w:pPr>
    </w:p>
    <w:p>
      <w:pPr>
        <w:ind w:left="500" w:right="80"/>
        <w:spacing w:after="0" w:line="270" w:lineRule="auto"/>
        <w:rPr>
          <w:sz w:val="20"/>
          <w:szCs w:val="20"/>
          <w:color w:val="auto"/>
        </w:rPr>
      </w:pPr>
      <w:r>
        <w:rPr>
          <w:rFonts w:ascii="Arial" w:cs="Arial" w:eastAsia="Arial" w:hAnsi="Arial"/>
          <w:sz w:val="17"/>
          <w:szCs w:val="17"/>
          <w:color w:val="auto"/>
        </w:rPr>
        <w:t>In December 2019, instances of a human infection of unknown cause originating in China were first reported to the World Health Organization. In early January 2020, this infection was traced to a novel strain of coronavirus. The virus has subsequently spread to other parts of the world, including the U.S. and Europe, and has caused unprecedented disruptions in the global economy as efforts to contain the spread of the virus have intensified. On March 11, 2020, the World Health Organization officially declared this coronavirus outbreak (also referred to as COVID-19) a pandemic. Our business has been and will continue to be adversely affected by the coronavirus pandemic. Since March 17, 2020, a number of states in the U.S., including all of the states in which we have manufacturing facilities, have instituted ‘shelter-in place’ orders as well as provided guidance in response to the pandemic and the need to contain it. We are carefully reviewing all rules, regulations, and orders and responding accordingly. On March 17, 2020, we temporarily shut down our EMS manufacturing facility in Fremont, California. As of the date of this filing, all of our other manufacturing facilities remain open.</w:t>
      </w:r>
    </w:p>
    <w:p>
      <w:pPr>
        <w:spacing w:after="0" w:line="181"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If the current pace of the coronavirus pandemic cannot be slowed and the spread of the virus is not contained, our business operations could be further delayed or interrupted. We expect that government and health authorities may announce new or extend existing restrictions, which could require us to make further adjustments to our operations in order to comply with any such restrictions. These adjustments to our operations could include additional facility closures. We may also experience limitations in employee resources. Global supply chains and the timely availability of products have been and will continue to be materially disrupted by quarantines, factory slowdowns or shutdowns, border closings and travel restrictions resulting from the coronavirus pandemic. Our operations would be disrupted if any of our employees or employees of our business partners were suspected of having coronavirus, which could require quarantine of some or all such employees or closure of our facilities for disinfection.</w:t>
      </w:r>
    </w:p>
    <w:p>
      <w:pPr>
        <w:spacing w:after="0" w:line="192" w:lineRule="exact"/>
        <w:rPr>
          <w:sz w:val="20"/>
          <w:szCs w:val="20"/>
          <w:color w:val="auto"/>
        </w:rPr>
      </w:pPr>
    </w:p>
    <w:p>
      <w:pPr>
        <w:ind w:left="500" w:right="20"/>
        <w:spacing w:after="0" w:line="271" w:lineRule="auto"/>
        <w:rPr>
          <w:sz w:val="20"/>
          <w:szCs w:val="20"/>
          <w:color w:val="auto"/>
        </w:rPr>
      </w:pPr>
      <w:r>
        <w:rPr>
          <w:rFonts w:ascii="Arial" w:cs="Arial" w:eastAsia="Arial" w:hAnsi="Arial"/>
          <w:sz w:val="17"/>
          <w:szCs w:val="17"/>
          <w:color w:val="auto"/>
        </w:rPr>
        <w:t>The adverse effects of the coronavirus pandemic on our business could be material in future periods, particularly if there are significant and prolonged economic slowdowns in regions where we derive a significant amount of our revenue or profit, or where our suppliers are located, or if we are forced to close additional facilities and limit or cease manufacturing operations for extended periods of time. We could experience delays in receipt of customer orders, cancellation or postponement of existing orders and/or our ability to fulfill orders placed with us within the order’s specified timeline and for the cost we estimated when we accepted the order may be negatively affected. This would lead to a reduction in revenue and/or an increase in our cost of revenues in future periods and to a material adverse effect on our business, financial condition and results of operations. The coronavirus pandemic has also led to extreme volatility in capital markets and has adversely affected, and may continue to adversely affect, the market price of our common stock.</w:t>
      </w:r>
    </w:p>
    <w:p>
      <w:pPr>
        <w:spacing w:after="0" w:line="178" w:lineRule="exact"/>
        <w:rPr>
          <w:sz w:val="20"/>
          <w:szCs w:val="20"/>
          <w:color w:val="auto"/>
        </w:rPr>
      </w:pPr>
    </w:p>
    <w:p>
      <w:pPr>
        <w:ind w:left="500" w:right="40"/>
        <w:spacing w:after="0" w:line="279" w:lineRule="auto"/>
        <w:rPr>
          <w:sz w:val="20"/>
          <w:szCs w:val="20"/>
          <w:color w:val="auto"/>
        </w:rPr>
      </w:pPr>
      <w:r>
        <w:rPr>
          <w:rFonts w:ascii="Arial" w:cs="Arial" w:eastAsia="Arial" w:hAnsi="Arial"/>
          <w:sz w:val="17"/>
          <w:szCs w:val="17"/>
          <w:color w:val="auto"/>
        </w:rPr>
        <w:t>The duration of any business disruption and related financial impact cannot be reasonably estimated at this time but may materially affect our ability to operate our business and result in additional costs. The extent to which the coronavirus pandemic may impact our results will depend on future developments, which are highly uncertain and cannot be predicted as of the time of this filing, including new information that may emerge concerning the severity of the coronavirus and steps taken to contain the coronavirus or treat its impact, among others.</w:t>
      </w:r>
    </w:p>
    <w:p>
      <w:pPr>
        <w:spacing w:after="0" w:line="167" w:lineRule="exact"/>
        <w:rPr>
          <w:sz w:val="20"/>
          <w:szCs w:val="20"/>
          <w:color w:val="auto"/>
        </w:rPr>
      </w:pPr>
    </w:p>
    <w:p>
      <w:pPr>
        <w:ind w:left="500" w:right="140"/>
        <w:spacing w:after="0" w:line="266" w:lineRule="auto"/>
        <w:rPr>
          <w:sz w:val="20"/>
          <w:szCs w:val="20"/>
          <w:color w:val="auto"/>
        </w:rPr>
      </w:pPr>
      <w:r>
        <w:rPr>
          <w:rFonts w:ascii="Arial" w:cs="Arial" w:eastAsia="Arial" w:hAnsi="Arial"/>
          <w:sz w:val="18"/>
          <w:szCs w:val="18"/>
          <w:b w:val="1"/>
          <w:bCs w:val="1"/>
          <w:color w:val="auto"/>
        </w:rPr>
        <w:t>Changes in the buying patterns of our customers, including as a result of the coronavirus pandemic, have affected, and may continue to affect, demand for our products and our gross and net operating margins. Such changes in patterns are difficult to predict and may not be immediately apparent.</w:t>
      </w:r>
    </w:p>
    <w:p>
      <w:pPr>
        <w:spacing w:after="0" w:line="180"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color w:val="auto"/>
        </w:rPr>
        <w:t>In addition to the cyclicality and seasonality of the Semi Market, demand for our products and our gross and net operating margins have also been affected by changes in the buying patterns of our customers, including as a result of the coronavirus pandemic.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The recent coronavirus pandemic has also resulted in decreased customer demand. Such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Our sales are affected by the cyclicality and seasonality of the Semi Market, which causes our operating results to fluctuate significantly.</w:t>
      </w:r>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In addition to being cyclical, the Semi Market has also developed a seasonal pattern,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 These market changes and seasonal sales pattern have contributed in the past, and will likely continue to contribute in the future, to fluctuations in our operating results.</w:t>
      </w:r>
    </w:p>
    <w:p>
      <w:pPr>
        <w:spacing w:after="0" w:line="17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In order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20" w:top="580" w:right="379" w:bottom="1440" w:gutter="0" w:footer="0" w:header="0"/>
        </w:sectPr>
      </w:pPr>
    </w:p>
    <w:bookmarkStart w:id="14" w:name="page15"/>
    <w:bookmarkEnd w:id="14"/>
    <w:p>
      <w:pPr>
        <w:spacing w:after="0" w:line="282"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years ended December 31, 2019 and 2018, Texas Instruments Incorporated accounted for 10% and 11% of our consolidated net revenues, respectively. While both of our operating segments sold products to this customer, these revenues were primarily generated by our EMS segment. Our ten largest customers accounted for approximately 34% and 40% of our consolidated net revenues in 2019 and 2018, respectively. The loss of any one or more of our largest customers, or a reduction in orders by a major customer, including as a result of the coronavirus pandemic, could materially reduce our net revenues or otherwise materially affect our business, financial condition or results of operations.</w:t>
      </w:r>
    </w:p>
    <w:p>
      <w:pPr>
        <w:spacing w:after="0" w:line="15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seek to further diversify the markets for our thermal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Since 2009, we have sold our thermal products in markets outside of the Semi Market, including the automotive, defense/aerospace, energy, industrial and telecommunications markets. We refer to these other markets collectively as Multimarket. During 2019 and 2018, our Multimarket sales were $29.7 million and $33.2 million, respectively, and represented 49% and 42% of our consolidated net revenues, respectively. Prior to our acquisition of Ambrell, we offered only highly specialized engineering solutions in Multimarket, the demand for which is limited and which we expect may vary significantly from period to period. Our goal is to increase our Multimarket sales; however, in most cases, the expansion of our thermal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Multimarket, we do not expect broad market penetration in many of these markets. If we are unable to expand our Multimarket sales, our net revenues and results of operations will remain substantially dependent upon the cycles of the Semi Market.</w:t>
      </w:r>
    </w:p>
    <w:p>
      <w:pPr>
        <w:spacing w:after="0" w:line="178" w:lineRule="exact"/>
        <w:rPr>
          <w:sz w:val="20"/>
          <w:szCs w:val="20"/>
          <w:color w:val="auto"/>
        </w:rPr>
      </w:pPr>
    </w:p>
    <w:p>
      <w:pPr>
        <w:ind w:right="320"/>
        <w:spacing w:after="0" w:line="386" w:lineRule="auto"/>
        <w:rPr>
          <w:sz w:val="20"/>
          <w:szCs w:val="20"/>
          <w:color w:val="auto"/>
        </w:rPr>
      </w:pPr>
      <w:r>
        <w:rPr>
          <w:rFonts w:ascii="Arial" w:cs="Arial" w:eastAsia="Arial" w:hAnsi="Arial"/>
          <w:sz w:val="15"/>
          <w:szCs w:val="15"/>
          <w:b w:val="1"/>
          <w:bCs w:val="1"/>
          <w:color w:val="auto"/>
        </w:rPr>
        <w:t>We seek to acquire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We seek to make acquisitions that will further expand our product lines as well as reduce our overall reliance on the Semi Market. We may not be able to execute our acquisition strategy and our future growth may be limited if:</w:t>
      </w:r>
    </w:p>
    <w:p>
      <w:pPr>
        <w:spacing w:after="0" w:line="184"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unable to identify suitable businesses, technologies or products to acquire;</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sufficient cash or access to required capital at the necessary time;</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unwilling or unable to outbid larger, more resourceful companies; or</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unable to successfully close proposed acquisitions.</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may incur significant expenses related to due diligence or other transaction-related expenses for a proposed acquisition that may not be completed, which may have a material adverse effect on our financial condition and results of operations.</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225" w:lineRule="exact"/>
        <w:rPr>
          <w:sz w:val="20"/>
          <w:szCs w:val="20"/>
          <w:color w:val="auto"/>
        </w:rPr>
      </w:pPr>
    </w:p>
    <w:p>
      <w:pPr>
        <w:ind w:left="640" w:right="60" w:hanging="322"/>
        <w:spacing w:after="0" w:line="25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might not be able to integrate future acquisitions into our business successfully or operate acquired businesses profitably;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realize substantial acquisition related expenses that would reduce our net earnings in future years;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We may attempt to acquire a substantial business that would require us to issue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connection with our acquisition strategy, we are pursuing potential acquisition opportunities that may be significant in size compared to us, which could require us to obtain significant third party financing to close the proposed transaction. We may encounter difficulties in securing necessary financing at terms that would be acceptable to us and may not be able to close on the proposed acquisition. In addition, should we incur significant third 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5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We may acquire businesses in the future and utilize an earnout structure as we have done on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stock’s trading price.</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may utilize an earnout structure on future acquisitions.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spacing w:after="0" w:line="165" w:lineRule="exact"/>
        <w:rPr>
          <w:sz w:val="20"/>
          <w:szCs w:val="20"/>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coronavirus pandemic on our business;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demand in Multimarket including the automotive, defense/aerospace, energy, industrial and telecommunication markets;</w:t>
      </w:r>
    </w:p>
    <w:p>
      <w:pPr>
        <w:spacing w:after="0" w:line="20" w:lineRule="exact"/>
        <w:rPr>
          <w:rFonts w:ascii="Arial" w:cs="Arial" w:eastAsia="Arial" w:hAnsi="Arial"/>
          <w:sz w:val="17"/>
          <w:szCs w:val="17"/>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 of the U.S. and global economies, including any impacts from the coronavirus pandemic;</w:t>
      </w:r>
    </w:p>
    <w:p>
      <w:pPr>
        <w:spacing w:after="0" w:line="9" w:lineRule="exact"/>
        <w:rPr>
          <w:rFonts w:ascii="Arial" w:cs="Arial" w:eastAsia="Arial" w:hAnsi="Arial"/>
          <w:sz w:val="18"/>
          <w:szCs w:val="18"/>
          <w:color w:val="auto"/>
        </w:rPr>
      </w:pPr>
    </w:p>
    <w:p>
      <w:pPr>
        <w:ind w:left="640" w:right="80" w:hanging="322"/>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buying patterns of our customers including any changes in the rate of, and timing of, purchases by our customers, including any impacts from the coronavirus pandemic;</w:t>
      </w:r>
    </w:p>
    <w:p>
      <w:pPr>
        <w:ind w:left="640" w:hanging="322"/>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interruptions in our supply chain caused by external factors, including any impacts from the coronavirus pandemic;</w:t>
      </w:r>
    </w:p>
    <w:p>
      <w:pPr>
        <w:spacing w:after="0" w:line="20" w:lineRule="exact"/>
        <w:rPr>
          <w:rFonts w:ascii="Arial" w:cs="Arial" w:eastAsia="Arial" w:hAnsi="Arial"/>
          <w:sz w:val="17"/>
          <w:szCs w:val="17"/>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market share;</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timing of integration of our acquisitions and plant consolidations and relocations;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technological obsolescence of our inventories;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quantities of our inventories greater than is reasonably likely to be utilized in future periods;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 of product warranty charges;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manufacturing capacity;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operating costs;</w:t>
      </w:r>
    </w:p>
    <w:p>
      <w:pPr>
        <w:spacing w:after="0" w:line="237" w:lineRule="exact"/>
        <w:rPr>
          <w:rFonts w:ascii="Arial" w:cs="Arial" w:eastAsia="Arial" w:hAnsi="Arial"/>
          <w:sz w:val="18"/>
          <w:szCs w:val="18"/>
          <w:color w:val="auto"/>
        </w:rPr>
      </w:pPr>
    </w:p>
    <w:p>
      <w:pPr>
        <w:ind w:left="5040" w:hanging="111"/>
        <w:spacing w:after="0"/>
        <w:tabs>
          <w:tab w:leader="none" w:pos="5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20" w:top="580" w:right="379" w:bottom="1440" w:gutter="0" w:footer="0" w:header="0"/>
        </w:sectPr>
      </w:pPr>
    </w:p>
    <w:bookmarkStart w:id="16" w:name="page17"/>
    <w:bookmarkEnd w:id="16"/>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shipments of our products, including any impacts from the coronavirus pandemic;</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our products sold;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customers and geographic regions where we sell our products;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level of our fixed costs, including any costs incurred as a result of our response to the coronavirus pandemic;</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the development of our proprietary technology;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raw materials or fabricated parts when needed;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of component materials, including any impacts from the coronavirus pandemic;</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cancellation or rescheduling of orders by our customers, including any impacts from the coronavirus pandemic;</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breach of our operational or security systems could negatively affect our business, our reputation and results of operations.</w:t>
      </w:r>
    </w:p>
    <w:p>
      <w:pPr>
        <w:spacing w:after="0" w:line="2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litigation, damage our reputation, cause losses and significantly increase our costs. Although we have been the target of security breaches in the past, the Company has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 Market.</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Semiconductor technology continues to become more complex as manufacturers incorporate ICs into an increasing variety of products. This trend, and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components may be in short supply from time to time because of high demand or the inability of some vendors to consistently meet our quality or delivery requirements, including in light of the coronavirus pandemic.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 The coronavirus pandemic could increase the likelihood or significance of the occurrence of any of the aforementioned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if we are unable to attract and retain key employees.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that caused us to experience operating losses, we have implemented temporary salary and benefit reductions and eliminations that have remained in place until our operations returned to profitability. If global economic conditions were to deteriorate further and we were to implement such salary and benefit reductions or eliminations again, or if we cannot continue to increase employee salaries and maintain employee benefits commensurate with competitive opportunities, we may not be able to retain our senior management and other key employees. Our business could suffer if we were to lose one or more of our senior officers or other key employees.</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A substantial portion of our customers are located outside the U.S., which exposes us to foreign political and economic risks.</w:t>
      </w:r>
    </w:p>
    <w:p>
      <w:pPr>
        <w:spacing w:after="0" w:line="24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15% and 16% of consolidated net revenues in 2019 and 2018, respectively. Net revenues from foreign customers totaled $35.4 million, or 58% of consolidated net revenues in 2019, and $53.0 million, or 68% of consolidated net revenues in 2018. We expect our net revenues from foreign customers will continue to represent a significant portion of total net revenues.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64"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the coronavirus pandemic on markets outside the U.S.;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trade tariffs by the U.S. and other countries that would impact our products;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in foreign countries;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financial and operational controls and regulatory restrictions by foreign governments;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comply with a wide variety of U.S. and foreign import and export laws;</w:t>
      </w:r>
    </w:p>
    <w:p>
      <w:pPr>
        <w:spacing w:after="0" w:line="9" w:lineRule="exact"/>
        <w:rPr>
          <w:rFonts w:ascii="Arial" w:cs="Arial" w:eastAsia="Arial" w:hAnsi="Arial"/>
          <w:sz w:val="18"/>
          <w:szCs w:val="18"/>
          <w:color w:val="auto"/>
        </w:rPr>
      </w:pPr>
    </w:p>
    <w:p>
      <w:pPr>
        <w:ind w:left="640" w:right="220" w:hanging="322"/>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greater difficulty of administering business abroad.</w:t>
      </w:r>
    </w:p>
    <w:p>
      <w:pPr>
        <w:spacing w:after="0" w:line="20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As of December 31, 2019, $2.5 million, or 32%, of our cash and cash equivalents were held by our foreign subsidiaries.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7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0" w:right="339" w:bottom="1440" w:gutter="0" w:footer="0" w:header="0"/>
        </w:sectPr>
      </w:pPr>
    </w:p>
    <w:bookmarkStart w:id="18" w:name="page19"/>
    <w:bookmarkEnd w:id="18"/>
    <w:p>
      <w:pPr>
        <w:jc w:val="both"/>
        <w:ind w:left="500" w:right="200"/>
        <w:spacing w:after="0" w:line="266" w:lineRule="auto"/>
        <w:rPr>
          <w:sz w:val="20"/>
          <w:szCs w:val="20"/>
          <w:color w:val="auto"/>
        </w:rPr>
      </w:pPr>
      <w:r>
        <w:rPr>
          <w:rFonts w:ascii="Arial" w:cs="Arial" w:eastAsia="Arial" w:hAnsi="Arial"/>
          <w:sz w:val="18"/>
          <w:szCs w:val="18"/>
          <w:b w:val="1"/>
          <w:bCs w:val="1"/>
          <w:color w:val="auto"/>
        </w:rPr>
        <w:t>We cannot guarantee that we will repurchase our common stock pursuant to our stock repurchase plan or that our stock repurchase plan will enhance long-term stockholder value. Stock repurchases could also increase the volatility of the price of our common stock and could diminish our cash reserves.</w:t>
      </w:r>
    </w:p>
    <w:p>
      <w:pPr>
        <w:spacing w:after="0" w:line="180"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On July 31, 2019, our Board of Directors authorized the repurchase of up to $3.0 million of our common stock from time to time on the open market, in compliance with Rule 10b-18 under the Exchange Act, or in privately negotiated transactions pursuant to a newly authorized stock repurchase plan (the “2019 Repurchase Plan”). The 2019 Repurchase Plan does not obligate us to purchase any particular amount of common stock and may be suspended, as is currently the case, or discontinued at any time without prior notice. The 2019 Repurchase Plan is funded using our operating cash flow or available cash.</w:t>
      </w:r>
    </w:p>
    <w:p>
      <w:pPr>
        <w:spacing w:after="0" w:line="188" w:lineRule="exact"/>
        <w:rPr>
          <w:sz w:val="20"/>
          <w:szCs w:val="20"/>
          <w:color w:val="auto"/>
        </w:rPr>
      </w:pPr>
    </w:p>
    <w:p>
      <w:pPr>
        <w:ind w:left="500" w:right="40"/>
        <w:spacing w:after="0" w:line="270" w:lineRule="auto"/>
        <w:rPr>
          <w:sz w:val="20"/>
          <w:szCs w:val="20"/>
          <w:color w:val="auto"/>
        </w:rPr>
      </w:pPr>
      <w:r>
        <w:rPr>
          <w:rFonts w:ascii="Arial" w:cs="Arial" w:eastAsia="Arial" w:hAnsi="Arial"/>
          <w:sz w:val="17"/>
          <w:szCs w:val="17"/>
          <w:color w:val="auto"/>
        </w:rPr>
        <w:t>The timing and amount of repurchases, if any in the future, will depend upon several factors, including market, business and global conditions, the trading price of our common stock and the nature of other investment opportunities. Repurchases of our common stock pursuant to the 2019 Repurchase Plan could affect the market price of our common stock or increase its volatility. For example, the existence of a stock repurchase program could cause our stock price to be higher than it would be in the absence of such a program and could potentially reduce the market liquidity for our stock. Additionally, our 2019 Repurchase Plan could diminish our cash reserves, which may impact our ability to finance future growth and to pursue possible future strategic opportunities and acquisitions. There can be no assurance that any stock repurchases will enhance stockholder value because the market price of our common stock may decline below the levels at which we determine to repurchase our stock. Although the 2019 Repurchase Plan is intended to enhance long-term stockholder value, there is no assurance that it will do so and short-term stock price fluctuations could reduce the plan’s effectiveness.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At December 31, 2019, we leased seven facilities worldwide. The following chart provides information regarding each of our principal facilities that we leased at December 31, 2019:</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Approx.</w:t>
            </w:r>
          </w:p>
        </w:tc>
        <w:tc>
          <w:tcPr>
            <w:tcW w:w="62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Lease</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Square</w:t>
            </w:r>
          </w:p>
        </w:tc>
        <w:tc>
          <w:tcPr>
            <w:tcW w:w="6200" w:type="dxa"/>
            <w:vAlign w:val="bottom"/>
          </w:tcPr>
          <w:p>
            <w:pPr>
              <w:spacing w:after="0"/>
              <w:rPr>
                <w:sz w:val="18"/>
                <w:szCs w:val="18"/>
                <w:color w:val="auto"/>
              </w:rPr>
            </w:pPr>
          </w:p>
        </w:tc>
      </w:tr>
      <w:tr>
        <w:trPr>
          <w:trHeight w:val="234"/>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Footage</w:t>
            </w:r>
          </w:p>
        </w:tc>
        <w:tc>
          <w:tcPr>
            <w:tcW w:w="6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Principal Uses</w:t>
            </w:r>
          </w:p>
        </w:tc>
      </w:tr>
      <w:tr>
        <w:trPr>
          <w:trHeight w:val="195"/>
        </w:trPr>
        <w:tc>
          <w:tcPr>
            <w:tcW w:w="14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20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w w:val="95"/>
              </w:rPr>
              <w:t>Corporate headquarters and Thermal segment operations (principal facility for</w:t>
            </w: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Mansfield, MA</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58,800</w:t>
            </w:r>
          </w:p>
        </w:tc>
        <w:tc>
          <w:tcPr>
            <w:tcW w:w="6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iTS)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Mt. Laurel, NJ</w:t>
            </w: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April 2021</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54,897</w:t>
            </w:r>
          </w:p>
        </w:tc>
        <w:tc>
          <w:tcPr>
            <w:tcW w:w="6200" w:type="dxa"/>
            <w:vAlign w:val="bottom"/>
          </w:tcPr>
          <w:p>
            <w:pPr>
              <w:ind w:left="260"/>
              <w:spacing w:after="0"/>
              <w:rPr>
                <w:sz w:val="20"/>
                <w:szCs w:val="20"/>
                <w:color w:val="auto"/>
              </w:rPr>
            </w:pPr>
            <w:r>
              <w:rPr>
                <w:rFonts w:ascii="Arial" w:cs="Arial" w:eastAsia="Arial" w:hAnsi="Arial"/>
                <w:sz w:val="18"/>
                <w:szCs w:val="18"/>
                <w:color w:val="auto"/>
              </w:rPr>
              <w:t>Principal executive offices and EMS segment operations</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Fremont, CA</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2020*</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15,746</w:t>
            </w:r>
          </w:p>
        </w:tc>
        <w:tc>
          <w:tcPr>
            <w:tcW w:w="6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EMS segment operations</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Rochester, NY</w:t>
            </w: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April 2028</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79,150</w:t>
            </w:r>
          </w:p>
        </w:tc>
        <w:tc>
          <w:tcPr>
            <w:tcW w:w="6200" w:type="dxa"/>
            <w:vAlign w:val="bottom"/>
          </w:tcPr>
          <w:p>
            <w:pPr>
              <w:ind w:left="260"/>
              <w:spacing w:after="0"/>
              <w:rPr>
                <w:sz w:val="20"/>
                <w:szCs w:val="20"/>
                <w:color w:val="auto"/>
              </w:rPr>
            </w:pPr>
            <w:r>
              <w:rPr>
                <w:rFonts w:ascii="Arial" w:cs="Arial" w:eastAsia="Arial" w:hAnsi="Arial"/>
                <w:sz w:val="18"/>
                <w:szCs w:val="18"/>
                <w:color w:val="auto"/>
              </w:rPr>
              <w:t>Thermal segment operations (principal facility for Ambrell)</w:t>
            </w: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25" w:lineRule="exact"/>
        <w:rPr>
          <w:sz w:val="20"/>
          <w:szCs w:val="20"/>
          <w:color w:val="auto"/>
        </w:rPr>
      </w:pPr>
    </w:p>
    <w:p>
      <w:pPr>
        <w:ind w:left="500" w:hanging="6"/>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January 23, 2020, we executed an amendment to the lease for our facility in Fremont, California that extended the term of the lease for a period of 61 months commencing on November 1, 2020 and expiring on November 30, 2025.</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29" w:lineRule="exact"/>
        <w:rPr>
          <w:sz w:val="20"/>
          <w:szCs w:val="20"/>
          <w:color w:val="auto"/>
        </w:rPr>
      </w:pPr>
    </w:p>
    <w:p>
      <w:pPr>
        <w:ind w:left="500" w:right="60"/>
        <w:spacing w:after="0" w:line="263" w:lineRule="auto"/>
        <w:rPr>
          <w:sz w:val="20"/>
          <w:szCs w:val="20"/>
          <w:color w:val="auto"/>
        </w:rPr>
      </w:pPr>
      <w:r>
        <w:rPr>
          <w:rFonts w:ascii="Arial" w:cs="Arial" w:eastAsia="Arial" w:hAnsi="Arial"/>
          <w:sz w:val="18"/>
          <w:szCs w:val="18"/>
          <w:color w:val="auto"/>
        </w:rPr>
        <w:t>Our common stock is traded on NYSE American LLC (“NYSE American”) under the symbol "INTT." On March 16, 2020, the closing price for our common stock as reported on the NYSE American was $2.43. As of March 16, 2020, we had 10,429,759 shares outstanding that were held by approximately 1,000 beneficial and record holders.</w:t>
      </w:r>
    </w:p>
    <w:p>
      <w:pPr>
        <w:spacing w:after="0" w:line="184"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color w:val="auto"/>
        </w:rPr>
        <w:t>No dividends were paid on our common stock in the years ended December 31, 2019 or 2018.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29" w:lineRule="exact"/>
        <w:rPr>
          <w:sz w:val="20"/>
          <w:szCs w:val="20"/>
          <w:color w:val="auto"/>
        </w:rPr>
      </w:pPr>
    </w:p>
    <w:p>
      <w:pPr>
        <w:jc w:val="both"/>
        <w:ind w:left="500" w:right="40"/>
        <w:spacing w:after="0" w:line="286" w:lineRule="auto"/>
        <w:rPr>
          <w:sz w:val="20"/>
          <w:szCs w:val="20"/>
          <w:color w:val="auto"/>
        </w:rPr>
      </w:pPr>
      <w:r>
        <w:rPr>
          <w:rFonts w:ascii="Arial" w:cs="Arial" w:eastAsia="Arial" w:hAnsi="Arial"/>
          <w:sz w:val="17"/>
          <w:szCs w:val="17"/>
          <w:color w:val="auto"/>
        </w:rPr>
        <w:t>The following table provides information with respect to purchases made by or on behalf of the Company or any “affiliated purchaser” as defined in Rule 10b-18(a)(3) under the Exchange Act, of our common stock during the three months ended December 31, 2019, including those made pursuant to publicly announced plans or programs and those not made pursuant to publicly announced plans or programs.</w:t>
      </w:r>
    </w:p>
    <w:p>
      <w:pPr>
        <w:spacing w:after="0" w:line="16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48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 of Shares</w:t>
            </w:r>
          </w:p>
        </w:tc>
      </w:tr>
      <w:tr>
        <w:trPr>
          <w:trHeight w:val="216"/>
        </w:trPr>
        <w:tc>
          <w:tcPr>
            <w:tcW w:w="48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48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Price Paid</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 Under</w:t>
            </w: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Repurchased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Pr>
          <w:p>
            <w:pPr>
              <w:spacing w:after="0"/>
              <w:rPr>
                <w:sz w:val="20"/>
                <w:szCs w:val="20"/>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the Plans or Programs</w:t>
            </w:r>
          </w:p>
        </w:tc>
        <w:tc>
          <w:tcPr>
            <w:tcW w:w="100" w:type="dxa"/>
            <w:vAlign w:val="bottom"/>
          </w:tcPr>
          <w:p>
            <w:pPr>
              <w:spacing w:after="0"/>
              <w:rPr>
                <w:sz w:val="20"/>
                <w:szCs w:val="20"/>
                <w:color w:val="auto"/>
              </w:rPr>
            </w:pPr>
          </w:p>
        </w:tc>
      </w:tr>
      <w:tr>
        <w:trPr>
          <w:trHeight w:val="210"/>
        </w:trPr>
        <w:tc>
          <w:tcPr>
            <w:tcW w:w="48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October 1-31</w:t>
            </w:r>
            <w:r>
              <w:rPr>
                <w:rFonts w:ascii="Arial" w:cs="Arial" w:eastAsia="Arial" w:hAnsi="Arial"/>
                <w:sz w:val="24"/>
                <w:szCs w:val="24"/>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2,466,000</w:t>
            </w:r>
          </w:p>
        </w:tc>
      </w:tr>
      <w:tr>
        <w:trPr>
          <w:trHeight w:val="216"/>
        </w:trPr>
        <w:tc>
          <w:tcPr>
            <w:tcW w:w="4800" w:type="dxa"/>
            <w:vAlign w:val="bottom"/>
          </w:tcPr>
          <w:p>
            <w:pPr>
              <w:spacing w:after="0" w:line="216" w:lineRule="exact"/>
              <w:rPr>
                <w:sz w:val="20"/>
                <w:szCs w:val="20"/>
                <w:color w:val="auto"/>
              </w:rPr>
            </w:pPr>
            <w:r>
              <w:rPr>
                <w:rFonts w:ascii="Arial" w:cs="Arial" w:eastAsia="Arial" w:hAnsi="Arial"/>
                <w:sz w:val="16"/>
                <w:szCs w:val="16"/>
                <w:color w:val="auto"/>
              </w:rPr>
              <w:t>November 1-30</w:t>
            </w:r>
            <w:r>
              <w:rPr>
                <w:rFonts w:ascii="Arial" w:cs="Arial" w:eastAsia="Arial" w:hAnsi="Arial"/>
                <w:sz w:val="25"/>
                <w:szCs w:val="25"/>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113,856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1,864,000</w:t>
            </w:r>
          </w:p>
        </w:tc>
      </w:tr>
      <w:tr>
        <w:trPr>
          <w:trHeight w:val="216"/>
        </w:trPr>
        <w:tc>
          <w:tcPr>
            <w:tcW w:w="48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December 1-31</w:t>
            </w:r>
            <w:r>
              <w:rPr>
                <w:rFonts w:ascii="Arial" w:cs="Arial" w:eastAsia="Arial" w:hAnsi="Arial"/>
                <w:sz w:val="25"/>
                <w:szCs w:val="25"/>
                <w:color w:val="auto"/>
                <w:vertAlign w:val="superscript"/>
              </w:rPr>
              <w:t>(1)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1,864,000</w:t>
            </w: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190,150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190,150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60" w:hanging="326"/>
        <w:spacing w:after="0" w:line="266" w:lineRule="auto"/>
        <w:tabs>
          <w:tab w:leader="none" w:pos="82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On July 31, 2019, our Board of Directors authorized the repurchase of up to $3.0 million of our common stock from time to time on the open market, in compliance with Rule 10b-18 under the Exchange Act, or in privately negotiated transactions pursuant to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year ended December 31, 2019, we repurchased 229,308 shares under the 2019 Repurchase Plan at a cost of $1.1 million. All of the repurchased shares were retired. Fees paid to our broker related to the repurchase of shares during the year ended December 31, 2019 totaled $6,000. On March 2, 2020, the Company suspended repurchases under the 2019 Repurchase Plan.</w:t>
      </w:r>
    </w:p>
    <w:p>
      <w:pPr>
        <w:spacing w:after="0" w:line="184" w:lineRule="exact"/>
        <w:rPr>
          <w:rFonts w:ascii="Arial" w:cs="Arial" w:eastAsia="Arial" w:hAnsi="Arial"/>
          <w:sz w:val="27"/>
          <w:szCs w:val="27"/>
          <w:color w:val="auto"/>
          <w:vertAlign w:val="superscript"/>
        </w:rPr>
      </w:pPr>
    </w:p>
    <w:p>
      <w:pPr>
        <w:ind w:left="820"/>
        <w:spacing w:after="0" w:line="263" w:lineRule="auto"/>
        <w:rPr>
          <w:rFonts w:ascii="Arial" w:cs="Arial" w:eastAsia="Arial" w:hAnsi="Arial"/>
          <w:sz w:val="27"/>
          <w:szCs w:val="27"/>
          <w:color w:val="auto"/>
          <w:vertAlign w:val="superscript"/>
        </w:rPr>
      </w:pPr>
      <w:r>
        <w:rPr>
          <w:rFonts w:ascii="Arial" w:cs="Arial" w:eastAsia="Arial" w:hAnsi="Arial"/>
          <w:sz w:val="18"/>
          <w:szCs w:val="18"/>
          <w:color w:val="auto"/>
        </w:rPr>
        <w:t>In addition, on July 31, 2019, our Board of Directors terminated the 2015 Stock Repurchase Plan which had been authorized on October 27, 2015 and under which we had repurchased a total of 297,020 shares at a cost of $1.2 million. These shares were repurchased between December 2015 and January 2017. All of the repurchased shares were retired.</w:t>
      </w:r>
    </w:p>
    <w:p>
      <w:pPr>
        <w:spacing w:after="0" w:line="183" w:lineRule="exact"/>
        <w:rPr>
          <w:rFonts w:ascii="Arial" w:cs="Arial" w:eastAsia="Arial" w:hAnsi="Arial"/>
          <w:sz w:val="27"/>
          <w:szCs w:val="27"/>
          <w:color w:val="auto"/>
          <w:vertAlign w:val="superscript"/>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500" w:right="20"/>
        <w:spacing w:after="0" w:line="293" w:lineRule="auto"/>
        <w:rPr>
          <w:sz w:val="20"/>
          <w:szCs w:val="20"/>
          <w:color w:val="auto"/>
        </w:rPr>
      </w:pPr>
      <w:r>
        <w:rPr>
          <w:rFonts w:ascii="Arial" w:cs="Arial" w:eastAsia="Arial" w:hAnsi="Arial"/>
          <w:sz w:val="16"/>
          <w:szCs w:val="16"/>
          <w:color w:val="auto"/>
        </w:rPr>
        <w:t>The following table contains certain selected consolidated financial data of inTEST and is qualified by the more detailed Consolidated Financial Statements and Notes thereto included elsewhere in this Report and should be read in conjunction with "Management's Discussion and Analysis of Financial Condition and Results of Operations" and the other financial information included in this Annual Report on Form 10-K. On May 24, 2017, we completed the acquisition of Ambrell. This acquisition is discussed in further detail in Note 3 to the consolidated financial statements in our Form 10-K for the year ended December 31, 2018 (“2018 Form 10-K”) filed on March 26, 2019 with the Securities and Exchange Commission, including a discussion of the adjustments to our liability for contingent consideration in 2018 and 2017, which are listed below.</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2016</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5"/>
          </w:tcPr>
          <w:p>
            <w:pPr>
              <w:jc w:val="right"/>
              <w:ind w:right="370"/>
              <w:spacing w:after="0"/>
              <w:rPr>
                <w:sz w:val="20"/>
                <w:szCs w:val="20"/>
                <w:color w:val="auto"/>
              </w:rPr>
            </w:pPr>
            <w:r>
              <w:rPr>
                <w:rFonts w:ascii="Arial" w:cs="Arial" w:eastAsia="Arial" w:hAnsi="Arial"/>
                <w:sz w:val="18"/>
                <w:szCs w:val="18"/>
                <w:color w:val="auto"/>
                <w:w w:val="91"/>
              </w:rPr>
              <w:t>(in thousands, except per share data)</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 Data: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60,660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78,563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66,801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40,227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38,889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39,401</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34,690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Adjustment to contingent consideration liability</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6,901</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3,611</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3,037</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2,658</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10,285</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10,473</w:t>
            </w:r>
          </w:p>
        </w:tc>
      </w:tr>
      <w:tr>
        <w:trPr>
          <w:trHeight w:val="230"/>
        </w:trPr>
        <w:tc>
          <w:tcPr>
            <w:tcW w:w="49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10,392</w:t>
            </w:r>
          </w:p>
        </w:tc>
        <w:tc>
          <w:tcPr>
            <w:tcW w:w="3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10,382</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10,339</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10,333</w:t>
            </w: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10,494</w:t>
            </w:r>
          </w:p>
        </w:tc>
      </w:tr>
    </w:tbl>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(in thousands)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17,861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28,611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25,710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59,715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67,187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62,493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42,844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39,984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44,834</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42,880</w:t>
            </w: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39,288</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37,788</w:t>
            </w: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35,925</w:t>
            </w:r>
          </w:p>
        </w:tc>
      </w:tr>
    </w:tbl>
    <w:p>
      <w:pPr>
        <w:spacing w:after="0" w:line="399" w:lineRule="exact"/>
        <w:rPr>
          <w:sz w:val="20"/>
          <w:szCs w:val="20"/>
          <w:color w:val="auto"/>
        </w:rPr>
      </w:pPr>
    </w:p>
    <w:p>
      <w:pPr>
        <w:ind w:left="500" w:right="1240" w:hanging="485"/>
        <w:spacing w:after="0" w:line="503"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Recent Developments</w:t>
      </w:r>
    </w:p>
    <w:p>
      <w:pPr>
        <w:ind w:left="500" w:right="20"/>
        <w:spacing w:after="0" w:line="290" w:lineRule="auto"/>
        <w:rPr>
          <w:sz w:val="20"/>
          <w:szCs w:val="20"/>
          <w:color w:val="auto"/>
        </w:rPr>
      </w:pPr>
      <w:r>
        <w:rPr>
          <w:rFonts w:ascii="Arial" w:cs="Arial" w:eastAsia="Arial" w:hAnsi="Arial"/>
          <w:sz w:val="16"/>
          <w:szCs w:val="16"/>
          <w:color w:val="auto"/>
        </w:rPr>
        <w:t>In December 2019, instances of a human infection of unknown cause originating in China were first reported to the World Health Organization. In early January 2020, this infection was traced to a novel strain of coronavirus. The virus has subsequently spread to other parts of the world, including the U.S. and Europe, and has caused broad disruptions in the global economy as efforts to contain the spread have intensified. On March 11, 2020, the World Health Organization officially declared the recent coronavirus outbreak (also referred to as COVID-19) a pandemic. Our business has been and will continue to be adversely affected by the coronavirus outbreak. Since March 17, 2020, a number of states, including all of the states in which we have manufacturing facilities, have instituted ‘shelter-in place’ orders as well as guidance in response to the pandemic and the need to contain it. We are carefully reviewing all rules, regulations, and orders and responding accordingly. On March 17, 2020, we temporarily shut down our EMS manufacturing facility in Fremont, California. As of the date of this filing, all of our other manufacturing facilities remain open.</w:t>
      </w:r>
    </w:p>
    <w:p>
      <w:pPr>
        <w:spacing w:after="0" w:line="165"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If the current pace of the coronavirus pandemic cannot be slowed and the spread of the virus is not contained, our business operations could be further delayed or interrupted. We expect that government and health authorities may announce new or extend existing restrictions, which could require us to make further adjustments to our operations in order to comply with any such restrictions. These adjustments to our operations could include additional facility closures. We may also experience limitations in employee resources. Global supply chains and the timely availability of products have been and will continue to be materially disrupted by quarantines, factory slowdowns or shutdowns, border closings and travel restrictions resulting from the coronavirus outbreak. In addition, our operations could be disrupted if any of our employees or employees of our business partners were suspected of having coronavirus, which could require quarantine of some or all such employees or closure of our facilities for disinfection.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 w:name="page22"/>
    <w:bookmarkEnd w:id="21"/>
    <w:p>
      <w:pPr>
        <w:spacing w:after="0" w:line="293" w:lineRule="auto"/>
        <w:rPr>
          <w:sz w:val="20"/>
          <w:szCs w:val="20"/>
          <w:color w:val="auto"/>
        </w:rPr>
      </w:pPr>
      <w:r>
        <w:rPr>
          <w:rFonts w:ascii="Arial" w:cs="Arial" w:eastAsia="Arial" w:hAnsi="Arial"/>
          <w:sz w:val="16"/>
          <w:szCs w:val="16"/>
          <w:color w:val="auto"/>
        </w:rPr>
        <w:t>We have taken steps to take care of our employees, including providing the ability for employees to work remotely and implementing strategies to support appropriate social distancing techniques for those employees who are not able to work remotely. We have also taken precautions with regard to employee, facility and office hygiene as well as implementing significant travel restrictions. We have developed a process for the ongoing screening of employees and visitors to our facilities to assess their risk of exposure to and/or infection with the coronavirus. We are also assessing our business continuity plans for all business units in the context of the pandemic. This is a rapidly evolving situation, and we will continue to monitor and mitigate developments affecting our workforce, our suppliers, our customers, and the public at large to the extent we are able to do so.</w:t>
      </w:r>
    </w:p>
    <w:p>
      <w:pPr>
        <w:spacing w:after="0" w:line="1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duration of any business disruption and related financial impact cannot be reasonably estimated at this time but may materially affect our ability to operate our business and result in additional costs. The extent to which the coronavirus may impact our results will depend on future developments, which are highly uncertain and cannot be predicted as of the time of this filing, including new information that may emerge concerning the severity of the coronavirus and steps taken to contain the coronavirus or treat its impact, among others.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and EMS. Our Thermal segment designs, manufactures and sells our thermal test and thermal process products while our EMS segment designs, manufactures and sells our semiconductor test products.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in May 2017, our Thermal segment also sells into the consumer products packaging, fiber optics and other sectors within the broader industrial market, and into the wafer processing sector within the broader semiconductor market.</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semiconductor ATE and wafer processing sectors within the broader semiconductor market), and “Non-Semiconductor” (which included all of the other markets we serve). In the second quarter of 2019, we began referring to the semiconductor market, including the ATE and wafer processing sectors within that market, as the “Semi Market.” All other markets are designated as “Multimarket.” While the Semi Market represents the historical roots of inTEST and remains a very important component of our business, Multimarket is where we have focused our strategic growth efforts in the last several years. Our goal has been to grow our business, both organically and through acquisition, in these markets as we believe these markets have historically been less cyclical than the Semi Market. It is important to note that business within our Thermal segment can fall into either the Semi Market or Multimarket, depending upon how our customers utilize our products or upon their respective applications. Prior to the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Multimarket.</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being cyclical, the Semi Market has also developed a seasonal pattern, with the second and third quarters being the periods of strong demand and the first and fourth quarters being periods of weakened demand. These periods of heightened or reduced demand can shift depending on various factors impacting both our customers and the markets that they serve.</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w:t>
      </w:r>
    </w:p>
    <w:p>
      <w:pPr>
        <w:sectPr>
          <w:pgSz w:w="11900" w:h="16838" w:orient="portrait"/>
          <w:cols w:equalWidth="0" w:num="1">
            <w:col w:w="10740"/>
          </w:cols>
          <w:pgMar w:left="820" w:top="584" w:right="339" w:bottom="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result of macro-economic or customer-specific factors impacting Semi Market demand, or if we have gained or lost market share to a competitor during the period.</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820" w:top="125" w:right="659" w:bottom="1440" w:gutter="0" w:footer="0" w:header="0"/>
        </w:sectPr>
      </w:pPr>
    </w:p>
    <w:bookmarkStart w:id="23" w:name="page24"/>
    <w:bookmarkEnd w:id="23"/>
    <w:p>
      <w:pPr>
        <w:ind w:right="60"/>
        <w:spacing w:after="0" w:line="288" w:lineRule="auto"/>
        <w:rPr>
          <w:sz w:val="20"/>
          <w:szCs w:val="20"/>
          <w:color w:val="auto"/>
        </w:rPr>
      </w:pPr>
      <w:r>
        <w:rPr>
          <w:rFonts w:ascii="Arial" w:cs="Arial" w:eastAsia="Arial" w:hAnsi="Arial"/>
          <w:sz w:val="16"/>
          <w:szCs w:val="16"/>
          <w:color w:val="auto"/>
        </w:rPr>
        <w:t>While the majority of our orders and net revenues are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previously mentioned, as part of our ongoing strategy to reduce the impact of Semi Market volatility on our business operations, we continue to diversify our served markets to address the thermal test and thermal process requirements of several other markets outside the Semi Market. These include the automotive, defense/aerospace, energy, industrial, telecommunications and other markets, which we now refer to as Multimarket. We believe that these markets usually are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 However, in the last several years, we have developed a meaningful market share in two markets outside of the Semi Market: the induction heating market for systems with 500KW or less of power (which is a subset of the industrial market) and the optical transceiver market (which is a subset of the telecommunications market). However, more recently, we have seen technological advances in the optical transceiver market that have significantly reduced the demand for the products we sell that are used to test and characterize these devices. Furthermore, as a result of the significant demand for equipment used to test optical transceivers over the last five years, we have a large installed base of test equipment within the optical transceiver market. The combination of these two factors effectively eliminated the optical transceiver market as a meaningful market for us in 2019 and going forward.</w:t>
      </w:r>
    </w:p>
    <w:p>
      <w:pPr>
        <w:spacing w:after="0" w:line="16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our Multimarket orders and net revenues in any given period do not necessarily reflect the overall trends in the markets within Multimarket due to our limited market shares.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39,158</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55,110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(15,952)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8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52,813</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78,234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Semi Market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25,416</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45,954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(20,538)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8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52,813</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78,234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consolidated orders for the year ended December 31, 2019 were $52.8 million compared to $78.2 million in 2018, a decrease of $25.4 million, or 32%. The decrease primarily reflects lower levels of demand experienced by both of our segments from customers within the Semi Market, and to a lesser extent, a decline in demand from certain customers of our Thermal segment in the industrial and telecommunications markets. These declines were partially offset by an increase in revenues from customers in the defense/aerospace market.</w:t>
      </w:r>
    </w:p>
    <w:p>
      <w:pPr>
        <w:spacing w:after="0" w:line="17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Multimarket orders for the year ended December 31, 2019 were $27.4 million, or 52% of total consolidated orders, compared to $32.3 million, or 41% of total consolidated orders in 2018. The level of our Multimarket orders has varied in the past, and we expect it will vary significantly in the future as we build our presence in these markets and establish new markets for our products.</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December 31, 2019, our backlog of unfilled orders for all products was approximately $5.5 million compared with approximately $13.4 million at December 31, 2018. The significant decrease in our backlog primarily reflects the aforementioned reduction in demand during 2019. Our backlog includes customer orders that we have accepted, substantially all of which we expect to deliver in 2020.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43,823</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55,994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(12,171)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60,660</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78,563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(17,903)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Semi Market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30,953</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45,378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(14,425)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Multi market</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8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60,660</w:t>
            </w:r>
          </w:p>
        </w:tc>
        <w:tc>
          <w:tcPr>
            <w:tcW w:w="18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78,563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(17,903)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Total consolidated net revenues for the year ended December 31, 2019 were $60.7 million compared to $78.6 million in 2018, a decrease of $17.9 million or 23% as compared to 2018. The decrease in net revenues primarily reflects the aforementioned reduction in demand experienced by both of our segments from customers in the Semi Market, and to a lesser extent, a decline in demand from certain customers of our Thermal segment in the telecommunications market.</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Multimarket net revenues for the year ended December 31, 2019 were $29.7 million, or 49% of total consolidated net revenues, compared to $33.2 million, or 42% of total consolidated net revenues in 2018. The level of our Multimarket net revenues has varied in the past, and we expect it will vary significantly in the future as we build our presence in these markets and establish new markets for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operating segment where significant to an understanding of that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Compared to Year Ended December 31, 2018</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$60.7 million for the year ended December 31, 2019 compared to $78.6 million in 2018, a decrease of $17.9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23%. We believe this decrease reflects the factors previously discussed in the Overview.</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48% for the year ended December 31, 2019 compared to 50% in 2018. Our fixed operating costs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$744,000 in absolute dollar terms in 2019 as compared to 2018. However, as a percentage of net revenues, these costs increased from 14% of net revenues in 2018 to 17% of net revenues in 2019 as a result of not being as fully absorbed by the lower net revenues levels in 2019. The $744,000 decrease in our fixed operating costs primarily reflects lower facility costs and a reduction in the use of temporary labor resources in our Thermal segment. The increase in our fixed operating costs as a percentage of net revenues was partially offset by a reduction in component material costs as a percentage of net revenues during 2019 as compared to 2018. The reduction in component material costs reflects changes in product and customer mix in our Thermal segment.</w:t>
      </w:r>
    </w:p>
    <w:p>
      <w:pPr>
        <w:spacing w:after="0" w:line="19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$8.5 million for the year ended December 31, 2019 compared to $9.6 million in 2018, a decrease of $1.2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12%. The decrease primarily reflects lower levels of commission expense as a result of the lower net revenue levels in 2019. To a lesser extent, there was also a reduction in warranty expense in our Thermal segment, reflecting improved warranty claims experience, and lower travel costs in both of our segments, reflecting the lower levels of business activity in 2019 as compared to 2018.</w:t>
      </w:r>
    </w:p>
    <w:p>
      <w:pPr>
        <w:spacing w:after="0" w:line="17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Engineering and Product Development Expense. </w:t>
      </w:r>
      <w:r>
        <w:rPr>
          <w:rFonts w:ascii="Arial" w:cs="Arial" w:eastAsia="Arial" w:hAnsi="Arial"/>
          <w:sz w:val="17"/>
          <w:szCs w:val="17"/>
          <w:color w:val="auto"/>
        </w:rPr>
        <w:t>Engineering and product development expense was $5.0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compared to $4.9 million in 2018, an increase of $56,000, or 1%. Increases in spending on third party consultants and materials used in new product development were partially offset by decreased spending on legal matters related to our intellectual property.</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$13.3 million for the year ended December 31, 2019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$12.8 million in 2018, an increase of $451,000, or 4%. During 2019, we incurred $683,000 related to an acquisition opportunity that we decided not to pursue, and $240,000 for costs related to the consolidation of Ambrell’s European operations. There were no similar costs in 2018. If we had not incurred these costs in 2019, general and administrative expense would have declined $472,000 as compared to 2018, primarily reflecting lower levels of accruals for profit-based bonuses in 2019. The decrease in profit-based bonuses in 2019 was partially offset by higher salary and benefits expense, reflecting an increase in corporate headcount, greater levels of stock-based compensation expense and an increase in amortization expense related to our intangible assets.</w:t>
      </w:r>
    </w:p>
    <w:p>
      <w:pPr>
        <w:spacing w:after="0" w:line="17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20" w:top="584" w:right="419" w:bottom="1440" w:gutter="0" w:footer="0" w:header="0"/>
        </w:sectPr>
      </w:pPr>
    </w:p>
    <w:bookmarkStart w:id="25" w:name="page26"/>
    <w:bookmarkEnd w:id="25"/>
    <w:p>
      <w:pPr>
        <w:ind w:right="120"/>
        <w:spacing w:after="0" w:line="275" w:lineRule="auto"/>
        <w:rPr>
          <w:sz w:val="20"/>
          <w:szCs w:val="20"/>
          <w:color w:val="auto"/>
        </w:rPr>
      </w:pPr>
      <w:r>
        <w:rPr>
          <w:rFonts w:ascii="Arial" w:cs="Arial" w:eastAsia="Arial" w:hAnsi="Arial"/>
          <w:sz w:val="17"/>
          <w:szCs w:val="17"/>
          <w:i w:val="1"/>
          <w:iCs w:val="1"/>
          <w:color w:val="auto"/>
        </w:rPr>
        <w:t xml:space="preserve">Contingent Consideration Liability. </w:t>
      </w:r>
      <w:r>
        <w:rPr>
          <w:rFonts w:ascii="Arial" w:cs="Arial" w:eastAsia="Arial" w:hAnsi="Arial"/>
          <w:sz w:val="17"/>
          <w:szCs w:val="17"/>
          <w:color w:val="auto"/>
        </w:rPr>
        <w:t>For the year ended December 31, 2018, we recorded an increase of $6.9 million in the fair value of our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for contingent consideration. This liability is a result of the acquisition of Ambrell in May 2017 and is discussed further in Notes 3 and 4 to our consolidated financial statements in our 2018 Form 10-K. The increase reflects higher actual adjusted EBITDA for the year ended December 31, 2018 as compared to the amount projected as of the acquisition date. There was no similar expense recorded in 2019 as the earnout related to the acquisition of Ambrell applied only to the years ended December 31, 2017 and 2018.</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year ended December 31, 2019, we recorded income tax expense of $282,000 compared to $2.0 million in 2018. Our</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was 11% for 2019 compared to 40% for 2018. On a quarterly basis, we record income tax expense or benefit based on the expected annualized effective tax rate for the various taxing jurisdictions in which we operate our businesses. Our effective tax rate for 2018 reflects the impact of the aforementioned adjustment to our liability for contingent consideration, which is not deductible for tax purposes. In addition, our effective tax rates for 2019 and 2018 reflect the impact of tax legislation enacted in December 2017, which, among other things, reduced the corporate tax rate to 21% starting in 2018 and created a territorial tax system with a one-time mandatory transition tax on previously deferred earnings of foreign subsidiaries. In connection with this new tax legislation, we recorded a provisional amount during the fourth quarter of 2017 related to the transition tax. During the second quarter of 2018, as a result of the finalization of our analysis of the impact of the new tax legislation, we determined we did not owe this amount and reversed the $476,000 accrual that had been made in the fourth quarter of 2017. There was no similar adjustment in 2019. See Note 10 to the consolidated financial statements for further detail of the difference between our effective tax rates in 2019 and 2018 and the statutory tax rate of 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spacing w:after="0"/>
              <w:rPr>
                <w:sz w:val="20"/>
                <w:szCs w:val="20"/>
                <w:color w:val="auto"/>
              </w:rPr>
            </w:pPr>
            <w:r>
              <w:rPr>
                <w:rFonts w:ascii="Arial" w:cs="Arial" w:eastAsia="Arial" w:hAnsi="Arial"/>
                <w:sz w:val="18"/>
                <w:szCs w:val="18"/>
                <w:i w:val="1"/>
                <w:iCs w:val="1"/>
                <w:color w:val="auto"/>
              </w:rPr>
              <w:t>Liquidity</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680" w:type="dxa"/>
            <w:vAlign w:val="bottom"/>
            <w:gridSpan w:val="3"/>
          </w:tcPr>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17,861</w:t>
            </w:r>
          </w:p>
        </w:tc>
      </w:tr>
      <w:tr>
        <w:trPr>
          <w:trHeight w:val="230"/>
        </w:trPr>
        <w:tc>
          <w:tcPr>
            <w:tcW w:w="48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16,534</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14,203</w:t>
            </w:r>
          </w:p>
        </w:tc>
      </w:tr>
    </w:tbl>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As of December 31, 2019, $2.5 million of our cash and cash equivalents was held by our foreign subsidiaries. We currently expect our cash and cash equivalents and projected future cash flow to be sufficient to support our short-term working capital requirements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w:t>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cash. Additionally, should the impact of the coronavirus pandemic on our operations, including the disruption to our business caused by prolonged closures of our facilities, be more significant than we currently anticipate, we may need additional financial resources, including debt or equity financings. We do not currently have any credit facilities under which we can borrow to help fund our working capital or other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operations for the year ended December 31, 2019 was $8.4 million. During 2019, we paid the $12.2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earnout payable that was on our balance sheet at December 31, 2018. This earnout payable was related to the acquisition of Ambrell. For the year ended December 31, 2019, we recorded net earnings of $2.3 million. During this same period, we had non-cash charges of $3.2 million for depreciation and amortization that included $1.3 million of amortization related to our right-of-use (“ROU”) assets. These ROU assets, and the related operating lease liabilities, were established at January 1, 2019 in connection with the adoption of Accounting Standards Codification (“ASC”) Topic 842, as discussed further in Notes 2 and 7 to our consolidated financial statements. During the year ended December 31, 2019, we also recorded $884,000 of non-cash charges for deferred compensation expense related to stock-based awards. Accounts receivable decreased $1.2 million during 2019, primarily reflecting the reduced level of shipments in 2019, while inventories increased $1.1 million, primarily reflecting purchasing activity for products with long-lead times. Accrued wages and benefits declined $912,000 during 2019, reflecting the payout of profit-related bonuses that had been accrued at December 31, 2018 on our results for the year, and operating lease liabilities decreased $1.4 million, reflecting payments made under our various lease agreements. Customer deposits and deferred revenue decreased $797,000 during 2019, reflecting changes in the timing of payments received from customers and the recognition of revenue under our contracts with customers.</w:t>
      </w:r>
    </w:p>
    <w:p>
      <w:pPr>
        <w:spacing w:after="0" w:line="16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26" w:name="page27"/>
    <w:bookmarkEnd w:id="26"/>
    <w:p>
      <w:pPr>
        <w:ind w:right="180"/>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year ended December 31, 2019, purchases of property and equipment were $620,000, and primarily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fixed assets related to products leased to customers; leasehold improvements to our facilities in Mansfield, MA and Hengelo, the Netherlands, and new laboratory and demonstration equipment for our Ambrell operation. We have no significant commitments for capital expenditures in 2020; however, depending upon changes in market demand or manufacturing and sales strategies, we may make such purchases or investments as we deem necessary and appropriate.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During the year ended December 31, 2019, we utilized $1.1 million to repurchase 229,308 shares of our common stock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2019 Repurchase Plan. On March 2, 2020, we suspended repurchases under the 2019 Repurchase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2019 and 2018, we recorded inventory obsolescence charges for excess and obsolete inventory of $391,000 and $285,000,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each of December 31, 2019 and 2018, goodwill was $13.7 million. We did not record any impairment charges related to our goodwill during 2019 or 2018.</w:t>
      </w:r>
    </w:p>
    <w:p>
      <w:pPr>
        <w:spacing w:after="0" w:line="1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27" w:name="page28"/>
    <w:bookmarkEnd w:id="27"/>
    <w:p>
      <w:pPr>
        <w:ind w:left="500"/>
        <w:spacing w:after="0" w:line="290"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At each of December 31, 2019 and 2018, our indefinite-lived intangible assets were trademarks carried at $6.7 million. We did not record any impairment charges related to our indefinite-lived intangible assets during 2019 or 2018.</w:t>
      </w:r>
    </w:p>
    <w:p>
      <w:pPr>
        <w:spacing w:after="0" w:line="165"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2019 and 2018, finite-lived intangibles and long-lived assets were $9.4 million and $10.9 million, respectively. We did not record any impairment charges related to our long-lived assets during 2019 or 2018.</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00" w:right="40"/>
        <w:spacing w:after="0" w:line="296"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spacing w:after="0" w:line="161" w:lineRule="exact"/>
        <w:rPr>
          <w:sz w:val="20"/>
          <w:szCs w:val="20"/>
          <w:color w:val="auto"/>
        </w:rPr>
      </w:pPr>
    </w:p>
    <w:p>
      <w:pPr>
        <w:ind w:left="500" w:right="60"/>
        <w:spacing w:after="0" w:line="271" w:lineRule="auto"/>
        <w:rPr>
          <w:sz w:val="20"/>
          <w:szCs w:val="20"/>
          <w:color w:val="auto"/>
        </w:rPr>
      </w:pPr>
      <w:r>
        <w:rPr>
          <w:rFonts w:ascii="Arial" w:cs="Arial" w:eastAsia="Arial" w:hAnsi="Arial"/>
          <w:sz w:val="17"/>
          <w:szCs w:val="17"/>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2019 and 2018, we had a net deferred tax liability of $2.3 million and $2.7 million, respectively. Our deferred tax valuation allowance at December 31, 2019 and 2018 was $234,000 and $241,000,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ind w:left="500" w:right="100"/>
        <w:spacing w:after="0" w:line="263" w:lineRule="auto"/>
        <w:rPr>
          <w:sz w:val="20"/>
          <w:szCs w:val="20"/>
          <w:color w:val="auto"/>
        </w:rPr>
      </w:pPr>
      <w:r>
        <w:rPr>
          <w:rFonts w:ascii="Arial" w:cs="Arial" w:eastAsia="Arial" w:hAnsi="Arial"/>
          <w:sz w:val="18"/>
          <w:szCs w:val="18"/>
          <w:color w:val="auto"/>
        </w:rPr>
        <w:t>There were no off-balance sheet arrangements during the year ended December 31, 2019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500" w:right="2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ind w:left="50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of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500" w:right="20"/>
        <w:spacing w:after="0" w:line="263"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48" w:lineRule="exact"/>
        <w:rPr>
          <w:rFonts w:ascii="Arial" w:cs="Arial" w:eastAsia="Arial" w:hAnsi="Arial"/>
          <w:sz w:val="16"/>
          <w:szCs w:val="16"/>
          <w:color w:val="auto"/>
        </w:rPr>
      </w:pPr>
    </w:p>
    <w:p>
      <w:pPr>
        <w:ind w:left="1300" w:hanging="320"/>
        <w:spacing w:after="0" w:line="263"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left="500" w:right="22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500" w:right="240"/>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2019.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2019, our internal control over financial reporting is effective at a reasonable assurance level.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left="500" w:right="640"/>
        <w:spacing w:after="0" w:line="342"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as such an attestation is not required pursuant to rules of the SEC applicable to registrants that are non-accelerated filers.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2020 Annual Meeting of Stockholders to be filed with the SEC within 120 days after the end of the fiscal year covered by this Report.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jc w:val="both"/>
        <w:ind w:left="500" w:right="80"/>
        <w:spacing w:after="0" w:line="311" w:lineRule="auto"/>
        <w:rPr>
          <w:sz w:val="20"/>
          <w:szCs w:val="20"/>
          <w:color w:val="auto"/>
        </w:rPr>
      </w:pPr>
      <w:r>
        <w:rPr>
          <w:rFonts w:ascii="Arial" w:cs="Arial" w:eastAsia="Arial" w:hAnsi="Arial"/>
          <w:sz w:val="16"/>
          <w:szCs w:val="16"/>
          <w:color w:val="auto"/>
        </w:rPr>
        <w:t>We have adopted a Code of Ethics (the “Code”)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2020 Annual Meeting of Stockholders to be filed with the SEC within 120 days after the end of the fiscal year covered by this Report.</w:t>
      </w:r>
    </w:p>
    <w:p>
      <w:pPr>
        <w:spacing w:after="0" w:line="38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500" w:right="340"/>
        <w:spacing w:after="0" w:line="263"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from our definitive proxy statement for our 2020 Annual Meeting of Stockholders to be filed with the SEC within 120 days after the end of the fiscal year covered by this Report.</w:t>
      </w:r>
    </w:p>
    <w:p>
      <w:pPr>
        <w:spacing w:after="0" w:line="184" w:lineRule="exact"/>
        <w:rPr>
          <w:sz w:val="20"/>
          <w:szCs w:val="20"/>
          <w:color w:val="auto"/>
        </w:rPr>
      </w:pPr>
    </w:p>
    <w:p>
      <w:pPr>
        <w:ind w:left="500" w:right="1020"/>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2019:</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600" w:type="dxa"/>
            <w:vAlign w:val="bottom"/>
            <w:gridSpan w:val="4"/>
          </w:tcPr>
          <w:p>
            <w:pPr>
              <w:ind w:left="3600"/>
              <w:spacing w:after="0"/>
              <w:rPr>
                <w:sz w:val="20"/>
                <w:szCs w:val="20"/>
                <w:color w:val="auto"/>
              </w:rPr>
            </w:pPr>
            <w:r>
              <w:rPr>
                <w:rFonts w:ascii="Arial" w:cs="Arial" w:eastAsia="Arial" w:hAnsi="Arial"/>
                <w:sz w:val="18"/>
                <w:szCs w:val="18"/>
                <w:b w:val="1"/>
                <w:bCs w:val="1"/>
                <w:color w:val="auto"/>
              </w:rPr>
              <w:t>Equity Compensation Plan Information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to be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 of</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for future</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options,</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warrants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7"/>
                <w:szCs w:val="17"/>
                <w:b w:val="1"/>
                <w:bCs w:val="1"/>
                <w:color w:val="auto"/>
                <w:w w:val="89"/>
              </w:rPr>
              <w:t>rights</w:t>
            </w:r>
            <w:r>
              <w:rPr>
                <w:rFonts w:ascii="Arial" w:cs="Arial" w:eastAsia="Arial" w:hAnsi="Arial"/>
                <w:sz w:val="27"/>
                <w:szCs w:val="27"/>
                <w:b w:val="1"/>
                <w:bCs w:val="1"/>
                <w:color w:val="auto"/>
                <w:w w:val="89"/>
                <w:vertAlign w:val="superscript"/>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rights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7"/>
                <w:szCs w:val="17"/>
                <w:b w:val="1"/>
                <w:bCs w:val="1"/>
                <w:color w:val="auto"/>
                <w:w w:val="87"/>
              </w:rPr>
              <w:t>plans</w:t>
            </w:r>
            <w:r>
              <w:rPr>
                <w:rFonts w:ascii="Arial" w:cs="Arial" w:eastAsia="Arial" w:hAnsi="Arial"/>
                <w:sz w:val="27"/>
                <w:szCs w:val="27"/>
                <w:b w:val="1"/>
                <w:bCs w:val="1"/>
                <w:color w:val="auto"/>
                <w:w w:val="87"/>
                <w:vertAlign w:val="superscript"/>
              </w:rPr>
              <w:t>(2)</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506,810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1,198,935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1,198,935</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securities that remain available for future issuance are issuable pursuant to the Second Amended and Restated 2014 Stock Plan.</w:t>
      </w:r>
    </w:p>
    <w:p>
      <w:pPr>
        <w:spacing w:after="0" w:line="263" w:lineRule="exact"/>
        <w:rPr>
          <w:rFonts w:ascii="Arial" w:cs="Arial" w:eastAsia="Arial" w:hAnsi="Arial"/>
          <w:sz w:val="17"/>
          <w:szCs w:val="17"/>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2020 Annual Meeting of Stockholders to be filed with the SEC within 120 days after the end of the fiscal year covered by this Report.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2020 Annual Meeting of Stockholders to be filed with the SEC within 120 days after the end of the fiscal year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920" w:hanging="426"/>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225" w:lineRule="exact"/>
        <w:rPr>
          <w:rFonts w:ascii="Arial" w:cs="Arial" w:eastAsia="Arial" w:hAnsi="Arial"/>
          <w:sz w:val="18"/>
          <w:szCs w:val="18"/>
          <w:color w:val="auto"/>
        </w:rPr>
      </w:pPr>
    </w:p>
    <w:p>
      <w:pPr>
        <w:ind w:left="820" w:right="280" w:hanging="2"/>
        <w:spacing w:after="0" w:line="258" w:lineRule="auto"/>
        <w:tabs>
          <w:tab w:leader="none" w:pos="12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Arial" w:cs="Arial" w:eastAsia="Arial" w:hAnsi="Arial"/>
          <w:sz w:val="18"/>
          <w:szCs w:val="18"/>
          <w:color w:val="auto"/>
        </w:rPr>
      </w:pPr>
    </w:p>
    <w:p>
      <w:pPr>
        <w:ind w:left="820" w:right="320" w:hanging="2"/>
        <w:spacing w:after="0" w:line="250" w:lineRule="auto"/>
        <w:tabs>
          <w:tab w:leader="none" w:pos="12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following financial statement schedule should be read in conjunction with the consolidated financial statements set forth in Part II, Item 8 of this Annual Report on Form 10-K:</w:t>
      </w:r>
    </w:p>
    <w:p>
      <w:pPr>
        <w:ind w:left="154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210" w:lineRule="exact"/>
        <w:rPr>
          <w:rFonts w:ascii="Arial" w:cs="Arial" w:eastAsia="Arial" w:hAnsi="Arial"/>
          <w:sz w:val="18"/>
          <w:szCs w:val="18"/>
          <w:color w:val="auto"/>
        </w:rPr>
      </w:pPr>
    </w:p>
    <w:p>
      <w:pPr>
        <w:ind w:left="920" w:hanging="426"/>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2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preceding the signature page, which Exhibit Index is incorporated herein by reference.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60" w:type="dxa"/>
            <w:vAlign w:val="bottom"/>
            <w:gridSpan w:val="22"/>
          </w:tcPr>
          <w:p>
            <w:pPr>
              <w:ind w:left="180"/>
              <w:spacing w:after="0"/>
              <w:rPr>
                <w:sz w:val="20"/>
                <w:szCs w:val="20"/>
                <w:color w:val="auto"/>
              </w:rPr>
            </w:pPr>
            <w:r>
              <w:rPr>
                <w:rFonts w:ascii="Arial" w:cs="Arial" w:eastAsia="Arial" w:hAnsi="Arial"/>
                <w:sz w:val="18"/>
                <w:szCs w:val="18"/>
                <w:b w:val="1"/>
                <w:bCs w:val="1"/>
                <w:color w:val="auto"/>
              </w:rPr>
              <w:t>Index to Exhibits</w:t>
            </w:r>
          </w:p>
        </w:tc>
      </w:tr>
      <w:tr>
        <w:trPr>
          <w:trHeight w:val="65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440" w:type="dxa"/>
            <w:vAlign w:val="bottom"/>
            <w:gridSpan w:val="34"/>
          </w:tcPr>
          <w:p>
            <w:pPr>
              <w:ind w:left="140"/>
              <w:spacing w:after="0" w:line="194" w:lineRule="exact"/>
              <w:rPr>
                <w:sz w:val="20"/>
                <w:szCs w:val="20"/>
                <w:color w:val="auto"/>
              </w:rPr>
            </w:pPr>
            <w:r>
              <w:rPr>
                <w:rFonts w:ascii="Arial" w:cs="Arial" w:eastAsia="Arial" w:hAnsi="Arial"/>
                <w:sz w:val="18"/>
                <w:szCs w:val="18"/>
                <w:b w:val="1"/>
                <w:bCs w:val="1"/>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Stock Purchase Agreement among Ambrell Holdings, LLC, Ambrell Corporation, Graycliff Private Equity Partners III LP, Hudson River Co-</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Investment Fund II LP and inTEST Corporation dated as of May 24, 2017 (1)</w:t>
              </w:r>
            </w:hyperlink>
          </w:p>
        </w:tc>
        <w:tc>
          <w:tcPr>
            <w:tcW w:w="4600" w:type="dxa"/>
            <w:vAlign w:val="bottom"/>
            <w:gridSpan w:val="14"/>
          </w:tcPr>
          <w:p>
            <w:pPr>
              <w:spacing w:after="0"/>
              <w:rPr>
                <w:sz w:val="17"/>
                <w:szCs w:val="17"/>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Certificate of Incorporation.</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 xml:space="preserve">Bylaws as </w:t>
              </w:r>
            </w:hyperlink>
            <w:r>
              <w:rPr>
                <w:rFonts w:ascii="Arial" w:cs="Arial" w:eastAsia="Arial" w:hAnsi="Arial"/>
                <w:sz w:val="18"/>
                <w:szCs w:val="18"/>
                <w:color w:val="0000EE"/>
              </w:rPr>
              <w:t xml:space="preserve">amended </w:t>
            </w:r>
            <w:hyperlink r:id="rId40">
              <w:r>
                <w:rPr>
                  <w:rFonts w:ascii="Arial" w:cs="Arial" w:eastAsia="Arial" w:hAnsi="Arial"/>
                  <w:sz w:val="18"/>
                  <w:szCs w:val="18"/>
                  <w:color w:val="0000EE"/>
                </w:rPr>
                <w:t>and restated on April 23, 2018. (2)</w:t>
              </w:r>
            </w:hyperlink>
          </w:p>
        </w:tc>
      </w:tr>
      <w:tr>
        <w:trPr>
          <w:trHeight w:val="196"/>
        </w:trPr>
        <w:tc>
          <w:tcPr>
            <w:tcW w:w="640" w:type="dxa"/>
            <w:vAlign w:val="bottom"/>
          </w:tcPr>
          <w:p>
            <w:pPr>
              <w:ind w:left="10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Description of Securities.</w:t>
              </w:r>
            </w:hyperlink>
          </w:p>
        </w:tc>
        <w:tc>
          <w:tcPr>
            <w:tcW w:w="2120" w:type="dxa"/>
            <w:vAlign w:val="bottom"/>
            <w:tcBorders>
              <w:top w:val="single" w:sz="8" w:color="0000EE"/>
            </w:tcBorders>
            <w:gridSpan w:val="9"/>
          </w:tcPr>
          <w:p>
            <w:pPr>
              <w:spacing w:after="0"/>
              <w:rPr>
                <w:sz w:val="17"/>
                <w:szCs w:val="17"/>
                <w:color w:val="auto"/>
              </w:rPr>
            </w:pPr>
          </w:p>
        </w:tc>
        <w:tc>
          <w:tcPr>
            <w:tcW w:w="6240" w:type="dxa"/>
            <w:vAlign w:val="bottom"/>
            <w:gridSpan w:val="20"/>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Lease Agreement between Exeter 804 East Gate, LLC and the Company dated May 10, 2010. (3)</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Lease Agreement between AMB-SGP Seattle/Boston, LLC and Temptronic Corporation (a subsidiary of the Company), dated October 25,</w:t>
              </w:r>
            </w:hyperlink>
          </w:p>
        </w:tc>
        <w:tc>
          <w:tcPr>
            <w:tcW w:w="22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2">
              <w:r>
                <w:rPr>
                  <w:rFonts w:ascii="Arial" w:cs="Arial" w:eastAsia="Arial" w:hAnsi="Arial"/>
                  <w:sz w:val="18"/>
                  <w:szCs w:val="18"/>
                  <w:color w:val="0000EE"/>
                  <w:w w:val="88"/>
                </w:rPr>
                <w:t>2010. (4)</w:t>
              </w:r>
            </w:hyperlink>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Second Amendment to Lease between James Campbell Company, LLC and Temptronic Corporation dated April 8, 2019 (5).</w:t>
              </w:r>
            </w:hyperlink>
          </w:p>
        </w:tc>
        <w:tc>
          <w:tcPr>
            <w:tcW w:w="1160" w:type="dxa"/>
            <w:vAlign w:val="bottom"/>
            <w:gridSpan w:val="7"/>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w w:val="95"/>
              </w:rPr>
            </w:pPr>
            <w:hyperlink r:id="rId44">
              <w:r>
                <w:rPr>
                  <w:rFonts w:ascii="Arial" w:cs="Arial" w:eastAsia="Arial" w:hAnsi="Arial"/>
                  <w:sz w:val="18"/>
                  <w:szCs w:val="18"/>
                  <w:color w:val="0000EE"/>
                  <w:w w:val="95"/>
                </w:rPr>
                <w:t>Lease Agreement between Columbia California Warm Springs Industrial, LLC and inTEST Silicon Valley Corporation dated January 9,</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2012. (6)</w:t>
              </w:r>
            </w:hyperlink>
          </w:p>
        </w:tc>
        <w:tc>
          <w:tcPr>
            <w:tcW w:w="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First Amendment to Lease Agreement between Columbia California Warm Springs Industrial, LLC and inTEST Silicon Valley Corporation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dated November 18, 2016. (7)</w:t>
              </w:r>
            </w:hyperlink>
          </w:p>
        </w:tc>
        <w:tc>
          <w:tcPr>
            <w:tcW w:w="140" w:type="dxa"/>
            <w:vAlign w:val="bottom"/>
            <w:gridSpan w:val="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Second Amendment to Standard Lease Agreement, dated January 23, 2020, by and between inTEST Silicon Valley Corporation and Fremont</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Business Center, LLC. (8)</w:t>
              </w:r>
            </w:hyperlink>
          </w:p>
        </w:tc>
        <w:tc>
          <w:tcPr>
            <w:tcW w:w="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Guaranty Agreements between Columbia California Warm Springs Industrial, LLC and inTEST Corporation dated January 9, 2012. (6)</w:t>
              </w:r>
            </w:hyperlink>
          </w:p>
        </w:tc>
        <w:tc>
          <w:tcPr>
            <w:tcW w:w="440" w:type="dxa"/>
            <w:vAlign w:val="bottom"/>
            <w:gridSpan w:val="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Lease Agreement between Maguire Family Properties, Inc. and Ambrell Corporation dated December 19, 2017 (9)</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Guaranty of Lease between Maguire Family Properties, Inc. and Ambrell Corporation dated December 19, 2017 (9)</w:t>
              </w:r>
            </w:hyperlink>
          </w:p>
        </w:tc>
        <w:tc>
          <w:tcPr>
            <w:tcW w:w="1860" w:type="dxa"/>
            <w:vAlign w:val="bottom"/>
            <w:gridSpan w:val="9"/>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Form of Indemnification Agreement (10)(*)</w:t>
              </w:r>
            </w:hyperlink>
          </w:p>
        </w:tc>
        <w:tc>
          <w:tcPr>
            <w:tcW w:w="7000" w:type="dxa"/>
            <w:vAlign w:val="bottom"/>
            <w:gridSpan w:val="24"/>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inTEST Corporation Second Amended and Restated 2014 Stock Plan (11)(*)</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inTEST Corporation 2007 Stock Plan. (12)(*)</w:t>
              </w:r>
            </w:hyperlink>
          </w:p>
        </w:tc>
        <w:tc>
          <w:tcPr>
            <w:tcW w:w="4660" w:type="dxa"/>
            <w:vAlign w:val="bottom"/>
            <w:gridSpan w:val="15"/>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Form of Restricted Stock Award Agreement for Employees. (13)(*)</w:t>
              </w:r>
            </w:hyperlink>
          </w:p>
        </w:tc>
        <w:tc>
          <w:tcPr>
            <w:tcW w:w="5320" w:type="dxa"/>
            <w:vAlign w:val="bottom"/>
            <w:gridSpan w:val="17"/>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Form of Restricted Stock Award Agreement for Directors. (13)(*)</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Form of Non-Qualified Stock Option Agreement. (13)(*)</w:t>
              </w:r>
            </w:hyperlink>
          </w:p>
        </w:tc>
        <w:tc>
          <w:tcPr>
            <w:tcW w:w="5460" w:type="dxa"/>
            <w:vAlign w:val="bottom"/>
            <w:gridSpan w:val="18"/>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Form of Incentive Stock Option Agreement. (13)(*)</w:t>
              </w:r>
            </w:hyperlink>
          </w:p>
        </w:tc>
        <w:tc>
          <w:tcPr>
            <w:tcW w:w="6080" w:type="dxa"/>
            <w:vAlign w:val="bottom"/>
            <w:gridSpan w:val="1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Change of Control Agreement dated August 27, 2007 between the Company and Hugh T. Regan, Jr. (14)(*)</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Change of Control Agreement dated May 5, 2008 between the Company and James Pelrin. (15)(*)</w:t>
              </w:r>
            </w:hyperlink>
          </w:p>
        </w:tc>
        <w:tc>
          <w:tcPr>
            <w:tcW w:w="660" w:type="dxa"/>
            <w:vAlign w:val="bottom"/>
            <w:tcBorders>
              <w:top w:val="single" w:sz="8" w:color="0000EE"/>
            </w:tcBorders>
          </w:tcPr>
          <w:p>
            <w:pPr>
              <w:spacing w:after="0"/>
              <w:rPr>
                <w:sz w:val="17"/>
                <w:szCs w:val="17"/>
                <w:color w:val="auto"/>
              </w:rPr>
            </w:pPr>
          </w:p>
        </w:tc>
        <w:tc>
          <w:tcPr>
            <w:tcW w:w="2440" w:type="dxa"/>
            <w:vAlign w:val="bottom"/>
            <w:gridSpan w:val="11"/>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Amendment to Change of Control Agreement dated December 31, 2008 between the Company and Hugh T. Regan, Jr. (16)(*)</w:t>
              </w:r>
            </w:hyperlink>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Amendment to Change of Control Agreement dated December 31, 2008 between the Company and James Pelrin. (16)(*)</w:t>
              </w:r>
            </w:hyperlink>
          </w:p>
        </w:tc>
        <w:tc>
          <w:tcPr>
            <w:tcW w:w="380" w:type="dxa"/>
            <w:vAlign w:val="bottom"/>
            <w:tcBorders>
              <w:top w:val="single" w:sz="8" w:color="0000EE"/>
            </w:tcBorders>
            <w:gridSpan w:val="2"/>
          </w:tcPr>
          <w:p>
            <w:pPr>
              <w:spacing w:after="0"/>
              <w:rPr>
                <w:sz w:val="17"/>
                <w:szCs w:val="17"/>
                <w:color w:val="auto"/>
              </w:rPr>
            </w:pPr>
          </w:p>
        </w:tc>
        <w:tc>
          <w:tcPr>
            <w:tcW w:w="1100" w:type="dxa"/>
            <w:vAlign w:val="bottom"/>
            <w:gridSpan w:val="6"/>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2020 Executive Compensation Plan. (17)(*)</w:t>
              </w:r>
            </w:hyperlink>
          </w:p>
        </w:tc>
        <w:tc>
          <w:tcPr>
            <w:tcW w:w="7020" w:type="dxa"/>
            <w:vAlign w:val="bottom"/>
            <w:gridSpan w:val="25"/>
          </w:tcPr>
          <w:p>
            <w:pPr>
              <w:spacing w:after="0"/>
              <w:rPr>
                <w:sz w:val="17"/>
                <w:szCs w:val="17"/>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Compensatory Arrangements of Directors. (*)</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020" w:hanging="1012"/>
        <w:spacing w:after="0"/>
        <w:tabs>
          <w:tab w:leader="none" w:pos="1020" w:val="left"/>
        </w:tabs>
        <w:numPr>
          <w:ilvl w:val="0"/>
          <w:numId w:val="15"/>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Subsidiaries of the Company.</w:t>
        </w:r>
      </w:hyperlink>
    </w:p>
    <w:p>
      <w:pPr>
        <w:spacing w:after="0" w:line="23" w:lineRule="exact"/>
        <w:rPr>
          <w:sz w:val="20"/>
          <w:szCs w:val="20"/>
          <w:color w:val="auto"/>
        </w:rPr>
      </w:pPr>
    </w:p>
    <w:p>
      <w:pPr>
        <w:ind w:left="1020" w:hanging="1012"/>
        <w:spacing w:after="0"/>
        <w:tabs>
          <w:tab w:leader="none" w:pos="1020" w:val="left"/>
        </w:tabs>
        <w:numPr>
          <w:ilvl w:val="0"/>
          <w:numId w:val="16"/>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Consent of RSM US LLP.</w:t>
        </w:r>
      </w:hyperlink>
    </w:p>
    <w:tbl>
      <w:tblPr>
        <w:tblLayout w:type="fixed"/>
        <w:tblInd w:w="0" w:type="dxa"/>
        <w:tblCellMar>
          <w:top w:w="0" w:type="dxa"/>
          <w:left w:w="0" w:type="dxa"/>
          <w:bottom w:w="0" w:type="dxa"/>
          <w:right w:w="0" w:type="dxa"/>
        </w:tblCellMar>
      </w:tblPr>
      <w:tr>
        <w:trPr>
          <w:trHeight w:val="185"/>
        </w:trPr>
        <w:tc>
          <w:tcPr>
            <w:tcW w:w="1020" w:type="dxa"/>
            <w:vAlign w:val="bottom"/>
          </w:tcPr>
          <w:p>
            <w:pPr>
              <w:spacing w:after="0" w:line="184" w:lineRule="exact"/>
              <w:rPr>
                <w:sz w:val="20"/>
                <w:szCs w:val="20"/>
                <w:color w:val="auto"/>
              </w:rPr>
            </w:pPr>
            <w:r>
              <w:rPr>
                <w:rFonts w:ascii="Arial" w:cs="Arial" w:eastAsia="Arial" w:hAnsi="Arial"/>
                <w:sz w:val="18"/>
                <w:szCs w:val="18"/>
                <w:color w:val="auto"/>
              </w:rPr>
              <w:t>31.1</w:t>
            </w:r>
          </w:p>
        </w:tc>
        <w:tc>
          <w:tcPr>
            <w:tcW w:w="4900" w:type="dxa"/>
            <w:vAlign w:val="bottom"/>
            <w:tcBorders>
              <w:bottom w:val="single" w:sz="8" w:color="0000EE"/>
            </w:tcBorders>
            <w:gridSpan w:val="2"/>
          </w:tcPr>
          <w:p>
            <w:pPr>
              <w:spacing w:after="0" w:line="184"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Certification of Chief Executive Officer pursuant to Rule 13a-14(a).</w:t>
              </w:r>
            </w:hyperlink>
          </w:p>
        </w:tc>
        <w:tc>
          <w:tcPr>
            <w:tcW w:w="5320" w:type="dxa"/>
            <w:vAlign w:val="bottom"/>
            <w:gridSpan w:val="3"/>
          </w:tcPr>
          <w:p>
            <w:pPr>
              <w:spacing w:after="0"/>
              <w:rPr>
                <w:sz w:val="16"/>
                <w:szCs w:val="16"/>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220" w:type="dxa"/>
            <w:vAlign w:val="bottom"/>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Certification of Chief Financial Officer pursuant to Rule 13a-14(a).</w:t>
              </w:r>
            </w:hyperlink>
          </w:p>
        </w:tc>
      </w:tr>
      <w:tr>
        <w:trPr>
          <w:trHeight w:val="20"/>
        </w:trPr>
        <w:tc>
          <w:tcPr>
            <w:tcW w:w="102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20" w:type="dxa"/>
            <w:vAlign w:val="bottom"/>
            <w:gridSpan w:val="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Certification of Chief Executive Officer pursuant to Section 906 of the Sarbanes-Oxley Act of 2002.</w:t>
              </w:r>
            </w:hyperlink>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7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Chief Financial Officer pursuant to Section 906 of the Sarbanes-Oxley Act of 2002.</w:t>
              </w:r>
            </w:hyperlink>
          </w:p>
        </w:tc>
        <w:tc>
          <w:tcPr>
            <w:tcW w:w="40" w:type="dxa"/>
            <w:vAlign w:val="bottom"/>
            <w:tcBorders>
              <w:top w:val="single" w:sz="8" w:color="0000EE"/>
            </w:tcBorders>
          </w:tcPr>
          <w:p>
            <w:pPr>
              <w:spacing w:after="0"/>
              <w:rPr>
                <w:sz w:val="17"/>
                <w:szCs w:val="17"/>
                <w:color w:val="auto"/>
              </w:rPr>
            </w:pPr>
          </w:p>
        </w:tc>
        <w:tc>
          <w:tcPr>
            <w:tcW w:w="3000" w:type="dxa"/>
            <w:vAlign w:val="bottom"/>
          </w:tcPr>
          <w:p>
            <w:pPr>
              <w:spacing w:after="0"/>
              <w:rPr>
                <w:sz w:val="17"/>
                <w:szCs w:val="17"/>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20" w:type="dxa"/>
            <w:vAlign w:val="bottom"/>
          </w:tcPr>
          <w:p>
            <w:pPr>
              <w:spacing w:after="0"/>
              <w:rPr>
                <w:sz w:val="24"/>
                <w:szCs w:val="24"/>
                <w:color w:val="auto"/>
              </w:rPr>
            </w:pPr>
          </w:p>
        </w:tc>
        <w:tc>
          <w:tcPr>
            <w:tcW w:w="4840" w:type="dxa"/>
            <w:vAlign w:val="bottom"/>
          </w:tcPr>
          <w:p>
            <w:pPr>
              <w:ind w:left="440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32" w:name="page33"/>
    <w:bookmarkEnd w:id="32"/>
    <w:p>
      <w:pPr>
        <w:ind w:left="612" w:right="80" w:hanging="612"/>
        <w:spacing w:after="0" w:line="258"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24, 2017, File No. 001-36117, filed May 24, 2017, and incorporated herein by reference.</w:t>
      </w:r>
    </w:p>
    <w:p>
      <w:pPr>
        <w:spacing w:after="0" w:line="1" w:lineRule="exact"/>
        <w:rPr>
          <w:rFonts w:ascii="Arial" w:cs="Arial" w:eastAsia="Arial" w:hAnsi="Arial"/>
          <w:sz w:val="18"/>
          <w:szCs w:val="18"/>
          <w:color w:val="auto"/>
        </w:rPr>
      </w:pPr>
    </w:p>
    <w:p>
      <w:pPr>
        <w:ind w:left="612"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23, 2018, File No. 001-36117, filed April 25, 2018, and incorporated herein by reference.</w:t>
      </w:r>
    </w:p>
    <w:p>
      <w:pPr>
        <w:ind w:left="612" w:right="10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10, 2010, File No. 000-22529, filed May 13, 2010, and incorporated herein by reference.</w:t>
      </w:r>
    </w:p>
    <w:p>
      <w:pPr>
        <w:ind w:left="612" w:right="22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27, 2010, File No. 000-22529, filed October 29, 2010, and incorporated herein by reference.</w:t>
      </w:r>
    </w:p>
    <w:p>
      <w:pPr>
        <w:ind w:left="612" w:hanging="612"/>
        <w:spacing w:after="0"/>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8, 2019, File No.</w:t>
      </w:r>
    </w:p>
    <w:p>
      <w:pPr>
        <w:spacing w:after="0" w:line="9" w:lineRule="exact"/>
        <w:rPr>
          <w:rFonts w:ascii="Arial" w:cs="Arial" w:eastAsia="Arial" w:hAnsi="Arial"/>
          <w:sz w:val="18"/>
          <w:szCs w:val="18"/>
          <w:color w:val="auto"/>
        </w:rPr>
      </w:pPr>
    </w:p>
    <w:p>
      <w:pPr>
        <w:ind w:left="612"/>
        <w:spacing w:after="0"/>
        <w:rPr>
          <w:rFonts w:ascii="Arial" w:cs="Arial" w:eastAsia="Arial" w:hAnsi="Arial"/>
          <w:sz w:val="18"/>
          <w:szCs w:val="18"/>
          <w:color w:val="auto"/>
        </w:rPr>
      </w:pPr>
      <w:r>
        <w:rPr>
          <w:rFonts w:ascii="Arial" w:cs="Arial" w:eastAsia="Arial" w:hAnsi="Arial"/>
          <w:sz w:val="18"/>
          <w:szCs w:val="18"/>
          <w:color w:val="auto"/>
        </w:rPr>
        <w:t>001-36117, filed April 12, 2019, and incorporated herein by reference.</w:t>
      </w:r>
    </w:p>
    <w:p>
      <w:pPr>
        <w:spacing w:after="0" w:line="9" w:lineRule="exact"/>
        <w:rPr>
          <w:rFonts w:ascii="Arial" w:cs="Arial" w:eastAsia="Arial" w:hAnsi="Arial"/>
          <w:sz w:val="18"/>
          <w:szCs w:val="18"/>
          <w:color w:val="auto"/>
        </w:rPr>
      </w:pPr>
    </w:p>
    <w:p>
      <w:pPr>
        <w:ind w:left="612" w:right="10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ind w:left="612" w:right="4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18, 2016, File No. 001-36117, filed November 22, 2016, and incorporated herein by reference.</w:t>
      </w:r>
    </w:p>
    <w:p>
      <w:pPr>
        <w:ind w:left="612" w:right="24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January 23, 2020, File No. 001-36117, filed January 28, 2020, and incorporated herein by reference.</w:t>
      </w:r>
    </w:p>
    <w:p>
      <w:pPr>
        <w:ind w:left="612" w:right="6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19, 2017, File No. 001-36117, filed December 22, 2017, and incorporated herein by reference.</w:t>
      </w:r>
    </w:p>
    <w:p>
      <w:pPr>
        <w:ind w:left="612" w:right="30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 2017, File No. 001-36117, filed October 6, 2017, and incorporated herein by reference.</w:t>
      </w:r>
    </w:p>
    <w:p>
      <w:pPr>
        <w:ind w:left="612" w:right="8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19, 2020, File No. 001-36117, filed June 24, 2019.</w:t>
      </w:r>
    </w:p>
    <w:p>
      <w:pPr>
        <w:ind w:left="612" w:right="40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2017, File No. 001-36117, filed March 28, 2017.</w:t>
      </w:r>
    </w:p>
    <w:p>
      <w:pPr>
        <w:ind w:left="612" w:right="6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2019, File No. 001-36117, filed August 13, 2019, and incorporated herein by reference.</w:t>
      </w:r>
    </w:p>
    <w:p>
      <w:pPr>
        <w:ind w:left="612" w:right="42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ind w:left="612" w:right="6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ind w:left="612" w:right="6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ind w:left="612" w:right="420" w:hanging="612"/>
        <w:spacing w:after="0" w:line="250"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9, 2020, File No. 001-36117, filed March 11, 2020, and incorporated herein by reference.</w:t>
      </w:r>
    </w:p>
    <w:p>
      <w:pPr>
        <w:spacing w:after="0" w:line="1" w:lineRule="exact"/>
        <w:rPr>
          <w:sz w:val="20"/>
          <w:szCs w:val="20"/>
          <w:color w:val="auto"/>
        </w:rPr>
      </w:pPr>
    </w:p>
    <w:p>
      <w:pPr>
        <w:ind w:left="612" w:hanging="612"/>
        <w:spacing w:after="0"/>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w:t>
      </w:r>
    </w:p>
    <w:p>
      <w:pPr>
        <w:spacing w:after="0" w:line="210" w:lineRule="exact"/>
        <w:rPr>
          <w:rFonts w:ascii="Arial" w:cs="Arial" w:eastAsia="Arial" w:hAnsi="Arial"/>
          <w:sz w:val="18"/>
          <w:szCs w:val="18"/>
          <w:color w:val="auto"/>
        </w:rPr>
      </w:pPr>
    </w:p>
    <w:p>
      <w:pPr>
        <w:ind w:left="5532" w:hanging="111"/>
        <w:spacing w:after="0"/>
        <w:tabs>
          <w:tab w:leader="none" w:pos="55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sz w:val="20"/>
                <w:szCs w:val="20"/>
                <w:color w:val="auto"/>
              </w:rPr>
            </w:pPr>
            <w:r>
              <w:rPr>
                <w:rFonts w:ascii="Arial" w:cs="Arial" w:eastAsia="Arial" w:hAnsi="Arial"/>
                <w:sz w:val="18"/>
                <w:szCs w:val="18"/>
                <w:color w:val="auto"/>
              </w:rPr>
              <w:t>By: /s/ James Pelrin</w:t>
            </w:r>
          </w:p>
        </w:tc>
        <w:tc>
          <w:tcPr>
            <w:tcW w:w="1140" w:type="dxa"/>
            <w:vAlign w:val="bottom"/>
          </w:tcPr>
          <w:p>
            <w:pPr>
              <w:spacing w:after="0"/>
              <w:rPr>
                <w:sz w:val="20"/>
                <w:szCs w:val="20"/>
                <w:color w:val="auto"/>
              </w:rPr>
            </w:pPr>
            <w:r>
              <w:rPr>
                <w:rFonts w:ascii="Arial" w:cs="Arial" w:eastAsia="Arial" w:hAnsi="Arial"/>
                <w:sz w:val="18"/>
                <w:szCs w:val="18"/>
                <w:color w:val="auto"/>
                <w:w w:val="89"/>
              </w:rPr>
              <w:t>March 23, 2020</w:t>
            </w:r>
          </w:p>
        </w:tc>
      </w:tr>
      <w:tr>
        <w:trPr>
          <w:trHeight w:val="222"/>
        </w:trPr>
        <w:tc>
          <w:tcPr>
            <w:tcW w:w="34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Pelrin</w:t>
            </w:r>
          </w:p>
        </w:tc>
        <w:tc>
          <w:tcPr>
            <w:tcW w:w="47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James Pelrin</w:t>
            </w:r>
          </w:p>
        </w:tc>
        <w:tc>
          <w:tcPr>
            <w:tcW w:w="2920" w:type="dxa"/>
            <w:vAlign w:val="bottom"/>
            <w:gridSpan w:val="6"/>
          </w:tcPr>
          <w:p>
            <w:pPr>
              <w:spacing w:after="0"/>
              <w:rPr>
                <w:sz w:val="17"/>
                <w:szCs w:val="17"/>
                <w:color w:val="auto"/>
              </w:rPr>
            </w:pPr>
          </w:p>
        </w:tc>
        <w:tc>
          <w:tcPr>
            <w:tcW w:w="214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March 23, 2020</w:t>
            </w:r>
          </w:p>
        </w:tc>
        <w:tc>
          <w:tcPr>
            <w:tcW w:w="3900" w:type="dxa"/>
            <w:vAlign w:val="bottom"/>
          </w:tcPr>
          <w:p>
            <w:pPr>
              <w:spacing w:after="0"/>
              <w:rPr>
                <w:sz w:val="17"/>
                <w:szCs w:val="17"/>
                <w:color w:val="auto"/>
              </w:rPr>
            </w:pPr>
          </w:p>
        </w:tc>
      </w:tr>
      <w:tr>
        <w:trPr>
          <w:trHeight w:val="222"/>
        </w:trPr>
        <w:tc>
          <w:tcPr>
            <w:tcW w:w="4060" w:type="dxa"/>
            <w:vAlign w:val="bottom"/>
            <w:gridSpan w:val="7"/>
          </w:tcPr>
          <w:p>
            <w:pPr>
              <w:spacing w:after="0"/>
              <w:rPr>
                <w:sz w:val="20"/>
                <w:szCs w:val="20"/>
                <w:color w:val="auto"/>
              </w:rPr>
            </w:pPr>
            <w:r>
              <w:rPr>
                <w:rFonts w:ascii="Arial" w:cs="Arial" w:eastAsia="Arial" w:hAnsi="Arial"/>
                <w:sz w:val="18"/>
                <w:szCs w:val="18"/>
                <w:color w:val="auto"/>
              </w:rPr>
              <w:t>James Pelrin, President,</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16"/>
        </w:trPr>
        <w:tc>
          <w:tcPr>
            <w:tcW w:w="4060" w:type="dxa"/>
            <w:vAlign w:val="bottom"/>
            <w:gridSpan w:val="7"/>
          </w:tcPr>
          <w:p>
            <w:pPr>
              <w:spacing w:after="0"/>
              <w:rPr>
                <w:sz w:val="20"/>
                <w:szCs w:val="20"/>
                <w:color w:val="auto"/>
              </w:rPr>
            </w:pPr>
            <w:r>
              <w:rPr>
                <w:rFonts w:ascii="Arial" w:cs="Arial" w:eastAsia="Arial" w:hAnsi="Arial"/>
                <w:sz w:val="18"/>
                <w:szCs w:val="18"/>
                <w:color w:val="auto"/>
              </w:rPr>
              <w:t>Chief Executive Officer and Director</w:t>
            </w:r>
          </w:p>
        </w:tc>
        <w:tc>
          <w:tcPr>
            <w:tcW w:w="2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4060" w:type="dxa"/>
            <w:vAlign w:val="bottom"/>
            <w:gridSpan w:val="7"/>
          </w:tcPr>
          <w:p>
            <w:pPr>
              <w:spacing w:after="0"/>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824"/>
        </w:trPr>
        <w:tc>
          <w:tcPr>
            <w:tcW w:w="4060" w:type="dxa"/>
            <w:vAlign w:val="bottom"/>
            <w:gridSpan w:val="7"/>
          </w:tcPr>
          <w:p>
            <w:pPr>
              <w:spacing w:after="0"/>
              <w:rPr>
                <w:sz w:val="20"/>
                <w:szCs w:val="20"/>
                <w:color w:val="auto"/>
              </w:rPr>
            </w:pPr>
            <w:r>
              <w:rPr>
                <w:rFonts w:ascii="Arial" w:cs="Arial" w:eastAsia="Arial" w:hAnsi="Arial"/>
                <w:sz w:val="18"/>
                <w:szCs w:val="18"/>
                <w:color w:val="auto"/>
              </w:rPr>
              <w:t>/s/ Hugh T. Regan, Jr.</w:t>
            </w:r>
          </w:p>
        </w:tc>
        <w:tc>
          <w:tcPr>
            <w:tcW w:w="21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23, 2020</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22"/>
        </w:trPr>
        <w:tc>
          <w:tcPr>
            <w:tcW w:w="4060" w:type="dxa"/>
            <w:vAlign w:val="bottom"/>
            <w:gridSpan w:val="7"/>
          </w:tcPr>
          <w:p>
            <w:pPr>
              <w:spacing w:after="0"/>
              <w:rPr>
                <w:sz w:val="20"/>
                <w:szCs w:val="20"/>
                <w:color w:val="auto"/>
              </w:rPr>
            </w:pPr>
            <w:r>
              <w:rPr>
                <w:rFonts w:ascii="Arial" w:cs="Arial" w:eastAsia="Arial" w:hAnsi="Arial"/>
                <w:sz w:val="18"/>
                <w:szCs w:val="18"/>
                <w:color w:val="auto"/>
              </w:rPr>
              <w:t>Hugh T. Regan, Jr., Treasurer, Chief</w:t>
            </w:r>
          </w:p>
        </w:tc>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16"/>
        </w:trPr>
        <w:tc>
          <w:tcPr>
            <w:tcW w:w="4060" w:type="dxa"/>
            <w:vAlign w:val="bottom"/>
            <w:gridSpan w:val="7"/>
          </w:tcPr>
          <w:p>
            <w:pPr>
              <w:spacing w:after="0"/>
              <w:rPr>
                <w:sz w:val="20"/>
                <w:szCs w:val="20"/>
                <w:color w:val="auto"/>
              </w:rPr>
            </w:pPr>
            <w:r>
              <w:rPr>
                <w:rFonts w:ascii="Arial" w:cs="Arial" w:eastAsia="Arial" w:hAnsi="Arial"/>
                <w:sz w:val="18"/>
                <w:szCs w:val="18"/>
                <w:color w:val="auto"/>
              </w:rPr>
              <w:t>Financial Officer and Secretary</w:t>
            </w:r>
          </w:p>
        </w:tc>
        <w:tc>
          <w:tcPr>
            <w:tcW w:w="2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4060" w:type="dxa"/>
            <w:vAlign w:val="bottom"/>
            <w:gridSpan w:val="7"/>
          </w:tcPr>
          <w:p>
            <w:pPr>
              <w:spacing w:after="0"/>
              <w:rPr>
                <w:sz w:val="20"/>
                <w:szCs w:val="20"/>
                <w:color w:val="auto"/>
              </w:rPr>
            </w:pPr>
            <w:r>
              <w:rPr>
                <w:rFonts w:ascii="Arial" w:cs="Arial" w:eastAsia="Arial" w:hAnsi="Arial"/>
                <w:sz w:val="18"/>
                <w:szCs w:val="18"/>
                <w:color w:val="auto"/>
              </w:rPr>
              <w:t>(Principal Financial Officer)</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823"/>
        </w:trPr>
        <w:tc>
          <w:tcPr>
            <w:tcW w:w="4060" w:type="dxa"/>
            <w:vAlign w:val="bottom"/>
            <w:gridSpan w:val="7"/>
          </w:tcPr>
          <w:p>
            <w:pPr>
              <w:spacing w:after="0"/>
              <w:rPr>
                <w:sz w:val="20"/>
                <w:szCs w:val="20"/>
                <w:color w:val="auto"/>
              </w:rPr>
            </w:pPr>
            <w:r>
              <w:rPr>
                <w:rFonts w:ascii="Arial" w:cs="Arial" w:eastAsia="Arial" w:hAnsi="Arial"/>
                <w:sz w:val="18"/>
                <w:szCs w:val="18"/>
                <w:color w:val="auto"/>
              </w:rPr>
              <w:t>/s/ Joseph W. Dews IV</w:t>
            </w:r>
          </w:p>
        </w:tc>
        <w:tc>
          <w:tcPr>
            <w:tcW w:w="21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23, 2020</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4060" w:type="dxa"/>
            <w:vAlign w:val="bottom"/>
            <w:gridSpan w:val="7"/>
          </w:tcPr>
          <w:p>
            <w:pPr>
              <w:spacing w:after="0"/>
              <w:rPr>
                <w:sz w:val="20"/>
                <w:szCs w:val="20"/>
                <w:color w:val="auto"/>
              </w:rPr>
            </w:pPr>
            <w:r>
              <w:rPr>
                <w:rFonts w:ascii="Arial" w:cs="Arial" w:eastAsia="Arial" w:hAnsi="Arial"/>
                <w:sz w:val="18"/>
                <w:szCs w:val="18"/>
                <w:color w:val="auto"/>
              </w:rPr>
              <w:t>Joseph W. Dews IV, Chairman</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823"/>
        </w:trPr>
        <w:tc>
          <w:tcPr>
            <w:tcW w:w="4060" w:type="dxa"/>
            <w:vAlign w:val="bottom"/>
            <w:gridSpan w:val="7"/>
          </w:tcPr>
          <w:p>
            <w:pPr>
              <w:spacing w:after="0"/>
              <w:rPr>
                <w:sz w:val="20"/>
                <w:szCs w:val="20"/>
                <w:color w:val="auto"/>
              </w:rPr>
            </w:pPr>
            <w:r>
              <w:rPr>
                <w:rFonts w:ascii="Arial" w:cs="Arial" w:eastAsia="Arial" w:hAnsi="Arial"/>
                <w:sz w:val="18"/>
                <w:szCs w:val="18"/>
                <w:color w:val="auto"/>
              </w:rPr>
              <w:t>/s/ Steven J. Abrams</w:t>
            </w:r>
          </w:p>
        </w:tc>
        <w:tc>
          <w:tcPr>
            <w:tcW w:w="21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March 23, 2020</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7"/>
        </w:trPr>
        <w:tc>
          <w:tcPr>
            <w:tcW w:w="4060" w:type="dxa"/>
            <w:vAlign w:val="bottom"/>
            <w:gridSpan w:val="7"/>
          </w:tcPr>
          <w:p>
            <w:pPr>
              <w:spacing w:after="0"/>
              <w:rPr>
                <w:sz w:val="20"/>
                <w:szCs w:val="20"/>
                <w:color w:val="auto"/>
              </w:rPr>
            </w:pPr>
            <w:r>
              <w:rPr>
                <w:rFonts w:ascii="Arial" w:cs="Arial" w:eastAsia="Arial" w:hAnsi="Arial"/>
                <w:sz w:val="18"/>
                <w:szCs w:val="18"/>
                <w:color w:val="auto"/>
              </w:rPr>
              <w:t>Steven J. Abrams, Esq., Director</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823"/>
        </w:trPr>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 Jeffrey A. Beck</w:t>
            </w:r>
          </w:p>
        </w:tc>
        <w:tc>
          <w:tcPr>
            <w:tcW w:w="2700" w:type="dxa"/>
            <w:vAlign w:val="bottom"/>
            <w:gridSpan w:val="4"/>
          </w:tcPr>
          <w:p>
            <w:pPr>
              <w:spacing w:after="0"/>
              <w:rPr>
                <w:sz w:val="24"/>
                <w:szCs w:val="24"/>
                <w:color w:val="auto"/>
              </w:rPr>
            </w:pPr>
          </w:p>
        </w:tc>
        <w:tc>
          <w:tcPr>
            <w:tcW w:w="214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March 23, 2020</w:t>
            </w:r>
          </w:p>
        </w:tc>
        <w:tc>
          <w:tcPr>
            <w:tcW w:w="3900" w:type="dxa"/>
            <w:vAlign w:val="bottom"/>
          </w:tcPr>
          <w:p>
            <w:pPr>
              <w:spacing w:after="0"/>
              <w:rPr>
                <w:sz w:val="24"/>
                <w:szCs w:val="24"/>
                <w:color w:val="auto"/>
              </w:rPr>
            </w:pPr>
          </w:p>
        </w:tc>
      </w:tr>
      <w:tr>
        <w:trPr>
          <w:trHeight w:val="237"/>
        </w:trPr>
        <w:tc>
          <w:tcPr>
            <w:tcW w:w="4060" w:type="dxa"/>
            <w:vAlign w:val="bottom"/>
            <w:gridSpan w:val="7"/>
          </w:tcPr>
          <w:p>
            <w:pPr>
              <w:spacing w:after="0"/>
              <w:rPr>
                <w:sz w:val="20"/>
                <w:szCs w:val="20"/>
                <w:color w:val="auto"/>
              </w:rPr>
            </w:pPr>
            <w:r>
              <w:rPr>
                <w:rFonts w:ascii="Arial" w:cs="Arial" w:eastAsia="Arial" w:hAnsi="Arial"/>
                <w:sz w:val="18"/>
                <w:szCs w:val="18"/>
                <w:color w:val="auto"/>
              </w:rPr>
              <w:t>Jeffrey A. Beck, Director</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82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 William Kraut</w:t>
            </w:r>
          </w:p>
        </w:tc>
        <w:tc>
          <w:tcPr>
            <w:tcW w:w="2800" w:type="dxa"/>
            <w:vAlign w:val="bottom"/>
            <w:gridSpan w:val="5"/>
          </w:tcPr>
          <w:p>
            <w:pPr>
              <w:spacing w:after="0"/>
              <w:rPr>
                <w:sz w:val="24"/>
                <w:szCs w:val="24"/>
                <w:color w:val="auto"/>
              </w:rPr>
            </w:pPr>
          </w:p>
        </w:tc>
        <w:tc>
          <w:tcPr>
            <w:tcW w:w="214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March 23, 2020</w:t>
            </w:r>
          </w:p>
        </w:tc>
        <w:tc>
          <w:tcPr>
            <w:tcW w:w="3900" w:type="dxa"/>
            <w:vAlign w:val="bottom"/>
          </w:tcPr>
          <w:p>
            <w:pPr>
              <w:spacing w:after="0"/>
              <w:rPr>
                <w:sz w:val="24"/>
                <w:szCs w:val="24"/>
                <w:color w:val="auto"/>
              </w:rPr>
            </w:pPr>
          </w:p>
        </w:tc>
      </w:tr>
      <w:tr>
        <w:trPr>
          <w:trHeight w:val="237"/>
        </w:trPr>
        <w:tc>
          <w:tcPr>
            <w:tcW w:w="4060" w:type="dxa"/>
            <w:vAlign w:val="bottom"/>
            <w:gridSpan w:val="7"/>
          </w:tcPr>
          <w:p>
            <w:pPr>
              <w:spacing w:after="0"/>
              <w:rPr>
                <w:sz w:val="20"/>
                <w:szCs w:val="20"/>
                <w:color w:val="auto"/>
              </w:rPr>
            </w:pPr>
            <w:r>
              <w:rPr>
                <w:rFonts w:ascii="Arial" w:cs="Arial" w:eastAsia="Arial" w:hAnsi="Arial"/>
                <w:sz w:val="18"/>
                <w:szCs w:val="18"/>
                <w:color w:val="auto"/>
              </w:rPr>
              <w:t>William Kraut, Director</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inTEST CORPORATION</w:t>
            </w:r>
          </w:p>
        </w:tc>
        <w:tc>
          <w:tcPr>
            <w:tcW w:w="1960" w:type="dxa"/>
            <w:vAlign w:val="bottom"/>
          </w:tcPr>
          <w:p>
            <w:pPr>
              <w:spacing w:after="0"/>
              <w:rPr>
                <w:sz w:val="20"/>
                <w:szCs w:val="20"/>
                <w:color w:val="auto"/>
              </w:rPr>
            </w:pPr>
          </w:p>
        </w:tc>
      </w:tr>
      <w:tr>
        <w:trPr>
          <w:trHeight w:val="414"/>
        </w:trPr>
        <w:tc>
          <w:tcPr>
            <w:tcW w:w="9280" w:type="dxa"/>
            <w:vAlign w:val="bottom"/>
          </w:tcPr>
          <w:p>
            <w:pPr>
              <w:jc w:val="center"/>
              <w:ind w:left="1870"/>
              <w:spacing w:after="0"/>
              <w:rPr>
                <w:sz w:val="20"/>
                <w:szCs w:val="20"/>
                <w:color w:val="auto"/>
              </w:rPr>
            </w:pPr>
            <w:r>
              <w:rPr>
                <w:rFonts w:ascii="Arial" w:cs="Arial" w:eastAsia="Arial" w:hAnsi="Arial"/>
                <w:sz w:val="18"/>
                <w:szCs w:val="18"/>
                <w:b w:val="1"/>
                <w:bCs w:val="1"/>
                <w:color w:val="auto"/>
              </w:rPr>
              <w:t>INDEX TO CONSOLIDATED FINANCIAL STATEMENTS AND</w:t>
            </w:r>
          </w:p>
        </w:tc>
        <w:tc>
          <w:tcPr>
            <w:tcW w:w="1960" w:type="dxa"/>
            <w:vAlign w:val="bottom"/>
          </w:tcPr>
          <w:p>
            <w:pPr>
              <w:spacing w:after="0"/>
              <w:rPr>
                <w:sz w:val="24"/>
                <w:szCs w:val="24"/>
                <w:color w:val="auto"/>
              </w:rPr>
            </w:pPr>
          </w:p>
        </w:tc>
      </w:tr>
      <w:tr>
        <w:trPr>
          <w:trHeight w:val="234"/>
        </w:trPr>
        <w:tc>
          <w:tcPr>
            <w:tcW w:w="9280" w:type="dxa"/>
            <w:vAlign w:val="bottom"/>
          </w:tcPr>
          <w:p>
            <w:pPr>
              <w:jc w:val="center"/>
              <w:ind w:left="1870"/>
              <w:spacing w:after="0"/>
              <w:rPr>
                <w:sz w:val="20"/>
                <w:szCs w:val="20"/>
                <w:color w:val="auto"/>
              </w:rPr>
            </w:pPr>
            <w:r>
              <w:rPr>
                <w:rFonts w:ascii="Arial" w:cs="Arial" w:eastAsia="Arial" w:hAnsi="Arial"/>
                <w:sz w:val="18"/>
                <w:szCs w:val="18"/>
                <w:b w:val="1"/>
                <w:bCs w:val="1"/>
                <w:color w:val="auto"/>
              </w:rPr>
              <w:t>FINANCIAL STATEMENT SCHEDULE</w:t>
            </w:r>
          </w:p>
        </w:tc>
        <w:tc>
          <w:tcPr>
            <w:tcW w:w="1960" w:type="dxa"/>
            <w:vAlign w:val="bottom"/>
          </w:tcPr>
          <w:p>
            <w:pPr>
              <w:spacing w:after="0"/>
              <w:rPr>
                <w:sz w:val="20"/>
                <w:szCs w:val="20"/>
                <w:color w:val="auto"/>
              </w:rPr>
            </w:pPr>
          </w:p>
        </w:tc>
      </w:tr>
      <w:tr>
        <w:trPr>
          <w:trHeight w:val="432"/>
        </w:trPr>
        <w:tc>
          <w:tcPr>
            <w:tcW w:w="9280" w:type="dxa"/>
            <w:vAlign w:val="bottom"/>
          </w:tcPr>
          <w:p>
            <w:pPr>
              <w:spacing w:after="0"/>
              <w:rPr>
                <w:sz w:val="24"/>
                <w:szCs w:val="24"/>
                <w:color w:val="auto"/>
              </w:rPr>
            </w:pPr>
          </w:p>
        </w:tc>
        <w:tc>
          <w:tcPr>
            <w:tcW w:w="1960" w:type="dxa"/>
            <w:vAlign w:val="bottom"/>
          </w:tcPr>
          <w:p>
            <w:pPr>
              <w:ind w:left="1100"/>
              <w:spacing w:after="0"/>
              <w:rPr>
                <w:sz w:val="20"/>
                <w:szCs w:val="20"/>
                <w:color w:val="auto"/>
              </w:rPr>
            </w:pPr>
            <w:r>
              <w:rPr>
                <w:rFonts w:ascii="Arial" w:cs="Arial" w:eastAsia="Arial" w:hAnsi="Arial"/>
                <w:sz w:val="18"/>
                <w:szCs w:val="18"/>
                <w:b w:val="1"/>
                <w:bCs w:val="1"/>
                <w:color w:val="auto"/>
              </w:rPr>
              <w:t>Page</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- 1</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9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Balance Sheets as of December 31, 2019 and 2018</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- 2</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2019 and 2018</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- 3</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Earnings for the years ended December 31, 2019 and 2018</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- 4</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2019 and 2018</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- 5</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Cash Flows for the years ended December 31, 2019 and 2018</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- 6</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9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 - 7</w:t>
            </w: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w:t>
            </w:r>
          </w:p>
        </w:tc>
        <w:tc>
          <w:tcPr>
            <w:tcW w:w="19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F-25</w:t>
            </w:r>
          </w:p>
        </w:tc>
      </w:tr>
      <w:tr>
        <w:trPr>
          <w:trHeight w:val="459"/>
        </w:trPr>
        <w:tc>
          <w:tcPr>
            <w:tcW w:w="9280" w:type="dxa"/>
            <w:vAlign w:val="bottom"/>
          </w:tcPr>
          <w:p>
            <w:pPr>
              <w:jc w:val="center"/>
              <w:ind w:left="1870"/>
              <w:spacing w:after="0"/>
              <w:rPr>
                <w:sz w:val="20"/>
                <w:szCs w:val="20"/>
                <w:color w:val="auto"/>
              </w:rPr>
            </w:pPr>
            <w:r>
              <w:rPr>
                <w:rFonts w:ascii="Arial" w:cs="Arial" w:eastAsia="Arial" w:hAnsi="Arial"/>
                <w:sz w:val="18"/>
                <w:szCs w:val="18"/>
                <w:color w:val="auto"/>
              </w:rPr>
              <w:t>-34-</w:t>
            </w:r>
          </w:p>
        </w:tc>
        <w:tc>
          <w:tcPr>
            <w:tcW w:w="1960" w:type="dxa"/>
            <w:vAlign w:val="bottom"/>
          </w:tcPr>
          <w:p>
            <w:pPr>
              <w:spacing w:after="0"/>
              <w:rPr>
                <w:sz w:val="24"/>
                <w:szCs w:val="24"/>
                <w:color w:val="auto"/>
              </w:rPr>
            </w:pPr>
          </w:p>
        </w:tc>
      </w:tr>
      <w:tr>
        <w:trPr>
          <w:trHeight w:val="358"/>
        </w:trPr>
        <w:tc>
          <w:tcPr>
            <w:tcW w:w="9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inTEST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have audited the accompanying consolidated balance sheets of inTEST Corporation and its subsidiaries (the Company) as of December 31, 2019 and 2018, the related consolidated statements of operations, comprehensive earnings, stockholders' equity and cash flows for the years then ended, and the related notes to the consolidated financial statements and schedule (collectively, the financial statements). In our opinion, the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No. 2016-02</w:t>
      </w:r>
    </w:p>
    <w:p>
      <w:pPr>
        <w:spacing w:after="0" w:line="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 xml:space="preserve">As discussed in Note 2 to the financial statements, the Company changed its method of accounting for leases in 2019 due to the adoption of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its related amendments.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2020</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$211 and $233, respectively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9,296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10,563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24,895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35,621</w:t>
            </w: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5,269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5,166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Gross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7,693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(4,790)</w:t>
            </w:r>
          </w:p>
        </w:tc>
      </w:tr>
      <w:tr>
        <w:trPr>
          <w:trHeight w:val="209"/>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property and equipment</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Restricted certificates of deposit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4,842</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13,738</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14,911</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230"/>
        </w:trPr>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09"/>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59,715</w:t>
            </w: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67,187</w:t>
            </w:r>
          </w:p>
        </w:tc>
        <w:tc>
          <w:tcPr>
            <w:tcW w:w="2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Earnout payable</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12,167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24,307</w:t>
            </w:r>
          </w:p>
        </w:tc>
      </w:tr>
      <w:tr>
        <w:trPr>
          <w:trHeight w:val="209"/>
        </w:trPr>
        <w:tc>
          <w:tcPr>
            <w:tcW w:w="80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10,413,982 and 10,523,035 shares issued,</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15,683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stock, at cost; 33,077 shares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59,715</w:t>
            </w:r>
          </w:p>
        </w:tc>
        <w:tc>
          <w:tcPr>
            <w:tcW w:w="12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67,187</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39,401</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12,801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contingent consideration liability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26,676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34,221</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10,373,164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10,347,947</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10,391,975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10,382,194</w:t>
            </w:r>
          </w:p>
        </w:tc>
      </w:tr>
      <w:tr>
        <w:trPr>
          <w:trHeight w:val="418"/>
        </w:trPr>
        <w:tc>
          <w:tcPr>
            <w:tcW w:w="8000" w:type="dxa"/>
            <w:vAlign w:val="bottom"/>
          </w:tcPr>
          <w:p>
            <w:pPr>
              <w:ind w:left="33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7"/>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8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2,322</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r>
      <w:tr>
        <w:trPr>
          <w:trHeight w:val="216"/>
        </w:trPr>
        <w:tc>
          <w:tcPr>
            <w:tcW w:w="3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 adjustments</w:t>
            </w:r>
          </w:p>
        </w:tc>
        <w:tc>
          <w:tcPr>
            <w:tcW w:w="4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0"/>
        </w:trPr>
        <w:tc>
          <w:tcPr>
            <w:tcW w:w="316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48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3160" w:type="dxa"/>
            <w:vAlign w:val="bottom"/>
          </w:tcPr>
          <w:p>
            <w:pPr>
              <w:spacing w:after="0"/>
              <w:rPr>
                <w:sz w:val="24"/>
                <w:szCs w:val="24"/>
                <w:color w:val="auto"/>
              </w:rPr>
            </w:pPr>
          </w:p>
        </w:tc>
        <w:tc>
          <w:tcPr>
            <w:tcW w:w="5820" w:type="dxa"/>
            <w:vAlign w:val="bottom"/>
            <w:gridSpan w:val="2"/>
          </w:tcPr>
          <w:p>
            <w:pPr>
              <w:jc w:val="right"/>
              <w:ind w:right="99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5820" w:type="dxa"/>
            <w:vAlign w:val="bottom"/>
            <w:gridSpan w:val="2"/>
          </w:tcPr>
          <w:p>
            <w:pPr>
              <w:jc w:val="right"/>
              <w:ind w:right="3150"/>
              <w:spacing w:after="0"/>
              <w:rPr>
                <w:sz w:val="20"/>
                <w:szCs w:val="20"/>
                <w:color w:val="auto"/>
              </w:rPr>
            </w:pPr>
            <w:r>
              <w:rPr>
                <w:rFonts w:ascii="Arial" w:cs="Arial" w:eastAsia="Arial" w:hAnsi="Arial"/>
                <w:sz w:val="18"/>
                <w:szCs w:val="18"/>
                <w:color w:val="auto"/>
              </w:rPr>
              <w:t>F-4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1500" w:type="dxa"/>
            <w:vAlign w:val="bottom"/>
            <w:gridSpan w:val="3"/>
            <w:vMerge w:val="restart"/>
          </w:tcPr>
          <w:p>
            <w:pPr>
              <w:ind w:left="300"/>
              <w:spacing w:after="0"/>
              <w:rPr>
                <w:sz w:val="20"/>
                <w:szCs w:val="20"/>
                <w:color w:val="auto"/>
              </w:rPr>
            </w:pPr>
            <w:r>
              <w:rPr>
                <w:rFonts w:ascii="Arial" w:cs="Arial" w:eastAsia="Arial" w:hAnsi="Arial"/>
                <w:sz w:val="18"/>
                <w:szCs w:val="18"/>
                <w:b w:val="1"/>
                <w:bCs w:val="1"/>
                <w:color w:val="auto"/>
                <w:w w:val="89"/>
              </w:rPr>
              <w:t>Common Stock</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10,427,435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of deferred compensation related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awards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7"/>
              </w:rPr>
              <w:t>Issuance of unvested shares of restricted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95,600</w:t>
            </w:r>
          </w:p>
        </w:tc>
        <w:tc>
          <w:tcPr>
            <w:tcW w:w="36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10,523,035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105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26,513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15,683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w w:val="94"/>
              </w:rPr>
              <w:t>Amortization of deferred compensation related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stock-based awards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unvested shares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132,580</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6"/>
              </w:rPr>
              <w:t>Forfeiture of unvested shares of restricted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(12,325)</w:t>
            </w:r>
          </w:p>
        </w:tc>
        <w:tc>
          <w:tcPr>
            <w:tcW w:w="36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common stock</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(229,308)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10,413,982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gridSpan w:val="15"/>
          </w:tcPr>
          <w:p>
            <w:pPr>
              <w:jc w:val="center"/>
              <w:ind w:left="32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F-5</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2,322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earnout related to Ambrell acquisition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(12,167)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Adjustment to earnout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12,645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 to contingent consideration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loss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 expense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Restricted certificates of deposit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wages and benefits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professional fees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sales commission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Federal transition tax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10,960</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Payment of earnout for 2017 related to Ambrell acquisition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520" w:hanging="1248"/>
        <w:spacing w:after="0"/>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(4,123)</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(620)</w:t>
      </w:r>
      <w:r>
        <w:rPr>
          <w:rFonts w:ascii="Arial" w:cs="Arial" w:eastAsia="Arial" w:hAnsi="Arial"/>
          <w:sz w:val="17"/>
          <w:szCs w:val="17"/>
          <w:color w:val="auto"/>
        </w:rPr>
        <w:t>(2,212)</w:t>
      </w:r>
    </w:p>
    <w:p>
      <w:pPr>
        <w:spacing w:after="0" w:line="2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(620)</w:t>
      </w:r>
      <w:r>
        <w:rPr>
          <w:rFonts w:ascii="Arial" w:cs="Arial" w:eastAsia="Arial" w:hAnsi="Arial"/>
          <w:sz w:val="17"/>
          <w:szCs w:val="17"/>
          <w:color w:val="auto"/>
        </w:rPr>
        <w:t>(6,335)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-139065</wp:posOffset>
            </wp:positionV>
            <wp:extent cx="1988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2100"/>
          </w:cols>
          <w:pgMar w:left="320" w:top="823"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(10,249)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4,571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7,612</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17,861</w:t>
            </w:r>
          </w:p>
        </w:tc>
      </w:tr>
      <w:tr>
        <w:trPr>
          <w:trHeight w:val="20"/>
        </w:trPr>
        <w:tc>
          <w:tcPr>
            <w:tcW w:w="8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payments for:</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Domestic and foreign income taxes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16"/>
        </w:trPr>
        <w:tc>
          <w:tcPr>
            <w:tcW w:w="8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unvested shares of restricted stock</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Forfeiture of unvested shares of restricted stock</w:t>
            </w: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1" w:name="page42"/>
    <w:bookmarkEnd w:id="41"/>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2" w:hanging="492"/>
        <w:spacing w:after="0"/>
        <w:tabs>
          <w:tab w:leader="none" w:pos="49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492"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which are also our reportable segments: Thermal Products ("Thermal") and Electromechanical Semiconductor Products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64" w:lineRule="exact"/>
        <w:rPr>
          <w:rFonts w:ascii="Arial" w:cs="Arial" w:eastAsia="Arial" w:hAnsi="Arial"/>
          <w:sz w:val="18"/>
          <w:szCs w:val="18"/>
          <w:b w:val="1"/>
          <w:bCs w:val="1"/>
          <w:color w:val="auto"/>
        </w:rPr>
      </w:pPr>
    </w:p>
    <w:p>
      <w:pPr>
        <w:ind w:left="492"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Our Thermal segment sells its products to many of these same types of customer; however, it also sells into a variety of other markets, including the automotive, defense/aerospace, energy, industrial and telecommunications markets. As a result of the acquisition of Ambrell Corporation (“Ambrell”) in May 2017, our Thermal segment also sells into the consumer products packaging, fiber optics and other sectors within the broader industrial market, and into the wafer processing sector within the broader semiconductor market.</w:t>
      </w:r>
    </w:p>
    <w:p>
      <w:pPr>
        <w:spacing w:after="0" w:line="194" w:lineRule="exact"/>
        <w:rPr>
          <w:rFonts w:ascii="Arial" w:cs="Arial" w:eastAsia="Arial" w:hAnsi="Arial"/>
          <w:sz w:val="18"/>
          <w:szCs w:val="18"/>
          <w:b w:val="1"/>
          <w:bCs w:val="1"/>
          <w:color w:val="auto"/>
        </w:rPr>
      </w:pPr>
    </w:p>
    <w:p>
      <w:pPr>
        <w:ind w:left="49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86" w:lineRule="exact"/>
        <w:rPr>
          <w:rFonts w:ascii="Arial" w:cs="Arial" w:eastAsia="Arial" w:hAnsi="Arial"/>
          <w:sz w:val="18"/>
          <w:szCs w:val="18"/>
          <w:b w:val="1"/>
          <w:bCs w:val="1"/>
          <w:color w:val="auto"/>
        </w:rPr>
      </w:pPr>
    </w:p>
    <w:p>
      <w:pPr>
        <w:ind w:left="492" w:right="8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Historically, we have referred to our markets as “Semiconductor” (which includes both the broader semiconductor market as well as the more specialized ATE and wafer processing sectors within the broader semiconductor market), and “Non-Semiconductor” (which includes all of the other markets we serve). Starting in the second quarter of 2019, we are referring to the broader semiconductor market, including the ATE and wafer processing sectors within that market, as the “Semi Market.” All other markets are designated as “Multimarket.” The Semi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492" w:right="6060" w:hanging="492"/>
        <w:spacing w:after="0" w:line="503" w:lineRule="auto"/>
        <w:tabs>
          <w:tab w:leader="none" w:pos="49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492"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have made an assessment of our operations and determined that there were no material subsequent events requiring adjustment to, or disclosure in, our consolidated financial statements for the year ended December 31, 2019 other than those described in Notes 13 and 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We recorded bad debt expense of $3 and $20 for the years ended December 31, 2019 and 2018, respectively. Cash flows from accounts receivable are recorded in operating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financial instruments, principally accounts receivable and accounts payable, are carried at cost which approximates fair value, due to the short maturities of the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200" w:lineRule="exact"/>
        <w:rPr>
          <w:sz w:val="20"/>
          <w:szCs w:val="20"/>
          <w:color w:val="auto"/>
        </w:rPr>
      </w:pPr>
    </w:p>
    <w:p>
      <w:pPr>
        <w:spacing w:after="0" w:line="23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43" w:name="page44"/>
    <w:bookmarkEnd w:id="43"/>
    <w:p>
      <w:pPr>
        <w:ind w:right="60"/>
        <w:spacing w:after="0" w:line="289" w:lineRule="auto"/>
        <w:rPr>
          <w:sz w:val="20"/>
          <w:szCs w:val="20"/>
          <w:color w:val="auto"/>
        </w:rPr>
      </w:pPr>
      <w:r>
        <w:rPr>
          <w:rFonts w:ascii="Arial" w:cs="Arial" w:eastAsia="Arial" w:hAnsi="Arial"/>
          <w:sz w:val="16"/>
          <w:szCs w:val="16"/>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net 45 or net 60 day payment terms. We generally do not provide a right of return to our customers. Revenue is recognized net of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sell thermal management products and semiconductor ATE interface solutions. Our thermal management products include ThermoStreams, ThermoChambers and process chillers, which we sell under our Temptronic, Sigma and Thermonics product lines, and Ambrell’s precision induction heating systems, including EkoHeat and EasyHeat products. Our semiconductor ATE interface solutions include manipulators, docking hardware and electrical interface products. We provide post-warranty service for the equipment we sell. We sell semiconductor ATE interface solutions and certain thermal management products to the Semi Market. We also sell our thermal management products to various other markets including the automotive, defense/aerospace, industrial and telecommunications markets.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4 and 15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$391 and $285 for the years ended December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Machinery and equipment are stated at cost, except for machinery and equipment acquired in a business combination, which are stated at fair value at the time of acquisition. As previously discussed above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$685 and $768 for the years ended December 31, 2019 and 2018, respectively.</w:t>
      </w:r>
    </w:p>
    <w:p>
      <w:pPr>
        <w:spacing w:after="0" w:line="17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right-of-use (“ROU”) assets and operating lease liabilities in our consolidated balance sheets. Finance leases are included in property and equipment and financing lease liabilities. We do not currently have any financing leases.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right of use assets is presented separately from the change in operating lease liabilities and is included in Depreciation and Amortization on our consolidated statements of cash flows.</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“Effect of Recently Adopted Amendments to Authoritative Accounting Guidance” below and Note 7 for further disclosures regarding our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may receive grants totaling up to $550 to help offset a portion of the cost of the leasehold improvements we have made to this facility. In exchange for the funds we may receive under these agreements, we are required to create and maintain specified levels of employment in this location through various dates ending in 2023. If we fail to meet these employment targets, we may be required to repay a proportionate share of the funds received. As of December 31, 2019, we have received $463 in grant funds. We do not expect to receive the remaining $87 of grant funds during 2020, as we currently do not expect to increase our number of employees to the level required to receive these funds during 2020. As of December 31, 2019, we are not in compliance with the employment targets as specified in the grant agreement with the city of Rochester. We have applied for and received a waiver of this requirement for the year ended December 31, 2019.</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recorded the amounts received under these agreements as a contingent liability on our balance sheet. As time passes, portions of the funds received will no longer be subject to repayment if we have met the employment requirements of the agreements. Amounts that we are irrevocably entitled to keep will be reclassified to deferred revenue and amortized to income on a straight-line basis over the remaining lease term for the Rochester facility.</w:t>
      </w:r>
    </w:p>
    <w:p>
      <w:pPr>
        <w:spacing w:after="0" w:line="18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2019 and 2018, foreign currency transaction losses were $3 and $165,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 See Note 10 for additional information regarding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2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88"/>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10,373,164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10,347,947</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Unvested shares of restricted stock and employee stock options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18,811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34,247</w:t>
            </w:r>
          </w:p>
        </w:tc>
      </w:tr>
      <w:tr>
        <w:trPr>
          <w:trHeight w:val="20"/>
        </w:trPr>
        <w:tc>
          <w:tcPr>
            <w:tcW w:w="7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outstanding–diluted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10,391,975</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10,382,194</w:t>
            </w:r>
          </w:p>
        </w:tc>
      </w:tr>
      <w:tr>
        <w:trPr>
          <w:trHeight w:val="20"/>
        </w:trPr>
        <w:tc>
          <w:tcPr>
            <w:tcW w:w="7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potentially dilutive securities excluded from calculation</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523,485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216,420</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February 2016, the Financial Accounting Standards Board (“FASB”) issued amendments to the current guidance on accounting for lease transactions, which is presented in ASC Topic 842. Subsequent to February 2016, the FASB has issued additional clarifying guidance on certain aspects of this new guidance, along with certain practical expedients that may be applied.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is required to record a ROU asset and a lease liability on the balance sheet for all leases with terms longer than 12 months. Leases are classified as either finance or operating, with classification affecting the pattern of expense recognition in the income statement. The two permitted transition methods under the guidance are the modified retrospective transition approach, which requires application of the guidance for all comparative periods presented, and the cumulative effect adjustment approach, which requires prospective application at the adoption date.</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20" w:top="584" w:right="379" w:bottom="1440" w:gutter="0" w:footer="0" w:header="0"/>
        </w:sectPr>
      </w:pPr>
    </w:p>
    <w:bookmarkStart w:id="47" w:name="page48"/>
    <w:bookmarkEnd w:id="47"/>
    <w:p>
      <w:pPr>
        <w:ind w:left="500"/>
        <w:spacing w:after="0" w:line="269" w:lineRule="auto"/>
        <w:rPr>
          <w:sz w:val="20"/>
          <w:szCs w:val="20"/>
          <w:color w:val="auto"/>
        </w:rPr>
      </w:pPr>
      <w:r>
        <w:rPr>
          <w:rFonts w:ascii="Arial" w:cs="Arial" w:eastAsia="Arial" w:hAnsi="Arial"/>
          <w:sz w:val="17"/>
          <w:szCs w:val="17"/>
          <w:color w:val="auto"/>
        </w:rPr>
        <w:t>The amendments were effective for us as of January 1, 2019. We adopted the amendments on January 1, 2019 using the cumulative effect adjustment approach. Accordingly, prior periods have not been restated. We have decided to elect the package of practical expedients, which includes the grandfathering of lease classification and, accordingly, we have not re-evaluated any of our leases for classification purposes in connection with the implementation of ASC Topic 842. They are all still being treated as operating leases under ASC Topic 842. We do not currently have any lease contracts that meet the criteria to be categorized as financing leases under ASC Topic 842. We have no embedded leases, nor do we have any initial direct costs. We are not electing the hindsight practical expedient and therefore are not reevaluating the lease terms that we used under ASC Topic 840.The implementation of this new guidance had a significant impact on our consolidated balance sheet as a result of recording ROU assets and lease liabilities for all of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this new guidance did not have a significant impact on our pattern of expense recognition for any of our multi-year leases. See “Leases” above and Note 7 for further disclosures regarding our leases.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In June 2016, the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192" w:lineRule="exact"/>
        <w:rPr>
          <w:sz w:val="20"/>
          <w:szCs w:val="20"/>
          <w:color w:val="auto"/>
        </w:rPr>
      </w:pPr>
    </w:p>
    <w:p>
      <w:pPr>
        <w:ind w:left="500"/>
        <w:spacing w:after="0" w:line="301" w:lineRule="auto"/>
        <w:rPr>
          <w:sz w:val="20"/>
          <w:szCs w:val="20"/>
          <w:color w:val="auto"/>
        </w:rPr>
      </w:pPr>
      <w:r>
        <w:rPr>
          <w:rFonts w:ascii="Arial" w:cs="Arial" w:eastAsia="Arial" w:hAnsi="Arial"/>
          <w:sz w:val="16"/>
          <w:szCs w:val="16"/>
          <w:color w:val="auto"/>
        </w:rPr>
        <w:t>In December 2019, the FASB issued amendments to the accounting for income taxes, which add new guidance to simplify the accounting for income taxes by removing certain exceptions to the general principles in ASC Topic 740 (Income Taxes) and changing the accounting for certain income tax transactions. The amendments are effective for us as of January 1, 2021. Early adoption is permitted. We plan to adopt the amendments when they become effective for us on January 1, 2021. We do not expect these amendments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50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Goodwill totaled $13,738 at both December 31, 2019 and 2018 and was comprised of the following:</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Sigma</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Thermonics</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Ambrell</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the carrying value of finite-lived intangible assets for the years ended December 31, 2019 and 2018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2018</w:t>
            </w:r>
          </w:p>
        </w:tc>
        <w:tc>
          <w:tcPr>
            <w:tcW w:w="44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9,304</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Amortization</w:t>
            </w: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176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38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Amortization</w:t>
            </w: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(1,257)</w:t>
            </w:r>
          </w:p>
        </w:tc>
        <w:tc>
          <w:tcPr>
            <w:tcW w:w="1760" w:type="dxa"/>
            <w:vAlign w:val="bottom"/>
          </w:tcPr>
          <w:p>
            <w:pPr>
              <w:spacing w:after="0"/>
              <w:rPr>
                <w:sz w:val="18"/>
                <w:szCs w:val="18"/>
                <w:color w:val="auto"/>
              </w:rPr>
            </w:pPr>
          </w:p>
        </w:tc>
      </w:tr>
      <w:tr>
        <w:trPr>
          <w:trHeight w:val="249"/>
        </w:trPr>
        <w:tc>
          <w:tcPr>
            <w:tcW w:w="50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3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00" w:type="dxa"/>
            <w:vAlign w:val="bottom"/>
            <w:gridSpan w:val="2"/>
          </w:tcPr>
          <w:p>
            <w:pPr>
              <w:jc w:val="right"/>
              <w:ind w:right="2550"/>
              <w:spacing w:after="0"/>
              <w:rPr>
                <w:sz w:val="20"/>
                <w:szCs w:val="20"/>
                <w:color w:val="auto"/>
              </w:rPr>
            </w:pPr>
            <w:r>
              <w:rPr>
                <w:rFonts w:ascii="Arial" w:cs="Arial" w:eastAsia="Arial" w:hAnsi="Arial"/>
                <w:sz w:val="18"/>
                <w:szCs w:val="18"/>
                <w:color w:val="auto"/>
              </w:rPr>
              <w:t>F-13</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tables provide further detail about our intangible assets as of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10,480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3,805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4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18,790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5,136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r>
      <w:tr>
        <w:trPr>
          <w:trHeight w:val="20"/>
        </w:trPr>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10,480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7,763</w:t>
            </w: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4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18,790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r>
      <w:tr>
        <w:trPr>
          <w:trHeight w:val="20"/>
        </w:trPr>
        <w:tc>
          <w:tcPr>
            <w:tcW w:w="4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Total amortization expense for our finite-lived intangible assets was $1,257 and $1,103, respectively, for the years ended December 31, 2019 and 2018. The following table sets forth the estimated annual amortization expense for each of the next five years:</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96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w w:val="84"/>
              </w:rPr>
              <w:t>2020</w:t>
            </w:r>
          </w:p>
        </w:tc>
        <w:tc>
          <w:tcPr>
            <w:tcW w:w="4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16"/>
        </w:trPr>
        <w:tc>
          <w:tcPr>
            <w:tcW w:w="3960" w:type="dxa"/>
            <w:vAlign w:val="bottom"/>
          </w:tcPr>
          <w:p>
            <w:pPr>
              <w:jc w:val="right"/>
              <w:ind w:right="3510"/>
              <w:spacing w:after="0"/>
              <w:rPr>
                <w:sz w:val="20"/>
                <w:szCs w:val="20"/>
                <w:color w:val="auto"/>
              </w:rPr>
            </w:pPr>
            <w:r>
              <w:rPr>
                <w:rFonts w:ascii="Arial" w:cs="Arial" w:eastAsia="Arial" w:hAnsi="Arial"/>
                <w:sz w:val="18"/>
                <w:szCs w:val="18"/>
                <w:color w:val="auto"/>
                <w:w w:val="84"/>
              </w:rPr>
              <w:t>2021</w:t>
            </w:r>
          </w:p>
        </w:tc>
        <w:tc>
          <w:tcPr>
            <w:tcW w:w="4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396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w w:val="84"/>
              </w:rPr>
              <w:t>2022</w:t>
            </w:r>
          </w:p>
        </w:tc>
        <w:tc>
          <w:tcPr>
            <w:tcW w:w="4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3960" w:type="dxa"/>
            <w:vAlign w:val="bottom"/>
          </w:tcPr>
          <w:p>
            <w:pPr>
              <w:jc w:val="right"/>
              <w:ind w:right="3510"/>
              <w:spacing w:after="0"/>
              <w:rPr>
                <w:sz w:val="20"/>
                <w:szCs w:val="20"/>
                <w:color w:val="auto"/>
              </w:rPr>
            </w:pPr>
            <w:r>
              <w:rPr>
                <w:rFonts w:ascii="Arial" w:cs="Arial" w:eastAsia="Arial" w:hAnsi="Arial"/>
                <w:sz w:val="18"/>
                <w:szCs w:val="18"/>
                <w:color w:val="auto"/>
                <w:w w:val="84"/>
              </w:rPr>
              <w:t>2023</w:t>
            </w:r>
          </w:p>
        </w:tc>
        <w:tc>
          <w:tcPr>
            <w:tcW w:w="4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16"/>
        </w:trPr>
        <w:tc>
          <w:tcPr>
            <w:tcW w:w="3960" w:type="dxa"/>
            <w:vAlign w:val="bottom"/>
            <w:shd w:val="clear" w:color="auto" w:fill="CCEEFF"/>
          </w:tcPr>
          <w:p>
            <w:pPr>
              <w:jc w:val="right"/>
              <w:ind w:right="3510"/>
              <w:spacing w:after="0"/>
              <w:rPr>
                <w:sz w:val="20"/>
                <w:szCs w:val="20"/>
                <w:color w:val="auto"/>
              </w:rPr>
            </w:pPr>
            <w:r>
              <w:rPr>
                <w:rFonts w:ascii="Arial" w:cs="Arial" w:eastAsia="Arial" w:hAnsi="Arial"/>
                <w:sz w:val="18"/>
                <w:szCs w:val="18"/>
                <w:color w:val="auto"/>
                <w:w w:val="84"/>
              </w:rPr>
              <w:t>2024</w:t>
            </w:r>
          </w:p>
        </w:tc>
        <w:tc>
          <w:tcPr>
            <w:tcW w:w="4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December 2019 and 2018, we assessed our goodwill and indefinite life intangible asset for impairment in accordance with the requirements of ASC Topic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rates used in 2019 and 2018 for the discounted cash flows were 20.0% and 18.5%, respectively. The selection of these rates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6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820" w:top="584" w:right="479" w:bottom="1440" w:gutter="0" w:footer="0" w:header="0"/>
        </w:sectPr>
      </w:pPr>
    </w:p>
    <w:bookmarkStart w:id="49" w:name="page50"/>
    <w:bookmarkEnd w:id="49"/>
    <w:p>
      <w:pPr>
        <w:ind w:left="492" w:right="300"/>
        <w:spacing w:after="0" w:line="342" w:lineRule="auto"/>
        <w:rPr>
          <w:sz w:val="20"/>
          <w:szCs w:val="20"/>
          <w:color w:val="auto"/>
        </w:rPr>
      </w:pPr>
      <w:r>
        <w:rPr>
          <w:rFonts w:ascii="Arial" w:cs="Arial" w:eastAsia="Arial" w:hAnsi="Arial"/>
          <w:sz w:val="16"/>
          <w:szCs w:val="16"/>
          <w:color w:val="auto"/>
        </w:rPr>
        <w:t>During the goodwill impairment assessment in both 2019 and 2018, we compared the fair value of our Thermal reporting unit with its carrying value. This assessment indicated no impairment existed as the fair value of the reporting unit exceeded its carrying value in both 2019 and 2018.</w:t>
      </w:r>
    </w:p>
    <w:p>
      <w:pPr>
        <w:spacing w:after="0" w:line="124" w:lineRule="exact"/>
        <w:rPr>
          <w:sz w:val="20"/>
          <w:szCs w:val="20"/>
          <w:color w:val="auto"/>
        </w:rPr>
      </w:pPr>
    </w:p>
    <w:p>
      <w:pPr>
        <w:ind w:left="492" w:right="60"/>
        <w:spacing w:after="0" w:line="263" w:lineRule="auto"/>
        <w:rPr>
          <w:sz w:val="20"/>
          <w:szCs w:val="20"/>
          <w:color w:val="auto"/>
        </w:rPr>
      </w:pPr>
      <w:r>
        <w:rPr>
          <w:rFonts w:ascii="Arial" w:cs="Arial" w:eastAsia="Arial" w:hAnsi="Arial"/>
          <w:sz w:val="18"/>
          <w:szCs w:val="18"/>
          <w:color w:val="auto"/>
        </w:rPr>
        <w:t>During the indefinite life intangible asset impairment assessment in both 2019 and 2018, we compared the fair value of our indefinite life intangible assets with their carrying values. This assessment indicated no impairment existed as the fair value of the indefinite life intangible assets exceeded their carrying values in both 2019 and 2018.</w:t>
      </w:r>
    </w:p>
    <w:p>
      <w:pPr>
        <w:spacing w:after="0" w:line="184"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492" w:right="80"/>
        <w:spacing w:after="0" w:line="277" w:lineRule="auto"/>
        <w:rPr>
          <w:sz w:val="20"/>
          <w:szCs w:val="20"/>
          <w:color w:val="auto"/>
        </w:rPr>
      </w:pPr>
      <w:r>
        <w:rPr>
          <w:rFonts w:ascii="Arial" w:cs="Arial" w:eastAsia="Arial" w:hAnsi="Arial"/>
          <w:sz w:val="18"/>
          <w:szCs w:val="18"/>
          <w:color w:val="auto"/>
        </w:rPr>
        <w:t>During 2019 and 2018, we did not review any of our long-lived assets for impairment as there were no events or changes in business circumstances that would indicate an impairment might exist.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 w:hanging="492"/>
        <w:spacing w:after="0"/>
        <w:tabs>
          <w:tab w:leader="none" w:pos="49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492"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15 for information about revenue by operating segment and geographic region.</w:t>
      </w:r>
    </w:p>
    <w:p>
      <w:pPr>
        <w:spacing w:after="0" w:line="142"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End user</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55,074</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68,093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10,470</w:t>
            </w:r>
          </w:p>
        </w:tc>
      </w:tr>
      <w:tr>
        <w:trPr>
          <w:trHeight w:val="20"/>
        </w:trPr>
        <w:tc>
          <w:tcPr>
            <w:tcW w:w="5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60,660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78,563</w:t>
            </w:r>
          </w:p>
        </w:tc>
      </w:tr>
      <w:tr>
        <w:trPr>
          <w:trHeight w:val="20"/>
        </w:trPr>
        <w:tc>
          <w:tcPr>
            <w:tcW w:w="5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product type:</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Thermal test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17,631</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23,654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Thermal process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20,079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25,739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Semiconductor test</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16,273</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21,445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Service/other</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7,725</w:t>
            </w:r>
          </w:p>
        </w:tc>
      </w:tr>
      <w:tr>
        <w:trPr>
          <w:trHeight w:val="20"/>
        </w:trPr>
        <w:tc>
          <w:tcPr>
            <w:tcW w:w="5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60,660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78,563</w:t>
            </w:r>
          </w:p>
        </w:tc>
      </w:tr>
      <w:tr>
        <w:trPr>
          <w:trHeight w:val="20"/>
        </w:trPr>
        <w:tc>
          <w:tcPr>
            <w:tcW w:w="5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Net revenues by market: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Semi</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30,953</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45,378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21,231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21,220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Defense/aerospace</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4,842</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4,943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Multimarket</w:t>
            </w: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1,789</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1,448</w:t>
            </w:r>
          </w:p>
        </w:tc>
      </w:tr>
      <w:tr>
        <w:trPr>
          <w:trHeight w:val="20"/>
        </w:trPr>
        <w:tc>
          <w:tcPr>
            <w:tcW w:w="5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60,660</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78,563</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Changes in the amount of the allowance for doubtful accounts for the years ended December 31, 2019 and 2018 are as follows:</w:t>
      </w:r>
    </w:p>
    <w:p>
      <w:pPr>
        <w:sectPr>
          <w:pgSz w:w="11900" w:h="16838" w:orient="portrait"/>
          <w:cols w:equalWidth="0" w:num="1">
            <w:col w:w="11192"/>
          </w:cols>
          <w:pgMar w:left="328" w:top="584" w:right="379" w:bottom="1440" w:gutter="0" w:footer="0" w:header="0"/>
        </w:sectPr>
      </w:pPr>
    </w:p>
    <w:p>
      <w:pPr>
        <w:spacing w:after="0" w:line="225" w:lineRule="exact"/>
        <w:rPr>
          <w:sz w:val="20"/>
          <w:szCs w:val="20"/>
          <w:color w:val="auto"/>
        </w:rPr>
      </w:pPr>
    </w:p>
    <w:p>
      <w:pPr>
        <w:ind w:left="972"/>
        <w:spacing w:after="0"/>
        <w:rPr>
          <w:sz w:val="20"/>
          <w:szCs w:val="20"/>
          <w:color w:val="auto"/>
        </w:rPr>
      </w:pPr>
      <w:r>
        <w:rPr>
          <w:rFonts w:ascii="Arial" w:cs="Arial" w:eastAsia="Arial" w:hAnsi="Arial"/>
          <w:sz w:val="18"/>
          <w:szCs w:val="18"/>
          <w:color w:val="auto"/>
        </w:rPr>
        <w:t>Balance -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-121920</wp:posOffset>
            </wp:positionV>
            <wp:extent cx="570039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972"/>
        <w:spacing w:after="0"/>
        <w:rPr>
          <w:sz w:val="20"/>
          <w:szCs w:val="20"/>
          <w:color w:val="auto"/>
        </w:rPr>
      </w:pPr>
      <w:r>
        <w:rPr>
          <w:rFonts w:ascii="Arial" w:cs="Arial" w:eastAsia="Arial" w:hAnsi="Arial"/>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5715</wp:posOffset>
            </wp:positionV>
            <wp:extent cx="570039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972"/>
        <w:spacing w:after="0"/>
        <w:rPr>
          <w:sz w:val="20"/>
          <w:szCs w:val="20"/>
          <w:color w:val="auto"/>
        </w:rPr>
      </w:pPr>
      <w:r>
        <w:rPr>
          <w:rFonts w:ascii="Arial" w:cs="Arial" w:eastAsia="Arial" w:hAnsi="Arial"/>
          <w:sz w:val="18"/>
          <w:szCs w:val="18"/>
          <w:color w:val="auto"/>
        </w:rPr>
        <w:t>Write-offs</w:t>
      </w:r>
    </w:p>
    <w:p>
      <w:pPr>
        <w:spacing w:after="0" w:line="23" w:lineRule="exact"/>
        <w:rPr>
          <w:sz w:val="20"/>
          <w:szCs w:val="20"/>
          <w:color w:val="auto"/>
        </w:rPr>
      </w:pPr>
    </w:p>
    <w:p>
      <w:pPr>
        <w:ind w:left="972"/>
        <w:spacing w:after="0"/>
        <w:rPr>
          <w:sz w:val="20"/>
          <w:szCs w:val="20"/>
          <w:color w:val="auto"/>
        </w:rPr>
      </w:pPr>
      <w:r>
        <w:rPr>
          <w:rFonts w:ascii="Arial" w:cs="Arial" w:eastAsia="Arial" w:hAnsi="Arial"/>
          <w:sz w:val="16"/>
          <w:szCs w:val="16"/>
          <w:color w:val="auto"/>
        </w:rPr>
        <w:t>Balance -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20320</wp:posOffset>
            </wp:positionV>
            <wp:extent cx="570039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2" w:lineRule="exact"/>
        <w:rPr>
          <w:sz w:val="20"/>
          <w:szCs w:val="20"/>
          <w:color w:val="auto"/>
        </w:rPr>
      </w:pPr>
    </w:p>
    <w:p>
      <w:pPr>
        <w:ind w:left="972"/>
        <w:spacing w:after="0"/>
        <w:rPr>
          <w:sz w:val="20"/>
          <w:szCs w:val="20"/>
          <w:color w:val="auto"/>
        </w:rPr>
      </w:pPr>
      <w:r>
        <w:rPr>
          <w:rFonts w:ascii="Arial" w:cs="Arial" w:eastAsia="Arial" w:hAnsi="Arial"/>
          <w:sz w:val="18"/>
          <w:szCs w:val="18"/>
          <w:color w:val="auto"/>
        </w:rPr>
        <w:t>Bad debt expense</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14605</wp:posOffset>
            </wp:positionV>
            <wp:extent cx="570039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9" w:lineRule="exact"/>
        <w:rPr>
          <w:sz w:val="20"/>
          <w:szCs w:val="20"/>
          <w:color w:val="auto"/>
        </w:rPr>
      </w:pPr>
    </w:p>
    <w:p>
      <w:pPr>
        <w:ind w:left="972"/>
        <w:spacing w:after="0"/>
        <w:rPr>
          <w:sz w:val="20"/>
          <w:szCs w:val="20"/>
          <w:color w:val="auto"/>
        </w:rPr>
      </w:pPr>
      <w:r>
        <w:rPr>
          <w:rFonts w:ascii="Arial" w:cs="Arial" w:eastAsia="Arial" w:hAnsi="Arial"/>
          <w:sz w:val="16"/>
          <w:szCs w:val="16"/>
          <w:color w:val="auto"/>
        </w:rPr>
        <w:t>Balance - December 31,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2" w:hanging="492"/>
        <w:spacing w:after="0"/>
        <w:tabs>
          <w:tab w:leader="none" w:pos="49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249" w:hanging="1249"/>
        <w:spacing w:after="0"/>
        <w:tabs>
          <w:tab w:leader="none" w:pos="1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213</w:t>
      </w:r>
    </w:p>
    <w:p>
      <w:pPr>
        <w:spacing w:after="0" w:line="23" w:lineRule="exact"/>
        <w:rPr>
          <w:rFonts w:ascii="Arial" w:cs="Arial" w:eastAsia="Arial" w:hAnsi="Arial"/>
          <w:sz w:val="18"/>
          <w:szCs w:val="18"/>
          <w:color w:val="auto"/>
        </w:rPr>
      </w:pPr>
    </w:p>
    <w:p>
      <w:pPr>
        <w:ind w:left="1349"/>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9"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233</w:t>
      </w:r>
    </w:p>
    <w:p>
      <w:pPr>
        <w:spacing w:after="0" w:line="23"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269" w:hanging="1269"/>
        <w:spacing w:after="0"/>
        <w:tabs>
          <w:tab w:leader="none" w:pos="1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211</w:t>
      </w:r>
    </w:p>
    <w:p>
      <w:pPr>
        <w:spacing w:after="0" w:line="1126" w:lineRule="exact"/>
        <w:rPr>
          <w:sz w:val="20"/>
          <w:szCs w:val="20"/>
          <w:color w:val="auto"/>
        </w:rPr>
      </w:pPr>
    </w:p>
    <w:p>
      <w:pPr>
        <w:sectPr>
          <w:pgSz w:w="11900" w:h="16838" w:orient="portrait"/>
          <w:cols w:equalWidth="0" w:num="2">
            <w:col w:w="7623" w:space="720"/>
            <w:col w:w="2849"/>
          </w:cols>
          <w:pgMar w:left="328" w:top="584" w:right="379" w:bottom="1440" w:gutter="0" w:footer="0" w:header="0"/>
          <w:type w:val="continuous"/>
        </w:sectPr>
      </w:pPr>
    </w:p>
    <w:p>
      <w:pPr>
        <w:spacing w:after="0" w:line="29" w:lineRule="exact"/>
        <w:rPr>
          <w:sz w:val="20"/>
          <w:szCs w:val="20"/>
          <w:color w:val="auto"/>
        </w:rPr>
      </w:pPr>
    </w:p>
    <w:p>
      <w:pPr>
        <w:ind w:left="492"/>
        <w:spacing w:after="0" w:line="311" w:lineRule="auto"/>
        <w:rPr>
          <w:sz w:val="20"/>
          <w:szCs w:val="20"/>
          <w:color w:val="auto"/>
        </w:rPr>
      </w:pPr>
      <w:r>
        <w:rPr>
          <w:rFonts w:ascii="Arial" w:cs="Arial" w:eastAsia="Arial" w:hAnsi="Arial"/>
          <w:sz w:val="16"/>
          <w:szCs w:val="16"/>
          <w:color w:val="auto"/>
        </w:rPr>
        <w:t>During the years ended December 31, 2019 and 2018, Texas Instruments Incorporated accounted for 10% and 11% of our consolidated net revenues, respectively. While both of our operating segments sold products to this customer, these revenues were primarily generated by our EMS segment. During the years ended December 31, 2019 and 2018, no other customer accounted for 10% or more of our consolidated net revenues.</w:t>
      </w:r>
    </w:p>
    <w:p>
      <w:pPr>
        <w:spacing w:after="0" w:line="1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type w:val="continuous"/>
        </w:sectPr>
      </w:pPr>
    </w:p>
    <w:bookmarkStart w:id="50" w:name="page51"/>
    <w:bookmarkEnd w:id="50"/>
    <w:p>
      <w:pPr>
        <w:ind w:left="492" w:hanging="492"/>
        <w:spacing w:after="0"/>
        <w:tabs>
          <w:tab w:leader="none" w:pos="49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December 31 were comprised of the following:</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949</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Finished goods</w:t>
            </w:r>
          </w:p>
        </w:tc>
        <w:tc>
          <w:tcPr>
            <w:tcW w:w="10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r>
      <w:tr>
        <w:trPr>
          <w:trHeight w:val="20"/>
        </w:trPr>
        <w:tc>
          <w:tcPr>
            <w:tcW w:w="5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6,520</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 w:hanging="492"/>
        <w:spacing w:after="0"/>
        <w:tabs>
          <w:tab w:leader="none" w:pos="49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jc w:val="both"/>
        <w:ind w:left="492"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previously discussed in Note 2, we account for our leases in accordance with the guidance in ASC Topic 842, which was effective for us as of January 1, 2019. In connection with the implementation of ASC Topic 842, we recorded non-cash increases in operating lease liabilities and ROU assets of $5,197 and $4,816, respectively, as of the effective date of this guidance.</w:t>
      </w:r>
    </w:p>
    <w:p>
      <w:pPr>
        <w:spacing w:after="0" w:line="183" w:lineRule="exact"/>
        <w:rPr>
          <w:rFonts w:ascii="Arial" w:cs="Arial" w:eastAsia="Arial" w:hAnsi="Arial"/>
          <w:sz w:val="18"/>
          <w:szCs w:val="18"/>
          <w:b w:val="1"/>
          <w:bCs w:val="1"/>
          <w:color w:val="auto"/>
        </w:rPr>
      </w:pPr>
    </w:p>
    <w:p>
      <w:pPr>
        <w:ind w:left="492"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lease our offices, warehouse facilities and certain equipment under non-cancellable operating leases that expire at various dates through 2028. Total operating lease and short-term lease costs for years ended December 31, 2019 and 2018, respectively, were as follows:</w:t>
      </w:r>
    </w:p>
    <w:p>
      <w:pPr>
        <w:spacing w:after="0" w:line="120" w:lineRule="exact"/>
        <w:rPr>
          <w:sz w:val="20"/>
          <w:szCs w:val="20"/>
          <w:color w:val="auto"/>
        </w:rPr>
      </w:pPr>
    </w:p>
    <w:tbl>
      <w:tblPr>
        <w:tblLayout w:type="fixed"/>
        <w:tblInd w:w="492"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72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4"/>
          </w:tcPr>
          <w:p>
            <w:pPr>
              <w:spacing w:after="0"/>
              <w:rPr>
                <w:sz w:val="20"/>
                <w:szCs w:val="20"/>
                <w:color w:val="auto"/>
              </w:rPr>
            </w:pPr>
            <w:r>
              <w:rPr>
                <w:rFonts w:ascii="Arial" w:cs="Arial" w:eastAsia="Arial" w:hAnsi="Arial"/>
                <w:sz w:val="18"/>
                <w:szCs w:val="18"/>
                <w:color w:val="auto"/>
              </w:rPr>
              <w:t>Short-term lease cost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60" w:type="dxa"/>
            <w:vAlign w:val="bottom"/>
            <w:gridSpan w:val="4"/>
          </w:tcPr>
          <w:p>
            <w:pPr>
              <w:spacing w:after="0"/>
              <w:rPr>
                <w:sz w:val="20"/>
                <w:szCs w:val="20"/>
                <w:color w:val="auto"/>
              </w:rPr>
            </w:pPr>
            <w:r>
              <w:rPr>
                <w:rFonts w:ascii="Arial" w:cs="Arial" w:eastAsia="Arial" w:hAnsi="Arial"/>
                <w:sz w:val="18"/>
                <w:szCs w:val="18"/>
                <w:color w:val="auto"/>
              </w:rPr>
              <w:t>The following is additional information about our leases as of December 31, 2019:</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0.8  to</w:t>
            </w:r>
          </w:p>
        </w:tc>
        <w:tc>
          <w:tcPr>
            <w:tcW w:w="500" w:type="dxa"/>
            <w:vAlign w:val="bottom"/>
            <w:tcBorders>
              <w:right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60" w:type="dxa"/>
            <w:vAlign w:val="bottom"/>
            <w:gridSpan w:val="4"/>
          </w:tcPr>
          <w:p>
            <w:pPr>
              <w:spacing w:after="0"/>
              <w:rPr>
                <w:sz w:val="20"/>
                <w:szCs w:val="20"/>
                <w:color w:val="auto"/>
              </w:rPr>
            </w:pPr>
            <w:r>
              <w:rPr>
                <w:rFonts w:ascii="Arial" w:cs="Arial" w:eastAsia="Arial" w:hAnsi="Arial"/>
                <w:sz w:val="18"/>
                <w:szCs w:val="18"/>
                <w:color w:val="auto"/>
              </w:rPr>
              <w:t>Maturities of lease liabilities as of December 31, 2019 were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1,527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7"/>
              </w:rPr>
              <w:t>1,007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5,817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5,096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9"/>
              </w:rPr>
              <w:t>Cash Flow Information</w:t>
            </w:r>
          </w:p>
        </w:tc>
        <w:tc>
          <w:tcPr>
            <w:tcW w:w="5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60" w:type="dxa"/>
            <w:vAlign w:val="bottom"/>
            <w:gridSpan w:val="4"/>
          </w:tcPr>
          <w:p>
            <w:pPr>
              <w:spacing w:after="0"/>
              <w:rPr>
                <w:sz w:val="20"/>
                <w:szCs w:val="20"/>
                <w:color w:val="auto"/>
              </w:rPr>
            </w:pPr>
            <w:r>
              <w:rPr>
                <w:rFonts w:ascii="Arial" w:cs="Arial" w:eastAsia="Arial" w:hAnsi="Arial"/>
                <w:sz w:val="18"/>
                <w:szCs w:val="18"/>
                <w:color w:val="auto"/>
              </w:rPr>
              <w:t>Total amortization of right of use assets for the year ended December 31, 2019 was $1,251.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6"/>
          </w:tcPr>
          <w:p>
            <w:pPr>
              <w:spacing w:after="0"/>
              <w:rPr>
                <w:sz w:val="20"/>
                <w:szCs w:val="20"/>
                <w:color w:val="auto"/>
              </w:rPr>
            </w:pPr>
            <w:r>
              <w:rPr>
                <w:rFonts w:ascii="Arial" w:cs="Arial" w:eastAsia="Arial" w:hAnsi="Arial"/>
                <w:sz w:val="18"/>
                <w:szCs w:val="18"/>
                <w:color w:val="auto"/>
                <w:w w:val="96"/>
              </w:rPr>
              <w:t>Supplemental cash flow information related to leases for the year ended December 31, 2019 was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658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1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89"/>
              </w:rPr>
              <w:t>Non-cash increases (decreases) in operating lease liabilities and ROU assets as a result of lease modifications:</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Modification to Ambrell’s U.K. facility lease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(486)</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Modification to lease for facility in Mansfield, Massachusetts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Modification to Ambrell’s Netherlands facility lease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92" w:right="20"/>
        <w:spacing w:after="0" w:line="311" w:lineRule="auto"/>
        <w:rPr>
          <w:sz w:val="20"/>
          <w:szCs w:val="20"/>
          <w:color w:val="auto"/>
        </w:rPr>
      </w:pPr>
      <w:r>
        <w:rPr>
          <w:rFonts w:ascii="Arial" w:cs="Arial" w:eastAsia="Arial" w:hAnsi="Arial"/>
          <w:sz w:val="16"/>
          <w:szCs w:val="16"/>
          <w:color w:val="auto"/>
        </w:rPr>
        <w:t>The lease for Ambrell’s U.K. facility had an original term of 15 years, which extended through August 2029. The lease included the option to terminate the lease at specified points in time without penalty. We exercised this option in March 2019, and the lease expired in September 2019. At the effective date of this modification, we recorded a reduction in our ROU assets and operating lease liabilities of approximately $486.</w:t>
      </w:r>
    </w:p>
    <w:p>
      <w:pPr>
        <w:spacing w:after="0" w:line="14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823" w:right="419" w:bottom="1440" w:gutter="0" w:footer="0" w:header="0"/>
        </w:sectPr>
      </w:pPr>
    </w:p>
    <w:bookmarkStart w:id="51" w:name="page52"/>
    <w:bookmarkEnd w:id="51"/>
    <w:p>
      <w:pPr>
        <w:ind w:left="492"/>
        <w:spacing w:after="0" w:line="257" w:lineRule="auto"/>
        <w:rPr>
          <w:sz w:val="20"/>
          <w:szCs w:val="20"/>
          <w:color w:val="auto"/>
        </w:rPr>
      </w:pPr>
      <w:r>
        <w:rPr>
          <w:rFonts w:ascii="Arial" w:cs="Arial" w:eastAsia="Arial" w:hAnsi="Arial"/>
          <w:sz w:val="18"/>
          <w:szCs w:val="18"/>
          <w:color w:val="auto"/>
        </w:rPr>
        <w:t>On April 8, 2019, we executed an amendment to the lease for our facility in Mansfield, Massachusetts that extended the term of the lease for an additional forty months to December 31, 2024 and expanded the amount of leased space by approximately 6,100 square feet. The current rate per square foot that is in place through August 31, 2021 (the original expiration date of the lease) did not change. After August 31, 2021, there are predetermined fixed escalations of the rate as outlined in the amendment. As a result of this modification, we recorded an increase in our ROU assets and operating lease liabilities of approximately $1,811.</w:t>
      </w:r>
    </w:p>
    <w:p>
      <w:pPr>
        <w:spacing w:after="0" w:line="188" w:lineRule="exact"/>
        <w:rPr>
          <w:sz w:val="20"/>
          <w:szCs w:val="20"/>
          <w:color w:val="auto"/>
        </w:rPr>
      </w:pPr>
    </w:p>
    <w:p>
      <w:pPr>
        <w:ind w:left="492" w:right="260"/>
        <w:spacing w:after="0" w:line="263" w:lineRule="auto"/>
        <w:rPr>
          <w:sz w:val="20"/>
          <w:szCs w:val="20"/>
          <w:color w:val="auto"/>
        </w:rPr>
      </w:pPr>
      <w:r>
        <w:rPr>
          <w:rFonts w:ascii="Arial" w:cs="Arial" w:eastAsia="Arial" w:hAnsi="Arial"/>
          <w:sz w:val="18"/>
          <w:szCs w:val="18"/>
          <w:color w:val="auto"/>
        </w:rPr>
        <w:t>During the third quarter of 2019, the lease for a portion of Ambrell’s facility in the Netherlands was modified to reduce the term of that lease to expire in September 2019 as that portion of the space was no longer needed. At the effective date of this modification, we recorded a reduction in our ROU assets and operating lease liabilities of approximately $48.</w:t>
      </w:r>
    </w:p>
    <w:p>
      <w:pPr>
        <w:spacing w:after="0" w:line="184"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u w:val="single" w:color="auto"/>
          <w:color w:val="auto"/>
        </w:rPr>
        <w:t>Prior Period Disclosures under ASC Topic 840 (Leases)</w:t>
      </w:r>
    </w:p>
    <w:p>
      <w:pPr>
        <w:spacing w:after="0" w:line="225" w:lineRule="exact"/>
        <w:rPr>
          <w:sz w:val="20"/>
          <w:szCs w:val="20"/>
          <w:color w:val="auto"/>
        </w:rPr>
      </w:pPr>
    </w:p>
    <w:p>
      <w:pPr>
        <w:ind w:left="492"/>
        <w:spacing w:after="0" w:line="259" w:lineRule="auto"/>
        <w:rPr>
          <w:sz w:val="20"/>
          <w:szCs w:val="20"/>
          <w:color w:val="auto"/>
        </w:rPr>
      </w:pPr>
      <w:r>
        <w:rPr>
          <w:rFonts w:ascii="Arial" w:cs="Arial" w:eastAsia="Arial" w:hAnsi="Arial"/>
          <w:sz w:val="18"/>
          <w:szCs w:val="18"/>
          <w:color w:val="auto"/>
        </w:rPr>
        <w:t>Prior to January 1, 2019, we accounted for our leases in accordance with the guidance in ASC Topic 840. Under the guidance in ASC Topic 840, total rental expense for the year ended December 31, 2018 was $1,848 which includes costs for common area maintenance, property taxes and insurance charges incurred by the landlord for the facilities which we occupy. These costs are not included in operating lease cost under the guidance in ASC Topic 842.</w:t>
      </w:r>
    </w:p>
    <w:p>
      <w:pPr>
        <w:spacing w:after="0" w:line="187" w:lineRule="exact"/>
        <w:rPr>
          <w:sz w:val="20"/>
          <w:szCs w:val="20"/>
          <w:color w:val="auto"/>
        </w:rPr>
      </w:pPr>
    </w:p>
    <w:p>
      <w:pPr>
        <w:ind w:left="492"/>
        <w:spacing w:after="0"/>
        <w:rPr>
          <w:sz w:val="20"/>
          <w:szCs w:val="20"/>
          <w:color w:val="auto"/>
        </w:rPr>
      </w:pPr>
      <w:r>
        <w:rPr>
          <w:rFonts w:ascii="Arial" w:cs="Arial" w:eastAsia="Arial" w:hAnsi="Arial"/>
          <w:sz w:val="17"/>
          <w:szCs w:val="17"/>
          <w:color w:val="auto"/>
        </w:rPr>
        <w:t>The aggregate minimum rental commitments under the non-cancellable operating leases in effect at December 31, 2018 were as follows:</w:t>
      </w:r>
    </w:p>
    <w:p>
      <w:pPr>
        <w:spacing w:after="0" w:line="25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1,612</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8"/>
                <w:szCs w:val="18"/>
                <w:color w:val="auto"/>
              </w:rPr>
            </w:pPr>
          </w:p>
        </w:tc>
      </w:tr>
      <w:tr>
        <w:trPr>
          <w:trHeight w:val="249"/>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 w:hanging="492"/>
        <w:spacing w:after="0"/>
        <w:tabs>
          <w:tab w:leader="none" w:pos="49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Other current liabilities at December 31 were comprised of the following:</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rent/facility costs</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r>
      <w:tr>
        <w:trPr>
          <w:trHeight w:val="216"/>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1,108</w:t>
            </w:r>
          </w:p>
        </w:tc>
      </w:tr>
      <w:tr>
        <w:trPr>
          <w:trHeight w:val="20"/>
        </w:trPr>
        <w:tc>
          <w:tcPr>
            <w:tcW w:w="6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 w:hanging="492"/>
        <w:spacing w:after="0"/>
        <w:tabs>
          <w:tab w:leader="none" w:pos="4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492"/>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In accordance with the terms of our lease, the letter of credit related to our facility in Mt. Laurel, New Jersey was reduced from $125 to $90 on April 1, 2019. Our outstanding letters of credit at December 31, 2019 and 2018 consisted of the following:</w:t>
      </w:r>
    </w:p>
    <w:p>
      <w:pPr>
        <w:spacing w:after="0" w:line="172" w:lineRule="exact"/>
        <w:rPr>
          <w:sz w:val="20"/>
          <w:szCs w:val="20"/>
          <w:color w:val="auto"/>
        </w:rPr>
      </w:pPr>
    </w:p>
    <w:tbl>
      <w:tblPr>
        <w:tblLayout w:type="fixed"/>
        <w:tblInd w:w="492"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Letters of Credit</w:t>
            </w: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6"/>
              </w:rPr>
              <w:t>Lease</w:t>
            </w:r>
          </w:p>
        </w:tc>
        <w:tc>
          <w:tcPr>
            <w:tcW w:w="24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Amount Outstanding</w:t>
            </w:r>
          </w:p>
        </w:tc>
      </w:tr>
      <w:tr>
        <w:trPr>
          <w:trHeight w:val="191"/>
        </w:trPr>
        <w:tc>
          <w:tcPr>
            <w:tcW w:w="5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7"/>
              </w:rPr>
              <w:t>Original L/C</w:t>
            </w:r>
          </w:p>
        </w:tc>
        <w:tc>
          <w:tcPr>
            <w:tcW w:w="12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1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Expiration</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6"/>
                <w:szCs w:val="16"/>
                <w:color w:val="auto"/>
              </w:rPr>
            </w:pPr>
          </w:p>
        </w:tc>
      </w:t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 Date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Mt. Laurel, NJ</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3/29/2010</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3/31/2020</w:t>
            </w:r>
          </w:p>
        </w:tc>
        <w:tc>
          <w:tcPr>
            <w:tcW w:w="1380" w:type="dxa"/>
            <w:vAlign w:val="bottom"/>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4/30/2021 $</w:t>
            </w:r>
          </w:p>
        </w:tc>
        <w:tc>
          <w:tcPr>
            <w:tcW w:w="10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90</w:t>
            </w:r>
          </w:p>
        </w:tc>
        <w:tc>
          <w:tcPr>
            <w:tcW w:w="3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12/31/2024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 w:hanging="492"/>
        <w:spacing w:after="0"/>
        <w:tabs>
          <w:tab w:leader="none" w:pos="4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We are subject to Federal and certain state income taxes. In addition, we are taxed in certain foreign countries.</w:t>
      </w:r>
    </w:p>
    <w:p>
      <w:pPr>
        <w:spacing w:after="0" w:line="225" w:lineRule="exact"/>
        <w:rPr>
          <w:rFonts w:ascii="Arial" w:cs="Arial" w:eastAsia="Arial" w:hAnsi="Arial"/>
          <w:sz w:val="18"/>
          <w:szCs w:val="18"/>
          <w:b w:val="1"/>
          <w:bCs w:val="1"/>
          <w:color w:val="auto"/>
        </w:rPr>
      </w:pPr>
    </w:p>
    <w:p>
      <w:pPr>
        <w:ind w:left="492"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December 22, 2017 the President of the United States signed into law the Tax Act. One of the principal elements of the Tax was a one-time transition tax that was imposed on the previously unremitted earnings of our foreign subsidiaries. Due to the complexities involved in determining the previously unremitted earnings of our foreign subsidiaries, at December 31, 2017, we recorded a provisional amount for the transition tax payable on those unremitted earnings. The provisional amount recorded, net of related foreign tax credits, was a tax of $476. During the first half of 2018 we completed the process of obtaining, preparing and analyzing the required information, including a Section 965 analysis and an earnings and profits study. As a result, we determined that no transition tax was due, and, accordingly, during the second quarter of 2018 we reversed the $476 that had been accrued in the fourth quarter of 2017.</w:t>
      </w:r>
    </w:p>
    <w:p>
      <w:pPr>
        <w:sectPr>
          <w:pgSz w:w="11900" w:h="16838" w:orient="portrait"/>
          <w:cols w:equalWidth="0" w:num="1">
            <w:col w:w="11212"/>
          </w:cols>
          <w:pgMar w:left="328" w:top="584" w:right="35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Earnings before income taxes was as follows:</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w:t>
            </w:r>
          </w:p>
        </w:tc>
      </w:tr>
      <w:tr>
        <w:trPr>
          <w:trHeight w:val="216"/>
        </w:trPr>
        <w:tc>
          <w:tcPr>
            <w:tcW w:w="6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8"/>
                <w:szCs w:val="18"/>
                <w:color w:val="auto"/>
              </w:rPr>
            </w:pPr>
          </w:p>
        </w:tc>
      </w:tr>
      <w:tr>
        <w:trPr>
          <w:trHeight w:val="249"/>
        </w:trPr>
        <w:tc>
          <w:tcPr>
            <w:tcW w:w="6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13"/>
        </w:trPr>
        <w:tc>
          <w:tcPr>
            <w:tcW w:w="6320" w:type="dxa"/>
            <w:vAlign w:val="bottom"/>
            <w:gridSpan w:val="2"/>
          </w:tcPr>
          <w:p>
            <w:pPr>
              <w:spacing w:after="0"/>
              <w:rPr>
                <w:sz w:val="20"/>
                <w:szCs w:val="20"/>
                <w:color w:val="auto"/>
              </w:rPr>
            </w:pPr>
            <w:r>
              <w:rPr>
                <w:rFonts w:ascii="Arial" w:cs="Arial" w:eastAsia="Arial" w:hAnsi="Arial"/>
                <w:sz w:val="18"/>
                <w:szCs w:val="18"/>
                <w:color w:val="auto"/>
              </w:rPr>
              <w:t>Income tax expense (benefit) was as follows: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Domestic – Federal</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1,352</w:t>
            </w:r>
          </w:p>
        </w:tc>
      </w:tr>
      <w:tr>
        <w:trPr>
          <w:trHeight w:val="216"/>
        </w:trPr>
        <w:tc>
          <w:tcPr>
            <w:tcW w:w="64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state</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r>
      <w:tr>
        <w:trPr>
          <w:trHeight w:val="216"/>
        </w:trPr>
        <w:tc>
          <w:tcPr>
            <w:tcW w:w="64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r>
      <w:tr>
        <w:trPr>
          <w:trHeight w:val="209"/>
        </w:trPr>
        <w:tc>
          <w:tcPr>
            <w:tcW w:w="640" w:type="dxa"/>
            <w:vAlign w:val="bottom"/>
          </w:tcPr>
          <w:p>
            <w:pPr>
              <w:spacing w:after="0"/>
              <w:rPr>
                <w:sz w:val="18"/>
                <w:szCs w:val="18"/>
                <w:color w:val="auto"/>
              </w:rPr>
            </w:pPr>
          </w:p>
        </w:tc>
        <w:tc>
          <w:tcPr>
            <w:tcW w:w="5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Federal</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r>
      <w:tr>
        <w:trPr>
          <w:trHeight w:val="216"/>
        </w:trPr>
        <w:tc>
          <w:tcPr>
            <w:tcW w:w="64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Domestic – state</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4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r>
      <w:tr>
        <w:trPr>
          <w:trHeight w:val="249"/>
        </w:trPr>
        <w:tc>
          <w:tcPr>
            <w:tcW w:w="6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2019 and 2018:</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1,123</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(state and foreign)</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vacation pay and stock-based compensation</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r>
      <w:tr>
        <w:trPr>
          <w:trHeight w:val="209"/>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intangible assets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(3,167)</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Right of use assets</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(1,066)</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of property and equipment</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0"/>
        </w:trPr>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(4,158)</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(3,321)</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net change in the valuation allowance for the years ended December 31, 2019 and 2018 was a decrease of $7 and $129,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2039.</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584" w:right="359" w:bottom="1440" w:gutter="0" w:footer="0" w:header="0"/>
        </w:sectPr>
      </w:pPr>
    </w:p>
    <w:bookmarkStart w:id="54" w:name="page55"/>
    <w:bookmarkEnd w:id="54"/>
    <w:p>
      <w:pPr>
        <w:ind w:left="492" w:right="80"/>
        <w:spacing w:after="0" w:line="277" w:lineRule="auto"/>
        <w:rPr>
          <w:sz w:val="20"/>
          <w:szCs w:val="20"/>
          <w:color w:val="auto"/>
        </w:rPr>
      </w:pPr>
      <w:r>
        <w:rPr>
          <w:rFonts w:ascii="Arial" w:cs="Arial" w:eastAsia="Arial" w:hAnsi="Arial"/>
          <w:sz w:val="18"/>
          <w:szCs w:val="18"/>
          <w:color w:val="auto"/>
        </w:rPr>
        <w:t>An analysis of the effective tax rate for the years ended December 31, 2019 and 2018 and a reconciliation from the expected statutory rate of 21% is as follows:</w:t>
      </w:r>
    </w:p>
    <w:p>
      <w:pPr>
        <w:spacing w:after="0" w:line="166"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w w:val="97"/>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2"/>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provision at U.S. statutory rate</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Dividend from foreign subsidiaries</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NOL carryforwards utilized</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Global intangible low taxed income</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Nondeductible expenses</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Current year tax credits (foreign and research)</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tax expense (benefit), net of Federal benefit</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Section 250 foreign derived intangible income deduction</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income tax rate differences</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Changes in valuation allowance</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transition tax payable</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r>
      <w:tr>
        <w:trPr>
          <w:trHeight w:val="25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92"/>
        <w:spacing w:after="0" w:line="275" w:lineRule="auto"/>
        <w:rPr>
          <w:sz w:val="20"/>
          <w:szCs w:val="20"/>
          <w:color w:val="auto"/>
        </w:rPr>
      </w:pPr>
      <w:r>
        <w:rPr>
          <w:rFonts w:ascii="Arial" w:cs="Arial" w:eastAsia="Arial" w:hAnsi="Arial"/>
          <w:sz w:val="17"/>
          <w:szCs w:val="17"/>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2019 and 2018, we did not have an accrual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2" w:hanging="492"/>
        <w:spacing w:after="0"/>
        <w:tabs>
          <w:tab w:leader="none" w:pos="4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rFonts w:ascii="Arial" w:cs="Arial" w:eastAsia="Arial" w:hAnsi="Arial"/>
          <w:sz w:val="18"/>
          <w:szCs w:val="18"/>
          <w:b w:val="1"/>
          <w:bCs w:val="1"/>
          <w:color w:val="auto"/>
        </w:rPr>
      </w:pPr>
    </w:p>
    <w:p>
      <w:pPr>
        <w:jc w:val="both"/>
        <w:ind w:left="492"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8" w:lineRule="exact"/>
        <w:rPr>
          <w:rFonts w:ascii="Arial" w:cs="Arial" w:eastAsia="Arial" w:hAnsi="Arial"/>
          <w:sz w:val="18"/>
          <w:szCs w:val="18"/>
          <w:b w:val="1"/>
          <w:bCs w:val="1"/>
          <w:color w:val="auto"/>
        </w:rPr>
      </w:pPr>
    </w:p>
    <w:p>
      <w:pPr>
        <w:ind w:left="492" w:hanging="492"/>
        <w:spacing w:after="0"/>
        <w:tabs>
          <w:tab w:leader="none" w:pos="4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9" w:lineRule="exact"/>
        <w:rPr>
          <w:rFonts w:ascii="Arial" w:cs="Arial" w:eastAsia="Arial" w:hAnsi="Arial"/>
          <w:sz w:val="18"/>
          <w:szCs w:val="18"/>
          <w:b w:val="1"/>
          <w:bCs w:val="1"/>
          <w:color w:val="auto"/>
        </w:rPr>
      </w:pPr>
    </w:p>
    <w:p>
      <w:pPr>
        <w:ind w:left="492"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December 31, 2019, we have unvested restricted stock awards and stock options outstanding which were granted under the inTEST Corporation 2007 Stock Plan (the "2007 Stock Plan") and the inTEST Corporation Second Amended and Restated 2014 Stock Plan (the "2014 Stock Plan"). The 2007 Stock Plan was approved at our annual meeting of stockholders held on June 13, 2007 and permitted the granting of stock options or restricted stock for up to 500,000 shares of our common stock to officers, other key employees and consultants. No further grants may be made under the 2007 Stock Plan. The 2014 Stock Plan was originally approved at our annual meeting of stockholders held on June 25, 2014 and permits the granting of stock options, restricted stock, stock appreciation rights or restricted stock units for up to 500,000 shares of our common stock to directors, officers, other key employees and consultants. On June 27, 2018, our stockholders approved the amendment and restatement of the 2014 Stock Plan to increase the number of shares of common stock that may be delivered pursuant to awards granted under the 2014 Stock Plan from 500,000 to 1,000,000 shares. On June 19, 2019, our stockholders approved the amendment and restatement of the 2014 Stock Plan to increase the number of shares of common stock that may be delivered pursuant to awards granted under the 2014 Stock Plan from 1,000,000 to 2,000,000 shares. As of December 31, 2019, there were 1,198,935 aggregate shares available to grant under the 2014 Plan.</w:t>
      </w:r>
    </w:p>
    <w:p>
      <w:pPr>
        <w:spacing w:after="0" w:line="171" w:lineRule="exact"/>
        <w:rPr>
          <w:rFonts w:ascii="Arial" w:cs="Arial" w:eastAsia="Arial" w:hAnsi="Arial"/>
          <w:sz w:val="18"/>
          <w:szCs w:val="18"/>
          <w:b w:val="1"/>
          <w:bCs w:val="1"/>
          <w:color w:val="auto"/>
        </w:rPr>
      </w:pPr>
    </w:p>
    <w:p>
      <w:pPr>
        <w:ind w:left="492" w:righ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As of December 31, 2019, total compensation expense to be recognized in future periods is $1,779. The weighted average period over which this expense is expected to be recognized is 2.7 years.</w:t>
      </w:r>
    </w:p>
    <w:p>
      <w:pPr>
        <w:spacing w:after="0" w:line="183" w:lineRule="exact"/>
        <w:rPr>
          <w:rFonts w:ascii="Arial" w:cs="Arial" w:eastAsia="Arial" w:hAnsi="Arial"/>
          <w:sz w:val="18"/>
          <w:szCs w:val="18"/>
          <w:b w:val="1"/>
          <w:bCs w:val="1"/>
          <w:color w:val="auto"/>
        </w:rPr>
      </w:pPr>
    </w:p>
    <w:p>
      <w:pPr>
        <w:ind w:left="49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compensation expense we recorded during 2019 and 2018, related to unvested shares of restricted stock and stock options.</w:t>
      </w:r>
    </w:p>
    <w:p>
      <w:pPr>
        <w:spacing w:after="0" w:line="166"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w w:val="97"/>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2"/>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Selling expense</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r>
      <w:tr>
        <w:trPr>
          <w:trHeight w:val="249"/>
        </w:trPr>
        <w:tc>
          <w:tcPr>
            <w:tcW w:w="5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There was no compensation expense capitalized in 2019 or 2018.</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6"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for stock options granted during 2019 and 2018 was estimated at the date of grant using the Black-Scholes option pricing model with the following weighted average assumptions:</w:t>
      </w:r>
    </w:p>
    <w:p>
      <w:pPr>
        <w:spacing w:after="0" w:line="382"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 share weighted average fair value of stock options issued during 2019 and 2018 was $2.75 and $3.50,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stock options for the two years ended December 31, 2019:</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68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2018</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189,800</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8.14</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2018 (21,800 exercisable)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249,460</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r>
      <w:tr>
        <w:trPr>
          <w:trHeight w:val="25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December 31, 2019 (87,900 exercisable)</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506,810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 except for restricted stock awards granted to our directors, which vest over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unvested shares for the two years ended December 31, 2019:</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68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2018</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95,600</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(56,075)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December 31, 2018</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114,750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132,580</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r>
      <w:tr>
        <w:trPr>
          <w:trHeight w:val="216"/>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r>
      <w:tr>
        <w:trPr>
          <w:trHeight w:val="216"/>
        </w:trPr>
        <w:tc>
          <w:tcPr>
            <w:tcW w:w="5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(12,325)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r>
      <w:tr>
        <w:trPr>
          <w:trHeight w:val="25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December 31, 2019</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total fair value of the shares that vested during the years ended December 31, 2019 and 2018 was $426 and $423, respectively, as of the vesting dates of these shares.</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20" w:top="584" w:right="419" w:bottom="1440" w:gutter="0" w:footer="0" w:header="0"/>
        </w:sectPr>
      </w:pPr>
    </w:p>
    <w:bookmarkStart w:id="56" w:name="page57"/>
    <w:bookmarkEnd w:id="56"/>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29" w:lineRule="exact"/>
        <w:rPr>
          <w:rFonts w:ascii="Arial" w:cs="Arial" w:eastAsia="Arial" w:hAnsi="Arial"/>
          <w:sz w:val="18"/>
          <w:szCs w:val="18"/>
          <w:b w:val="1"/>
          <w:bCs w:val="1"/>
          <w:color w:val="auto"/>
        </w:rPr>
      </w:pPr>
    </w:p>
    <w:p>
      <w:pPr>
        <w:ind w:left="50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year ended December 31, 2019, we repurchased 229,308 shares under the 2019 Repurchase Plan at a cost of $1,142, which includes fees paid to our broker of $6. All of the repurchased shares were retired. On March 2, 2020, we suspended repurchases under the 2019 Repurchase Plan.</w:t>
      </w:r>
    </w:p>
    <w:p>
      <w:pPr>
        <w:spacing w:after="0" w:line="166" w:lineRule="exact"/>
        <w:rPr>
          <w:rFonts w:ascii="Arial" w:cs="Arial" w:eastAsia="Arial" w:hAnsi="Arial"/>
          <w:sz w:val="18"/>
          <w:szCs w:val="18"/>
          <w:b w:val="1"/>
          <w:bCs w:val="1"/>
          <w:color w:val="auto"/>
        </w:rPr>
      </w:pPr>
    </w:p>
    <w:p>
      <w:pPr>
        <w:ind w:left="500"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addition, on July 31, 2019, our Board of Directors terminated the 2015 Stock Repurchase Plan which had been authorized on October 27, 2015 and under which we had repurchased a total of 297,020 shares at a cost of $1,195. The shares were repurchased between December 2015 and January 2017. All of the repurchased shares were retired.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8" w:lineRule="exact"/>
        <w:rPr>
          <w:rFonts w:ascii="Arial" w:cs="Arial" w:eastAsia="Arial" w:hAnsi="Arial"/>
          <w:sz w:val="18"/>
          <w:szCs w:val="18"/>
          <w:b w:val="1"/>
          <w:bCs w:val="1"/>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5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years ended December 31, 2019 and 2018, expense under the plan was $382 and $299, respectively.</w:t>
      </w:r>
    </w:p>
    <w:p>
      <w:pPr>
        <w:spacing w:after="0" w:line="176" w:lineRule="exact"/>
        <w:rPr>
          <w:rFonts w:ascii="Arial" w:cs="Arial" w:eastAsia="Arial" w:hAnsi="Arial"/>
          <w:sz w:val="18"/>
          <w:szCs w:val="18"/>
          <w:b w:val="1"/>
          <w:bCs w:val="1"/>
          <w:color w:val="auto"/>
        </w:rPr>
      </w:pPr>
    </w:p>
    <w:p>
      <w:pPr>
        <w:ind w:left="500" w:right="3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years ended December 31, 2019 and 2018, expense under the plan was $49 and $68, respectively.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50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We have two reportable segments, which are also our reporting units, Thermal and EMS.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64" w:lineRule="exact"/>
        <w:rPr>
          <w:rFonts w:ascii="Arial" w:cs="Arial" w:eastAsia="Arial" w:hAnsi="Arial"/>
          <w:sz w:val="18"/>
          <w:szCs w:val="18"/>
          <w:b w:val="1"/>
          <w:bCs w:val="1"/>
          <w:color w:val="auto"/>
        </w:rPr>
      </w:pPr>
    </w:p>
    <w:p>
      <w:pPr>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energy, industrial, telecommunications and other markets.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w w:val="98"/>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Thermal</w:t>
            </w:r>
          </w:p>
        </w:tc>
        <w:tc>
          <w:tcPr>
            <w:tcW w:w="30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43,823</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55,994</w:t>
            </w: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16,837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22,569</w:t>
            </w:r>
          </w:p>
        </w:tc>
        <w:tc>
          <w:tcPr>
            <w:tcW w:w="96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60,660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78,563</w:t>
            </w:r>
          </w:p>
        </w:tc>
        <w:tc>
          <w:tcPr>
            <w:tcW w:w="96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Depreciation/amortization:</w:t>
            </w:r>
          </w:p>
        </w:tc>
        <w:tc>
          <w:tcPr>
            <w:tcW w:w="2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Thermal</w:t>
            </w:r>
          </w:p>
        </w:tc>
        <w:tc>
          <w:tcPr>
            <w:tcW w:w="30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1,810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1,739</w:t>
            </w: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Corporate</w:t>
            </w: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9"/>
        </w:trPr>
        <w:tc>
          <w:tcPr>
            <w:tcW w:w="130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1,942</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w:t>
            </w:r>
          </w:p>
        </w:tc>
        <w:tc>
          <w:tcPr>
            <w:tcW w:w="960" w:type="dxa"/>
            <w:vAlign w:val="bottom"/>
          </w:tcPr>
          <w:p>
            <w:pPr>
              <w:spacing w:after="0"/>
              <w:rPr>
                <w:sz w:val="21"/>
                <w:szCs w:val="21"/>
                <w:color w:val="auto"/>
              </w:rPr>
            </w:pPr>
          </w:p>
        </w:tc>
      </w:tr>
      <w:tr>
        <w:trPr>
          <w:trHeight w:val="413"/>
        </w:trPr>
        <w:tc>
          <w:tcPr>
            <w:tcW w:w="1300" w:type="dxa"/>
            <w:vAlign w:val="bottom"/>
          </w:tcPr>
          <w:p>
            <w:pPr>
              <w:spacing w:after="0"/>
              <w:rPr>
                <w:sz w:val="24"/>
                <w:szCs w:val="24"/>
                <w:color w:val="auto"/>
              </w:rPr>
            </w:pPr>
          </w:p>
        </w:tc>
        <w:tc>
          <w:tcPr>
            <w:tcW w:w="364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F-21</w:t>
            </w:r>
          </w:p>
        </w:tc>
        <w:tc>
          <w:tcPr>
            <w:tcW w:w="10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7" w:name="page58"/>
    <w:bookmarkEnd w:id="57"/>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w w:val="98"/>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2,334</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1,218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(1,420)</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w:t>
            </w:r>
          </w:p>
        </w:tc>
      </w:tr>
      <w:tr>
        <w:trPr>
          <w:trHeight w:val="196"/>
        </w:trPr>
        <w:tc>
          <w:tcPr>
            <w:tcW w:w="56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2,370</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EMS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1,767</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5,416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(1,397)</w:t>
            </w:r>
          </w:p>
        </w:tc>
      </w:tr>
      <w:tr>
        <w:trPr>
          <w:trHeight w:val="20"/>
        </w:trPr>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spacing w:after="0"/>
              <w:rPr>
                <w:sz w:val="18"/>
                <w:szCs w:val="18"/>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2,604</w:t>
            </w:r>
          </w:p>
        </w:tc>
        <w:tc>
          <w:tcPr>
            <w:tcW w:w="16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5,043</w:t>
            </w:r>
          </w:p>
        </w:tc>
      </w:tr>
      <w:tr>
        <w:trPr>
          <w:trHeight w:val="20"/>
        </w:trPr>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Income tax expense (benefit):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1,331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5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2,006</w:t>
            </w:r>
          </w:p>
        </w:tc>
      </w:tr>
      <w:tr>
        <w:trPr>
          <w:trHeight w:val="197"/>
        </w:trPr>
        <w:tc>
          <w:tcPr>
            <w:tcW w:w="56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2,113</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EMS</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1,573</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4,506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w:t>
            </w:r>
          </w:p>
        </w:tc>
      </w:tr>
      <w:tr>
        <w:trPr>
          <w:trHeight w:val="20"/>
        </w:trPr>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2,322</w:t>
            </w:r>
          </w:p>
        </w:tc>
        <w:tc>
          <w:tcPr>
            <w:tcW w:w="16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3,037</w:t>
            </w:r>
          </w:p>
        </w:tc>
      </w:tr>
      <w:tr>
        <w:trPr>
          <w:trHeight w:val="20"/>
        </w:trPr>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Capital expenditures: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2,149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Thermal</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51,621</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55,343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59,715</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67,187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w w:val="98"/>
              </w:rPr>
              <w:t>Years 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25,283</w:t>
            </w:r>
          </w:p>
        </w:tc>
        <w:tc>
          <w:tcPr>
            <w:tcW w:w="16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25,517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35,377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53,046</w:t>
            </w:r>
          </w:p>
        </w:tc>
      </w:tr>
      <w:tr>
        <w:trPr>
          <w:trHeight w:val="20"/>
        </w:trPr>
        <w:tc>
          <w:tcPr>
            <w:tcW w:w="56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60,660</w:t>
            </w:r>
          </w:p>
        </w:tc>
        <w:tc>
          <w:tcPr>
            <w:tcW w:w="16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78,563</w:t>
            </w:r>
          </w:p>
        </w:tc>
      </w:tr>
      <w:tr>
        <w:trPr>
          <w:trHeight w:val="20"/>
        </w:trPr>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9"/>
        </w:trPr>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U.S.</w:t>
            </w:r>
          </w:p>
        </w:tc>
        <w:tc>
          <w:tcPr>
            <w:tcW w:w="37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2,327</w:t>
            </w: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96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2,420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2,717</w:t>
            </w:r>
          </w:p>
        </w:tc>
        <w:tc>
          <w:tcPr>
            <w:tcW w:w="96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700" w:type="dxa"/>
            <w:vAlign w:val="bottom"/>
            <w:gridSpan w:val="2"/>
          </w:tcPr>
          <w:p>
            <w:pPr>
              <w:jc w:val="right"/>
              <w:ind w:right="211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8" w:name="page59"/>
    <w:bookmarkEnd w:id="58"/>
    <w:p>
      <w:pPr>
        <w:ind w:left="492" w:hanging="492"/>
        <w:spacing w:after="0"/>
        <w:tabs>
          <w:tab w:leader="none" w:pos="49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CONSOLIDATED FINANCIAL DATA (Unaudited)</w:t>
      </w:r>
    </w:p>
    <w:p>
      <w:pPr>
        <w:spacing w:after="0" w:line="229" w:lineRule="exact"/>
        <w:rPr>
          <w:rFonts w:ascii="Arial" w:cs="Arial" w:eastAsia="Arial" w:hAnsi="Arial"/>
          <w:sz w:val="18"/>
          <w:szCs w:val="18"/>
          <w:b w:val="1"/>
          <w:bCs w:val="1"/>
          <w:color w:val="auto"/>
        </w:rPr>
      </w:pPr>
    </w:p>
    <w:p>
      <w:pPr>
        <w:ind w:left="492"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following tables present certain unaudited consolidated quarterly financial information for each of the eight quarters ended December 31, 2019.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71" w:lineRule="exact"/>
        <w:rPr>
          <w:rFonts w:ascii="Arial" w:cs="Arial" w:eastAsia="Arial" w:hAnsi="Arial"/>
          <w:sz w:val="18"/>
          <w:szCs w:val="18"/>
          <w:b w:val="1"/>
          <w:bCs w:val="1"/>
          <w:color w:val="auto"/>
        </w:rPr>
      </w:pPr>
    </w:p>
    <w:p>
      <w:pPr>
        <w:jc w:val="both"/>
        <w:ind w:left="492"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and seasonal activity of the Semi Market. Quarterly fluctuations in expenses are related directly to sales activity and volume and may also reflect the timing of operating expenses incurred throughout the year.</w:t>
      </w:r>
    </w:p>
    <w:p>
      <w:pPr>
        <w:spacing w:after="0" w:line="180" w:lineRule="exact"/>
        <w:rPr>
          <w:sz w:val="20"/>
          <w:szCs w:val="20"/>
          <w:color w:val="auto"/>
        </w:rPr>
      </w:pPr>
    </w:p>
    <w:tbl>
      <w:tblPr>
        <w:tblLayout w:type="fixed"/>
        <w:tblInd w:w="492"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3/31/19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6/30/19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9/30/19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12/31/19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6,719</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7,205</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29,225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10,385,017</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10,411,276</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10,421,383</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10,274,980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10,373,164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10,414,330</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10,411,276</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10,429,536</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10,298,535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10,391,975</w:t>
            </w:r>
          </w:p>
        </w:tc>
        <w:tc>
          <w:tcPr>
            <w:tcW w:w="0" w:type="dxa"/>
            <w:vAlign w:val="bottom"/>
          </w:tcPr>
          <w:p>
            <w:pPr>
              <w:spacing w:after="0"/>
              <w:rPr>
                <w:sz w:val="1"/>
                <w:szCs w:val="1"/>
                <w:color w:val="auto"/>
              </w:rPr>
            </w:pPr>
          </w:p>
        </w:tc>
      </w:tr>
      <w:tr>
        <w:trPr>
          <w:trHeight w:val="418"/>
        </w:trPr>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
              <w:spacing w:after="0" w:line="210" w:lineRule="exact"/>
              <w:rPr>
                <w:sz w:val="20"/>
                <w:szCs w:val="20"/>
                <w:color w:val="auto"/>
              </w:rPr>
            </w:pPr>
            <w:r>
              <w:rPr>
                <w:rFonts w:ascii="Arial" w:cs="Arial" w:eastAsia="Arial" w:hAnsi="Arial"/>
                <w:sz w:val="15"/>
                <w:szCs w:val="15"/>
                <w:b w:val="1"/>
                <w:bCs w:val="1"/>
                <w:color w:val="auto"/>
              </w:rPr>
              <w:t>3/31/18</w:t>
            </w:r>
            <w:r>
              <w:rPr>
                <w:rFonts w:ascii="Arial" w:cs="Arial" w:eastAsia="Arial" w:hAnsi="Arial"/>
                <w:sz w:val="24"/>
                <w:szCs w:val="24"/>
                <w:b w:val="1"/>
                <w:bCs w:val="1"/>
                <w:color w:val="auto"/>
                <w:vertAlign w:val="superscript"/>
              </w:rPr>
              <w:t>(1)</w:t>
            </w:r>
          </w:p>
        </w:tc>
        <w:tc>
          <w:tcPr>
            <w:tcW w:w="22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line="210" w:lineRule="exact"/>
              <w:rPr>
                <w:sz w:val="20"/>
                <w:szCs w:val="20"/>
                <w:color w:val="auto"/>
              </w:rPr>
            </w:pPr>
            <w:r>
              <w:rPr>
                <w:rFonts w:ascii="Arial" w:cs="Arial" w:eastAsia="Arial" w:hAnsi="Arial"/>
                <w:sz w:val="15"/>
                <w:szCs w:val="15"/>
                <w:b w:val="1"/>
                <w:bCs w:val="1"/>
                <w:color w:val="auto"/>
              </w:rPr>
              <w:t>6/30/18</w:t>
            </w:r>
            <w:r>
              <w:rPr>
                <w:rFonts w:ascii="Arial" w:cs="Arial" w:eastAsia="Arial" w:hAnsi="Arial"/>
                <w:sz w:val="24"/>
                <w:szCs w:val="24"/>
                <w:b w:val="1"/>
                <w:bCs w:val="1"/>
                <w:color w:val="auto"/>
                <w:vertAlign w:val="superscript"/>
              </w:rPr>
              <w:t>(2)(3)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9/30/18</w:t>
            </w:r>
            <w:r>
              <w:rPr>
                <w:rFonts w:ascii="Arial" w:cs="Arial" w:eastAsia="Arial" w:hAnsi="Arial"/>
                <w:sz w:val="14"/>
                <w:szCs w:val="14"/>
                <w:b w:val="1"/>
                <w:bCs w:val="1"/>
                <w:color w:val="auto"/>
                <w:w w:val="93"/>
              </w:rPr>
              <w:t>(4)</w:t>
            </w:r>
          </w:p>
        </w:tc>
        <w:tc>
          <w:tcPr>
            <w:tcW w:w="22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line="210" w:lineRule="exact"/>
              <w:rPr>
                <w:sz w:val="20"/>
                <w:szCs w:val="20"/>
                <w:color w:val="auto"/>
              </w:rPr>
            </w:pPr>
            <w:r>
              <w:rPr>
                <w:rFonts w:ascii="Arial" w:cs="Arial" w:eastAsia="Arial" w:hAnsi="Arial"/>
                <w:sz w:val="15"/>
                <w:szCs w:val="15"/>
                <w:b w:val="1"/>
                <w:bCs w:val="1"/>
                <w:color w:val="auto"/>
              </w:rPr>
              <w:t>12/31/18</w:t>
            </w:r>
            <w:r>
              <w:rPr>
                <w:rFonts w:ascii="Arial" w:cs="Arial" w:eastAsia="Arial" w:hAnsi="Arial"/>
                <w:sz w:val="24"/>
                <w:szCs w:val="24"/>
                <w:b w:val="1"/>
                <w:bCs w:val="1"/>
                <w:color w:val="auto"/>
                <w:vertAlign w:val="superscript"/>
              </w:rPr>
              <w:t>(5)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10,910</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10,092</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9,004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10,326,309</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10,342,674</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10,355,673</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10,367,132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10,347,947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10,365,306</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10,370,318</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10,355,673</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10,367,132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10,382,194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72" w:right="180" w:hanging="486"/>
        <w:spacing w:after="0" w:line="258" w:lineRule="auto"/>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 ended March 31, 2018 includes a $1,726 increase in the fair value of contingent consideration, which was not deductible for tax purposes.</w:t>
      </w:r>
    </w:p>
    <w:p>
      <w:pPr>
        <w:spacing w:after="0" w:line="1" w:lineRule="exact"/>
        <w:rPr>
          <w:rFonts w:ascii="Arial" w:cs="Arial" w:eastAsia="Arial" w:hAnsi="Arial"/>
          <w:sz w:val="18"/>
          <w:szCs w:val="18"/>
          <w:color w:val="auto"/>
        </w:rPr>
      </w:pPr>
    </w:p>
    <w:p>
      <w:pPr>
        <w:ind w:left="972" w:hanging="486"/>
        <w:spacing w:after="0"/>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 ended June 30, 2018 includes a $710 reduction in the fair value of contingent consideration, which was not taxable.</w:t>
      </w:r>
    </w:p>
    <w:p>
      <w:pPr>
        <w:spacing w:after="0" w:line="21" w:lineRule="exact"/>
        <w:rPr>
          <w:rFonts w:ascii="Arial" w:cs="Arial" w:eastAsia="Arial" w:hAnsi="Arial"/>
          <w:sz w:val="18"/>
          <w:szCs w:val="18"/>
          <w:color w:val="auto"/>
        </w:rPr>
      </w:pPr>
    </w:p>
    <w:p>
      <w:pPr>
        <w:ind w:left="972" w:right="380" w:hanging="486"/>
        <w:spacing w:after="0" w:line="258" w:lineRule="auto"/>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 ended June 30, 2018 includes the reversal of certain adjustments originally recorded in the quarter ended December 31, 2017 which were related to tax legislation enacted in December 2017, as discussed in Note 10.</w:t>
      </w:r>
    </w:p>
    <w:p>
      <w:pPr>
        <w:spacing w:after="0" w:line="1" w:lineRule="exact"/>
        <w:rPr>
          <w:rFonts w:ascii="Arial" w:cs="Arial" w:eastAsia="Arial" w:hAnsi="Arial"/>
          <w:sz w:val="18"/>
          <w:szCs w:val="18"/>
          <w:color w:val="auto"/>
        </w:rPr>
      </w:pPr>
    </w:p>
    <w:p>
      <w:pPr>
        <w:ind w:left="972" w:hanging="486"/>
        <w:spacing w:after="0" w:line="250" w:lineRule="auto"/>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 ended September 30, 2018 includes $3,057 increase in the fair value of contingent consideration, which was not deductible for tax purposes.</w:t>
      </w:r>
    </w:p>
    <w:p>
      <w:pPr>
        <w:ind w:left="972" w:right="180" w:hanging="486"/>
        <w:spacing w:after="0" w:line="260" w:lineRule="auto"/>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 ended December 31, 2018 includes a $2,828 increase in the fair value of contingent consideration, which was not deductible for tax purposes.</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59" w:name="page60"/>
    <w:bookmarkEnd w:id="59"/>
    <w:p>
      <w:pPr>
        <w:ind w:left="492" w:right="8780" w:hanging="492"/>
        <w:spacing w:after="0" w:line="503" w:lineRule="auto"/>
        <w:tabs>
          <w:tab w:leader="none" w:pos="49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u w:val="single" w:color="auto"/>
          <w:color w:val="auto"/>
        </w:rPr>
        <w:t>Leases</w:t>
      </w:r>
    </w:p>
    <w:p>
      <w:pPr>
        <w:ind w:left="492"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January 23, 2020, we executed an amendment to the lease for our facility in Fremont, California, which extended the term of the lease for a period of 61 months commencing on November 1, 2020 and expiring on November 30, 2025. Beginning on November 1, 2020, the scheduled base rent payments under the lease will be as follows:</w:t>
      </w:r>
    </w:p>
    <w:p>
      <w:pPr>
        <w:spacing w:after="0" w:line="180"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Monthly</w:t>
            </w:r>
          </w:p>
        </w:tc>
      </w:tr>
      <w:tr>
        <w:trPr>
          <w:trHeight w:val="234"/>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Base Rent</w:t>
            </w:r>
          </w:p>
        </w:tc>
        <w:tc>
          <w:tcPr>
            <w:tcW w:w="80" w:type="dxa"/>
            <w:vAlign w:val="bottom"/>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11/1/2020 – 11/30/2020</w:t>
            </w:r>
          </w:p>
        </w:tc>
        <w:tc>
          <w:tcPr>
            <w:tcW w:w="3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12/1/2020 – 10/31/2021</w:t>
            </w:r>
          </w:p>
        </w:tc>
        <w:tc>
          <w:tcPr>
            <w:tcW w:w="3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21,257.10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11/1/2021 – 10/31/2022</w:t>
            </w:r>
          </w:p>
        </w:tc>
        <w:tc>
          <w:tcPr>
            <w:tcW w:w="3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21,894.81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11/1/2022 – 10/31/2023</w:t>
            </w:r>
          </w:p>
        </w:tc>
        <w:tc>
          <w:tcPr>
            <w:tcW w:w="3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22,551.66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11/1/2023 – 10/31/2024</w:t>
            </w:r>
          </w:p>
        </w:tc>
        <w:tc>
          <w:tcPr>
            <w:tcW w:w="3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23,228.21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11/1/2024 – 10/31/2025</w:t>
            </w:r>
          </w:p>
        </w:tc>
        <w:tc>
          <w:tcPr>
            <w:tcW w:w="3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23,925.05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11/1/2025 – 11/30/2025</w:t>
            </w:r>
          </w:p>
        </w:tc>
        <w:tc>
          <w:tcPr>
            <w:tcW w:w="3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24,642.80</w:t>
            </w:r>
          </w:p>
        </w:tc>
      </w:tr>
    </w:tbl>
    <w:p>
      <w:pPr>
        <w:spacing w:after="0" w:line="202" w:lineRule="exact"/>
        <w:rPr>
          <w:sz w:val="20"/>
          <w:szCs w:val="20"/>
          <w:color w:val="auto"/>
        </w:rPr>
      </w:pPr>
    </w:p>
    <w:p>
      <w:pPr>
        <w:ind w:left="492"/>
        <w:spacing w:after="0"/>
        <w:rPr>
          <w:sz w:val="20"/>
          <w:szCs w:val="20"/>
          <w:color w:val="auto"/>
        </w:rPr>
      </w:pPr>
      <w:r>
        <w:rPr>
          <w:rFonts w:ascii="Arial" w:cs="Arial" w:eastAsia="Arial" w:hAnsi="Arial"/>
          <w:sz w:val="17"/>
          <w:szCs w:val="17"/>
          <w:color w:val="auto"/>
        </w:rPr>
        <w:t>At the effective date of this modification, we will record an increase in our ROU assets and operating lease liabilities of approximately $1,176.</w:t>
      </w:r>
    </w:p>
    <w:p>
      <w:pPr>
        <w:spacing w:after="0" w:line="237"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ind w:left="492"/>
        <w:spacing w:after="0" w:line="268" w:lineRule="auto"/>
        <w:rPr>
          <w:sz w:val="20"/>
          <w:szCs w:val="20"/>
          <w:color w:val="auto"/>
        </w:rPr>
      </w:pPr>
      <w:r>
        <w:rPr>
          <w:rFonts w:ascii="Arial" w:cs="Arial" w:eastAsia="Arial" w:hAnsi="Arial"/>
          <w:sz w:val="17"/>
          <w:szCs w:val="17"/>
          <w:color w:val="auto"/>
        </w:rPr>
        <w:t>In early January 2020, a human infection originating in China was traced to a novel strain of coronavirus. The virus has subsequently spread to other parts of the world, including the U.S. and Europe, and has caused unprecedented disruptions in the global economy as efforts to contain the spread of the virus have intensified. On March 11, 2020, the World Health Organization officially declared this coronavirus outbreak (also referred to as COVID-19) a pandemic. Our business has been and will continue to be adversely affected by the coronavirus pandemic. Since March 17, 2020, a number of states, including all of the states in which we have manufacturing facilities, have instituted ‘shelter-in place’ orders as well as guidance in response to the pandemic and the need to contain it. We are carefully reviewing all rules, regulations, and orders and responding accordingly. On March 17, 2020, we temporarily shut down our EMS manufacturing facility in Fremont, California. As of the date of this filing, all of our other manufacturing facilities remain open. If the current pace of the coronavirus pandemic cannot be slowed and the spread of the virus is not contained, our business operations could be further delayed or interrupted. We expect that government and health authorities may announce new or extend existing restrictions, which could require us to make further adjustments to our operations in order to comply with any such restrictions. These adjustments to our operations could include additional facility closures. We may also experience limitations in employee resources. Global supply chains and the timely availability of products have been and will continue to be materially disrupted by quarantines, factory slowdowns or shutdowns, border closings and travel restrictions resulting from the coronavirus pandemic. The adverse effects of the coronavirus pandemic on our business could be material in future periods.</w:t>
      </w:r>
    </w:p>
    <w:p>
      <w:pPr>
        <w:spacing w:after="0" w:line="184" w:lineRule="exact"/>
        <w:rPr>
          <w:sz w:val="20"/>
          <w:szCs w:val="20"/>
          <w:color w:val="auto"/>
        </w:rPr>
      </w:pPr>
    </w:p>
    <w:p>
      <w:pPr>
        <w:ind w:left="492" w:right="60"/>
        <w:spacing w:after="0" w:line="257" w:lineRule="auto"/>
        <w:rPr>
          <w:sz w:val="20"/>
          <w:szCs w:val="20"/>
          <w:color w:val="auto"/>
        </w:rPr>
      </w:pPr>
      <w:r>
        <w:rPr>
          <w:rFonts w:ascii="Arial" w:cs="Arial" w:eastAsia="Arial" w:hAnsi="Arial"/>
          <w:sz w:val="18"/>
          <w:szCs w:val="18"/>
          <w:color w:val="auto"/>
        </w:rPr>
        <w:t>The duration of any business disruption and related financial impact cannot be reasonably estimated at this time but may materially affect our ability to operate our business and result in additional costs. The extent to which the coronavirus pandemic may impact our operating results, financial condition, and cash flows will depend on future developments, which are highly uncertain and cannot be predicted as of the time of this filing, including new information that may emerge concerning the severity of the coronavirus and steps taken to contain the coronavirus or treat its impact, among others.</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Expense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3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of Period</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(Recovery)</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r>
      <w:tr>
        <w:trPr>
          <w:trHeight w:val="209"/>
        </w:trPr>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2018</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432"/>
        </w:trPr>
        <w:tc>
          <w:tcPr>
            <w:tcW w:w="3940" w:type="dxa"/>
            <w:vAlign w:val="bottom"/>
          </w:tcPr>
          <w:p>
            <w:pPr>
              <w:spacing w:after="0"/>
              <w:rPr>
                <w:sz w:val="24"/>
                <w:szCs w:val="24"/>
                <w:color w:val="auto"/>
              </w:rPr>
            </w:pP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rPr>
              <w:t>F-25</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9" w:lineRule="exact"/>
        <w:rPr>
          <w:sz w:val="20"/>
          <w:szCs w:val="20"/>
          <w:color w:val="auto"/>
        </w:rPr>
      </w:pPr>
    </w:p>
    <w:p>
      <w:pPr>
        <w:ind w:right="380" w:firstLine="1296"/>
        <w:spacing w:after="0" w:line="259" w:lineRule="auto"/>
        <w:rPr>
          <w:sz w:val="20"/>
          <w:szCs w:val="20"/>
          <w:color w:val="auto"/>
        </w:rPr>
      </w:pPr>
      <w:r>
        <w:rPr>
          <w:rFonts w:ascii="Arial" w:cs="Arial" w:eastAsia="Arial" w:hAnsi="Arial"/>
          <w:sz w:val="18"/>
          <w:szCs w:val="18"/>
          <w:color w:val="auto"/>
        </w:rPr>
        <w:t>The undersigned, a natural person, for the purpose of organizing a corporation for conducting the business and promoting the purposes hereinafter stated, under the provisions and subject to the requirements of the laws of the State of Delaware (particularly Chapter 1, Title 8 of the Delaware Code and the acts amendatory thereof and supplemental thereto, and known, identified and referred to as the "General Corporation Law of the State of Delaware"), hereby states that:</w:t>
      </w:r>
    </w:p>
    <w:p>
      <w:pPr>
        <w:spacing w:after="0" w:line="18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b w:val="1"/>
          <w:bCs w:val="1"/>
          <w:u w:val="single" w:color="auto"/>
          <w:color w:val="auto"/>
        </w:rPr>
        <w:t>Name</w:t>
      </w:r>
      <w:r>
        <w:rPr>
          <w:rFonts w:ascii="Arial" w:cs="Arial" w:eastAsia="Arial" w:hAnsi="Arial"/>
          <w:sz w:val="18"/>
          <w:szCs w:val="18"/>
          <w:color w:val="auto"/>
        </w:rPr>
        <w:t>. The name of the corporation (hereinafter called the "Corporation") is: inTEST Corporation.</w:t>
      </w:r>
    </w:p>
    <w:p>
      <w:pPr>
        <w:spacing w:after="0" w:line="225"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b w:val="1"/>
          <w:bCs w:val="1"/>
          <w:u w:val="single" w:color="auto"/>
          <w:color w:val="auto"/>
        </w:rPr>
        <w:t>Registered Office and Agent</w:t>
      </w:r>
      <w:r>
        <w:rPr>
          <w:rFonts w:ascii="Arial" w:cs="Arial" w:eastAsia="Arial" w:hAnsi="Arial"/>
          <w:sz w:val="18"/>
          <w:szCs w:val="18"/>
          <w:color w:val="auto"/>
        </w:rPr>
        <w:t>. The address of its registered office in the State of Delaware is Corporation Trust Center, 1209</w:t>
      </w:r>
      <w:r>
        <w:rPr>
          <w:rFonts w:ascii="Arial" w:cs="Arial" w:eastAsia="Arial" w:hAnsi="Arial"/>
          <w:sz w:val="18"/>
          <w:szCs w:val="18"/>
          <w:b w:val="1"/>
          <w:bCs w:val="1"/>
          <w:color w:val="auto"/>
        </w:rPr>
        <w:t xml:space="preserve"> </w:t>
      </w:r>
      <w:r>
        <w:rPr>
          <w:rFonts w:ascii="Arial" w:cs="Arial" w:eastAsia="Arial" w:hAnsi="Arial"/>
          <w:sz w:val="18"/>
          <w:szCs w:val="18"/>
          <w:color w:val="auto"/>
        </w:rPr>
        <w:t>Orange Street, Wilmington, New Castle County, Delaware 19801. The name of its registered agent at such address is The Corporation Trust Company.</w:t>
      </w:r>
    </w:p>
    <w:p>
      <w:pPr>
        <w:spacing w:after="0" w:line="17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7"/>
          <w:szCs w:val="17"/>
          <w:b w:val="1"/>
          <w:bCs w:val="1"/>
          <w:color w:val="auto"/>
        </w:rPr>
        <w:t>THIRD:</w:t>
      </w:r>
      <w:r>
        <w:rPr>
          <w:sz w:val="20"/>
          <w:szCs w:val="20"/>
          <w:color w:val="auto"/>
        </w:rPr>
        <w:tab/>
      </w:r>
      <w:r>
        <w:rPr>
          <w:rFonts w:ascii="Arial" w:cs="Arial" w:eastAsia="Arial" w:hAnsi="Arial"/>
          <w:sz w:val="17"/>
          <w:szCs w:val="17"/>
          <w:b w:val="1"/>
          <w:bCs w:val="1"/>
          <w:u w:val="single" w:color="auto"/>
          <w:color w:val="auto"/>
        </w:rPr>
        <w:t>Purpose and Powers</w:t>
      </w:r>
      <w:r>
        <w:rPr>
          <w:rFonts w:ascii="Arial" w:cs="Arial" w:eastAsia="Arial" w:hAnsi="Arial"/>
          <w:sz w:val="17"/>
          <w:szCs w:val="17"/>
          <w:color w:val="auto"/>
        </w:rPr>
        <w:t>. The nature of the business and the objects or purposes to be transacted, promoted or carried on are:</w:t>
      </w:r>
    </w:p>
    <w:p>
      <w:pPr>
        <w:spacing w:after="0" w:line="241" w:lineRule="exact"/>
        <w:rPr>
          <w:sz w:val="20"/>
          <w:szCs w:val="20"/>
          <w:color w:val="auto"/>
        </w:rPr>
      </w:pPr>
    </w:p>
    <w:p>
      <w:pPr>
        <w:ind w:right="480" w:firstLine="1296"/>
        <w:spacing w:after="0" w:line="263" w:lineRule="auto"/>
        <w:rPr>
          <w:sz w:val="20"/>
          <w:szCs w:val="20"/>
          <w:color w:val="auto"/>
        </w:rPr>
      </w:pPr>
      <w:r>
        <w:rPr>
          <w:rFonts w:ascii="Arial" w:cs="Arial" w:eastAsia="Arial" w:hAnsi="Arial"/>
          <w:sz w:val="18"/>
          <w:szCs w:val="18"/>
          <w:color w:val="auto"/>
        </w:rPr>
        <w:t>To engage in any lawful act or activity for which corporations may be organized under the General Corporation Law of the State of Delaware and to do all things and exercise all powers, rights and privileges that a business corporation may now or hereafter be organized or authorized to do or to exercise under the laws of the State of Delaware.</w:t>
      </w:r>
    </w:p>
    <w:p>
      <w:pPr>
        <w:spacing w:after="0" w:line="18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b w:val="1"/>
          <w:bCs w:val="1"/>
          <w:u w:val="single" w:color="auto"/>
          <w:color w:val="auto"/>
        </w:rPr>
        <w:t>Capital</w:t>
      </w:r>
      <w:r>
        <w:rPr>
          <w:rFonts w:ascii="Arial" w:cs="Arial" w:eastAsia="Arial" w:hAnsi="Arial"/>
          <w:sz w:val="18"/>
          <w:szCs w:val="18"/>
          <w:color w:val="auto"/>
        </w:rPr>
        <w:t>.</w:t>
      </w:r>
    </w:p>
    <w:p>
      <w:pPr>
        <w:spacing w:after="0" w:line="225" w:lineRule="exact"/>
        <w:rPr>
          <w:sz w:val="20"/>
          <w:szCs w:val="20"/>
          <w:color w:val="auto"/>
        </w:rPr>
      </w:pPr>
    </w:p>
    <w:p>
      <w:pPr>
        <w:jc w:val="both"/>
        <w:ind w:right="340" w:firstLine="1304"/>
        <w:spacing w:after="0" w:line="266" w:lineRule="auto"/>
        <w:tabs>
          <w:tab w:leader="none" w:pos="169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Authorized Shares</w:t>
      </w:r>
      <w:r>
        <w:rPr>
          <w:rFonts w:ascii="Arial" w:cs="Arial" w:eastAsia="Arial" w:hAnsi="Arial"/>
          <w:sz w:val="18"/>
          <w:szCs w:val="18"/>
          <w:color w:val="auto"/>
        </w:rPr>
        <w:t>. The total number of shares of stock that the Corporation shall have authority to issue is 25,000,000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20,000,000 shares of Common Stock, having a par value of $.01 per share, and 5,000,000 shares of Preferred Stock, having a par value of $.01 per share.</w:t>
      </w:r>
    </w:p>
    <w:p>
      <w:pPr>
        <w:spacing w:after="0" w:line="175" w:lineRule="exact"/>
        <w:rPr>
          <w:rFonts w:ascii="Arial" w:cs="Arial" w:eastAsia="Arial" w:hAnsi="Arial"/>
          <w:sz w:val="18"/>
          <w:szCs w:val="18"/>
          <w:color w:val="auto"/>
        </w:rPr>
      </w:pPr>
    </w:p>
    <w:p>
      <w:pPr>
        <w:ind w:right="500" w:firstLine="1304"/>
        <w:spacing w:after="0" w:line="258" w:lineRule="auto"/>
        <w:tabs>
          <w:tab w:leader="none" w:pos="168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Preferred Stock</w:t>
      </w:r>
      <w:r>
        <w:rPr>
          <w:rFonts w:ascii="Arial" w:cs="Arial" w:eastAsia="Arial" w:hAnsi="Arial"/>
          <w:sz w:val="18"/>
          <w:szCs w:val="18"/>
          <w:color w:val="auto"/>
        </w:rPr>
        <w:t>. The Preferred Stock may be issued from time to time in one or more series of any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herein authorized. Each series of Preferred Stock shall be distinctly designated by letter or descriptive words. Authority is hereby vested in the Board of Directors to issue from time to time the Preferred Stock as Preferred Stock of any series and in connection with the creation of such series to fix by resolution or resolutions providing for the issue of shares thereof the voting rights, if any, the designations, preferences and relative, participating, optional or other special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right="180"/>
        <w:spacing w:after="0" w:line="277" w:lineRule="auto"/>
        <w:rPr>
          <w:sz w:val="20"/>
          <w:szCs w:val="20"/>
          <w:color w:val="auto"/>
        </w:rPr>
      </w:pPr>
      <w:r>
        <w:rPr>
          <w:rFonts w:ascii="Arial" w:cs="Arial" w:eastAsia="Arial" w:hAnsi="Arial"/>
          <w:sz w:val="18"/>
          <w:szCs w:val="18"/>
          <w:color w:val="auto"/>
        </w:rPr>
        <w:t>and, qualifications, or restrictions of such series to the full extent now or hereafter permitted by this Certificate of Incorporation and laws of the State of Delaware.</w:t>
      </w:r>
    </w:p>
    <w:p>
      <w:pPr>
        <w:spacing w:after="0" w:line="166" w:lineRule="exact"/>
        <w:rPr>
          <w:sz w:val="20"/>
          <w:szCs w:val="20"/>
          <w:color w:val="auto"/>
        </w:rPr>
      </w:pPr>
    </w:p>
    <w:p>
      <w:pPr>
        <w:ind w:left="1700" w:hanging="396"/>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60" w:firstLine="328"/>
        <w:spacing w:after="0" w:line="277" w:lineRule="auto"/>
        <w:tabs>
          <w:tab w:leader="none" w:pos="1984" w:val="left"/>
        </w:tabs>
        <w:numPr>
          <w:ilvl w:val="1"/>
          <w:numId w:val="37"/>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Rights</w:t>
      </w:r>
      <w:r>
        <w:rPr>
          <w:rFonts w:ascii="Arial" w:cs="Arial" w:eastAsia="Arial" w:hAnsi="Arial"/>
          <w:sz w:val="17"/>
          <w:szCs w:val="17"/>
          <w:color w:val="auto"/>
        </w:rPr>
        <w:t>. In addition to any voting rights to which they may be entitled under the laws of the State of Delaware,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shares of the Preferred Stock (to the extent they have voting rights) and the holders of shares of the Common Stock shall vote, as a single class, upon all matters upon which stockholders are entitled to vote. Each share of Common Stock shall be entitled to one vote. The holders of shares of stock which do not have voting rights shall not have the right to vote in the election of directors or for any other purpose and shall not be entitled to notice of any meeting of stockholders.</w:t>
      </w:r>
    </w:p>
    <w:p>
      <w:pPr>
        <w:spacing w:after="0" w:line="167" w:lineRule="exact"/>
        <w:rPr>
          <w:rFonts w:ascii="Arial" w:cs="Arial" w:eastAsia="Arial" w:hAnsi="Arial"/>
          <w:sz w:val="17"/>
          <w:szCs w:val="17"/>
          <w:color w:val="auto"/>
        </w:rPr>
      </w:pPr>
    </w:p>
    <w:p>
      <w:pPr>
        <w:ind w:left="1980" w:hanging="352"/>
        <w:spacing w:after="0"/>
        <w:tabs>
          <w:tab w:leader="none" w:pos="1980" w:val="left"/>
        </w:tabs>
        <w:numPr>
          <w:ilvl w:val="1"/>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Cumulative Voting</w:t>
      </w:r>
      <w:r>
        <w:rPr>
          <w:rFonts w:ascii="Arial" w:cs="Arial" w:eastAsia="Arial" w:hAnsi="Arial"/>
          <w:sz w:val="18"/>
          <w:szCs w:val="18"/>
          <w:color w:val="auto"/>
        </w:rPr>
        <w:t>. There shall be no cumulative voting rights.</w:t>
      </w:r>
    </w:p>
    <w:p>
      <w:pPr>
        <w:spacing w:after="0" w:line="225" w:lineRule="exact"/>
        <w:rPr>
          <w:rFonts w:ascii="Arial" w:cs="Arial" w:eastAsia="Arial" w:hAnsi="Arial"/>
          <w:sz w:val="18"/>
          <w:szCs w:val="18"/>
          <w:color w:val="auto"/>
        </w:rPr>
      </w:pPr>
    </w:p>
    <w:p>
      <w:pPr>
        <w:ind w:left="2040" w:hanging="412"/>
        <w:spacing w:after="0"/>
        <w:tabs>
          <w:tab w:leader="none" w:pos="2040" w:val="left"/>
        </w:tabs>
        <w:numPr>
          <w:ilvl w:val="1"/>
          <w:numId w:val="37"/>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by Ballot</w:t>
      </w:r>
      <w:r>
        <w:rPr>
          <w:rFonts w:ascii="Arial" w:cs="Arial" w:eastAsia="Arial" w:hAnsi="Arial"/>
          <w:sz w:val="17"/>
          <w:szCs w:val="17"/>
          <w:color w:val="auto"/>
        </w:rPr>
        <w:t>. Elections of directors need not be by ballot unless the Bylaws of the Corporation provide otherwise.</w:t>
      </w:r>
    </w:p>
    <w:p>
      <w:pPr>
        <w:spacing w:after="0" w:line="236" w:lineRule="exact"/>
        <w:rPr>
          <w:rFonts w:ascii="Arial" w:cs="Arial" w:eastAsia="Arial" w:hAnsi="Arial"/>
          <w:sz w:val="17"/>
          <w:szCs w:val="17"/>
          <w:color w:val="auto"/>
        </w:rPr>
      </w:pPr>
    </w:p>
    <w:p>
      <w:pPr>
        <w:ind w:right="160" w:firstLine="1304"/>
        <w:spacing w:after="0" w:line="266" w:lineRule="auto"/>
        <w:tabs>
          <w:tab w:leader="none" w:pos="1696"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Preemptive Rights</w:t>
      </w:r>
      <w:r>
        <w:rPr>
          <w:rFonts w:ascii="Arial" w:cs="Arial" w:eastAsia="Arial" w:hAnsi="Arial"/>
          <w:sz w:val="18"/>
          <w:szCs w:val="18"/>
          <w:color w:val="auto"/>
        </w:rPr>
        <w:t>. Except as otherwise provided in this Certificate of Incorporation, the holders of the Preferred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Common Stock shall have no preemptive rights to subscribe for any shares of any class of stock of the Corporation whether now or hereafter authorized.</w:t>
      </w:r>
    </w:p>
    <w:p>
      <w:pPr>
        <w:spacing w:after="0" w:line="175" w:lineRule="exact"/>
        <w:rPr>
          <w:rFonts w:ascii="Arial" w:cs="Arial" w:eastAsia="Arial" w:hAnsi="Arial"/>
          <w:sz w:val="18"/>
          <w:szCs w:val="18"/>
          <w:color w:val="auto"/>
        </w:rPr>
      </w:pPr>
    </w:p>
    <w:p>
      <w:pPr>
        <w:ind w:firstLine="1304"/>
        <w:spacing w:after="0" w:line="266" w:lineRule="auto"/>
        <w:tabs>
          <w:tab w:leader="none" w:pos="1721"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color w:val="auto"/>
        </w:rPr>
        <w:t>. The holders of the Common Stock shall be entitled, in any calendar year, to receive, when, as and if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out of funds legally available for the payment of dividends, such dividends as may be declared or paid or set apart for payment to the holders of the Common Stock.</w:t>
      </w:r>
    </w:p>
    <w:p>
      <w:pPr>
        <w:spacing w:after="0" w:line="175" w:lineRule="exact"/>
        <w:rPr>
          <w:rFonts w:ascii="Arial" w:cs="Arial" w:eastAsia="Arial" w:hAnsi="Arial"/>
          <w:sz w:val="18"/>
          <w:szCs w:val="18"/>
          <w:color w:val="auto"/>
        </w:rPr>
      </w:pPr>
    </w:p>
    <w:p>
      <w:pPr>
        <w:ind w:right="20" w:firstLine="1304"/>
        <w:spacing w:after="0" w:line="256" w:lineRule="auto"/>
        <w:tabs>
          <w:tab w:leader="none" w:pos="1696"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Liquidation and Dissolution</w:t>
      </w:r>
      <w:r>
        <w:rPr>
          <w:rFonts w:ascii="Arial" w:cs="Arial" w:eastAsia="Arial" w:hAnsi="Arial"/>
          <w:sz w:val="18"/>
          <w:szCs w:val="18"/>
          <w:color w:val="auto"/>
        </w:rPr>
        <w:t>. Except as otherwise provided in this Certificate of Incorporation, upon any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dissolution or winding up of the Corporation, whether voluntary or involuntary, the holders of the Common Stock shall be ratably entitled to receive, out of the assets of the Corporation available for distribution to the holders of the Common Stock, whether from surplus or earnings, the remaining assets and funds of the Corporation. Neither the consolidation nor merger of the Corporation with or into any other corporation or corporations, nor the sale of all or substantially all of the assets of the Corporation shall be deemed to be a liquidation or dissolution or winding up of the Corporation within the meaning of this paragraph.</w:t>
      </w:r>
    </w:p>
    <w:p>
      <w:pPr>
        <w:spacing w:after="0" w:line="187" w:lineRule="exact"/>
        <w:rPr>
          <w:rFonts w:ascii="Arial" w:cs="Arial" w:eastAsia="Arial" w:hAnsi="Arial"/>
          <w:sz w:val="18"/>
          <w:szCs w:val="18"/>
          <w:color w:val="auto"/>
        </w:rPr>
      </w:pPr>
    </w:p>
    <w:p>
      <w:pPr>
        <w:ind w:right="100" w:firstLine="1304"/>
        <w:spacing w:after="0" w:line="312" w:lineRule="auto"/>
        <w:tabs>
          <w:tab w:leader="none" w:pos="1741" w:val="left"/>
        </w:tabs>
        <w:numPr>
          <w:ilvl w:val="0"/>
          <w:numId w:val="37"/>
        </w:numPr>
        <w:rPr>
          <w:rFonts w:ascii="Arial" w:cs="Arial" w:eastAsia="Arial" w:hAnsi="Arial"/>
          <w:sz w:val="17"/>
          <w:szCs w:val="17"/>
          <w:color w:val="auto"/>
        </w:rPr>
      </w:pPr>
      <w:r>
        <w:rPr>
          <w:rFonts w:ascii="Arial" w:cs="Arial" w:eastAsia="Arial" w:hAnsi="Arial"/>
          <w:sz w:val="17"/>
          <w:szCs w:val="17"/>
          <w:b w:val="1"/>
          <w:bCs w:val="1"/>
          <w:u w:val="single" w:color="auto"/>
          <w:color w:val="auto"/>
        </w:rPr>
        <w:t>Repurchase of Stock</w:t>
      </w:r>
      <w:r>
        <w:rPr>
          <w:rFonts w:ascii="Arial" w:cs="Arial" w:eastAsia="Arial" w:hAnsi="Arial"/>
          <w:sz w:val="17"/>
          <w:szCs w:val="17"/>
          <w:color w:val="auto"/>
        </w:rPr>
        <w:t>. Upon any repurchase or reacquisition of the shares of the Common Stock, the shares so repurchased or</w:t>
      </w:r>
      <w:r>
        <w:rPr>
          <w:rFonts w:ascii="Arial" w:cs="Arial" w:eastAsia="Arial" w:hAnsi="Arial"/>
          <w:sz w:val="17"/>
          <w:szCs w:val="17"/>
          <w:b w:val="1"/>
          <w:bCs w:val="1"/>
          <w:color w:val="auto"/>
        </w:rPr>
        <w:t xml:space="preserve"> </w:t>
      </w:r>
      <w:r>
        <w:rPr>
          <w:rFonts w:ascii="Arial" w:cs="Arial" w:eastAsia="Arial" w:hAnsi="Arial"/>
          <w:sz w:val="17"/>
          <w:szCs w:val="17"/>
          <w:color w:val="auto"/>
        </w:rPr>
        <w:t>reacquired shall resume and have the status of authorized and unissued shares of Common Stock, and the number of shares of</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584" w:right="6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Common Stock which the Corporation shall have authority to issue shall not be decreased by the repurchase or reacquisition of such shares.</w:t>
      </w:r>
    </w:p>
    <w:p>
      <w:pPr>
        <w:spacing w:after="0" w:line="233"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b w:val="1"/>
          <w:bCs w:val="1"/>
          <w:u w:val="single" w:color="auto"/>
          <w:color w:val="auto"/>
        </w:rPr>
        <w:t>Incorporator</w:t>
      </w:r>
      <w:r>
        <w:rPr>
          <w:rFonts w:ascii="Arial" w:cs="Arial" w:eastAsia="Arial" w:hAnsi="Arial"/>
          <w:sz w:val="18"/>
          <w:szCs w:val="18"/>
          <w:color w:val="auto"/>
        </w:rPr>
        <w:t>. The name and mailing address of the incorporator is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6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Mailing Address</w:t>
            </w: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38"/>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gridSpan w:val="4"/>
          </w:tcPr>
          <w:p>
            <w:pPr>
              <w:ind w:left="380"/>
              <w:spacing w:after="0"/>
              <w:rPr>
                <w:sz w:val="20"/>
                <w:szCs w:val="20"/>
                <w:color w:val="auto"/>
              </w:rPr>
            </w:pPr>
            <w:r>
              <w:rPr>
                <w:rFonts w:ascii="Arial" w:cs="Arial" w:eastAsia="Arial" w:hAnsi="Arial"/>
                <w:sz w:val="18"/>
                <w:szCs w:val="18"/>
                <w:color w:val="auto"/>
              </w:rPr>
              <w:t>James W. Schwartz</w:t>
            </w:r>
          </w:p>
        </w:tc>
        <w:tc>
          <w:tcPr>
            <w:tcW w:w="4520" w:type="dxa"/>
            <w:vAlign w:val="bottom"/>
            <w:gridSpan w:val="3"/>
          </w:tcPr>
          <w:p>
            <w:pPr>
              <w:ind w:left="400"/>
              <w:spacing w:after="0"/>
              <w:rPr>
                <w:sz w:val="20"/>
                <w:szCs w:val="20"/>
                <w:color w:val="auto"/>
              </w:rPr>
            </w:pPr>
            <w:r>
              <w:rPr>
                <w:rFonts w:ascii="Arial" w:cs="Arial" w:eastAsia="Arial" w:hAnsi="Arial"/>
                <w:sz w:val="18"/>
                <w:szCs w:val="18"/>
                <w:color w:val="auto"/>
              </w:rPr>
              <w:t>Saul, Ewing, Remick &amp; Saul</w:t>
            </w: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520" w:type="dxa"/>
            <w:vAlign w:val="bottom"/>
            <w:gridSpan w:val="3"/>
          </w:tcPr>
          <w:p>
            <w:pPr>
              <w:ind w:left="400"/>
              <w:spacing w:after="0"/>
              <w:rPr>
                <w:sz w:val="20"/>
                <w:szCs w:val="20"/>
                <w:color w:val="auto"/>
              </w:rPr>
            </w:pPr>
            <w:r>
              <w:rPr>
                <w:rFonts w:ascii="Arial" w:cs="Arial" w:eastAsia="Arial" w:hAnsi="Arial"/>
                <w:sz w:val="18"/>
                <w:szCs w:val="18"/>
                <w:color w:val="auto"/>
              </w:rPr>
              <w:t>3800 Centre Square West</w:t>
            </w:r>
          </w:p>
        </w:tc>
      </w:tr>
      <w:tr>
        <w:trPr>
          <w:trHeight w:val="230"/>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520" w:type="dxa"/>
            <w:vAlign w:val="bottom"/>
            <w:gridSpan w:val="3"/>
          </w:tcPr>
          <w:p>
            <w:pPr>
              <w:ind w:left="400"/>
              <w:spacing w:after="0"/>
              <w:rPr>
                <w:sz w:val="20"/>
                <w:szCs w:val="20"/>
                <w:color w:val="auto"/>
              </w:rPr>
            </w:pPr>
            <w:r>
              <w:rPr>
                <w:rFonts w:ascii="Arial" w:cs="Arial" w:eastAsia="Arial" w:hAnsi="Arial"/>
                <w:sz w:val="18"/>
                <w:szCs w:val="18"/>
                <w:color w:val="auto"/>
              </w:rPr>
              <w:t>Philadelphia, PA 19102</w:t>
            </w:r>
          </w:p>
        </w:tc>
      </w:tr>
      <w:tr>
        <w:trPr>
          <w:trHeight w:val="391"/>
        </w:trPr>
        <w:tc>
          <w:tcPr>
            <w:tcW w:w="1160" w:type="dxa"/>
            <w:vAlign w:val="bottom"/>
          </w:tcPr>
          <w:p>
            <w:pPr>
              <w:spacing w:after="0"/>
              <w:rPr>
                <w:sz w:val="20"/>
                <w:szCs w:val="20"/>
                <w:color w:val="auto"/>
              </w:rPr>
            </w:pPr>
            <w:r>
              <w:rPr>
                <w:rFonts w:ascii="Arial" w:cs="Arial" w:eastAsia="Arial" w:hAnsi="Arial"/>
                <w:sz w:val="18"/>
                <w:szCs w:val="18"/>
                <w:b w:val="1"/>
                <w:bCs w:val="1"/>
                <w:color w:val="auto"/>
              </w:rPr>
              <w:t>SIXTH:</w:t>
            </w:r>
          </w:p>
        </w:tc>
        <w:tc>
          <w:tcPr>
            <w:tcW w:w="4280" w:type="dxa"/>
            <w:vAlign w:val="bottom"/>
            <w:gridSpan w:val="5"/>
          </w:tcPr>
          <w:p>
            <w:pPr>
              <w:spacing w:after="0"/>
              <w:rPr>
                <w:sz w:val="20"/>
                <w:szCs w:val="20"/>
                <w:color w:val="auto"/>
              </w:rPr>
            </w:pPr>
            <w:r>
              <w:rPr>
                <w:rFonts w:ascii="Arial" w:cs="Arial" w:eastAsia="Arial" w:hAnsi="Arial"/>
                <w:sz w:val="18"/>
                <w:szCs w:val="18"/>
                <w:b w:val="1"/>
                <w:bCs w:val="1"/>
                <w:color w:val="auto"/>
                <w:w w:val="98"/>
              </w:rPr>
              <w:t>Term</w:t>
            </w:r>
            <w:r>
              <w:rPr>
                <w:rFonts w:ascii="Arial" w:cs="Arial" w:eastAsia="Arial" w:hAnsi="Arial"/>
                <w:sz w:val="18"/>
                <w:szCs w:val="18"/>
                <w:color w:val="auto"/>
                <w:w w:val="98"/>
              </w:rPr>
              <w:t>. The Corporation is to have perpetual existence.</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b w:val="1"/>
                <w:bCs w:val="1"/>
                <w:color w:val="auto"/>
              </w:rPr>
              <w:t>SEVENTH:</w:t>
            </w:r>
          </w:p>
        </w:tc>
        <w:tc>
          <w:tcPr>
            <w:tcW w:w="8800" w:type="dxa"/>
            <w:vAlign w:val="bottom"/>
            <w:gridSpan w:val="8"/>
          </w:tcPr>
          <w:p>
            <w:pPr>
              <w:spacing w:after="0"/>
              <w:rPr>
                <w:sz w:val="20"/>
                <w:szCs w:val="20"/>
                <w:color w:val="auto"/>
              </w:rPr>
            </w:pPr>
            <w:r>
              <w:rPr>
                <w:rFonts w:ascii="Arial" w:cs="Arial" w:eastAsia="Arial" w:hAnsi="Arial"/>
                <w:sz w:val="18"/>
                <w:szCs w:val="18"/>
                <w:b w:val="1"/>
                <w:bCs w:val="1"/>
                <w:color w:val="auto"/>
                <w:w w:val="90"/>
              </w:rPr>
              <w:t>Liability of Stockholders</w:t>
            </w:r>
            <w:r>
              <w:rPr>
                <w:rFonts w:ascii="Arial" w:cs="Arial" w:eastAsia="Arial" w:hAnsi="Arial"/>
                <w:sz w:val="18"/>
                <w:szCs w:val="18"/>
                <w:color w:val="auto"/>
                <w:w w:val="90"/>
              </w:rPr>
              <w:t>. The stockholders shall not be personally liable for the payment of the debts of the Corporation.</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360" w:firstLine="648"/>
        <w:spacing w:after="0" w:line="282"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b w:val="1"/>
          <w:bCs w:val="1"/>
          <w:u w:val="single" w:color="auto"/>
          <w:color w:val="auto"/>
        </w:rPr>
        <w:t>Additional Powers of Board of Directors</w:t>
      </w:r>
      <w:r>
        <w:rPr>
          <w:rFonts w:ascii="Arial" w:cs="Arial" w:eastAsia="Arial" w:hAnsi="Arial"/>
          <w:sz w:val="18"/>
          <w:szCs w:val="18"/>
          <w:color w:val="auto"/>
        </w:rPr>
        <w:t>. The Board of Directors shall have power, without stockholder action,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for the Corporation and to amend, alter or repeal any Bylaws.</w:t>
      </w:r>
    </w:p>
    <w:p>
      <w:pPr>
        <w:spacing w:after="0" w:line="166"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The powers and authorities herein conferred upon the Board of Directors are in furtherance and not in limitation of those conferred by the laws of the State of Delaware. In addition to the powers and authorities herein or by statute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spacing w:after="0" w:line="16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b w:val="1"/>
          <w:bCs w:val="1"/>
          <w:u w:val="single" w:color="auto"/>
          <w:color w:val="auto"/>
        </w:rPr>
        <w:t>Elimination of Certain Liability of Directors</w:t>
      </w:r>
      <w:r>
        <w:rPr>
          <w:rFonts w:ascii="Arial" w:cs="Arial" w:eastAsia="Arial" w:hAnsi="Arial"/>
          <w:sz w:val="18"/>
          <w:szCs w:val="18"/>
          <w:color w:val="auto"/>
        </w:rPr>
        <w:t>. A director of the Corporation shall not be personally liable to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knowing violation of law, (iii) under Section 174 of the Delaware General Corporation Law or (iv) for any transaction from which the director derived any improper personal benefit. If the Delaware General Corporation Law is amended to authorize corporate action further eliminating or limiting the personal liability of directors, then, without further action by the Board of Directors or the stockholders, the liability of a director of the Corporation shall be eliminated or limited to the fullest extent permitted by the Delaware General Corporation Law, as so amended. Any repeal or modification of this Article NINTH by the stockholders of the Corporation shall not adversely affect any right or protection of a director of the Corporation existing at the time of such repeal or modification.</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84" w:right="619" w:bottom="1440" w:gutter="0" w:footer="0" w:header="0"/>
        </w:sectPr>
      </w:pPr>
    </w:p>
    <w:bookmarkStart w:id="64" w:name="page65"/>
    <w:bookmarkEnd w:id="64"/>
    <w:p>
      <w:pPr>
        <w:ind w:right="280" w:firstLine="648"/>
        <w:spacing w:after="0" w:line="289" w:lineRule="auto"/>
        <w:rPr>
          <w:sz w:val="20"/>
          <w:szCs w:val="20"/>
          <w:color w:val="auto"/>
        </w:rPr>
      </w:pPr>
      <w:r>
        <w:rPr>
          <w:rFonts w:ascii="Arial" w:cs="Arial" w:eastAsia="Arial" w:hAnsi="Arial"/>
          <w:sz w:val="17"/>
          <w:szCs w:val="17"/>
          <w:b w:val="1"/>
          <w:bCs w:val="1"/>
          <w:color w:val="auto"/>
        </w:rPr>
        <w:t xml:space="preserve">TENTH: </w:t>
      </w:r>
      <w:r>
        <w:rPr>
          <w:rFonts w:ascii="Arial" w:cs="Arial" w:eastAsia="Arial" w:hAnsi="Arial"/>
          <w:sz w:val="17"/>
          <w:szCs w:val="17"/>
          <w:b w:val="1"/>
          <w:bCs w:val="1"/>
          <w:u w:val="single" w:color="auto"/>
          <w:color w:val="auto"/>
        </w:rPr>
        <w:t>Elections; Books of the Corporation</w:t>
      </w:r>
      <w:r>
        <w:rPr>
          <w:rFonts w:ascii="Arial" w:cs="Arial" w:eastAsia="Arial" w:hAnsi="Arial"/>
          <w:sz w:val="17"/>
          <w:szCs w:val="17"/>
          <w:color w:val="auto"/>
        </w:rPr>
        <w:t>. Elections of directors need not be by written ballot unless the bylaws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so provide. The books of the Corporation may be kept (subject to any requirement of law) outside the State of Delaware at such place or places as may be designated from time to time by the Board of Directors or in the bylaws of the Corporation.</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b w:val="1"/>
          <w:bCs w:val="1"/>
          <w:u w:val="single" w:color="auto"/>
          <w:color w:val="auto"/>
        </w:rPr>
        <w:t>Right to Amend Certificate of Incorporation</w:t>
      </w:r>
      <w:r>
        <w:rPr>
          <w:rFonts w:ascii="Arial" w:cs="Arial" w:eastAsia="Arial" w:hAnsi="Arial"/>
          <w:sz w:val="16"/>
          <w:szCs w:val="16"/>
          <w:color w:val="auto"/>
        </w:rPr>
        <w:t>. The Corporation reserves the right at any time and from time to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amend, alter, change or repeal any provision contained in this Certificate of Incorporation. In addition, other provisions, authorized by the laws of the State of Delaware at the time in force, may be added or inserted in this Certificate of Incorporation, in the manner now or hereafter prescribed by law. All rights, preferences and privileges of whatever nature conferred upon stockholders, directors or any other person whomsoever by and pursuant to this Certificate of Incorporation in its present form or as hereafter amended shall be subject to the right of the Corporation reserved in this Article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ELEVENTH.</w:t>
      </w:r>
    </w:p>
    <w:p>
      <w:pPr>
        <w:spacing w:after="0" w:line="211" w:lineRule="exact"/>
        <w:rPr>
          <w:sz w:val="20"/>
          <w:szCs w:val="20"/>
          <w:color w:val="auto"/>
        </w:rPr>
      </w:pPr>
    </w:p>
    <w:p>
      <w:pPr>
        <w:ind w:right="160" w:firstLine="648"/>
        <w:spacing w:after="0" w:line="212" w:lineRule="auto"/>
        <w:rPr>
          <w:sz w:val="20"/>
          <w:szCs w:val="20"/>
          <w:color w:val="auto"/>
        </w:rPr>
      </w:pPr>
      <w:r>
        <w:rPr>
          <w:rFonts w:ascii="Arial" w:cs="Arial" w:eastAsia="Arial" w:hAnsi="Arial"/>
          <w:sz w:val="18"/>
          <w:szCs w:val="18"/>
          <w:color w:val="auto"/>
        </w:rPr>
        <w:t>THE UNDERSIGNED, being the sole incorporator hereinbefore named, does hereby make this Certificate of Incorporation, declaring and acknowledging that this is my act and deed and the facts herein stated are true, and accordingly have hereunto set my hand this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March, 1997.</w:t>
      </w: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James W.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-10160</wp:posOffset>
            </wp:positionV>
            <wp:extent cx="18237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James W. Schwartz</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320" w:top="580" w:right="7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inTEST Corporation (“our” or the “Company”) has one class of securities registered under Section 12 of the Securities Exchange Act of 1934, as amended: our common stock.</w:t>
      </w:r>
    </w:p>
    <w:p>
      <w:pPr>
        <w:spacing w:after="0" w:line="170"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i w:val="1"/>
          <w:iCs w:val="1"/>
          <w:color w:val="auto"/>
        </w:rPr>
        <w:t>The following description of our common stock is a summary and does not purport to be complete. It is subject to and qualified in its entirety by reference to our Certificate of Incorporation (the “Certificate of Incorporation”), and our Bylaws, as amended and restated effective April 23, 2018 (the “Bylaws”), each of which is filed with or incorporated by reference as an exhibit to the Annual Report on Form 10-K. For additional information, please read the Certificate of Incorporation, Bylaws and the applicable provisions of the Delaware General Corporation Law (the “DGCL”).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Common Stock</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Authorized Common Stock. </w:t>
      </w:r>
      <w:r>
        <w:rPr>
          <w:rFonts w:ascii="Arial" w:cs="Arial" w:eastAsia="Arial" w:hAnsi="Arial"/>
          <w:sz w:val="18"/>
          <w:szCs w:val="18"/>
          <w:color w:val="auto"/>
        </w:rPr>
        <w:t>Our Board of Directors (the “Board) has the authority to issue up to 20,000,000 shares of common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$0.01 per share.</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the Company’s common stock are entitled to one vote for each share held of record on all matters submitted to a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stockholders and do not have cumulative voting rights. Except as otherwise provided by law, the Certificate of Incorporation or the Bylaws, matters will generally be decided by the vote of the holders of a majority of the voting power present in person or represented by proxy, and an election of directors by our stockholders will be determined by a plurality of the votes cast by the stockholders entitled to vote on the election.</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outstanding preferred stock, holders of our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when and if declared by the Board out of funds legally available for the payment of dividends.</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Holders of our common stock are entitled to share ratably in the assets of the Company legally available for distribution to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 the event of liquidation, dissolution or winding up of the Company, but only after satisfaction of all of the Company’s liabilities and of the prior rights of any outstanding series of our preferred stock.</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Rights and Preferences</w:t>
      </w:r>
      <w:r>
        <w:rPr>
          <w:rFonts w:ascii="Arial" w:cs="Arial" w:eastAsia="Arial" w:hAnsi="Arial"/>
          <w:sz w:val="18"/>
          <w:szCs w:val="18"/>
          <w:color w:val="auto"/>
        </w:rPr>
        <w:t>. Holders of our common stock have no preemptive, subscription, redemption or conversion rights. The rights, preferences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privileges of holders of our common stock will be subject to the rights of the holders of any series of our preferred stock that the Board may issue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 All outstanding shares of our common stock are duly authorized, fully paid and nonassessable.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Our common stock is listed on NYSE American under the symbol “INTT.”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Computershare Investor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Some provisions of the DGCL and the Certificate of Incorporation and Bylaws could discourage or make more difficult a change in control of the Company without the support of the Board. A summary of these provisions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Delaware Anti-takeover Law</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Company is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1300" w:right="26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1300" w:right="34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23"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and by the affirmative vote of holders of at least 66 2/3% of the outstanding voting stock that is not owned by the interested stockholder.</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the Company’s voting stock.</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Issuances of the Company’s Preferred Stock</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Board is authorized under the Certificate of Incorporation to issue 5,000,000 shares of preferred stock. The rights, preferences and privileges of holders of common stock are subject to, and may be adversely affected by, the rights of the holders of any series of preferred stock that the Company may designate and issue in the future. The ability to authorize preferred stock makes it possible for the Board to issue preferred stock with voting or other rights or preferences that could impede the success of any attempt to acquire the Company. These and other provisions may have the effect of deterring hostile takeovers or delaying changes in control or management of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Meetings of Stockholders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Bylaws provide that the Board may call special meetings of stockholders for any purpose or purposes at any time pursuant to a resolution approved by a majority of the Board. Special meetings of the stockholders of the Company may be called by the Board upon written request to the Secretary of the Company or by one or more stockholders owning at least fifty percent (50%) of the voting power of the shares of stock of the Company entitled to vote on the matter or matters to be brought before the proposed special meeting. Notwithstanding the foregoing, a special meeting requested by stockholders will not be held if either (a) the Board or a court of competent jurisdiction has called or calls for an annual or special meeting of stockholders to be held within 90 days after the Secretary receives the request for the special meeting and the Board determines in good faith that the business of such annual or special meeting includes (among any other matters properly brought before the annual or special meeting) the business specified in the request or</w:t>
      </w:r>
    </w:p>
    <w:p>
      <w:pPr>
        <w:spacing w:after="0" w:line="2" w:lineRule="exact"/>
        <w:rPr>
          <w:sz w:val="20"/>
          <w:szCs w:val="20"/>
          <w:color w:val="auto"/>
        </w:rPr>
      </w:pPr>
    </w:p>
    <w:p>
      <w:pPr>
        <w:ind w:right="220" w:firstLine="8"/>
        <w:spacing w:after="0" w:line="260"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or special meeting that included the business specified in the request (as determined in good faith by the Board) was held not more than 90 days before the request to call the special meeting was received by the Secretary.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Nominations for election to the Board and the proposal of business other than nominations to be considered by the stockholders may be made by or at the direction of the Board or by any stockholder entitled to vote generally in the election of directors who follows the advance notice procedures described in paragraphs (b) and (c) of Section 1.10 in the Bylaws. In general, a stockholder must submit a written notice of the nomination and other business proposed to be brought before the meeting of stockholders to the Secretary at the principal executive offices of the Company not less than 90 days nor more than 120 days prior to the first anniversary of the date on which we first mailed our proxy materials for the preceding year’s annual meeting of stockholders, together with required information regarding the stockholder and each person the stockholder proposes to nominate.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Bylaws provide that, unless otherwise restricted by the Certificate of Incorporation, any action required or permitted to be taken at any annual or special meeting of the stockholders may be taken without a meeting if a consent or consents in writing is signed by the holders of outstanding stock having not less than the minimum number of votes that would be necessary to authorize or take such action at a meeting at which all shares entitled to vote on the action were present and voted.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Vacancies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newly created directorship or any vacancy occurring in the Board for any cause may be filled by a majority of the remaining members of the Board, even though such majority is less than a quorum, and each director so elected will hold office until the expiration of the term of office of the director whom he or she has replaced, or until his or her successor is elected and qualified, or until his or her earlier death, resignation, or removal.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584"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u w:val="single" w:color="auto"/>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COMPENSATORY ARRANGEMENTS OF DIRECTORS</w:t>
      </w:r>
    </w:p>
    <w:p>
      <w:pPr>
        <w:spacing w:after="0" w:line="200" w:lineRule="exact"/>
        <w:rPr>
          <w:sz w:val="20"/>
          <w:szCs w:val="20"/>
          <w:color w:val="auto"/>
        </w:rPr>
      </w:pPr>
    </w:p>
    <w:p>
      <w:pPr>
        <w:spacing w:after="0" w:line="24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Directors who are not also our officers (each a "non-employee director") currently receive an annual retainer of $25,000. The Board Chairman is paid an additional annual retainer of $40,000. The Chair of each of the committees of the Board are paid an additional annual fee as follows: the Chair of the Audit Committee is paid an additional annual fee of $20,000; the Chair of the Compensation Committee is paid an additional annual fee of $10,000; and the Chair of the Nominating and Corporate Governance Committee is paid an additional annual fee of $10,000. The members of the committees, other than the Chair, are paid additional annual fees as follows: members of the Audit Committee are paid an additional annual fee of $10,000, members of the Compensation Committee are paid an additional annual fee of $5,000, and members of the Nominating and Corporate Governance Committee are paid an additional annual fee of $5,000. Non-employee directors also receive an annual award of restricted stock under our Second Amended and Restated 2014 Stock Plan. In addition, we reimburse non-employee directors' travel expenses and other costs associated with attending Board or committee meetings. We do not pay compensation to our executive officers for their service as directors.</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ind w:left="840"/>
              <w:spacing w:after="0"/>
              <w:rPr>
                <w:sz w:val="20"/>
                <w:szCs w:val="20"/>
                <w:color w:val="auto"/>
              </w:rPr>
            </w:pPr>
            <w:r>
              <w:rPr>
                <w:rFonts w:ascii="Arial" w:cs="Arial" w:eastAsia="Arial" w:hAnsi="Arial"/>
                <w:sz w:val="18"/>
                <w:szCs w:val="18"/>
                <w:b w:val="1"/>
                <w:bCs w:val="1"/>
                <w:color w:val="auto"/>
              </w:rPr>
              <w:t>Subsidiaries of the Registrant</w:t>
            </w:r>
          </w:p>
        </w:tc>
      </w:tr>
      <w:tr>
        <w:trPr>
          <w:trHeight w:val="846"/>
        </w:trPr>
        <w:tc>
          <w:tcPr>
            <w:tcW w:w="3640" w:type="dxa"/>
            <w:vAlign w:val="bottom"/>
          </w:tcPr>
          <w:p>
            <w:pPr>
              <w:spacing w:after="0"/>
              <w:rPr>
                <w:sz w:val="24"/>
                <w:szCs w:val="24"/>
                <w:color w:val="auto"/>
              </w:rPr>
            </w:pPr>
          </w:p>
        </w:tc>
        <w:tc>
          <w:tcPr>
            <w:tcW w:w="7600" w:type="dxa"/>
            <w:vAlign w:val="bottom"/>
          </w:tcPr>
          <w:p>
            <w:pPr>
              <w:jc w:val="center"/>
              <w:ind w:left="4230"/>
              <w:spacing w:after="0"/>
              <w:rPr>
                <w:sz w:val="20"/>
                <w:szCs w:val="20"/>
                <w:color w:val="auto"/>
              </w:rPr>
            </w:pPr>
            <w:r>
              <w:rPr>
                <w:rFonts w:ascii="Arial" w:cs="Arial" w:eastAsia="Arial" w:hAnsi="Arial"/>
                <w:sz w:val="18"/>
                <w:szCs w:val="18"/>
                <w:b w:val="1"/>
                <w:bCs w:val="1"/>
                <w:color w:val="auto"/>
                <w:w w:val="90"/>
              </w:rPr>
              <w:t>Jurisdiction</w:t>
            </w:r>
          </w:p>
        </w:tc>
      </w:t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Subsidiaries</w:t>
            </w:r>
          </w:p>
        </w:tc>
        <w:tc>
          <w:tcPr>
            <w:tcW w:w="7600" w:type="dxa"/>
            <w:vAlign w:val="bottom"/>
            <w:tcBorders>
              <w:bottom w:val="single" w:sz="8" w:color="auto"/>
            </w:tcBorders>
          </w:tcPr>
          <w:p>
            <w:pPr>
              <w:jc w:val="center"/>
              <w:ind w:left="4230"/>
              <w:spacing w:after="0"/>
              <w:rPr>
                <w:sz w:val="20"/>
                <w:szCs w:val="20"/>
                <w:color w:val="auto"/>
              </w:rPr>
            </w:pPr>
            <w:r>
              <w:rPr>
                <w:rFonts w:ascii="Arial" w:cs="Arial" w:eastAsia="Arial" w:hAnsi="Arial"/>
                <w:sz w:val="18"/>
                <w:szCs w:val="18"/>
                <w:b w:val="1"/>
                <w:bCs w:val="1"/>
                <w:color w:val="auto"/>
                <w:w w:val="92"/>
              </w:rPr>
              <w:t>of Incorporation</w:t>
            </w:r>
          </w:p>
        </w:tc>
      </w:tr>
      <w:tr>
        <w:trPr>
          <w:trHeight w:val="411"/>
        </w:trPr>
        <w:tc>
          <w:tcPr>
            <w:tcW w:w="3640" w:type="dxa"/>
            <w:vAlign w:val="bottom"/>
          </w:tcPr>
          <w:p>
            <w:pPr>
              <w:spacing w:after="0"/>
              <w:rPr>
                <w:sz w:val="20"/>
                <w:szCs w:val="20"/>
                <w:color w:val="auto"/>
              </w:rPr>
            </w:pPr>
            <w:r>
              <w:rPr>
                <w:rFonts w:ascii="Arial" w:cs="Arial" w:eastAsia="Arial" w:hAnsi="Arial"/>
                <w:sz w:val="18"/>
                <w:szCs w:val="18"/>
                <w:color w:val="auto"/>
              </w:rPr>
              <w:t>Ambrell Corporation</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EMS LLC (a)</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Silicon Valley Corporation (a)</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Temptronic Corporation (b)</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Ambrell B.V.</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90"/>
              </w:rPr>
              <w:t>Netherlands</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Ambrell Limited</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rPr>
              <w:t>U.K.</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inTEST PTE, Ltd.</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87"/>
              </w:rPr>
              <w:t>Singapore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inTEST Thermal Solutions GmbH</w:t>
            </w:r>
          </w:p>
        </w:tc>
        <w:tc>
          <w:tcPr>
            <w:tcW w:w="7600" w:type="dxa"/>
            <w:vAlign w:val="bottom"/>
          </w:tcPr>
          <w:p>
            <w:pPr>
              <w:jc w:val="center"/>
              <w:ind w:left="4230"/>
              <w:spacing w:after="0"/>
              <w:rPr>
                <w:sz w:val="20"/>
                <w:szCs w:val="20"/>
                <w:color w:val="auto"/>
              </w:rPr>
            </w:pPr>
            <w:r>
              <w:rPr>
                <w:rFonts w:ascii="Arial" w:cs="Arial" w:eastAsia="Arial" w:hAnsi="Arial"/>
                <w:sz w:val="18"/>
                <w:szCs w:val="18"/>
                <w:color w:val="auto"/>
                <w:w w:val="91"/>
              </w:rPr>
              <w:t>Germany</w:t>
            </w:r>
          </w:p>
        </w:tc>
      </w:tr>
    </w:tbl>
    <w:p>
      <w:pPr>
        <w:spacing w:after="0" w:line="22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Doing business as inTEST EMS.</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Doing business as inTEST Thermal Solutions Corp.</w:t>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333-145176, 333-197858, 333-226815 and 333-233297) on Form S-8 and the Registration Statement (No. 333-221558) on Form S-3 of inTEST Corporation of our report dated March 23, 2020, relating to the consolidated financial statements and the financial statement schedule of inTEST Corporation, appearing in this Annual Report on Form 10-K of inTEST Corporation for the year ended December 31, 2019.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2020</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820" w:hanging="358"/>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220" w:firstLine="462"/>
        <w:spacing w:after="0" w:line="263" w:lineRule="auto"/>
        <w:tabs>
          <w:tab w:leader="none" w:pos="8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80" w:firstLine="462"/>
        <w:spacing w:after="0" w:line="308" w:lineRule="auto"/>
        <w:tabs>
          <w:tab w:leader="none" w:pos="813"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62"/>
        <w:spacing w:after="0" w:line="263" w:lineRule="auto"/>
        <w:tabs>
          <w:tab w:leader="none" w:pos="8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40" w:hanging="422"/>
        <w:spacing w:after="0"/>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420" w:right="2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420" w:right="180" w:firstLine="398"/>
        <w:spacing w:after="0" w:line="263"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right="320" w:firstLine="398"/>
        <w:spacing w:after="0" w:line="342" w:lineRule="auto"/>
        <w:tabs>
          <w:tab w:leader="none" w:pos="12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20" w:right="300" w:firstLine="398"/>
        <w:spacing w:after="0" w:line="263" w:lineRule="auto"/>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20" w:firstLine="462"/>
        <w:spacing w:after="0" w:line="308" w:lineRule="auto"/>
        <w:tabs>
          <w:tab w:leader="none" w:pos="8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right="520" w:firstLine="398"/>
        <w:spacing w:after="0" w:line="308"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20" w:right="220" w:firstLine="398"/>
        <w:spacing w:after="0" w:line="277" w:lineRule="auto"/>
        <w:tabs>
          <w:tab w:leader="none" w:pos="12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23, 2020</w:t>
            </w:r>
          </w:p>
        </w:tc>
        <w:tc>
          <w:tcPr>
            <w:tcW w:w="140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Pelrin</w:t>
            </w:r>
          </w:p>
        </w:tc>
      </w:tr>
      <w:tr>
        <w:trPr>
          <w:trHeight w:val="195"/>
        </w:trPr>
        <w:tc>
          <w:tcPr>
            <w:tcW w:w="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James Pelrin</w:t>
            </w:r>
          </w:p>
        </w:tc>
      </w:tr>
      <w:tr>
        <w:trPr>
          <w:trHeight w:val="230"/>
        </w:trPr>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820" w:hanging="358"/>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25" w:lineRule="exact"/>
        <w:rPr>
          <w:rFonts w:ascii="Arial" w:cs="Arial" w:eastAsia="Arial" w:hAnsi="Arial"/>
          <w:sz w:val="18"/>
          <w:szCs w:val="18"/>
          <w:color w:val="auto"/>
        </w:rPr>
      </w:pPr>
    </w:p>
    <w:p>
      <w:pPr>
        <w:ind w:right="220" w:firstLine="462"/>
        <w:spacing w:after="0" w:line="263" w:lineRule="auto"/>
        <w:tabs>
          <w:tab w:leader="none" w:pos="8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80" w:firstLine="462"/>
        <w:spacing w:after="0" w:line="308" w:lineRule="auto"/>
        <w:tabs>
          <w:tab w:leader="none" w:pos="8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62"/>
        <w:spacing w:after="0" w:line="263" w:lineRule="auto"/>
        <w:tabs>
          <w:tab w:leader="none" w:pos="8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40" w:hanging="422"/>
        <w:spacing w:after="0"/>
        <w:tabs>
          <w:tab w:leader="none" w:pos="12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420" w:right="2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420" w:right="180" w:firstLine="398"/>
        <w:spacing w:after="0" w:line="263" w:lineRule="auto"/>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right="320" w:firstLine="398"/>
        <w:spacing w:after="0" w:line="342" w:lineRule="auto"/>
        <w:tabs>
          <w:tab w:leader="none" w:pos="125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20" w:right="300" w:firstLine="398"/>
        <w:spacing w:after="0" w:line="263" w:lineRule="auto"/>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20" w:firstLine="462"/>
        <w:spacing w:after="0" w:line="308" w:lineRule="auto"/>
        <w:tabs>
          <w:tab w:leader="none" w:pos="81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right="520" w:firstLine="398"/>
        <w:spacing w:after="0" w:line="308" w:lineRule="auto"/>
        <w:tabs>
          <w:tab w:leader="none" w:pos="12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20" w:right="220" w:firstLine="398"/>
        <w:spacing w:after="0" w:line="277" w:lineRule="auto"/>
        <w:tabs>
          <w:tab w:leader="none" w:pos="12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100" w:type="dxa"/>
            <w:vAlign w:val="bottom"/>
          </w:tcPr>
          <w:p>
            <w:pPr>
              <w:spacing w:after="0"/>
              <w:rPr>
                <w:sz w:val="20"/>
                <w:szCs w:val="20"/>
                <w:color w:val="auto"/>
              </w:rPr>
            </w:pPr>
            <w:r>
              <w:rPr>
                <w:rFonts w:ascii="Arial" w:cs="Arial" w:eastAsia="Arial" w:hAnsi="Arial"/>
                <w:sz w:val="18"/>
                <w:szCs w:val="18"/>
                <w:color w:val="auto"/>
              </w:rPr>
              <w:t>March 23, 2020</w:t>
            </w:r>
          </w:p>
        </w:tc>
        <w:tc>
          <w:tcPr>
            <w:tcW w:w="7020" w:type="dxa"/>
            <w:vAlign w:val="bottom"/>
            <w:gridSpan w:val="2"/>
          </w:tcPr>
          <w:p>
            <w:pPr>
              <w:ind w:left="1480"/>
              <w:spacing w:after="0"/>
              <w:rPr>
                <w:sz w:val="20"/>
                <w:szCs w:val="20"/>
                <w:color w:val="auto"/>
              </w:rPr>
            </w:pPr>
            <w:r>
              <w:rPr>
                <w:rFonts w:ascii="Arial" w:cs="Arial" w:eastAsia="Arial" w:hAnsi="Arial"/>
                <w:sz w:val="18"/>
                <w:szCs w:val="18"/>
                <w:color w:val="auto"/>
              </w:rPr>
              <w:t>/s/ Hugh T. Regan, Jr.</w:t>
            </w:r>
          </w:p>
        </w:tc>
      </w:tr>
      <w:tr>
        <w:trPr>
          <w:trHeight w:val="195"/>
        </w:trPr>
        <w:tc>
          <w:tcPr>
            <w:tcW w:w="82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5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20" w:type="dxa"/>
            <w:vAlign w:val="bottom"/>
            <w:gridSpan w:val="2"/>
          </w:tcPr>
          <w:p>
            <w:pPr>
              <w:ind w:left="1480"/>
              <w:spacing w:after="0"/>
              <w:rPr>
                <w:sz w:val="20"/>
                <w:szCs w:val="20"/>
                <w:color w:val="auto"/>
              </w:rPr>
            </w:pPr>
            <w:r>
              <w:rPr>
                <w:rFonts w:ascii="Arial" w:cs="Arial" w:eastAsia="Arial" w:hAnsi="Arial"/>
                <w:sz w:val="18"/>
                <w:szCs w:val="18"/>
                <w:color w:val="auto"/>
              </w:rPr>
              <w:t>Secretary, Treasurer and Chief Financial Officer</w:t>
            </w: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inTEST Corporation (the "Company") on Form 10-K for the year ended December 31, 2019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240" w:type="dxa"/>
            <w:vAlign w:val="bottom"/>
          </w:tcPr>
          <w:p>
            <w:pPr>
              <w:spacing w:after="0"/>
              <w:rPr>
                <w:sz w:val="20"/>
                <w:szCs w:val="20"/>
                <w:color w:val="auto"/>
              </w:rPr>
            </w:pPr>
            <w:r>
              <w:rPr>
                <w:rFonts w:ascii="Arial" w:cs="Arial" w:eastAsia="Arial" w:hAnsi="Arial"/>
                <w:sz w:val="18"/>
                <w:szCs w:val="18"/>
                <w:color w:val="auto"/>
              </w:rPr>
              <w:t>March 23, 2020</w:t>
            </w:r>
          </w:p>
        </w:tc>
        <w:tc>
          <w:tcPr>
            <w:tcW w:w="7360" w:type="dxa"/>
            <w:vAlign w:val="bottom"/>
            <w:gridSpan w:val="2"/>
          </w:tcPr>
          <w:p>
            <w:pPr>
              <w:ind w:left="2060"/>
              <w:spacing w:after="0"/>
              <w:rPr>
                <w:sz w:val="20"/>
                <w:szCs w:val="20"/>
                <w:color w:val="auto"/>
              </w:rPr>
            </w:pPr>
            <w:r>
              <w:rPr>
                <w:rFonts w:ascii="Arial" w:cs="Arial" w:eastAsia="Arial" w:hAnsi="Arial"/>
                <w:sz w:val="18"/>
                <w:szCs w:val="18"/>
                <w:color w:val="auto"/>
              </w:rPr>
              <w:t>/s/ James Pelrin</w:t>
            </w:r>
          </w:p>
        </w:tc>
      </w:tr>
      <w:tr>
        <w:trPr>
          <w:trHeight w:val="195"/>
        </w:trPr>
        <w:tc>
          <w:tcPr>
            <w:tcW w:w="8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0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Pelrin</w:t>
            </w:r>
          </w:p>
        </w:tc>
      </w:tr>
      <w:tr>
        <w:trPr>
          <w:trHeight w:val="230"/>
        </w:trPr>
        <w:tc>
          <w:tcPr>
            <w:tcW w:w="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360" w:type="dxa"/>
            <w:vAlign w:val="bottom"/>
            <w:gridSpan w:val="2"/>
          </w:tcPr>
          <w:p>
            <w:pPr>
              <w:ind w:left="20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In connection with the Annual Report of inTEST Corporation (the "Company") on Form 10-K for the year ended December 31, 2019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gridSpan w:val="2"/>
          </w:tcPr>
          <w:p>
            <w:pPr>
              <w:ind w:left="240"/>
              <w:spacing w:after="0"/>
              <w:rPr>
                <w:sz w:val="20"/>
                <w:szCs w:val="20"/>
                <w:color w:val="auto"/>
              </w:rPr>
            </w:pPr>
            <w:r>
              <w:rPr>
                <w:rFonts w:ascii="Arial" w:cs="Arial" w:eastAsia="Arial" w:hAnsi="Arial"/>
                <w:sz w:val="18"/>
                <w:szCs w:val="18"/>
                <w:color w:val="auto"/>
              </w:rPr>
              <w:t>March 23, 2020</w:t>
            </w:r>
          </w:p>
        </w:tc>
        <w:tc>
          <w:tcPr>
            <w:tcW w:w="7360" w:type="dxa"/>
            <w:vAlign w:val="bottom"/>
            <w:gridSpan w:val="2"/>
          </w:tcPr>
          <w:p>
            <w:pPr>
              <w:ind w:left="1380"/>
              <w:spacing w:after="0"/>
              <w:rPr>
                <w:sz w:val="20"/>
                <w:szCs w:val="20"/>
                <w:color w:val="auto"/>
              </w:rPr>
            </w:pPr>
            <w:r>
              <w:rPr>
                <w:rFonts w:ascii="Arial" w:cs="Arial" w:eastAsia="Arial" w:hAnsi="Arial"/>
                <w:sz w:val="18"/>
                <w:szCs w:val="18"/>
                <w:color w:val="auto"/>
              </w:rPr>
              <w:t>/s/ Hugh T. Regan, Jr.</w:t>
            </w:r>
          </w:p>
        </w:tc>
      </w:tr>
      <w:tr>
        <w:trPr>
          <w:trHeight w:val="195"/>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5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Hugh T. Regan, Jr.</w:t>
            </w:r>
          </w:p>
        </w:tc>
      </w:tr>
      <w:tr>
        <w:trPr>
          <w:trHeight w:val="230"/>
        </w:trPr>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60" w:type="dxa"/>
            <w:vAlign w:val="bottom"/>
            <w:gridSpan w:val="2"/>
          </w:tcPr>
          <w:p>
            <w:pPr>
              <w:ind w:left="1380"/>
              <w:spacing w:after="0"/>
              <w:rPr>
                <w:sz w:val="20"/>
                <w:szCs w:val="20"/>
                <w:color w:val="auto"/>
              </w:rPr>
            </w:pPr>
            <w:r>
              <w:rPr>
                <w:rFonts w:ascii="Arial" w:cs="Arial" w:eastAsia="Arial" w:hAnsi="Arial"/>
                <w:sz w:val="18"/>
                <w:szCs w:val="18"/>
                <w:color w:val="auto"/>
              </w:rPr>
              <w:t>Secretary, Treasurer and 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lvl w:ilvl="1">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lvl w:ilvl="1">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lvl w:ilvl="1">
      <w:lvlJc w:val="left"/>
      <w:lvlText w:val="-"/>
      <w:numFmt w:val="bullet"/>
      <w:start w:val="1"/>
    </w:lvl>
  </w:abstractNum>
  <w:abstractNum w:abstractNumId="13">
    <w:nsid w:val="2901D82"/>
    <w:multiLevelType w:val="hybridMultilevel"/>
    <w:lvl w:ilvl="0">
      <w:lvlJc w:val="left"/>
      <w:lvlText w:val="(%1)"/>
      <w:numFmt w:val="lowerLetter"/>
      <w:start w:val="1"/>
    </w:lvl>
    <w:lvl w:ilvl="1">
      <w:lvlJc w:val="left"/>
      <w:lvlText w:val="(%2)"/>
      <w:numFmt w:val="lowerRoman"/>
      <w:start w:val="1"/>
    </w:lvl>
  </w:abstractNum>
  <w:abstractNum w:abstractNumId="14">
    <w:nsid w:val="3A95F874"/>
    <w:multiLevelType w:val="hybridMultilevel"/>
    <w:lvl w:ilvl="0">
      <w:lvlJc w:val="left"/>
      <w:lvlText w:val="%1"/>
      <w:numFmt w:val="decimal"/>
      <w:start w:val="21"/>
    </w:lvl>
  </w:abstractNum>
  <w:abstractNum w:abstractNumId="15">
    <w:nsid w:val="8138641"/>
    <w:multiLevelType w:val="hybridMultilevel"/>
    <w:lvl w:ilvl="0">
      <w:lvlJc w:val="left"/>
      <w:lvlText w:val="%1"/>
      <w:numFmt w:val="decimal"/>
      <w:start w:val="23"/>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1)"/>
      <w:numFmt w:val="decimal"/>
      <w:start w:val="4"/>
    </w:lvl>
  </w:abstractNum>
  <w:abstractNum w:abstractNumId="22">
    <w:nsid w:val="3006C83E"/>
    <w:multiLevelType w:val="hybridMultilevel"/>
    <w:lvl w:ilvl="0">
      <w:lvlJc w:val="left"/>
      <w:lvlText w:val="(%1)"/>
      <w:numFmt w:val="decimal"/>
      <w:start w:val="5"/>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6"/>
    </w:lvl>
  </w:abstractNum>
  <w:abstractNum w:abstractNumId="26">
    <w:nsid w:val="440BADFC"/>
    <w:multiLevelType w:val="hybridMultilevel"/>
    <w:lvl w:ilvl="0">
      <w:lvlJc w:val="left"/>
      <w:lvlText w:val="(%1)"/>
      <w:numFmt w:val="decimal"/>
      <w:start w:val="7"/>
    </w:lvl>
  </w:abstractNum>
  <w:abstractNum w:abstractNumId="27">
    <w:nsid w:val="5072367"/>
    <w:multiLevelType w:val="hybridMultilevel"/>
    <w:lvl w:ilvl="0">
      <w:lvlJc w:val="left"/>
      <w:lvlText w:val="(%1)"/>
      <w:numFmt w:val="decimal"/>
      <w:start w:val="8"/>
    </w:lvl>
  </w:abstractNum>
  <w:abstractNum w:abstractNumId="28">
    <w:nsid w:val="3804823E"/>
    <w:multiLevelType w:val="hybridMultilevel"/>
    <w:lvl w:ilvl="0">
      <w:lvlJc w:val="left"/>
      <w:lvlText w:val="(%1)"/>
      <w:numFmt w:val="decimal"/>
      <w:start w:val="9"/>
    </w:lvl>
  </w:abstractNum>
  <w:abstractNum w:abstractNumId="29">
    <w:nsid w:val="77465F01"/>
    <w:multiLevelType w:val="hybridMultilevel"/>
    <w:lvl w:ilvl="0">
      <w:lvlJc w:val="left"/>
      <w:lvlText w:val="(%1)"/>
      <w:numFmt w:val="decimal"/>
      <w:start w:val="10"/>
    </w:lvl>
  </w:abstractNum>
  <w:abstractNum w:abstractNumId="30">
    <w:nsid w:val="7724C67E"/>
    <w:multiLevelType w:val="hybridMultilevel"/>
    <w:lvl w:ilvl="0">
      <w:lvlJc w:val="left"/>
      <w:lvlText w:val="(%1)"/>
      <w:numFmt w:val="decimal"/>
      <w:start w:val="11"/>
    </w:lvl>
  </w:abstractNum>
  <w:abstractNum w:abstractNumId="31">
    <w:nsid w:val="5C482A97"/>
    <w:multiLevelType w:val="hybridMultilevel"/>
    <w:lvl w:ilvl="0">
      <w:lvlJc w:val="left"/>
      <w:lvlText w:val="(%1)"/>
      <w:numFmt w:val="decimal"/>
      <w:start w:val="13"/>
    </w:lvl>
  </w:abstractNum>
  <w:abstractNum w:abstractNumId="32">
    <w:nsid w:val="2463B9EA"/>
    <w:multiLevelType w:val="hybridMultilevel"/>
    <w:lvl w:ilvl="0">
      <w:lvlJc w:val="left"/>
      <w:lvlText w:val="(%1)"/>
      <w:numFmt w:val="decimal"/>
      <w:start w:val="16"/>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7"/>
    </w:lvl>
  </w:abstractNum>
  <w:abstractNum w:abstractNumId="35">
    <w:nsid w:val="2D517796"/>
    <w:multiLevelType w:val="hybridMultilevel"/>
    <w:lvl w:ilvl="0">
      <w:lvlJc w:val="left"/>
      <w:lvlText w:val="%1."/>
      <w:numFmt w:val="upperLetter"/>
      <w:start w:val="1"/>
    </w:lvl>
  </w:abstractNum>
  <w:abstractNum w:abstractNumId="36">
    <w:nsid w:val="580BD78F"/>
    <w:multiLevelType w:val="hybridMultilevel"/>
    <w:lvl w:ilvl="0">
      <w:lvlJc w:val="left"/>
      <w:lvlText w:val="%1."/>
      <w:numFmt w:val="upperLetter"/>
      <w:start w:val="3"/>
    </w:lvl>
    <w:lvl w:ilvl="1">
      <w:lvlJc w:val="left"/>
      <w:lvlText w:val="%2."/>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39" Type="http://schemas.openxmlformats.org/officeDocument/2006/relationships/hyperlink" Target="http://www.sec.gov/Archives/edgar/data/1036262/000103626217000037/exh2.1-8k052417.htm" TargetMode="External"/><Relationship Id="rId40" Type="http://schemas.openxmlformats.org/officeDocument/2006/relationships/hyperlink" Target="http://www.sec.gov/Archives/edgar/data/1036262/000143774918007703/ex_111081.htm" TargetMode="External"/><Relationship Id="rId41" Type="http://schemas.openxmlformats.org/officeDocument/2006/relationships/hyperlink" Target="http://www.sec.gov/Archives/edgar/data/1036262/000103626210000025/ex101-8k051010.htm" TargetMode="External"/><Relationship Id="rId42" Type="http://schemas.openxmlformats.org/officeDocument/2006/relationships/hyperlink" Target="http://www.sec.gov/Archives/edgar/data/1036262/000103626210000043/ex101-8k102710.htm" TargetMode="External"/><Relationship Id="rId43" Type="http://schemas.openxmlformats.org/officeDocument/2006/relationships/hyperlink" Target="http://www.sec.gov/Archives/edgar/data/1036262/000143774919007093/ex_140554.htm" TargetMode="External"/><Relationship Id="rId44" Type="http://schemas.openxmlformats.org/officeDocument/2006/relationships/hyperlink" Target="http://www.sec.gov/Archives/edgar/data/1036262/000103626212000022/ex101-10q033112.htm" TargetMode="External"/><Relationship Id="rId45" Type="http://schemas.openxmlformats.org/officeDocument/2006/relationships/hyperlink" Target="http://www.sec.gov/Archives/edgar/data/1036262/000103626216000065/exh101-f8k111816.htm" TargetMode="External"/><Relationship Id="rId46" Type="http://schemas.openxmlformats.org/officeDocument/2006/relationships/hyperlink" Target="http://www.sec.gov/Archives/edgar/data/1036262/000143774920001297/ex_170460.htm" TargetMode="External"/><Relationship Id="rId47" Type="http://schemas.openxmlformats.org/officeDocument/2006/relationships/hyperlink" Target="http://www.sec.gov/Archives/edgar/data/1036262/000103626212000022/ex102-10q033112.htm" TargetMode="External"/><Relationship Id="rId48" Type="http://schemas.openxmlformats.org/officeDocument/2006/relationships/hyperlink" Target="http://www.sec.gov/Archives/edgar/data/1036262/000143774917021126/ex_102407.htm" TargetMode="External"/><Relationship Id="rId49" Type="http://schemas.openxmlformats.org/officeDocument/2006/relationships/hyperlink" Target="http://www.sec.gov/Archives/edgar/data/1036262/000143774917021126/ex_102408.htm" TargetMode="External"/><Relationship Id="rId50" Type="http://schemas.openxmlformats.org/officeDocument/2006/relationships/hyperlink" Target="http://www.sec.gov/Archives/edgar/data/1036262/000103626217000050/ex101-8k100217.htm" TargetMode="External"/><Relationship Id="rId51" Type="http://schemas.openxmlformats.org/officeDocument/2006/relationships/hyperlink" Target="http://www.sec.gov/Archives/edgar/data/1036262/000143774919012528/ex_148378.htm" TargetMode="External"/><Relationship Id="rId52" Type="http://schemas.openxmlformats.org/officeDocument/2006/relationships/hyperlink" Target="http://www.sec.gov/Archives/edgar/data/1036262/000143774918005659/ex_108795.htm" TargetMode="External"/><Relationship Id="rId53" Type="http://schemas.openxmlformats.org/officeDocument/2006/relationships/hyperlink" Target="http://www.sec.gov/Archives/edgar/data/1036262/000143774919016515/ex_154179.htm" TargetMode="External"/><Relationship Id="rId54" Type="http://schemas.openxmlformats.org/officeDocument/2006/relationships/hyperlink" Target="http://www.sec.gov/Archives/edgar/data/1036262/000143774919016515/ex_154180.htm" TargetMode="External"/><Relationship Id="rId55" Type="http://schemas.openxmlformats.org/officeDocument/2006/relationships/hyperlink" Target="http://www.sec.gov/Archives/edgar/data/1036262/000143774919016515/ex_154182.htm" TargetMode="External"/><Relationship Id="rId56" Type="http://schemas.openxmlformats.org/officeDocument/2006/relationships/hyperlink" Target="http://www.sec.gov/Archives/edgar/data/1036262/000143774919016515/ex_154181.htm" TargetMode="External"/><Relationship Id="rId57" Type="http://schemas.openxmlformats.org/officeDocument/2006/relationships/hyperlink" Target="http://www.sec.gov/Archives/edgar/data/1036262/000103626208000009/e1014-10k2007.htm" TargetMode="External"/><Relationship Id="rId58" Type="http://schemas.openxmlformats.org/officeDocument/2006/relationships/hyperlink" Target="http://www.sec.gov/Archives/edgar/data/1036262/000103626208000026/ex102-10q063008.htm" TargetMode="External"/><Relationship Id="rId59" Type="http://schemas.openxmlformats.org/officeDocument/2006/relationships/hyperlink" Target="http://www.sec.gov/Archives/edgar/data/1036262/000103626209000043/ex102-10q063009.htm" TargetMode="External"/><Relationship Id="rId60" Type="http://schemas.openxmlformats.org/officeDocument/2006/relationships/hyperlink" Target="http://www.sec.gov/Archives/edgar/data/1036262/000103626209000043/ex104-10q063009.htm" TargetMode="External"/><Relationship Id="rId61" Type="http://schemas.openxmlformats.org/officeDocument/2006/relationships/hyperlink" Target="http://www.sec.gov/Archives/edgar/data/1036262/000143774920004744/ex_1764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2020-03-23T16:03:22Z</dcterms:created>
  <dcterms:modified xsi:type="dcterms:W3CDTF">2020-03-23T16:03:22Z</dcterms:modified>
</cp:coreProperties>
</file>