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135890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2013</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928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440" w:type="dxa"/>
            <w:vAlign w:val="bottom"/>
            <w:gridSpan w:val="2"/>
          </w:tcPr>
          <w:p>
            <w:pPr>
              <w:ind w:left="22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2013:</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10,472,678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960"/>
        <w:spacing w:after="0"/>
        <w:tabs>
          <w:tab w:leader="none" w:pos="172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8480" w:type="dxa"/>
            <w:vAlign w:val="bottom"/>
          </w:tcPr>
          <w:p>
            <w:pPr>
              <w:spacing w:after="0"/>
              <w:rPr>
                <w:sz w:val="17"/>
                <w:szCs w:val="17"/>
                <w:color w:val="auto"/>
              </w:rPr>
            </w:pPr>
          </w:p>
        </w:tc>
        <w:tc>
          <w:tcPr>
            <w:tcW w:w="90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848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5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8480" w:type="dxa"/>
            <w:vAlign w:val="bottom"/>
          </w:tcPr>
          <w:p>
            <w:pPr>
              <w:ind w:left="780"/>
              <w:spacing w:after="0"/>
              <w:rPr>
                <w:sz w:val="20"/>
                <w:szCs w:val="20"/>
                <w:color w:val="auto"/>
              </w:rPr>
            </w:pPr>
            <w:r>
              <w:rPr>
                <w:rFonts w:ascii="Arial" w:cs="Arial" w:eastAsia="Arial" w:hAnsi="Arial"/>
                <w:sz w:val="18"/>
                <w:szCs w:val="18"/>
                <w:color w:val="auto"/>
              </w:rPr>
              <w:t>Consolidated Balance Sheets as of June 30, 2013 (Unaudited) and December 31, 2012</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1</w:t>
            </w:r>
          </w:p>
        </w:tc>
      </w:tr>
      <w:tr>
        <w:trPr>
          <w:trHeight w:val="237"/>
        </w:trPr>
        <w:tc>
          <w:tcPr>
            <w:tcW w:w="8480" w:type="dxa"/>
            <w:vAlign w:val="bottom"/>
          </w:tcPr>
          <w:p>
            <w:pPr>
              <w:ind w:left="780"/>
              <w:spacing w:after="0"/>
              <w:rPr>
                <w:sz w:val="20"/>
                <w:szCs w:val="20"/>
                <w:color w:val="auto"/>
              </w:rPr>
            </w:pPr>
            <w:r>
              <w:rPr>
                <w:rFonts w:ascii="Arial" w:cs="Arial" w:eastAsia="Arial" w:hAnsi="Arial"/>
                <w:sz w:val="18"/>
                <w:szCs w:val="18"/>
                <w:color w:val="auto"/>
                <w:w w:val="93"/>
              </w:rPr>
              <w:t>Unaudited Consolidated Statements of Operations for the three months and six months ended June 30,</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480" w:type="dxa"/>
            <w:vAlign w:val="bottom"/>
          </w:tcPr>
          <w:p>
            <w:pPr>
              <w:ind w:left="900"/>
              <w:spacing w:after="0"/>
              <w:rPr>
                <w:sz w:val="20"/>
                <w:szCs w:val="20"/>
                <w:color w:val="auto"/>
              </w:rPr>
            </w:pPr>
            <w:r>
              <w:rPr>
                <w:rFonts w:ascii="Arial" w:cs="Arial" w:eastAsia="Arial" w:hAnsi="Arial"/>
                <w:sz w:val="18"/>
                <w:szCs w:val="18"/>
                <w:color w:val="auto"/>
              </w:rPr>
              <w:t>2013 and 2012</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2</w:t>
            </w:r>
          </w:p>
        </w:tc>
      </w:tr>
      <w:tr>
        <w:trPr>
          <w:trHeight w:val="237"/>
        </w:trPr>
        <w:tc>
          <w:tcPr>
            <w:tcW w:w="8480" w:type="dxa"/>
            <w:vAlign w:val="bottom"/>
          </w:tcPr>
          <w:p>
            <w:pPr>
              <w:ind w:left="780"/>
              <w:spacing w:after="0"/>
              <w:rPr>
                <w:sz w:val="20"/>
                <w:szCs w:val="20"/>
                <w:color w:val="auto"/>
              </w:rPr>
            </w:pPr>
            <w:r>
              <w:rPr>
                <w:rFonts w:ascii="Arial" w:cs="Arial" w:eastAsia="Arial" w:hAnsi="Arial"/>
                <w:sz w:val="18"/>
                <w:szCs w:val="18"/>
                <w:color w:val="auto"/>
                <w:w w:val="95"/>
              </w:rPr>
              <w:t>Unaudited Consolidated Statements of Comprehensive Earnings for the three months and six months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480" w:type="dxa"/>
            <w:vAlign w:val="bottom"/>
          </w:tcPr>
          <w:p>
            <w:pPr>
              <w:ind w:left="900"/>
              <w:spacing w:after="0"/>
              <w:rPr>
                <w:sz w:val="20"/>
                <w:szCs w:val="20"/>
                <w:color w:val="auto"/>
              </w:rPr>
            </w:pPr>
            <w:r>
              <w:rPr>
                <w:rFonts w:ascii="Arial" w:cs="Arial" w:eastAsia="Arial" w:hAnsi="Arial"/>
                <w:sz w:val="18"/>
                <w:szCs w:val="18"/>
                <w:color w:val="auto"/>
              </w:rPr>
              <w:t>ended June 30, 2013 and 2012</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30" w:lineRule="exact"/>
        <w:rPr>
          <w:sz w:val="20"/>
          <w:szCs w:val="20"/>
          <w:color w:val="auto"/>
        </w:rPr>
      </w:pPr>
    </w:p>
    <w:tbl>
      <w:tblPr>
        <w:tblLayout w:type="fixed"/>
        <w:tblInd w:w="960" w:type="dxa"/>
        <w:tblCellMar>
          <w:top w:w="0" w:type="dxa"/>
          <w:left w:w="0" w:type="dxa"/>
          <w:bottom w:w="0" w:type="dxa"/>
          <w:right w:w="0" w:type="dxa"/>
        </w:tblCellMar>
      </w:tblPr>
      <w:tr>
        <w:trPr>
          <w:trHeight w:val="224"/>
        </w:trPr>
        <w:tc>
          <w:tcPr>
            <w:tcW w:w="720" w:type="dxa"/>
            <w:vAlign w:val="bottom"/>
          </w:tcPr>
          <w:p>
            <w:pPr>
              <w:spacing w:after="0"/>
              <w:rPr>
                <w:sz w:val="19"/>
                <w:szCs w:val="19"/>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w w:val="96"/>
              </w:rPr>
              <w:t>Unaudited Consolidated Statement of Stockholders' Equity for the six months ended June 30, 2013</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99"/>
              </w:rPr>
              <w:t>4</w:t>
            </w:r>
          </w:p>
        </w:tc>
      </w:tr>
      <w:tr>
        <w:trPr>
          <w:trHeight w:val="297"/>
        </w:trPr>
        <w:tc>
          <w:tcPr>
            <w:tcW w:w="72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w w:val="94"/>
              </w:rPr>
              <w:t>Unaudited Consolidated Statements of Cash Flows for the six months ended June 30, 2013 and 2012</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99"/>
              </w:rPr>
              <w:t>5</w:t>
            </w:r>
          </w:p>
        </w:tc>
      </w:tr>
      <w:tr>
        <w:trPr>
          <w:trHeight w:val="243"/>
        </w:trPr>
        <w:tc>
          <w:tcPr>
            <w:tcW w:w="720" w:type="dxa"/>
            <w:vAlign w:val="bottom"/>
          </w:tcPr>
          <w:p>
            <w:pPr>
              <w:spacing w:after="0"/>
              <w:rPr>
                <w:sz w:val="21"/>
                <w:szCs w:val="21"/>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91"/>
              </w:rPr>
              <w:t>6 - 17</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9"/>
              </w:rPr>
              <w:t>Management's Discussion and Analysis of Financial Condition and Results of Operations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18 - 24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8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04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25</w:t>
            </w:r>
          </w:p>
        </w:tc>
      </w:tr>
      <w:tr>
        <w:trPr>
          <w:trHeight w:val="513"/>
        </w:trPr>
        <w:tc>
          <w:tcPr>
            <w:tcW w:w="8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26</w:t>
            </w:r>
          </w:p>
        </w:tc>
      </w:tr>
      <w:tr>
        <w:trPr>
          <w:trHeight w:val="243"/>
        </w:trPr>
        <w:tc>
          <w:tcPr>
            <w:tcW w:w="8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040" w:type="dxa"/>
            <w:vAlign w:val="bottom"/>
          </w:tcPr>
          <w:p>
            <w:pPr>
              <w:jc w:val="center"/>
              <w:ind w:left="452"/>
              <w:spacing w:after="0"/>
              <w:rPr>
                <w:sz w:val="20"/>
                <w:szCs w:val="20"/>
                <w:color w:val="auto"/>
              </w:rPr>
            </w:pPr>
            <w:r>
              <w:rPr>
                <w:rFonts w:ascii="Arial" w:cs="Arial" w:eastAsia="Arial" w:hAnsi="Arial"/>
                <w:sz w:val="18"/>
                <w:szCs w:val="18"/>
                <w:color w:val="auto"/>
                <w:w w:val="89"/>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$16,032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$15,576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$147,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7,233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3,360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246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27,796</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25,579</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3,919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3,948</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591</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4,513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4,539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(3,376)</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(3,289)</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1,137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1,250</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943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1,034</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186</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$34,178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$ 1,328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1,321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100" w:type="dxa"/>
            <w:vAlign w:val="bottom"/>
          </w:tcPr>
          <w:p>
            <w:pPr>
              <w:spacing w:after="0"/>
              <w:rPr>
                <w:sz w:val="17"/>
                <w:szCs w:val="17"/>
                <w:color w:val="auto"/>
              </w:rPr>
            </w:pPr>
          </w:p>
        </w:tc>
      </w:tr>
    </w:tbl>
    <w:p>
      <w:pPr>
        <w:sectPr>
          <w:pgSz w:w="11900" w:h="16868" w:orient="portrait"/>
          <w:cols w:equalWidth="0" w:num="1">
            <w:col w:w="10400"/>
          </w:cols>
          <w:pgMar w:left="240" w:top="75" w:right="125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558</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revenue and customer deposits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00" w:type="dxa"/>
            <w:vAlign w:val="bottom"/>
          </w:tcPr>
          <w:p>
            <w:pPr>
              <w:spacing w:after="0"/>
              <w:rPr>
                <w:sz w:val="17"/>
                <w:szCs w:val="17"/>
                <w:color w:val="auto"/>
              </w:rPr>
            </w:pPr>
          </w:p>
        </w:tc>
      </w:tr>
      <w:tr>
        <w:trPr>
          <w:trHeight w:val="164"/>
        </w:trPr>
        <w:tc>
          <w:tcPr>
            <w:tcW w:w="7060" w:type="dxa"/>
            <w:vAlign w:val="bottom"/>
            <w:gridSpan w:val="2"/>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336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376</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5,007</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4,579</w:t>
            </w:r>
          </w:p>
        </w:tc>
      </w:tr>
      <w:tr>
        <w:trPr>
          <w:trHeight w:val="424"/>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10,505,755 and 10,453,255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26,118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26,030</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1,931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1,253</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w:t>
            </w:r>
          </w:p>
        </w:tc>
        <w:tc>
          <w:tcPr>
            <w:tcW w:w="594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29,171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27,820</w:t>
            </w:r>
          </w:p>
        </w:tc>
        <w:tc>
          <w:tcPr>
            <w:tcW w:w="100" w:type="dxa"/>
            <w:vAlign w:val="bottom"/>
          </w:tcPr>
          <w:p>
            <w:pPr>
              <w:spacing w:after="0"/>
              <w:rPr>
                <w:sz w:val="15"/>
                <w:szCs w:val="15"/>
                <w:color w:val="auto"/>
              </w:rPr>
            </w:pPr>
          </w:p>
        </w:tc>
      </w:tr>
      <w:tr>
        <w:trPr>
          <w:trHeight w:val="221"/>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$34,178</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2013</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$11,218</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$13,576</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$20,191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$24,307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5,753</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13,517</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5,465</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9,570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10,790</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1,904</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1,523</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3,976</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8,880</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1,489</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1,910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1,487</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1,923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$ 1,003</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$ 1,334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$ 1,291</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$0.10</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10,371,716</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10,273,812 10,349,695 10,239,463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$0.10</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10,394,094</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10,359,657 10,380,279 10,342,014</w:t>
            </w:r>
          </w:p>
        </w:tc>
      </w:tr>
    </w:tbl>
    <w:p>
      <w:pPr>
        <w:spacing w:after="0" w:line="200" w:lineRule="exact"/>
        <w:rPr>
          <w:sz w:val="20"/>
          <w:szCs w:val="20"/>
          <w:color w:val="auto"/>
        </w:rPr>
      </w:pPr>
    </w:p>
    <w:p>
      <w:pPr>
        <w:sectPr>
          <w:pgSz w:w="11900" w:h="16838" w:orient="portrait"/>
          <w:cols w:equalWidth="0" w:num="1">
            <w:col w:w="10219"/>
          </w:cols>
          <w:pgMar w:left="240" w:top="136" w:right="1440" w:bottom="34" w:gutter="0" w:footer="0" w:header="0"/>
        </w:sectPr>
      </w:pPr>
    </w:p>
    <w:p>
      <w:pPr>
        <w:spacing w:after="0" w:line="36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219"/>
          </w:cols>
          <w:pgMar w:left="240" w:top="136" w:right="1440" w:bottom="34" w:gutter="0" w:footer="0" w:header="0"/>
          <w:type w:val="continuous"/>
        </w:sectPr>
      </w:pPr>
    </w:p>
    <w:bookmarkStart w:id="3" w:name="page4"/>
    <w:bookmarkEnd w:id="3"/>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2013</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2013</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$ 1,003</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$ 1,334</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$ 1,295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$ 1,291</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$ 1,033</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$ 1,245</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$ 1,263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$ 1,249</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Common</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Additional</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8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Paid-In</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Retained</w:t>
            </w:r>
          </w:p>
        </w:tc>
        <w:tc>
          <w:tcPr>
            <w:tcW w:w="2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Comprehensive Treasury Stockholders'</w:t>
            </w:r>
          </w:p>
        </w:tc>
      </w:tr>
      <w:tr>
        <w:trPr>
          <w:trHeight w:val="135"/>
        </w:trPr>
        <w:tc>
          <w:tcPr>
            <w:tcW w:w="208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Capital</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Earnings</w:t>
            </w:r>
          </w:p>
        </w:tc>
        <w:tc>
          <w:tcPr>
            <w:tcW w:w="1100" w:type="dxa"/>
            <w:vAlign w:val="bottom"/>
          </w:tcPr>
          <w:p>
            <w:pPr>
              <w:ind w:left="260"/>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434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January 1, 2013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10,453,255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$26,030</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636</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$1,253</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$27,820</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1,295</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1,295</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(32)</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42,500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June 30, 2013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10,505,755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$26,118</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1,931</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$1,221</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$29,171</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2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2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306"/>
        </w:trPr>
        <w:tc>
          <w:tcPr>
            <w:tcW w:w="3540" w:type="dxa"/>
            <w:vAlign w:val="bottom"/>
          </w:tcPr>
          <w:p>
            <w:pPr>
              <w:spacing w:after="0"/>
              <w:rPr>
                <w:sz w:val="24"/>
                <w:szCs w:val="24"/>
                <w:color w:val="auto"/>
              </w:rPr>
            </w:pPr>
          </w:p>
        </w:tc>
        <w:tc>
          <w:tcPr>
            <w:tcW w:w="424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4240" w:type="dxa"/>
            <w:vAlign w:val="bottom"/>
            <w:gridSpan w:val="2"/>
          </w:tcPr>
          <w:p>
            <w:pPr>
              <w:jc w:val="right"/>
              <w:ind w:right="157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424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300" w:type="dxa"/>
            <w:vAlign w:val="bottom"/>
          </w:tcPr>
          <w:p>
            <w:pPr>
              <w:jc w:val="right"/>
              <w:ind w:right="150"/>
              <w:spacing w:after="0"/>
              <w:rPr>
                <w:sz w:val="20"/>
                <w:szCs w:val="20"/>
                <w:color w:val="auto"/>
              </w:rPr>
            </w:pPr>
            <w:r>
              <w:rPr>
                <w:rFonts w:ascii="Courier New" w:cs="Courier New" w:eastAsia="Courier New" w:hAnsi="Courier New"/>
                <w:sz w:val="12"/>
                <w:szCs w:val="12"/>
                <w:color w:val="auto"/>
              </w:rPr>
              <w:t>2013</w:t>
            </w:r>
          </w:p>
        </w:tc>
        <w:tc>
          <w:tcPr>
            <w:tcW w:w="194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2012</w:t>
            </w:r>
          </w:p>
        </w:tc>
        <w:tc>
          <w:tcPr>
            <w:tcW w:w="0" w:type="dxa"/>
            <w:vAlign w:val="bottom"/>
          </w:tcPr>
          <w:p>
            <w:pPr>
              <w:spacing w:after="0"/>
              <w:rPr>
                <w:sz w:val="1"/>
                <w:szCs w:val="1"/>
                <w:color w:val="auto"/>
              </w:rPr>
            </w:pPr>
          </w:p>
        </w:tc>
      </w:tr>
      <w:tr>
        <w:trPr>
          <w:trHeight w:val="137"/>
        </w:trPr>
        <w:tc>
          <w:tcPr>
            <w:tcW w:w="35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2300" w:type="dxa"/>
            <w:vAlign w:val="bottom"/>
          </w:tcPr>
          <w:p>
            <w:pPr>
              <w:jc w:val="right"/>
              <w:ind w:right="70"/>
              <w:spacing w:after="0"/>
              <w:rPr>
                <w:sz w:val="20"/>
                <w:szCs w:val="20"/>
                <w:color w:val="auto"/>
              </w:rPr>
            </w:pPr>
            <w:r>
              <w:rPr>
                <w:rFonts w:ascii="Courier New" w:cs="Courier New" w:eastAsia="Courier New" w:hAnsi="Courier New"/>
                <w:sz w:val="12"/>
                <w:szCs w:val="12"/>
                <w:color w:val="auto"/>
              </w:rPr>
              <w:t>-------</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3540" w:type="dxa"/>
            <w:vAlign w:val="bottom"/>
            <w:vMerge w:val="continue"/>
          </w:tcPr>
          <w:p>
            <w:pPr>
              <w:spacing w:after="0"/>
              <w:rPr>
                <w:sz w:val="11"/>
                <w:szCs w:val="11"/>
                <w:color w:val="auto"/>
              </w:rPr>
            </w:pPr>
          </w:p>
        </w:tc>
        <w:tc>
          <w:tcPr>
            <w:tcW w:w="2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2300" w:type="dxa"/>
            <w:vAlign w:val="bottom"/>
          </w:tcPr>
          <w:p>
            <w:pPr>
              <w:jc w:val="right"/>
              <w:ind w:right="70"/>
              <w:spacing w:after="0"/>
              <w:rPr>
                <w:sz w:val="20"/>
                <w:szCs w:val="20"/>
                <w:color w:val="auto"/>
              </w:rPr>
            </w:pPr>
            <w:r>
              <w:rPr>
                <w:rFonts w:ascii="Courier New" w:cs="Courier New" w:eastAsia="Courier New" w:hAnsi="Courier New"/>
                <w:sz w:val="12"/>
                <w:szCs w:val="12"/>
                <w:color w:val="auto"/>
              </w:rPr>
              <w:t>$ 1,295</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$ 1,291</w:t>
            </w:r>
          </w:p>
        </w:tc>
        <w:tc>
          <w:tcPr>
            <w:tcW w:w="0" w:type="dxa"/>
            <w:vAlign w:val="bottom"/>
          </w:tcPr>
          <w:p>
            <w:pPr>
              <w:spacing w:after="0"/>
              <w:rPr>
                <w:sz w:val="1"/>
                <w:szCs w:val="1"/>
                <w:color w:val="auto"/>
              </w:rPr>
            </w:pPr>
          </w:p>
        </w:tc>
      </w:tr>
      <w:tr>
        <w:trPr>
          <w:trHeight w:val="135"/>
        </w:trPr>
        <w:tc>
          <w:tcPr>
            <w:tcW w:w="58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2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2300" w:type="dxa"/>
            <w:vAlign w:val="bottom"/>
          </w:tcPr>
          <w:p>
            <w:pPr>
              <w:jc w:val="right"/>
              <w:ind w:right="70"/>
              <w:spacing w:after="0"/>
              <w:rPr>
                <w:sz w:val="20"/>
                <w:szCs w:val="20"/>
                <w:color w:val="auto"/>
              </w:rPr>
            </w:pPr>
            <w:r>
              <w:rPr>
                <w:rFonts w:ascii="Courier New" w:cs="Courier New" w:eastAsia="Courier New" w:hAnsi="Courier New"/>
                <w:sz w:val="12"/>
                <w:szCs w:val="12"/>
                <w:color w:val="auto"/>
              </w:rPr>
              <w:t>426</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471</w:t>
            </w:r>
          </w:p>
        </w:tc>
        <w:tc>
          <w:tcPr>
            <w:tcW w:w="0" w:type="dxa"/>
            <w:vAlign w:val="bottom"/>
          </w:tcPr>
          <w:p>
            <w:pPr>
              <w:spacing w:after="0"/>
              <w:rPr>
                <w:sz w:val="1"/>
                <w:szCs w:val="1"/>
                <w:color w:val="auto"/>
              </w:rPr>
            </w:pPr>
          </w:p>
        </w:tc>
      </w:tr>
      <w:tr>
        <w:trPr>
          <w:trHeight w:val="137"/>
        </w:trPr>
        <w:tc>
          <w:tcPr>
            <w:tcW w:w="354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2300" w:type="dxa"/>
            <w:vAlign w:val="bottom"/>
          </w:tcPr>
          <w:p>
            <w:pPr>
              <w:jc w:val="right"/>
              <w:ind w:right="70"/>
              <w:spacing w:after="0"/>
              <w:rPr>
                <w:sz w:val="20"/>
                <w:szCs w:val="20"/>
                <w:color w:val="auto"/>
              </w:rPr>
            </w:pPr>
            <w:r>
              <w:rPr>
                <w:rFonts w:ascii="Courier New" w:cs="Courier New" w:eastAsia="Courier New" w:hAnsi="Courier New"/>
                <w:sz w:val="12"/>
                <w:szCs w:val="12"/>
                <w:color w:val="auto"/>
              </w:rPr>
              <w:t>197</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358</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4" w:name="page5"/>
    <w:bookmarkEnd w:id="4"/>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w:t>
            </w:r>
          </w:p>
        </w:tc>
        <w:tc>
          <w:tcPr>
            <w:tcW w:w="0" w:type="dxa"/>
            <w:vAlign w:val="bottom"/>
          </w:tcPr>
          <w:p>
            <w:pPr>
              <w:spacing w:after="0"/>
              <w:rPr>
                <w:sz w:val="1"/>
                <w:szCs w:val="1"/>
                <w:color w:val="auto"/>
              </w:rPr>
            </w:pPr>
          </w:p>
        </w:tc>
      </w:tr>
      <w:tr>
        <w:trPr>
          <w:trHeight w:val="135"/>
        </w:trPr>
        <w:tc>
          <w:tcPr>
            <w:tcW w:w="526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Loss on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73</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372</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(1,753)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(1,921)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(423)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(238)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(373)</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(66)</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revenue and customer deposits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107</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541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1,707</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(3,802)</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(129)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(3,931)</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(34)</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(2,258)</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15,576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13,957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$16,032</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$11,699</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137</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$ 4,026</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Net cash paid for acquisition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$ 3,802</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energy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6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and the other industries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318"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w:t>
      </w:r>
    </w:p>
    <w:p>
      <w:pPr>
        <w:sectPr>
          <w:pgSz w:w="11900" w:h="16911" w:orient="portrait"/>
          <w:cols w:equalWidth="0" w:num="1">
            <w:col w:w="11400"/>
          </w:cols>
          <w:pgMar w:left="240" w:top="132" w:right="259" w:bottom="0" w:gutter="0" w:footer="0" w:header="0"/>
        </w:sectPr>
      </w:pPr>
    </w:p>
    <w:bookmarkStart w:id="5" w:name="page6"/>
    <w:bookmarkEnd w:id="5"/>
    <w:p>
      <w:pPr>
        <w:ind w:left="532"/>
        <w:spacing w:after="0"/>
        <w:rPr>
          <w:sz w:val="20"/>
          <w:szCs w:val="20"/>
          <w:color w:val="auto"/>
        </w:rPr>
      </w:pPr>
      <w:r>
        <w:rPr>
          <w:rFonts w:ascii="Arial" w:cs="Arial" w:eastAsia="Arial" w:hAnsi="Arial"/>
          <w:sz w:val="18"/>
          <w:szCs w:val="18"/>
          <w:color w:val="auto"/>
        </w:rPr>
        <w:t>intangibles, deferred income tax valuation allowances and product warranty reserves, are particularly impacted by estimates.</w:t>
      </w:r>
    </w:p>
    <w:p>
      <w:pPr>
        <w:spacing w:after="0" w:line="225"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2012 filed with the Securities and Exchange Commission on March 29, 2013 (the "2012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Inventories are valued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excess and obsolete inventory charges we record establish a new cost basis for the related inventories. We incurred excess and obsolete inventory charges of $197 and $358 for the six months ended June 30, 2013 and 2012,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if any,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32"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ectPr>
          <w:pgSz w:w="11900" w:h="16838" w:orient="portrait"/>
          <w:cols w:equalWidth="0" w:num="1">
            <w:col w:w="11392"/>
          </w:cols>
          <w:pgMar w:left="248" w:top="131" w:right="259" w:bottom="0" w:gutter="0" w:footer="0" w:header="0"/>
        </w:sectPr>
      </w:pPr>
    </w:p>
    <w:bookmarkStart w:id="6" w:name="page7"/>
    <w:bookmarkEnd w:id="6"/>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2013.</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identifiable intangible assets. Asset impairment charges are based on an estimate of the amounts and timing of future cash flows related to the expected future remaining use and ultimate sale or disposal of the asset.</w:t>
      </w:r>
    </w:p>
    <w:p>
      <w:pPr>
        <w:spacing w:after="0" w:line="200" w:lineRule="exact"/>
        <w:rPr>
          <w:sz w:val="20"/>
          <w:szCs w:val="20"/>
          <w:color w:val="auto"/>
        </w:rPr>
      </w:pPr>
    </w:p>
    <w:p>
      <w:pPr>
        <w:spacing w:after="0" w:line="3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32"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ectPr>
          <w:pgSz w:w="11900" w:h="16838" w:orient="portrait"/>
          <w:cols w:equalWidth="0" w:num="1">
            <w:col w:w="11392"/>
          </w:cols>
          <w:pgMar w:left="248" w:top="341" w:right="259" w:bottom="0" w:gutter="0" w:footer="0" w:header="0"/>
        </w:sectPr>
      </w:pPr>
    </w:p>
    <w:bookmarkStart w:id="7" w:name="page8"/>
    <w:bookmarkEnd w:id="7"/>
    <w:p>
      <w:pPr>
        <w:spacing w:after="0" w:line="9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9"/>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10"/>
          </w:tcPr>
          <w:p>
            <w:pPr>
              <w:jc w:val="center"/>
              <w:ind w:right="34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5"/>
          </w:tcPr>
          <w:p>
            <w:pPr>
              <w:ind w:left="6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6"/>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2"/>
          </w:tcPr>
          <w:p>
            <w:pPr>
              <w:spacing w:after="0"/>
              <w:rPr>
                <w:sz w:val="12"/>
                <w:szCs w:val="12"/>
                <w:color w:val="auto"/>
              </w:rPr>
            </w:pPr>
          </w:p>
        </w:tc>
      </w:tr>
      <w:tr>
        <w:trPr>
          <w:trHeight w:val="156"/>
        </w:trPr>
        <w:tc>
          <w:tcPr>
            <w:tcW w:w="5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320" w:type="dxa"/>
            <w:vAlign w:val="bottom"/>
          </w:tcPr>
          <w:p>
            <w:pPr>
              <w:spacing w:after="0"/>
              <w:rPr>
                <w:sz w:val="13"/>
                <w:szCs w:val="13"/>
                <w:color w:val="auto"/>
              </w:rPr>
            </w:pPr>
          </w:p>
        </w:tc>
        <w:tc>
          <w:tcPr>
            <w:tcW w:w="920" w:type="dxa"/>
            <w:vAlign w:val="bottom"/>
            <w:gridSpan w:val="6"/>
          </w:tcPr>
          <w:p>
            <w:pPr>
              <w:jc w:val="right"/>
              <w:ind w:right="3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92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3"/>
                <w:szCs w:val="13"/>
                <w:color w:val="auto"/>
              </w:rPr>
            </w:pPr>
          </w:p>
        </w:tc>
        <w:tc>
          <w:tcPr>
            <w:tcW w:w="5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320" w:type="dxa"/>
            <w:vAlign w:val="bottom"/>
          </w:tcPr>
          <w:p>
            <w:pPr>
              <w:spacing w:after="0"/>
              <w:rPr>
                <w:sz w:val="13"/>
                <w:szCs w:val="13"/>
                <w:color w:val="auto"/>
              </w:rPr>
            </w:pPr>
          </w:p>
        </w:tc>
      </w:tr>
      <w:tr>
        <w:trPr>
          <w:trHeight w:val="20"/>
        </w:trPr>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10,371,716</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10,273,812</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w w:val="99"/>
              </w:rPr>
              <w:t>10,349,695</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w w:val="93"/>
              </w:rPr>
              <w:t>10,239,463</w:t>
            </w: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5120" w:type="dxa"/>
            <w:vAlign w:val="bottom"/>
          </w:tcPr>
          <w:p>
            <w:pPr>
              <w:ind w:left="220"/>
              <w:spacing w:after="0"/>
              <w:rPr>
                <w:sz w:val="20"/>
                <w:szCs w:val="20"/>
                <w:color w:val="auto"/>
              </w:rPr>
            </w:pPr>
            <w:r>
              <w:rPr>
                <w:rFonts w:ascii="Arial" w:cs="Arial" w:eastAsia="Arial" w:hAnsi="Arial"/>
                <w:sz w:val="18"/>
                <w:szCs w:val="18"/>
                <w:color w:val="auto"/>
                <w:w w:val="96"/>
              </w:rPr>
              <w:t>Employee stock options and unvested shares of restricted stock</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22,378</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85,845</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rPr>
              <w:t>30,584</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102,551</w:t>
            </w:r>
          </w:p>
        </w:tc>
      </w:tr>
      <w:tr>
        <w:trPr>
          <w:trHeight w:val="471"/>
        </w:trPr>
        <w:tc>
          <w:tcPr>
            <w:tcW w:w="512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184"/>
        </w:trPr>
        <w:tc>
          <w:tcPr>
            <w:tcW w:w="512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80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6"/>
              </w:rPr>
              <w:t>10,394,094</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10,359,657</w:t>
            </w:r>
          </w:p>
        </w:tc>
        <w:tc>
          <w:tcPr>
            <w:tcW w:w="980" w:type="dxa"/>
            <w:vAlign w:val="bottom"/>
            <w:gridSpan w:val="7"/>
          </w:tcPr>
          <w:p>
            <w:pPr>
              <w:jc w:val="right"/>
              <w:ind w:right="60"/>
              <w:spacing w:after="0" w:line="184" w:lineRule="exact"/>
              <w:rPr>
                <w:sz w:val="20"/>
                <w:szCs w:val="20"/>
                <w:color w:val="auto"/>
              </w:rPr>
            </w:pPr>
            <w:r>
              <w:rPr>
                <w:rFonts w:ascii="Arial" w:cs="Arial" w:eastAsia="Arial" w:hAnsi="Arial"/>
                <w:sz w:val="18"/>
                <w:szCs w:val="18"/>
                <w:color w:val="auto"/>
                <w:w w:val="99"/>
              </w:rPr>
              <w:t>10,380,279</w:t>
            </w:r>
          </w:p>
        </w:tc>
        <w:tc>
          <w:tcPr>
            <w:tcW w:w="86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3"/>
              </w:rPr>
              <w:t>10,342,014</w:t>
            </w:r>
          </w:p>
        </w:tc>
      </w:tr>
      <w:tr>
        <w:trPr>
          <w:trHeight w:val="931"/>
        </w:trPr>
        <w:tc>
          <w:tcPr>
            <w:tcW w:w="51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18,462</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31,962</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rPr>
              <w:t>28,605</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38,811</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July 2012, the FASB issued amendments to existing guidance on the assessment of impairment for indefinite-lived intangible assets other than goodwill. The amendments permit an entity first to assess qualitative factors to determine whether it is more likely than not that an indefinite-lived intangible asset is impaired as a basis for determining whether it is necessary to perform the quantitative impairment test. If an entity believes, as a result of its qualitative assessment, that it is more-likely-than-not that the fair value is less than its carrying amount, the quantitative impairment test is required. Otherwise, no further testing is required. The amendments are effective for annual and interim impairment tests performed for fiscal years beginning after September 15, 2012. However, an entity can choose to adopt this guidance early even if its annual test date is before the issuance of the final standard, provided that the entity has not yet issued its financial statements for the most recent annual or interim period. We adopted these amendments on January 1, 2013. The adoption of these amendments did not have a material impact on our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89" w:lineRule="auto"/>
        <w:rPr>
          <w:sz w:val="20"/>
          <w:szCs w:val="20"/>
          <w:color w:val="auto"/>
        </w:rPr>
      </w:pPr>
      <w:r>
        <w:rPr>
          <w:rFonts w:ascii="Arial" w:cs="Arial" w:eastAsia="Arial" w:hAnsi="Arial"/>
          <w:sz w:val="16"/>
          <w:szCs w:val="16"/>
          <w:color w:val="auto"/>
        </w:rPr>
        <w:t>In February 2013, the FASB issued amendments to existing guidance on the accounting for accumulated other comprehensive income. The amendments require entities to provide information about the amounts reclassified out of accumulated other comprehensive income by component. In addition, an entity is required to present, either on the face of the financial statements or in the notes, significant amounts reclassified out of accumulated other comprehensive income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amendments are effective for annual and interim periods beginning after December 15, 2012. We adopted these amendments on January 1, 2013. The adoption of these amendments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broadened the product line of inTEST's Thermal Products segment.</w:t>
      </w:r>
    </w:p>
    <w:p>
      <w:pPr>
        <w:spacing w:after="0" w:line="197"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occupied by Thermonics in Sunnyvale, California. This facility is owned by certain shareholders of the seller. We ceased operations at this facility in February 2012 and relocated the Thermonics product line to our facility in Mansfield, Massachusetts where our Temptronic operations are located. During 2012, we recorded a restructuring charge of $313 related to this action. See Note 5 for further detail regarding this charge.</w:t>
      </w:r>
    </w:p>
    <w:p>
      <w:pPr>
        <w:spacing w:after="0" w:line="170"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spacing w:after="0" w:line="312" w:lineRule="auto"/>
        <w:rPr>
          <w:sz w:val="20"/>
          <w:szCs w:val="20"/>
          <w:color w:val="auto"/>
        </w:rPr>
      </w:pPr>
      <w:r>
        <w:rPr>
          <w:rFonts w:ascii="Arial" w:cs="Arial" w:eastAsia="Arial" w:hAnsi="Arial"/>
          <w:sz w:val="15"/>
          <w:szCs w:val="15"/>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w:t>
      </w:r>
    </w:p>
    <w:p>
      <w:pPr>
        <w:sectPr>
          <w:pgSz w:w="11900" w:h="16933" w:orient="portrait"/>
          <w:cols w:equalWidth="0" w:num="1">
            <w:col w:w="11400"/>
          </w:cols>
          <w:pgMar w:left="240" w:top="131" w:right="259" w:bottom="0" w:gutter="0" w:footer="0" w:header="0"/>
        </w:sectPr>
      </w:pPr>
    </w:p>
    <w:bookmarkStart w:id="8" w:name="page9"/>
    <w:bookmarkEnd w:id="8"/>
    <w:p>
      <w:pPr>
        <w:spacing w:after="0" w:line="15" w:lineRule="exact"/>
        <w:rPr>
          <w:sz w:val="20"/>
          <w:szCs w:val="20"/>
          <w:color w:val="auto"/>
        </w:rPr>
      </w:pPr>
    </w:p>
    <w:p>
      <w:pPr>
        <w:ind w:left="540" w:right="580"/>
        <w:spacing w:after="0" w:line="332" w:lineRule="auto"/>
        <w:rPr>
          <w:sz w:val="20"/>
          <w:szCs w:val="20"/>
          <w:color w:val="auto"/>
        </w:rPr>
      </w:pPr>
      <w:r>
        <w:rPr>
          <w:rFonts w:ascii="Arial" w:cs="Arial" w:eastAsia="Arial" w:hAnsi="Arial"/>
          <w:sz w:val="16"/>
          <w:szCs w:val="16"/>
          <w:color w:val="auto"/>
        </w:rPr>
        <w:t>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pacing w:after="0" w:line="13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Identifable intangible assets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874</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non-compete/non-solicitation payments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sales commissions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80" w:type="dxa"/>
            <w:vAlign w:val="bottom"/>
          </w:tcPr>
          <w:p>
            <w:pPr>
              <w:ind w:left="720"/>
              <w:spacing w:after="0"/>
              <w:rPr>
                <w:sz w:val="20"/>
                <w:szCs w:val="20"/>
                <w:color w:val="auto"/>
              </w:rPr>
            </w:pPr>
            <w:r>
              <w:rPr>
                <w:rFonts w:ascii="Arial" w:cs="Arial" w:eastAsia="Arial" w:hAnsi="Arial"/>
                <w:sz w:val="18"/>
                <w:szCs w:val="18"/>
                <w:color w:val="auto"/>
              </w:rPr>
              <w:t>Accrued warranty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370" w:lineRule="auto"/>
        <w:rPr>
          <w:sz w:val="20"/>
          <w:szCs w:val="20"/>
          <w:color w:val="auto"/>
        </w:rPr>
      </w:pPr>
      <w:r>
        <w:rPr>
          <w:rFonts w:ascii="Arial" w:cs="Arial" w:eastAsia="Arial" w:hAnsi="Arial"/>
          <w:sz w:val="15"/>
          <w:szCs w:val="15"/>
          <w:color w:val="auto"/>
        </w:rPr>
        <w:t>We estimated the fair value of identifiable intangible assets acquired using a combination of the income, cost and market approaches. The following table provides further information about the finite-lived intangible assets acquired in connection with the acquisition of Thermonics as of the acquisition date:</w:t>
      </w:r>
    </w:p>
    <w:p>
      <w:pPr>
        <w:spacing w:after="0" w:line="7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Fair</w:t>
            </w:r>
          </w:p>
        </w:tc>
        <w:tc>
          <w:tcPr>
            <w:tcW w:w="1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right"/>
              <w:ind w:right="180"/>
              <w:spacing w:after="0" w:line="146" w:lineRule="exact"/>
              <w:rPr>
                <w:sz w:val="20"/>
                <w:szCs w:val="20"/>
                <w:color w:val="auto"/>
              </w:rPr>
            </w:pPr>
            <w:r>
              <w:rPr>
                <w:rFonts w:ascii="Arial" w:cs="Arial" w:eastAsia="Arial" w:hAnsi="Arial"/>
                <w:sz w:val="14"/>
                <w:szCs w:val="14"/>
                <w:b w:val="1"/>
                <w:bCs w:val="1"/>
                <w:i w:val="1"/>
                <w:iCs w:val="1"/>
                <w:color w:val="auto"/>
                <w:w w:val="80"/>
              </w:rPr>
              <w:t>Value</w:t>
            </w:r>
          </w:p>
        </w:tc>
        <w:tc>
          <w:tcPr>
            <w:tcW w:w="780" w:type="dxa"/>
            <w:vAlign w:val="bottom"/>
            <w:gridSpan w:val="3"/>
          </w:tcPr>
          <w:p>
            <w:pPr>
              <w:jc w:val="center"/>
              <w:ind w:left="35"/>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(in months)</w:t>
            </w:r>
          </w:p>
        </w:tc>
        <w:tc>
          <w:tcPr>
            <w:tcW w:w="20" w:type="dxa"/>
            <w:vAlign w:val="bottom"/>
          </w:tcPr>
          <w:p>
            <w:pPr>
              <w:spacing w:after="0"/>
              <w:rPr>
                <w:sz w:val="13"/>
                <w:szCs w:val="13"/>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w w:val="83"/>
              </w:rPr>
              <w:t>$1,110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Thermonics trade name</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10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682"/>
        </w:trPr>
        <w:tc>
          <w:tcPr>
            <w:tcW w:w="38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80"/>
        <w:spacing w:after="0" w:line="370" w:lineRule="auto"/>
        <w:rPr>
          <w:sz w:val="20"/>
          <w:szCs w:val="20"/>
          <w:color w:val="auto"/>
        </w:rPr>
      </w:pPr>
      <w:r>
        <w:rPr>
          <w:rFonts w:ascii="Arial" w:cs="Arial" w:eastAsia="Arial" w:hAnsi="Arial"/>
          <w:sz w:val="15"/>
          <w:szCs w:val="15"/>
          <w:color w:val="auto"/>
        </w:rPr>
        <w:t>For the period from January 16, 2012 to June 30, 2012, Thermonics contributed $2,044 of net revenues. We do not track net income within our Thermal Products segment by product line. As a result, the net income for Thermonics for the period from January 16, 2012 to June 30, 2012 is not available.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six months ended June 30, 2013.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June 30, 2013 and December 31, 2012:</w:t>
      </w:r>
    </w:p>
    <w:p>
      <w:pPr>
        <w:sectPr>
          <w:pgSz w:w="11900" w:h="16853" w:orient="portrait"/>
          <w:cols w:equalWidth="0" w:num="1">
            <w:col w:w="11400"/>
          </w:cols>
          <w:pgMar w:left="240" w:top="131" w:right="259" w:bottom="0" w:gutter="0" w:footer="0" w:header="0"/>
        </w:sectPr>
      </w:pPr>
    </w:p>
    <w:bookmarkStart w:id="9" w:name="page10"/>
    <w:bookmarkEnd w:id="9"/>
    <w:p>
      <w:pPr>
        <w:spacing w:after="0" w:line="11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i w:val="1"/>
                <w:iCs w:val="1"/>
                <w:color w:val="auto"/>
                <w:w w:val="98"/>
              </w:rPr>
              <w:t>June 30, 2013</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4"/>
          </w:tcPr>
          <w:p>
            <w:pPr>
              <w:jc w:val="center"/>
              <w:ind w:right="11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72"/>
              </w:rPr>
              <w:t>Net</w:t>
            </w:r>
          </w:p>
        </w:tc>
      </w:tr>
      <w:tr>
        <w:trPr>
          <w:trHeight w:val="149"/>
        </w:trPr>
        <w:tc>
          <w:tcPr>
            <w:tcW w:w="3520" w:type="dxa"/>
            <w:vAlign w:val="bottom"/>
          </w:tcPr>
          <w:p>
            <w:pPr>
              <w:spacing w:after="0"/>
              <w:rPr>
                <w:sz w:val="12"/>
                <w:szCs w:val="12"/>
                <w:color w:val="auto"/>
              </w:rPr>
            </w:pPr>
          </w:p>
        </w:tc>
        <w:tc>
          <w:tcPr>
            <w:tcW w:w="1140" w:type="dxa"/>
            <w:vAlign w:val="bottom"/>
            <w:gridSpan w:val="5"/>
          </w:tcPr>
          <w:p>
            <w:pPr>
              <w:jc w:val="center"/>
              <w:ind w:left="27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6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4"/>
          </w:tcPr>
          <w:p>
            <w:pPr>
              <w:jc w:val="center"/>
              <w:ind w:right="11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920" w:type="dxa"/>
            <w:vAlign w:val="bottom"/>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w w:val="95"/>
              </w:rPr>
              <w:t>Amortization</w:t>
            </w:r>
          </w:p>
        </w:tc>
        <w:tc>
          <w:tcPr>
            <w:tcW w:w="68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899</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314</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70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1,452</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3520" w:type="dxa"/>
            <w:vAlign w:val="bottom"/>
          </w:tcPr>
          <w:p>
            <w:pPr>
              <w:ind w:left="80"/>
              <w:spacing w:after="0"/>
              <w:rPr>
                <w:sz w:val="20"/>
                <w:szCs w:val="20"/>
                <w:color w:val="auto"/>
              </w:rPr>
            </w:pPr>
            <w:r>
              <w:rPr>
                <w:rFonts w:ascii="Arial" w:cs="Arial" w:eastAsia="Arial" w:hAnsi="Arial"/>
                <w:sz w:val="18"/>
                <w:szCs w:val="18"/>
                <w:color w:val="auto"/>
              </w:rPr>
              <w:t>Sigma trademark</w:t>
            </w:r>
          </w:p>
        </w:tc>
        <w:tc>
          <w:tcPr>
            <w:tcW w:w="70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1,962</w:t>
            </w:r>
          </w:p>
        </w:tc>
      </w:tr>
      <w:tr>
        <w:trPr>
          <w:trHeight w:val="20"/>
        </w:trPr>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- 11 -</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i w:val="1"/>
                <w:iCs w:val="1"/>
                <w:color w:val="auto"/>
                <w:w w:val="85"/>
              </w:rPr>
              <w:t>December 31, 2012</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4"/>
          </w:tcPr>
          <w:p>
            <w:pPr>
              <w:jc w:val="center"/>
              <w:ind w:right="11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520" w:type="dxa"/>
            <w:vAlign w:val="bottom"/>
          </w:tcPr>
          <w:p>
            <w:pPr>
              <w:spacing w:after="0"/>
              <w:rPr>
                <w:sz w:val="12"/>
                <w:szCs w:val="12"/>
                <w:color w:val="auto"/>
              </w:rPr>
            </w:pPr>
          </w:p>
        </w:tc>
        <w:tc>
          <w:tcPr>
            <w:tcW w:w="1140" w:type="dxa"/>
            <w:vAlign w:val="bottom"/>
            <w:gridSpan w:val="5"/>
          </w:tcPr>
          <w:p>
            <w:pPr>
              <w:jc w:val="center"/>
              <w:ind w:left="27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80" w:type="dxa"/>
            <w:vAlign w:val="bottom"/>
            <w:gridSpan w:val="5"/>
          </w:tcPr>
          <w:p>
            <w:pPr>
              <w:ind w:left="8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4"/>
          </w:tcPr>
          <w:p>
            <w:pPr>
              <w:jc w:val="center"/>
              <w:ind w:right="11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980" w:type="dxa"/>
            <w:vAlign w:val="bottom"/>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620" w:type="dxa"/>
            <w:vAlign w:val="bottom"/>
            <w:gridSpan w:val="5"/>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$1,041</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357</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155</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107</w:t>
            </w:r>
          </w:p>
        </w:tc>
      </w:tr>
      <w:tr>
        <w:trPr>
          <w:trHeight w:val="459"/>
        </w:trPr>
        <w:tc>
          <w:tcPr>
            <w:tcW w:w="35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70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1,684</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3520" w:type="dxa"/>
            <w:vAlign w:val="bottom"/>
          </w:tcPr>
          <w:p>
            <w:pPr>
              <w:ind w:left="80"/>
              <w:spacing w:after="0"/>
              <w:rPr>
                <w:sz w:val="20"/>
                <w:szCs w:val="20"/>
                <w:color w:val="auto"/>
              </w:rPr>
            </w:pPr>
            <w:r>
              <w:rPr>
                <w:rFonts w:ascii="Arial" w:cs="Arial" w:eastAsia="Arial" w:hAnsi="Arial"/>
                <w:sz w:val="18"/>
                <w:szCs w:val="18"/>
                <w:color w:val="auto"/>
              </w:rPr>
              <w:t>Sigma trademark</w:t>
            </w:r>
          </w:p>
        </w:tc>
        <w:tc>
          <w:tcPr>
            <w:tcW w:w="70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2,194</w:t>
            </w:r>
          </w:p>
        </w:tc>
      </w:tr>
      <w:tr>
        <w:trPr>
          <w:trHeight w:val="20"/>
        </w:trPr>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 The following table provides further information about the estimated useful lives of our finite-lived intangible assets as of June 30, 2013:</w:t>
      </w:r>
    </w:p>
    <w:p>
      <w:pPr>
        <w:spacing w:after="0" w:line="196" w:lineRule="exact"/>
        <w:rPr>
          <w:sz w:val="20"/>
          <w:szCs w:val="20"/>
          <w:color w:val="auto"/>
        </w:rPr>
      </w:pPr>
    </w:p>
    <w:tbl>
      <w:tblPr>
        <w:tblLayout w:type="fixed"/>
        <w:tblInd w:w="718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Remaining</w:t>
            </w:r>
          </w:p>
        </w:tc>
      </w:tr>
      <w:tr>
        <w:trPr>
          <w:trHeight w:val="149"/>
        </w:trPr>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Useful Life at</w:t>
            </w:r>
          </w:p>
        </w:tc>
      </w:tr>
      <w:tr>
        <w:trPr>
          <w:trHeight w:val="146"/>
        </w:trPr>
        <w:tc>
          <w:tcPr>
            <w:tcW w:w="6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June 30, 2013</w:t>
            </w:r>
          </w:p>
        </w:tc>
      </w:tr>
    </w:tbl>
    <w:p>
      <w:pPr>
        <w:spacing w:after="0" w:line="16"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 - - - (in months) - - - -</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Finite-lived intangible assets resulting from the acquisition of Sigma:</w:t>
      </w:r>
    </w:p>
    <w:p>
      <w:pPr>
        <w:sectPr>
          <w:pgSz w:w="11900" w:h="16955" w:orient="portrait"/>
          <w:cols w:equalWidth="0" w:num="1">
            <w:col w:w="11340"/>
          </w:cols>
          <w:pgMar w:left="240" w:top="127" w:right="319" w:bottom="0" w:gutter="0" w:footer="0" w:header="0"/>
        </w:sectPr>
      </w:pPr>
    </w:p>
    <w:p>
      <w:pPr>
        <w:spacing w:after="0" w:line="252" w:lineRule="exact"/>
        <w:rPr>
          <w:sz w:val="20"/>
          <w:szCs w:val="20"/>
          <w:color w:val="auto"/>
        </w:rPr>
      </w:pPr>
    </w:p>
    <w:p>
      <w:pPr>
        <w:ind w:left="7700"/>
        <w:spacing w:after="0"/>
        <w:tabs>
          <w:tab w:leader="none" w:pos="86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15</w:t>
      </w:r>
    </w:p>
    <w:p>
      <w:pPr>
        <w:sectPr>
          <w:pgSz w:w="11900" w:h="16955" w:orient="portrait"/>
          <w:cols w:equalWidth="0" w:num="1">
            <w:col w:w="11340"/>
          </w:cols>
          <w:pgMar w:left="240" w:top="127" w:right="319" w:bottom="0" w:gutter="0" w:footer="0" w:header="0"/>
          <w:type w:val="continuous"/>
        </w:sectPr>
      </w:pPr>
    </w:p>
    <w:bookmarkStart w:id="10" w:name="page11"/>
    <w:bookmarkEnd w:id="10"/>
    <w:p>
      <w:pPr>
        <w:spacing w:after="0" w:line="7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120</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60</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588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Thermonics:</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72</w:t>
            </w:r>
          </w:p>
        </w:tc>
        <w:tc>
          <w:tcPr>
            <w:tcW w:w="6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132</w:t>
            </w:r>
          </w:p>
        </w:tc>
        <w:tc>
          <w:tcPr>
            <w:tcW w:w="66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459"/>
        </w:trPr>
        <w:tc>
          <w:tcPr>
            <w:tcW w:w="588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changes in the amount of the carrying value of intangible assets for the six months ended June 30, 2013:</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$2,194</w:t>
            </w:r>
          </w:p>
        </w:tc>
        <w:tc>
          <w:tcPr>
            <w:tcW w:w="40" w:type="dxa"/>
            <w:vAlign w:val="bottom"/>
          </w:tcPr>
          <w:p>
            <w:pPr>
              <w:spacing w:after="0"/>
              <w:rPr>
                <w:sz w:val="19"/>
                <w:szCs w:val="19"/>
                <w:color w:val="auto"/>
              </w:rPr>
            </w:pPr>
          </w:p>
        </w:tc>
      </w:tr>
      <w:tr>
        <w:trPr>
          <w:trHeight w:val="421"/>
        </w:trPr>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Balance - June 30, 2013</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1,962</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six months ended June 30, 2013 and 2012 was $232 and $263, respectively. The following table sets forth the estimated annual amortization expense for our finite-lived intangible assets for each of the next five years:</w:t>
      </w:r>
    </w:p>
    <w:p>
      <w:pPr>
        <w:spacing w:after="0" w:line="15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In connection with the acquisition of Thermonics, as discussed further in Note 3, we signed a separate one year lease for the facility in Sunnyvale, California occupied by Thermonics at the time of the acquisition. This facility was owned by certain shareholders of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During the fourth quarter of 2012 we received a refund of $46 of lease termination fees paid in the first quarter due to the sale of the leased facility. Accrued restructuring and other charges are included in Other Current Liabilities on our balance sheet.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six months ended June 30,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500" w:type="dxa"/>
            <w:vAlign w:val="bottom"/>
            <w:gridSpan w:val="3"/>
          </w:tcPr>
          <w:p>
            <w:pPr>
              <w:ind w:left="820"/>
              <w:spacing w:after="0"/>
              <w:rPr>
                <w:sz w:val="20"/>
                <w:szCs w:val="20"/>
                <w:color w:val="auto"/>
              </w:rPr>
            </w:pPr>
            <w:r>
              <w:rPr>
                <w:rFonts w:ascii="Arial" w:cs="Arial" w:eastAsia="Arial" w:hAnsi="Arial"/>
                <w:sz w:val="14"/>
                <w:szCs w:val="14"/>
                <w:b w:val="1"/>
                <w:bCs w:val="1"/>
                <w:i w:val="1"/>
                <w:iCs w:val="1"/>
                <w:color w:val="auto"/>
                <w:w w:val="83"/>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w w:val="80"/>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4"/>
                <w:szCs w:val="24"/>
                <w:color w:val="auto"/>
              </w:rPr>
            </w:pPr>
          </w:p>
        </w:tc>
      </w:tr>
    </w:tbl>
    <w:p>
      <w:pPr>
        <w:sectPr>
          <w:pgSz w:w="11900" w:h="16909" w:orient="portrait"/>
          <w:cols w:equalWidth="0" w:num="1">
            <w:col w:w="11420"/>
          </w:cols>
          <w:pgMar w:left="240" w:top="131" w:right="239" w:bottom="0" w:gutter="0" w:footer="0" w:header="0"/>
        </w:sectPr>
      </w:pPr>
    </w:p>
    <w:bookmarkStart w:id="11" w:name="page12"/>
    <w:bookmarkEnd w:id="11"/>
    <w:p>
      <w:pPr>
        <w:spacing w:after="0" w:line="4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22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420" w:type="dxa"/>
            <w:vAlign w:val="bottom"/>
            <w:gridSpan w:val="4"/>
          </w:tcPr>
          <w:p>
            <w:pPr>
              <w:ind w:left="40"/>
              <w:spacing w:after="0" w:line="184" w:lineRule="exact"/>
              <w:rPr>
                <w:sz w:val="20"/>
                <w:szCs w:val="20"/>
                <w:color w:val="auto"/>
              </w:rPr>
            </w:pPr>
            <w:r>
              <w:rPr>
                <w:rFonts w:ascii="Arial" w:cs="Arial" w:eastAsia="Arial" w:hAnsi="Arial"/>
                <w:sz w:val="18"/>
                <w:szCs w:val="18"/>
                <w:color w:val="auto"/>
                <w:w w:val="85"/>
              </w:rPr>
              <w:t>(359)</w:t>
            </w:r>
          </w:p>
        </w:tc>
      </w:tr>
      <w:tr>
        <w:trPr>
          <w:trHeight w:val="439"/>
        </w:trPr>
        <w:tc>
          <w:tcPr>
            <w:tcW w:w="4220" w:type="dxa"/>
            <w:vAlign w:val="bottom"/>
          </w:tcPr>
          <w:p>
            <w:pPr>
              <w:spacing w:after="0"/>
              <w:rPr>
                <w:sz w:val="20"/>
                <w:szCs w:val="20"/>
                <w:color w:val="auto"/>
              </w:rPr>
            </w:pPr>
            <w:r>
              <w:rPr>
                <w:rFonts w:ascii="Arial" w:cs="Arial" w:eastAsia="Arial" w:hAnsi="Arial"/>
                <w:sz w:val="18"/>
                <w:szCs w:val="18"/>
                <w:color w:val="auto"/>
              </w:rPr>
              <w:t>Balance - June 30, 2012</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jc w:val="both"/>
        <w:ind w:left="540" w:right="160"/>
        <w:spacing w:after="0" w:line="303" w:lineRule="auto"/>
        <w:rPr>
          <w:sz w:val="20"/>
          <w:szCs w:val="20"/>
          <w:color w:val="auto"/>
        </w:rPr>
      </w:pPr>
      <w:r>
        <w:rPr>
          <w:rFonts w:ascii="Arial" w:cs="Arial" w:eastAsia="Arial" w:hAnsi="Arial"/>
          <w:sz w:val="15"/>
          <w:szCs w:val="15"/>
          <w:color w:val="auto"/>
        </w:rPr>
        <w:t>During the six months ended June 30, 2013 and 2012, Texas Instruments Incorporated accounted for 11% and 19%, respectively, of our consolidated net revenues. While all three of our operating segments sold products to this customer, these revenues were primarily generated by our Mechanical Products and our Electrical Products segments. During the six months ended June 30, 2012, Teradyne, Inc. accounted for 14% of our consolidated net revenues.</w:t>
      </w:r>
    </w:p>
    <w:p>
      <w:pPr>
        <w:spacing w:after="0" w:line="1" w:lineRule="exact"/>
        <w:rPr>
          <w:sz w:val="20"/>
          <w:szCs w:val="20"/>
          <w:color w:val="auto"/>
        </w:rPr>
      </w:pPr>
    </w:p>
    <w:p>
      <w:pPr>
        <w:jc w:val="both"/>
        <w:ind w:left="540" w:right="80"/>
        <w:spacing w:after="0" w:line="255" w:lineRule="auto"/>
        <w:rPr>
          <w:sz w:val="20"/>
          <w:szCs w:val="20"/>
          <w:color w:val="auto"/>
        </w:rPr>
      </w:pPr>
      <w:r>
        <w:rPr>
          <w:rFonts w:ascii="Arial" w:cs="Arial" w:eastAsia="Arial" w:hAnsi="Arial"/>
          <w:sz w:val="18"/>
          <w:szCs w:val="18"/>
          <w:color w:val="auto"/>
        </w:rPr>
        <w:t>While both our Mechanical Products and our Electrical Products segments sold products to this customer, these revenues were primarily generated by our Electrical Products segment. No other customers accounted for 10% or more of our consolidated net revenues during the six months ended June 30, 2013 and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2013 and December 31, 2012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June 30,</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$2,157</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454</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419</w:t>
            </w: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3,360</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3,135</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June 30, 2013 and December 31, 2012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60" w:type="dxa"/>
            <w:vAlign w:val="bottom"/>
          </w:tcPr>
          <w:p>
            <w:pPr>
              <w:spacing w:after="0"/>
              <w:rPr>
                <w:sz w:val="12"/>
                <w:szCs w:val="12"/>
                <w:color w:val="auto"/>
              </w:rPr>
            </w:pPr>
          </w:p>
        </w:tc>
        <w:tc>
          <w:tcPr>
            <w:tcW w:w="1300" w:type="dxa"/>
            <w:vAlign w:val="bottom"/>
            <w:gridSpan w:val="10"/>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Facility</w:t>
            </w: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gridSpan w:val="2"/>
            <w:vMerge w:val="continue"/>
          </w:tcPr>
          <w:p>
            <w:pPr>
              <w:spacing w:after="0"/>
              <w:rPr>
                <w:sz w:val="13"/>
                <w:szCs w:val="13"/>
                <w:color w:val="auto"/>
              </w:rPr>
            </w:pPr>
          </w:p>
        </w:tc>
        <w:tc>
          <w:tcPr>
            <w:tcW w:w="2120" w:type="dxa"/>
            <w:vAlign w:val="bottom"/>
            <w:gridSpan w:val="3"/>
            <w:vMerge w:val="restart"/>
          </w:tcPr>
          <w:p>
            <w:pPr>
              <w:jc w:val="center"/>
              <w:ind w:left="759"/>
              <w:spacing w:after="0"/>
              <w:rPr>
                <w:sz w:val="20"/>
                <w:szCs w:val="20"/>
                <w:color w:val="auto"/>
              </w:rPr>
            </w:pPr>
            <w:r>
              <w:rPr>
                <w:rFonts w:ascii="Arial" w:cs="Arial" w:eastAsia="Arial" w:hAnsi="Arial"/>
                <w:sz w:val="14"/>
                <w:szCs w:val="14"/>
                <w:b w:val="1"/>
                <w:bCs w:val="1"/>
                <w:i w:val="1"/>
                <w:iCs w:val="1"/>
                <w:color w:val="auto"/>
                <w:w w:val="90"/>
              </w:rPr>
              <w:t>Original L/C</w:t>
            </w: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i w:val="1"/>
                <w:iCs w:val="1"/>
                <w:color w:val="auto"/>
                <w:w w:val="87"/>
              </w:rPr>
              <w:t>Expiration</w:t>
            </w: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i w:val="1"/>
                <w:iCs w:val="1"/>
                <w:color w:val="auto"/>
                <w:w w:val="87"/>
              </w:rPr>
              <w:t>Expiration</w:t>
            </w:r>
          </w:p>
        </w:tc>
        <w:tc>
          <w:tcPr>
            <w:tcW w:w="660" w:type="dxa"/>
            <w:vAlign w:val="bottom"/>
            <w:gridSpan w:val="5"/>
            <w:vMerge w:val="restart"/>
          </w:tcPr>
          <w:p>
            <w:pPr>
              <w:jc w:val="center"/>
              <w:spacing w:after="0"/>
              <w:rPr>
                <w:sz w:val="20"/>
                <w:szCs w:val="20"/>
                <w:color w:val="auto"/>
              </w:rPr>
            </w:pPr>
            <w:r>
              <w:rPr>
                <w:rFonts w:ascii="Arial" w:cs="Arial" w:eastAsia="Arial" w:hAnsi="Arial"/>
                <w:sz w:val="14"/>
                <w:szCs w:val="14"/>
                <w:b w:val="1"/>
                <w:bCs w:val="1"/>
                <w:i w:val="1"/>
                <w:iCs w:val="1"/>
                <w:color w:val="auto"/>
                <w:w w:val="85"/>
              </w:rPr>
              <w:t>June 30,</w:t>
            </w:r>
          </w:p>
        </w:tc>
        <w:tc>
          <w:tcPr>
            <w:tcW w:w="800" w:type="dxa"/>
            <w:vAlign w:val="bottom"/>
            <w:gridSpan w:val="6"/>
            <w:vMerge w:val="restart"/>
          </w:tcPr>
          <w:p>
            <w:pPr>
              <w:ind w:left="32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660" w:type="dxa"/>
            <w:vAlign w:val="bottom"/>
            <w:gridSpan w:val="5"/>
            <w:vMerge w:val="continue"/>
          </w:tcPr>
          <w:p>
            <w:pPr>
              <w:spacing w:after="0"/>
              <w:rPr>
                <w:sz w:val="4"/>
                <w:szCs w:val="4"/>
                <w:color w:val="auto"/>
              </w:rPr>
            </w:pPr>
          </w:p>
        </w:tc>
        <w:tc>
          <w:tcPr>
            <w:tcW w:w="8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w w:val="96"/>
              </w:rPr>
              <w:t>2013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22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2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3/29/2010</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3/31/2014</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4/30/2021</w:t>
            </w:r>
          </w:p>
        </w:tc>
        <w:tc>
          <w:tcPr>
            <w:tcW w:w="660" w:type="dxa"/>
            <w:vAlign w:val="bottom"/>
            <w:gridSpan w:val="5"/>
            <w:vMerge w:val="restart"/>
          </w:tcPr>
          <w:p>
            <w:pPr>
              <w:jc w:val="right"/>
              <w:spacing w:after="0"/>
              <w:rPr>
                <w:sz w:val="20"/>
                <w:szCs w:val="20"/>
                <w:color w:val="auto"/>
              </w:rPr>
            </w:pPr>
            <w:r>
              <w:rPr>
                <w:rFonts w:ascii="Arial" w:cs="Arial" w:eastAsia="Arial" w:hAnsi="Arial"/>
                <w:sz w:val="18"/>
                <w:szCs w:val="18"/>
                <w:color w:val="auto"/>
              </w:rPr>
              <w:t>$250</w:t>
            </w:r>
          </w:p>
        </w:tc>
        <w:tc>
          <w:tcPr>
            <w:tcW w:w="800" w:type="dxa"/>
            <w:vAlign w:val="bottom"/>
            <w:gridSpan w:val="6"/>
            <w:vMerge w:val="restart"/>
          </w:tcPr>
          <w:p>
            <w:pPr>
              <w:jc w:val="center"/>
              <w:ind w:left="379"/>
              <w:spacing w:after="0"/>
              <w:rPr>
                <w:sz w:val="20"/>
                <w:szCs w:val="20"/>
                <w:color w:val="auto"/>
              </w:rPr>
            </w:pPr>
            <w:r>
              <w:rPr>
                <w:rFonts w:ascii="Arial" w:cs="Arial" w:eastAsia="Arial" w:hAnsi="Arial"/>
                <w:sz w:val="18"/>
                <w:szCs w:val="18"/>
                <w:color w:val="auto"/>
                <w:w w:val="84"/>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660" w:type="dxa"/>
            <w:vAlign w:val="bottom"/>
            <w:gridSpan w:val="5"/>
            <w:vMerge w:val="continue"/>
          </w:tcPr>
          <w:p>
            <w:pPr>
              <w:spacing w:after="0"/>
              <w:rPr>
                <w:sz w:val="18"/>
                <w:szCs w:val="18"/>
                <w:color w:val="auto"/>
              </w:rPr>
            </w:pPr>
          </w:p>
        </w:tc>
        <w:tc>
          <w:tcPr>
            <w:tcW w:w="8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10/27/2010</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5"/>
              </w:rPr>
              <w:t>11/08/2013</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8/23/2021</w:t>
            </w:r>
          </w:p>
        </w:tc>
        <w:tc>
          <w:tcPr>
            <w:tcW w:w="340" w:type="dxa"/>
            <w:vAlign w:val="bottom"/>
            <w:gridSpan w:val="3"/>
            <w:vMerge w:val="restart"/>
          </w:tcPr>
          <w:p>
            <w:pPr>
              <w:spacing w:after="0"/>
              <w:rPr>
                <w:sz w:val="21"/>
                <w:szCs w:val="2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200</w:t>
            </w:r>
          </w:p>
        </w:tc>
        <w:tc>
          <w:tcPr>
            <w:tcW w:w="460" w:type="dxa"/>
            <w:vAlign w:val="bottom"/>
            <w:gridSpan w:val="2"/>
            <w:vMerge w:val="restart"/>
          </w:tcPr>
          <w:p>
            <w:pPr>
              <w:spacing w:after="0"/>
              <w:rPr>
                <w:sz w:val="21"/>
                <w:szCs w:val="21"/>
                <w:color w:val="auto"/>
              </w:rPr>
            </w:pPr>
          </w:p>
        </w:tc>
        <w:tc>
          <w:tcPr>
            <w:tcW w:w="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320" w:type="dxa"/>
            <w:vAlign w:val="bottom"/>
            <w:tcBorders>
              <w:bottom w:val="single" w:sz="8" w:color="auto"/>
            </w:tcBorders>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300" w:type="dxa"/>
            <w:vAlign w:val="bottom"/>
            <w:tcBorders>
              <w:bottom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3"/>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450</w:t>
            </w:r>
          </w:p>
        </w:tc>
        <w:tc>
          <w:tcPr>
            <w:tcW w:w="800" w:type="dxa"/>
            <w:vAlign w:val="bottom"/>
            <w:gridSpan w:val="6"/>
          </w:tcPr>
          <w:p>
            <w:pPr>
              <w:jc w:val="center"/>
              <w:ind w:left="379"/>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40" w:right="9460" w:hanging="532"/>
        <w:spacing w:after="0" w:line="577" w:lineRule="auto"/>
        <w:tabs>
          <w:tab w:leader="none" w:pos="29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jc w:val="both"/>
        <w:ind w:left="540" w:right="100"/>
        <w:spacing w:after="0" w:line="370" w:lineRule="auto"/>
        <w:rPr>
          <w:sz w:val="20"/>
          <w:szCs w:val="20"/>
          <w:color w:val="auto"/>
        </w:rPr>
      </w:pPr>
      <w:r>
        <w:rPr>
          <w:rFonts w:ascii="Arial" w:cs="Arial" w:eastAsia="Arial" w:hAnsi="Arial"/>
          <w:sz w:val="15"/>
          <w:szCs w:val="15"/>
          <w:color w:val="auto"/>
        </w:rPr>
        <w:t>Warranty expense for the six months ended June 30, 2013 and 2012 was $60 and $55, respectively. Accrued warranty costs are included in Other Current Liabilities on our balance sheet. The following table sets forth the changes in the liability for product warranties for the six months ended June 30, 2013:</w:t>
      </w:r>
    </w:p>
    <w:p>
      <w:pPr>
        <w:spacing w:after="0" w:line="8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9"/>
                <w:szCs w:val="19"/>
                <w:color w:val="auto"/>
              </w:rPr>
            </w:pP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1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84" w:orient="portrait"/>
          <w:cols w:equalWidth="0" w:num="1">
            <w:col w:w="11420"/>
          </w:cols>
          <w:pgMar w:left="240" w:top="158" w:right="239" w:bottom="0" w:gutter="0" w:footer="0" w:header="0"/>
        </w:sectPr>
      </w:pPr>
    </w:p>
    <w:p>
      <w:pPr>
        <w:spacing w:after="0" w:line="62" w:lineRule="exact"/>
        <w:rPr>
          <w:sz w:val="20"/>
          <w:szCs w:val="20"/>
          <w:color w:val="auto"/>
        </w:rPr>
      </w:pPr>
    </w:p>
    <w:p>
      <w:pPr>
        <w:ind w:left="6080"/>
        <w:spacing w:after="0"/>
        <w:rPr>
          <w:sz w:val="20"/>
          <w:szCs w:val="20"/>
          <w:color w:val="auto"/>
        </w:rPr>
      </w:pPr>
      <w:r>
        <w:rPr>
          <w:rFonts w:ascii="Arial" w:cs="Arial" w:eastAsia="Arial" w:hAnsi="Arial"/>
          <w:sz w:val="16"/>
          <w:szCs w:val="16"/>
          <w:u w:val="single" w:color="auto"/>
          <w:color w:val="auto"/>
        </w:rPr>
        <w:t>$202</w:t>
      </w:r>
    </w:p>
    <w:p>
      <w:pPr>
        <w:sectPr>
          <w:pgSz w:w="11900" w:h="16884" w:orient="portrait"/>
          <w:cols w:equalWidth="0" w:num="1">
            <w:col w:w="11420"/>
          </w:cols>
          <w:pgMar w:left="240" w:top="158" w:right="239" w:bottom="0" w:gutter="0" w:footer="0" w:header="0"/>
          <w:type w:val="continuous"/>
        </w:sectPr>
      </w:pPr>
    </w:p>
    <w:bookmarkStart w:id="12" w:name="page13"/>
    <w:bookmarkEnd w:id="12"/>
    <w:p>
      <w:pPr>
        <w:ind w:left="1100"/>
        <w:spacing w:after="0"/>
        <w:rPr>
          <w:sz w:val="20"/>
          <w:szCs w:val="20"/>
          <w:color w:val="auto"/>
        </w:rPr>
      </w:pPr>
      <w:r>
        <w:rPr>
          <w:rFonts w:ascii="Arial" w:cs="Arial" w:eastAsia="Arial" w:hAnsi="Arial"/>
          <w:sz w:val="18"/>
          <w:szCs w:val="18"/>
          <w:color w:val="auto"/>
        </w:rPr>
        <w:t>Balance - June 30, 2013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June 30, 2013, we had outstanding stock options and unvested restricted stock awards granted under stock-based employee compensation plans that are described more fully in Note 15 to the consolidated financial statements in our 2012 Form 10-K.</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As of June 30, 2013, total compensation expense to be recognized in future periods was $172. The weighted average period over which this expense is expected to be recognized is 2.0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38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six months ended June 30, 2013 and 2012,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40" w:type="dxa"/>
            <w:vAlign w:val="bottom"/>
            <w:gridSpan w:val="10"/>
          </w:tcPr>
          <w:p>
            <w:pPr>
              <w:jc w:val="center"/>
              <w:ind w:left="6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280" w:type="dxa"/>
            <w:vAlign w:val="bottom"/>
            <w:gridSpan w:val="8"/>
          </w:tcPr>
          <w:p>
            <w:pPr>
              <w:jc w:val="center"/>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3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20" w:type="dxa"/>
            <w:vAlign w:val="bottom"/>
            <w:gridSpan w:val="2"/>
          </w:tcPr>
          <w:p>
            <w:pPr>
              <w:spacing w:after="0"/>
              <w:rPr>
                <w:sz w:val="12"/>
                <w:szCs w:val="12"/>
                <w:color w:val="auto"/>
              </w:rPr>
            </w:pPr>
          </w:p>
        </w:tc>
      </w:tr>
      <w:tr>
        <w:trPr>
          <w:trHeight w:val="156"/>
        </w:trPr>
        <w:tc>
          <w:tcPr>
            <w:tcW w:w="3580" w:type="dxa"/>
            <w:vAlign w:val="bottom"/>
          </w:tcPr>
          <w:p>
            <w:pPr>
              <w:spacing w:after="0"/>
              <w:rPr>
                <w:sz w:val="13"/>
                <w:szCs w:val="13"/>
                <w:color w:val="auto"/>
              </w:rPr>
            </w:pPr>
          </w:p>
        </w:tc>
        <w:tc>
          <w:tcPr>
            <w:tcW w:w="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20" w:type="dxa"/>
            <w:vAlign w:val="bottom"/>
          </w:tcPr>
          <w:p>
            <w:pPr>
              <w:spacing w:after="0"/>
              <w:rPr>
                <w:sz w:val="13"/>
                <w:szCs w:val="13"/>
                <w:color w:val="auto"/>
              </w:rPr>
            </w:pPr>
          </w:p>
        </w:tc>
        <w:tc>
          <w:tcPr>
            <w:tcW w:w="6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2012</w:t>
            </w:r>
          </w:p>
        </w:tc>
      </w:tr>
      <w:tr>
        <w:trPr>
          <w:trHeight w:val="20"/>
        </w:trPr>
        <w:tc>
          <w:tcPr>
            <w:tcW w:w="3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2"/>
        </w:trPr>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48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2</w:t>
            </w:r>
          </w:p>
        </w:tc>
        <w:tc>
          <w:tcPr>
            <w:tcW w:w="3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  2</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Selling expense</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w w:val="94"/>
              </w:rPr>
              <w:t>Engineering and product development expense</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421"/>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gridSpan w:val="2"/>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41</w:t>
            </w:r>
          </w:p>
        </w:tc>
      </w:tr>
      <w:tr>
        <w:trPr>
          <w:trHeight w:val="439"/>
        </w:trPr>
        <w:tc>
          <w:tcPr>
            <w:tcW w:w="358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r>
      <w:tr>
        <w:trPr>
          <w:trHeight w:val="20"/>
        </w:trPr>
        <w:tc>
          <w:tcPr>
            <w:tcW w:w="3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or six months ended June 30, 2013 or 2012.</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six months ended June 30, 2013:</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3980" w:type="dxa"/>
            <w:vAlign w:val="bottom"/>
          </w:tcPr>
          <w:p>
            <w:pPr>
              <w:spacing w:after="0"/>
              <w:rPr>
                <w:sz w:val="12"/>
                <w:szCs w:val="12"/>
                <w:color w:val="auto"/>
              </w:rPr>
            </w:pPr>
          </w:p>
        </w:tc>
        <w:tc>
          <w:tcPr>
            <w:tcW w:w="1400" w:type="dxa"/>
            <w:vAlign w:val="bottom"/>
            <w:gridSpan w:val="4"/>
          </w:tcPr>
          <w:p>
            <w:pPr>
              <w:ind w:left="68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39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January 1, 2013</w:t>
            </w:r>
          </w:p>
        </w:tc>
        <w:tc>
          <w:tcPr>
            <w:tcW w:w="7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108,750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0"/>
                <w:szCs w:val="20"/>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4"/>
                <w:szCs w:val="24"/>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Vested</w:t>
            </w:r>
          </w:p>
        </w:tc>
        <w:tc>
          <w:tcPr>
            <w:tcW w:w="1400" w:type="dxa"/>
            <w:vAlign w:val="bottom"/>
            <w:gridSpan w:val="4"/>
          </w:tcPr>
          <w:p>
            <w:pPr>
              <w:ind w:left="720"/>
              <w:spacing w:after="0"/>
              <w:rPr>
                <w:sz w:val="20"/>
                <w:szCs w:val="20"/>
                <w:color w:val="auto"/>
              </w:rPr>
            </w:pPr>
            <w:r>
              <w:rPr>
                <w:rFonts w:ascii="Arial" w:cs="Arial" w:eastAsia="Arial" w:hAnsi="Arial"/>
                <w:sz w:val="18"/>
                <w:szCs w:val="18"/>
                <w:color w:val="auto"/>
                <w:w w:val="98"/>
              </w:rPr>
              <w:t>(53,750)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r>
      <w:tr>
        <w:trPr>
          <w:trHeight w:val="421"/>
        </w:trPr>
        <w:tc>
          <w:tcPr>
            <w:tcW w:w="3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39"/>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June 30, 2013</w:t>
            </w:r>
          </w:p>
        </w:tc>
        <w:tc>
          <w:tcPr>
            <w:tcW w:w="74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97,500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six months ended June 30, 2013:</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83"/>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right"/>
              <w:ind w:right="18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4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440" w:type="dxa"/>
            <w:vAlign w:val="bottom"/>
          </w:tcPr>
          <w:p>
            <w:pPr>
              <w:spacing w:after="0"/>
              <w:rPr>
                <w:sz w:val="20"/>
                <w:szCs w:val="20"/>
                <w:color w:val="auto"/>
              </w:rPr>
            </w:pPr>
            <w:r>
              <w:rPr>
                <w:rFonts w:ascii="Arial" w:cs="Arial" w:eastAsia="Arial" w:hAnsi="Arial"/>
                <w:sz w:val="18"/>
                <w:szCs w:val="18"/>
                <w:color w:val="auto"/>
                <w:w w:val="92"/>
              </w:rPr>
              <w:t>Options outstanding, January 1, 2013 (219,000 exercisable)</w:t>
            </w:r>
          </w:p>
        </w:tc>
        <w:tc>
          <w:tcPr>
            <w:tcW w:w="30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219,000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$3.17</w:t>
            </w:r>
          </w:p>
        </w:tc>
      </w:tr>
      <w:tr>
        <w:trPr>
          <w:trHeight w:val="459"/>
        </w:trPr>
        <w:tc>
          <w:tcPr>
            <w:tcW w:w="4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4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3.04</w:t>
            </w:r>
          </w:p>
        </w:tc>
      </w:tr>
      <w:tr>
        <w:trPr>
          <w:trHeight w:val="421"/>
        </w:trPr>
        <w:tc>
          <w:tcPr>
            <w:tcW w:w="44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(189,000)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3.04</w:t>
            </w: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360"/>
          </w:cols>
          <w:pgMar w:left="240" w:top="131" w:right="299" w:bottom="0" w:gutter="0" w:footer="0" w:header="0"/>
        </w:sectPr>
      </w:pPr>
    </w:p>
    <w:bookmarkStart w:id="13" w:name="page14"/>
    <w:bookmarkEnd w:id="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7"/>
        </w:trPr>
        <w:tc>
          <w:tcPr>
            <w:tcW w:w="4740" w:type="dxa"/>
            <w:vAlign w:val="bottom"/>
          </w:tcPr>
          <w:p>
            <w:pPr>
              <w:spacing w:after="0"/>
              <w:rPr>
                <w:sz w:val="20"/>
                <w:szCs w:val="20"/>
                <w:color w:val="auto"/>
              </w:rPr>
            </w:pPr>
            <w:r>
              <w:rPr>
                <w:rFonts w:ascii="Arial" w:cs="Arial" w:eastAsia="Arial" w:hAnsi="Arial"/>
                <w:sz w:val="18"/>
                <w:szCs w:val="18"/>
                <w:color w:val="auto"/>
              </w:rPr>
              <w:t>Options outstanding, June 30, 2013 (20,000 exercisable)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for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(effective January 1, 2013)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w:t>
      </w:r>
    </w:p>
    <w:p>
      <w:pPr>
        <w:spacing w:after="0" w:line="16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Temptronic adopted a defined contribution 401(k) plan for its domestic employees in 1988, that was merged into the inTEST 401(k) Plan effective September 1, 2002. Prior to January 1, 2013, the inTEST 401(k) Plan retained the matching provisions of the prior Temptronic plan for all Temptronic employees, which included discretionary employer matching contributions of $0.50 on the dollar up to 6% of the employees' annual compensation, with a maximum limit of $3. When the plans were merged, the eligibility and vesting provisions of the prior Temptronic plan were conformed to those for inTEST Corporation and inTEST Silicon Valley Corporation employees.</w:t>
      </w:r>
    </w:p>
    <w:p>
      <w:pPr>
        <w:spacing w:after="0" w:line="170"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Prior to January 1, 2013, in addition to the employer matching contributions for which Temptronic employees were eligible, Temptronic employees participating in the inTEST 401(k) plan were also eligible to receive profit sharing contributions which are more fully described in Note 16 to our 2012 Form 10-K. During the third quarter of 2012, our Board of Directors approved an amendment to the inTEST 401(k) Plan. The amendment terminated the profit sharing contributions for Temptronic employees effective December 31, 2012. In addition, the amendment conformed the employer matching provisions for the Temptronic employees with those currently in place for inTEST Corporation and inTEST Silicon Valley employees effective January 1, 2013.</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The Thermal Products segment includes the operations of Temptronic, Thermonics (which we acquired in January 2012 as discussed further in Note 3), Sigma, inTEST Thermal Solutions GmbH (formerly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40"/>
        <w:spacing w:after="0" w:line="323" w:lineRule="auto"/>
        <w:rPr>
          <w:sz w:val="20"/>
          <w:szCs w:val="20"/>
          <w:color w:val="auto"/>
        </w:rPr>
      </w:pPr>
      <w:r>
        <w:rPr>
          <w:rFonts w:ascii="Arial" w:cs="Arial" w:eastAsia="Arial" w:hAnsi="Arial"/>
          <w:sz w:val="15"/>
          <w:szCs w:val="15"/>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energy and telecommunications industries. Intercompany pricing between segments is either a multiple of cost for component parts or list price for finished goods.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for share and per share data)</w:t>
      </w:r>
    </w:p>
    <w:p>
      <w:pPr>
        <w:sectPr>
          <w:pgSz w:w="11900" w:h="16838" w:orient="portrait"/>
          <w:cols w:equalWidth="0" w:num="1">
            <w:col w:w="11360"/>
          </w:cols>
          <w:pgMar w:left="240" w:top="61" w:right="299" w:bottom="0" w:gutter="0" w:footer="0" w:header="0"/>
        </w:sectPr>
      </w:pPr>
    </w:p>
    <w:p>
      <w:pPr>
        <w:spacing w:after="0" w:line="17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(Continued)</w:t>
      </w:r>
    </w:p>
    <w:p>
      <w:pPr>
        <w:spacing w:after="0" w:line="200" w:lineRule="exact"/>
        <w:rPr>
          <w:rFonts w:ascii="Arial" w:cs="Arial" w:eastAsia="Arial" w:hAnsi="Arial"/>
          <w:sz w:val="18"/>
          <w:szCs w:val="18"/>
          <w:b w:val="1"/>
          <w:bCs w:val="1"/>
          <w:color w:val="auto"/>
        </w:rPr>
      </w:pPr>
    </w:p>
    <w:p>
      <w:pPr>
        <w:spacing w:after="0" w:line="32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8"/>
          </w:tcPr>
          <w:p>
            <w:pPr>
              <w:jc w:val="center"/>
              <w:ind w:right="28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400" w:type="dxa"/>
            <w:vAlign w:val="bottom"/>
            <w:gridSpan w:val="6"/>
          </w:tcPr>
          <w:p>
            <w:pPr>
              <w:jc w:val="center"/>
              <w:ind w:left="1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460" w:type="dxa"/>
            <w:vAlign w:val="bottom"/>
          </w:tcPr>
          <w:p>
            <w:pPr>
              <w:spacing w:after="0"/>
              <w:rPr>
                <w:sz w:val="13"/>
                <w:szCs w:val="13"/>
                <w:color w:val="auto"/>
              </w:rPr>
            </w:pPr>
          </w:p>
        </w:tc>
        <w:tc>
          <w:tcPr>
            <w:tcW w:w="56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140" w:type="dxa"/>
            <w:vAlign w:val="bottom"/>
            <w:gridSpan w:val="4"/>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0" w:space="720"/>
            <w:col w:w="6280"/>
          </w:cols>
          <w:pgMar w:left="240" w:top="61" w:right="29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Thermal Products</w:t>
            </w:r>
          </w:p>
        </w:tc>
        <w:tc>
          <w:tcPr>
            <w:tcW w:w="2200" w:type="dxa"/>
            <w:vAlign w:val="bottom"/>
          </w:tcPr>
          <w:p>
            <w:pPr>
              <w:jc w:val="right"/>
              <w:ind w:right="32"/>
              <w:spacing w:after="0"/>
              <w:rPr>
                <w:sz w:val="20"/>
                <w:szCs w:val="20"/>
                <w:color w:val="auto"/>
              </w:rPr>
            </w:pPr>
            <w:r>
              <w:rPr>
                <w:rFonts w:ascii="Arial" w:cs="Arial" w:eastAsia="Arial" w:hAnsi="Arial"/>
                <w:sz w:val="18"/>
                <w:szCs w:val="18"/>
                <w:color w:val="auto"/>
              </w:rPr>
              <w:t>$ 5,772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$ 6,503</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$11,670</w:t>
            </w:r>
          </w:p>
        </w:tc>
        <w:tc>
          <w:tcPr>
            <w:tcW w:w="700" w:type="dxa"/>
            <w:vAlign w:val="bottom"/>
          </w:tcPr>
          <w:p>
            <w:pPr>
              <w:jc w:val="right"/>
              <w:spacing w:after="0"/>
              <w:rPr>
                <w:sz w:val="20"/>
                <w:szCs w:val="20"/>
                <w:color w:val="auto"/>
              </w:rPr>
            </w:pPr>
            <w:r>
              <w:rPr>
                <w:rFonts w:ascii="Arial" w:cs="Arial" w:eastAsia="Arial" w:hAnsi="Arial"/>
                <w:sz w:val="18"/>
                <w:szCs w:val="18"/>
                <w:color w:val="auto"/>
              </w:rPr>
              <w:t>$12,614</w:t>
            </w: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Mechanical Products</w:t>
            </w:r>
          </w:p>
        </w:tc>
        <w:tc>
          <w:tcPr>
            <w:tcW w:w="2200" w:type="dxa"/>
            <w:vAlign w:val="bottom"/>
          </w:tcPr>
          <w:p>
            <w:pPr>
              <w:jc w:val="right"/>
              <w:ind w:right="32"/>
              <w:spacing w:after="0"/>
              <w:rPr>
                <w:sz w:val="20"/>
                <w:szCs w:val="20"/>
                <w:color w:val="auto"/>
              </w:rPr>
            </w:pPr>
            <w:r>
              <w:rPr>
                <w:rFonts w:ascii="Arial" w:cs="Arial" w:eastAsia="Arial" w:hAnsi="Arial"/>
                <w:sz w:val="18"/>
                <w:szCs w:val="18"/>
                <w:color w:val="auto"/>
              </w:rPr>
              <w:t>3,812</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3,086</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5,608</w:t>
            </w:r>
          </w:p>
        </w:tc>
        <w:tc>
          <w:tcPr>
            <w:tcW w:w="700" w:type="dxa"/>
            <w:vAlign w:val="bottom"/>
          </w:tcPr>
          <w:p>
            <w:pPr>
              <w:jc w:val="right"/>
              <w:spacing w:after="0"/>
              <w:rPr>
                <w:sz w:val="20"/>
                <w:szCs w:val="20"/>
                <w:color w:val="auto"/>
              </w:rPr>
            </w:pPr>
            <w:r>
              <w:rPr>
                <w:rFonts w:ascii="Arial" w:cs="Arial" w:eastAsia="Arial" w:hAnsi="Arial"/>
                <w:sz w:val="18"/>
                <w:szCs w:val="18"/>
                <w:color w:val="auto"/>
              </w:rPr>
              <w:t>5,600</w:t>
            </w:r>
          </w:p>
        </w:tc>
      </w:tr>
    </w:tbl>
    <w:p>
      <w:pPr>
        <w:sectPr>
          <w:pgSz w:w="11900" w:h="16838" w:orient="portrait"/>
          <w:cols w:equalWidth="0" w:num="1">
            <w:col w:w="11360"/>
          </w:cols>
          <w:pgMar w:left="240" w:top="61" w:right="299" w:bottom="0" w:gutter="0" w:footer="0" w:header="0"/>
          <w:type w:val="continuous"/>
        </w:sectPr>
      </w:pPr>
    </w:p>
    <w:bookmarkStart w:id="14" w:name="page15"/>
    <w:bookmarkEnd w:id="1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Electrical Products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3,987</w:t>
            </w:r>
          </w:p>
        </w:tc>
        <w:tc>
          <w:tcPr>
            <w:tcW w:w="16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2,930</w:t>
            </w:r>
          </w:p>
        </w:tc>
        <w:tc>
          <w:tcPr>
            <w:tcW w:w="22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6,103</w:t>
            </w:r>
          </w:p>
        </w:tc>
        <w:tc>
          <w:tcPr>
            <w:tcW w:w="60" w:type="dxa"/>
            <w:vAlign w:val="bottom"/>
          </w:tcPr>
          <w:p>
            <w:pPr>
              <w:spacing w:after="0"/>
              <w:rPr>
                <w:sz w:val="19"/>
                <w:szCs w:val="19"/>
                <w:color w:val="auto"/>
              </w:rPr>
            </w:pPr>
          </w:p>
        </w:tc>
      </w:tr>
      <w:tr>
        <w:trPr>
          <w:trHeight w:val="421"/>
        </w:trPr>
        <w:tc>
          <w:tcPr>
            <w:tcW w:w="4500" w:type="dxa"/>
            <w:vAlign w:val="bottom"/>
          </w:tcPr>
          <w:p>
            <w:pPr>
              <w:spacing w:after="0"/>
              <w:rPr>
                <w:sz w:val="20"/>
                <w:szCs w:val="20"/>
                <w:color w:val="auto"/>
              </w:rPr>
            </w:pPr>
            <w:r>
              <w:rPr>
                <w:rFonts w:ascii="Arial" w:cs="Arial" w:eastAsia="Arial" w:hAnsi="Arial"/>
                <w:sz w:val="18"/>
                <w:szCs w:val="18"/>
                <w:color w:val="auto"/>
              </w:rPr>
              <w:t>Intersegment sales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(10)</w:t>
            </w:r>
          </w:p>
        </w:tc>
      </w:tr>
      <w:tr>
        <w:trPr>
          <w:trHeight w:val="20"/>
        </w:trPr>
        <w:tc>
          <w:tcPr>
            <w:tcW w:w="45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11,218</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13,576</w:t>
            </w:r>
          </w:p>
        </w:tc>
        <w:tc>
          <w:tcPr>
            <w:tcW w:w="160" w:type="dxa"/>
            <w:vAlign w:val="bottom"/>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20,191</w:t>
            </w:r>
          </w:p>
        </w:tc>
        <w:tc>
          <w:tcPr>
            <w:tcW w:w="2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24,307</w:t>
            </w:r>
          </w:p>
        </w:tc>
        <w:tc>
          <w:tcPr>
            <w:tcW w:w="60" w:type="dxa"/>
            <w:vAlign w:val="bottom"/>
          </w:tcPr>
          <w:p>
            <w:pPr>
              <w:spacing w:after="0"/>
              <w:rPr>
                <w:sz w:val="24"/>
                <w:szCs w:val="24"/>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Thermal Products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r>
      <w:tr>
        <w:trPr>
          <w:trHeight w:val="421"/>
        </w:trPr>
        <w:tc>
          <w:tcPr>
            <w:tcW w:w="45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39"/>
        </w:trPr>
        <w:tc>
          <w:tcPr>
            <w:tcW w:w="450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$1,078</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$2,236</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$1,372</w:t>
            </w: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6"/>
              </w:rPr>
              <w:t>290</w:t>
            </w:r>
          </w:p>
        </w:tc>
        <w:tc>
          <w:tcPr>
            <w:tcW w:w="260" w:type="dxa"/>
            <w:vAlign w:val="bottom"/>
          </w:tcPr>
          <w:p>
            <w:pPr>
              <w:spacing w:after="0"/>
              <w:rPr>
                <w:sz w:val="24"/>
                <w:szCs w:val="24"/>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(380)</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(396)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(932)</w:t>
            </w: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6"/>
              </w:rPr>
              <w:t>207</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199</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1,739</w:t>
            </w:r>
          </w:p>
        </w:tc>
      </w:tr>
      <w:tr>
        <w:trPr>
          <w:trHeight w:val="421"/>
        </w:trPr>
        <w:tc>
          <w:tcPr>
            <w:tcW w:w="450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(88)</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(55)</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(182)</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45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1,487</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w:t>
            </w:r>
          </w:p>
        </w:tc>
        <w:tc>
          <w:tcPr>
            <w:tcW w:w="16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1,857</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1,923</w:t>
            </w: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Thermal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6"/>
              </w:rPr>
              <w:t>727</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706</w:t>
            </w:r>
          </w:p>
        </w:tc>
        <w:tc>
          <w:tcPr>
            <w:tcW w:w="16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$1,641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896</w:t>
            </w: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6"/>
              </w:rPr>
              <w:t>196</w:t>
            </w:r>
          </w:p>
        </w:tc>
        <w:tc>
          <w:tcPr>
            <w:tcW w:w="260" w:type="dxa"/>
            <w:vAlign w:val="bottom"/>
          </w:tcPr>
          <w:p>
            <w:pPr>
              <w:spacing w:after="0"/>
              <w:rPr>
                <w:sz w:val="24"/>
                <w:szCs w:val="24"/>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(254)</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(346)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(585)</w:t>
            </w: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140</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134</w:t>
            </w:r>
          </w:p>
        </w:tc>
        <w:tc>
          <w:tcPr>
            <w:tcW w:w="2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1,138</w:t>
            </w:r>
          </w:p>
        </w:tc>
        <w:tc>
          <w:tcPr>
            <w:tcW w:w="60" w:type="dxa"/>
            <w:vAlign w:val="bottom"/>
          </w:tcPr>
          <w:p>
            <w:pPr>
              <w:spacing w:after="0"/>
              <w:rPr>
                <w:sz w:val="24"/>
                <w:szCs w:val="24"/>
                <w:color w:val="auto"/>
              </w:rPr>
            </w:pPr>
          </w:p>
        </w:tc>
      </w:tr>
      <w:tr>
        <w:trPr>
          <w:trHeight w:val="421"/>
        </w:trPr>
        <w:tc>
          <w:tcPr>
            <w:tcW w:w="450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(59)</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(37)</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(133)</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45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1,003</w:t>
            </w: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1,334</w:t>
            </w:r>
          </w:p>
        </w:tc>
        <w:tc>
          <w:tcPr>
            <w:tcW w:w="16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1,291</w:t>
            </w:r>
          </w:p>
        </w:tc>
      </w:tr>
      <w:tr>
        <w:trPr>
          <w:trHeight w:val="20"/>
        </w:trPr>
        <w:tc>
          <w:tcPr>
            <w:tcW w:w="45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780" w:top="158" w:right="399" w:bottom="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i w:val="1"/>
          <w:iCs w:val="1"/>
          <w:color w:val="auto"/>
        </w:rPr>
        <w:t>June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b w:val="1"/>
          <w:bCs w:val="1"/>
          <w:i w:val="1"/>
          <w:iCs w:val="1"/>
          <w:color w:val="auto"/>
        </w:rPr>
        <w:t>2013</w:t>
      </w:r>
      <w:r>
        <w:rPr>
          <w:sz w:val="20"/>
          <w:szCs w:val="20"/>
          <w:color w:val="auto"/>
        </w:rPr>
        <w:tab/>
      </w:r>
      <w:r>
        <w:rPr>
          <w:rFonts w:ascii="Arial" w:cs="Arial" w:eastAsia="Arial" w:hAnsi="Arial"/>
          <w:sz w:val="14"/>
          <w:szCs w:val="14"/>
          <w:b w:val="1"/>
          <w:bCs w:val="1"/>
          <w:i w:val="1"/>
          <w:i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-8890</wp:posOffset>
            </wp:positionV>
            <wp:extent cx="85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400" w:space="720"/>
            <w:col w:w="4600"/>
          </w:cols>
          <w:pgMar w:left="780" w:top="158" w:right="399" w:bottom="0" w:gutter="0" w:footer="0" w:header="0"/>
          <w:type w:val="continuous"/>
        </w:sectPr>
      </w:pPr>
    </w:p>
    <w:tbl>
      <w:tblPr>
        <w:tblLayout w:type="fixed"/>
        <w:tblInd w:w="20" w:type="dxa"/>
        <w:tblCellMar>
          <w:top w:w="0" w:type="dxa"/>
          <w:left w:w="0" w:type="dxa"/>
          <w:bottom w:w="0" w:type="dxa"/>
          <w:right w:w="0" w:type="dxa"/>
        </w:tblCellMar>
      </w:tblP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$22,800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$20,849</w:t>
            </w:r>
          </w:p>
        </w:tc>
      </w:tr>
      <w:tr>
        <w:trPr>
          <w:trHeight w:val="459"/>
        </w:trPr>
        <w:tc>
          <w:tcPr>
            <w:tcW w:w="612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7,237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7,737</w:t>
            </w:r>
          </w:p>
        </w:tc>
      </w:tr>
      <w:tr>
        <w:trPr>
          <w:trHeight w:val="421"/>
        </w:trPr>
        <w:tc>
          <w:tcPr>
            <w:tcW w:w="612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28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r>
      <w:tr>
        <w:trPr>
          <w:trHeight w:val="439"/>
        </w:trPr>
        <w:tc>
          <w:tcPr>
            <w:tcW w:w="612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34,178</w:t>
            </w:r>
          </w:p>
        </w:tc>
        <w:tc>
          <w:tcPr>
            <w:tcW w:w="24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32,399</w:t>
            </w:r>
          </w:p>
        </w:tc>
      </w:tr>
    </w:tbl>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0720"/>
          </w:cols>
          <w:pgMar w:left="780" w:top="158" w:right="39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8"/>
          </w:tcPr>
          <w:p>
            <w:pPr>
              <w:jc w:val="center"/>
              <w:ind w:right="48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200" w:type="dxa"/>
            <w:vAlign w:val="bottom"/>
            <w:gridSpan w:val="5"/>
          </w:tcPr>
          <w:p>
            <w:pPr>
              <w:jc w:val="center"/>
              <w:ind w:right="12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460" w:type="dxa"/>
            <w:vAlign w:val="bottom"/>
          </w:tcPr>
          <w:p>
            <w:pPr>
              <w:spacing w:after="0"/>
              <w:rPr>
                <w:sz w:val="13"/>
                <w:szCs w:val="13"/>
                <w:color w:val="auto"/>
              </w:rPr>
            </w:pPr>
          </w:p>
        </w:tc>
        <w:tc>
          <w:tcPr>
            <w:tcW w:w="7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94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3820" w:space="720"/>
            <w:col w:w="6180"/>
          </w:cols>
          <w:pgMar w:left="780" w:top="158" w:right="399" w:bottom="0" w:gutter="0" w:footer="0" w:header="0"/>
          <w:type w:val="continuous"/>
        </w:sectPr>
      </w:pP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3,504</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$ 3,733</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9"/>
              </w:rPr>
              <w:t>$ 6,718</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$ 7,929</w:t>
            </w:r>
          </w:p>
        </w:tc>
        <w:tc>
          <w:tcPr>
            <w:tcW w:w="0" w:type="dxa"/>
            <w:vAlign w:val="bottom"/>
          </w:tcPr>
          <w:p>
            <w:pPr>
              <w:spacing w:after="0"/>
              <w:rPr>
                <w:sz w:val="1"/>
                <w:szCs w:val="1"/>
                <w:color w:val="auto"/>
              </w:rPr>
            </w:pPr>
          </w:p>
        </w:tc>
      </w:tr>
      <w:tr>
        <w:trPr>
          <w:trHeight w:val="421"/>
        </w:trPr>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2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1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13,473</w:t>
            </w:r>
          </w:p>
        </w:tc>
        <w:tc>
          <w:tcPr>
            <w:tcW w:w="280" w:type="dxa"/>
            <w:vAlign w:val="bottom"/>
            <w:gridSpan w:val="3"/>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16,378</w:t>
            </w:r>
          </w:p>
        </w:tc>
        <w:tc>
          <w:tcPr>
            <w:tcW w:w="0" w:type="dxa"/>
            <w:vAlign w:val="bottom"/>
          </w:tcPr>
          <w:p>
            <w:pPr>
              <w:spacing w:after="0"/>
              <w:rPr>
                <w:sz w:val="1"/>
                <w:szCs w:val="1"/>
                <w:color w:val="auto"/>
              </w:rPr>
            </w:pPr>
          </w:p>
        </w:tc>
      </w:tr>
      <w:tr>
        <w:trPr>
          <w:trHeight w:val="439"/>
        </w:trPr>
        <w:tc>
          <w:tcPr>
            <w:tcW w:w="3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11,218</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13,576</w:t>
            </w: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20,191</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center"/>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200" w:type="dxa"/>
            <w:vAlign w:val="bottom"/>
          </w:tcPr>
          <w:p>
            <w:pPr>
              <w:spacing w:after="0"/>
              <w:rPr>
                <w:sz w:val="24"/>
                <w:szCs w:val="24"/>
                <w:color w:val="auto"/>
              </w:rPr>
            </w:pPr>
          </w:p>
        </w:tc>
        <w:tc>
          <w:tcPr>
            <w:tcW w:w="62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63"/>
        </w:trPr>
        <w:tc>
          <w:tcPr>
            <w:tcW w:w="3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jc w:val="right"/>
              <w:ind w:right="32"/>
              <w:spacing w:after="0" w:line="143" w:lineRule="exact"/>
              <w:rPr>
                <w:sz w:val="20"/>
                <w:szCs w:val="20"/>
                <w:color w:val="auto"/>
              </w:rPr>
            </w:pPr>
            <w:r>
              <w:rPr>
                <w:rFonts w:ascii="Arial" w:cs="Arial" w:eastAsia="Arial" w:hAnsi="Arial"/>
                <w:sz w:val="14"/>
                <w:szCs w:val="14"/>
                <w:b w:val="1"/>
                <w:bCs w:val="1"/>
                <w:i w:val="1"/>
                <w:iCs w:val="1"/>
                <w:color w:val="auto"/>
              </w:rPr>
              <w:t>2013</w:t>
            </w:r>
          </w:p>
        </w:tc>
        <w:tc>
          <w:tcPr>
            <w:tcW w:w="80" w:type="dxa"/>
            <w:vAlign w:val="bottom"/>
          </w:tcPr>
          <w:p>
            <w:pPr>
              <w:spacing w:after="0"/>
              <w:rPr>
                <w:sz w:val="14"/>
                <w:szCs w:val="14"/>
                <w:color w:val="auto"/>
              </w:rPr>
            </w:pPr>
          </w:p>
        </w:tc>
        <w:tc>
          <w:tcPr>
            <w:tcW w:w="200" w:type="dxa"/>
            <w:vAlign w:val="bottom"/>
            <w:vMerge w:val="restart"/>
          </w:tcPr>
          <w:p>
            <w:pPr>
              <w:spacing w:after="0"/>
              <w:rPr>
                <w:sz w:val="14"/>
                <w:szCs w:val="14"/>
                <w:color w:val="auto"/>
              </w:rPr>
            </w:pPr>
          </w:p>
        </w:tc>
        <w:tc>
          <w:tcPr>
            <w:tcW w:w="540" w:type="dxa"/>
            <w:vAlign w:val="bottom"/>
            <w:tcBorders>
              <w:bottom w:val="single" w:sz="8" w:color="auto"/>
            </w:tcBorders>
            <w:gridSpan w:val="4"/>
          </w:tcPr>
          <w:p>
            <w:pPr>
              <w:jc w:val="right"/>
              <w:ind w:right="52"/>
              <w:spacing w:after="0" w:line="143"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gridSpan w:val="3"/>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3"/>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  841</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899</w:t>
            </w:r>
          </w:p>
        </w:tc>
        <w:tc>
          <w:tcPr>
            <w:tcW w:w="0" w:type="dxa"/>
            <w:vAlign w:val="bottom"/>
          </w:tcPr>
          <w:p>
            <w:pPr>
              <w:spacing w:after="0"/>
              <w:rPr>
                <w:sz w:val="1"/>
                <w:szCs w:val="1"/>
                <w:color w:val="auto"/>
              </w:rPr>
            </w:pPr>
          </w:p>
        </w:tc>
      </w:tr>
      <w:tr>
        <w:trPr>
          <w:trHeight w:val="421"/>
        </w:trPr>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w:t>
            </w:r>
          </w:p>
        </w:tc>
        <w:tc>
          <w:tcPr>
            <w:tcW w:w="380" w:type="dxa"/>
            <w:vAlign w:val="bottom"/>
            <w:gridSpan w:val="4"/>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439"/>
        </w:trPr>
        <w:tc>
          <w:tcPr>
            <w:tcW w:w="3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1,137</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20"/>
          </w:cols>
          <w:pgMar w:left="780" w:top="158" w:right="39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- 17 -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2012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2012 Form 10-K. Material changes to such risk factors may be reported in subsequent Quarterly Reports on Form 10-Q in Part II, Item 1A. There have been no such changes from the risk factors set forth in our 2012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the semiconductor test industry, such as the automotive, consumer electronics, defense/aerospace, energy and telecommunications industries. We believe that these industries usually are less cyclical than the ATE industry.</w:t>
      </w:r>
    </w:p>
    <w:p>
      <w:pPr>
        <w:spacing w:after="0" w:line="174"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line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 These shifts in market practices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ectPr>
          <w:pgSz w:w="11900" w:h="16838" w:orient="portrait"/>
          <w:cols w:equalWidth="0" w:num="1">
            <w:col w:w="11400"/>
          </w:cols>
          <w:pgMar w:left="240" w:top="320" w:right="259" w:bottom="74"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Net Revenues and Orders</w:t>
      </w:r>
    </w:p>
    <w:p>
      <w:pPr>
        <w:sectPr>
          <w:pgSz w:w="11900" w:h="16838" w:orient="portrait"/>
          <w:cols w:equalWidth="0" w:num="1">
            <w:col w:w="11400"/>
          </w:cols>
          <w:pgMar w:left="240" w:top="320" w:right="259" w:bottom="74" w:gutter="0" w:footer="0" w:header="0"/>
          <w:type w:val="continuous"/>
        </w:sectPr>
      </w:pPr>
    </w:p>
    <w:bookmarkStart w:id="16" w:name="page17"/>
    <w:bookmarkEnd w:id="16"/>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i w:val="1"/>
                <w:iCs w:val="1"/>
                <w:color w:val="auto"/>
              </w:rPr>
              <w:t>(in 000's)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bottom w:val="single" w:sz="8" w:color="auto"/>
            </w:tcBorders>
            <w:gridSpan w:val="8"/>
          </w:tcPr>
          <w:p>
            <w:pPr>
              <w:ind w:left="140"/>
              <w:spacing w:after="0" w:line="155" w:lineRule="exact"/>
              <w:rPr>
                <w:sz w:val="20"/>
                <w:szCs w:val="20"/>
                <w:color w:val="auto"/>
              </w:rPr>
            </w:pPr>
            <w:r>
              <w:rPr>
                <w:rFonts w:ascii="Arial" w:cs="Arial" w:eastAsia="Arial" w:hAnsi="Arial"/>
                <w:sz w:val="14"/>
                <w:szCs w:val="14"/>
                <w:b w:val="1"/>
                <w:bCs w:val="1"/>
                <w:i w:val="1"/>
                <w:iCs w:val="1"/>
                <w:color w:val="auto"/>
                <w:w w:val="93"/>
              </w:rPr>
              <w:t>Three Months Ended</w:t>
            </w:r>
          </w:p>
        </w:tc>
        <w:tc>
          <w:tcPr>
            <w:tcW w:w="500" w:type="dxa"/>
            <w:vAlign w:val="bottom"/>
            <w:gridSpan w:val="3"/>
          </w:tcPr>
          <w:p>
            <w:pPr>
              <w:spacing w:after="0"/>
              <w:rPr>
                <w:sz w:val="13"/>
                <w:szCs w:val="13"/>
                <w:color w:val="auto"/>
              </w:rPr>
            </w:pPr>
          </w:p>
        </w:tc>
        <w:tc>
          <w:tcPr>
            <w:tcW w:w="102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i w:val="1"/>
                <w:iCs w:val="1"/>
                <w:color w:val="auto"/>
                <w:w w:val="84"/>
              </w:rPr>
              <w:t>Six Months Ended</w:t>
            </w:r>
          </w:p>
        </w:tc>
      </w:tr>
      <w:tr>
        <w:trPr>
          <w:trHeight w:val="156"/>
        </w:trPr>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ind w:left="120"/>
              <w:spacing w:after="0" w:line="155" w:lineRule="exact"/>
              <w:rPr>
                <w:sz w:val="20"/>
                <w:szCs w:val="20"/>
                <w:color w:val="auto"/>
              </w:rPr>
            </w:pPr>
            <w:r>
              <w:rPr>
                <w:rFonts w:ascii="Arial" w:cs="Arial" w:eastAsia="Arial" w:hAnsi="Arial"/>
                <w:sz w:val="14"/>
                <w:szCs w:val="14"/>
                <w:b w:val="1"/>
                <w:bCs w:val="1"/>
                <w:i w:val="1"/>
                <w:iCs w:val="1"/>
                <w:color w:val="auto"/>
              </w:rPr>
              <w:t>June 30,</w:t>
            </w:r>
          </w:p>
        </w:tc>
        <w:tc>
          <w:tcPr>
            <w:tcW w:w="320" w:type="dxa"/>
            <w:vAlign w:val="bottom"/>
            <w:gridSpan w:val="2"/>
          </w:tcPr>
          <w:p>
            <w:pPr>
              <w:spacing w:after="0"/>
              <w:rPr>
                <w:sz w:val="13"/>
                <w:szCs w:val="13"/>
                <w:color w:val="auto"/>
              </w:rPr>
            </w:pPr>
          </w:p>
        </w:tc>
        <w:tc>
          <w:tcPr>
            <w:tcW w:w="58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i w:val="1"/>
                <w:iCs w:val="1"/>
                <w:color w:val="auto"/>
                <w:w w:val="86"/>
              </w:rPr>
              <w:t>March 31,</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5"/>
              </w:rPr>
              <w:t>June 30,</w:t>
            </w:r>
          </w:p>
        </w:tc>
        <w:tc>
          <w:tcPr>
            <w:tcW w:w="100" w:type="dxa"/>
            <w:vAlign w:val="bottom"/>
            <w:gridSpan w:val="2"/>
          </w:tcPr>
          <w:p>
            <w:pPr>
              <w:spacing w:after="0"/>
              <w:rPr>
                <w:sz w:val="13"/>
                <w:szCs w:val="13"/>
                <w:color w:val="auto"/>
              </w:rPr>
            </w:pPr>
          </w:p>
        </w:tc>
      </w:tr>
      <w:tr>
        <w:trPr>
          <w:trHeight w:val="156"/>
        </w:trPr>
        <w:tc>
          <w:tcPr>
            <w:tcW w:w="2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20" w:type="dxa"/>
            <w:vAlign w:val="bottom"/>
          </w:tcPr>
          <w:p>
            <w:pPr>
              <w:spacing w:after="0"/>
              <w:rPr>
                <w:sz w:val="13"/>
                <w:szCs w:val="13"/>
                <w:color w:val="auto"/>
              </w:rPr>
            </w:pPr>
          </w:p>
        </w:tc>
      </w:tr>
    </w:tbl>
    <w:p>
      <w:pPr>
        <w:spacing w:after="0" w:line="215" w:lineRule="exact"/>
        <w:rPr>
          <w:sz w:val="20"/>
          <w:szCs w:val="20"/>
          <w:color w:val="auto"/>
        </w:rPr>
      </w:pPr>
    </w:p>
    <w:p>
      <w:pPr>
        <w:sectPr>
          <w:pgSz w:w="11900" w:h="16838" w:orient="portrait"/>
          <w:cols w:equalWidth="0" w:num="2">
            <w:col w:w="4620" w:space="720"/>
            <w:col w:w="6060"/>
          </w:cols>
          <w:pgMar w:left="240" w:top="131" w:right="25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$ 5,772</w:t>
            </w:r>
          </w:p>
        </w:tc>
        <w:tc>
          <w:tcPr>
            <w:tcW w:w="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6"/>
              </w:rPr>
              <w:t>$ 6,503</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$5,898</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2"/>
              </w:rPr>
              <w:t>$11,670</w:t>
            </w:r>
          </w:p>
        </w:tc>
        <w:tc>
          <w:tcPr>
            <w:tcW w:w="10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2"/>
              </w:rPr>
              <w:t>$12,614</w:t>
            </w:r>
          </w:p>
        </w:tc>
        <w:tc>
          <w:tcPr>
            <w:tcW w:w="60" w:type="dxa"/>
            <w:vAlign w:val="bottom"/>
          </w:tcPr>
          <w:p>
            <w:pPr>
              <w:spacing w:after="0"/>
              <w:rPr>
                <w:sz w:val="19"/>
                <w:szCs w:val="19"/>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3,812</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3,086</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1,796</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5,600</w:t>
            </w:r>
          </w:p>
        </w:tc>
        <w:tc>
          <w:tcPr>
            <w:tcW w:w="6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Electrical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3,987</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1,282</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6,103</w:t>
            </w:r>
          </w:p>
        </w:tc>
        <w:tc>
          <w:tcPr>
            <w:tcW w:w="60" w:type="dxa"/>
            <w:vAlign w:val="bottom"/>
          </w:tcPr>
          <w:p>
            <w:pPr>
              <w:spacing w:after="0"/>
              <w:rPr>
                <w:sz w:val="24"/>
                <w:szCs w:val="24"/>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4"/>
                <w:szCs w:val="24"/>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(17)</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8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11,218</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13,576</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8,973</w:t>
            </w: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20,191</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24,307</w:t>
            </w:r>
          </w:p>
        </w:tc>
        <w:tc>
          <w:tcPr>
            <w:tcW w:w="60" w:type="dxa"/>
            <w:vAlign w:val="bottom"/>
          </w:tcPr>
          <w:p>
            <w:pPr>
              <w:spacing w:after="0"/>
              <w:rPr>
                <w:sz w:val="24"/>
                <w:szCs w:val="24"/>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 -</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Electrical Products</w:t>
            </w:r>
          </w:p>
        </w:tc>
        <w:tc>
          <w:tcPr>
            <w:tcW w:w="620" w:type="dxa"/>
            <w:vAlign w:val="bottom"/>
            <w:gridSpan w:val="3"/>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$ 3</w:t>
            </w: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60" w:type="dxa"/>
            <w:vAlign w:val="bottom"/>
          </w:tcPr>
          <w:p>
            <w:pPr>
              <w:spacing w:after="0"/>
              <w:rPr>
                <w:sz w:val="24"/>
                <w:szCs w:val="24"/>
                <w:color w:val="auto"/>
              </w:rPr>
            </w:pPr>
          </w:p>
        </w:tc>
      </w:tr>
      <w:tr>
        <w:trPr>
          <w:trHeight w:val="255"/>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w w:val="91"/>
              </w:rPr>
              <w:t>Net revenues from unaffiliated customers (net of</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$ 5,772</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6"/>
              </w:rPr>
              <w:t>$ 6,503</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$5,898</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2"/>
              </w:rPr>
              <w:t>$11,670</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2"/>
              </w:rPr>
              <w:t>$12,614</w:t>
            </w:r>
          </w:p>
        </w:tc>
        <w:tc>
          <w:tcPr>
            <w:tcW w:w="6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3,798</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3,086</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1,793</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24"/>
                <w:szCs w:val="24"/>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Electrical Products</w:t>
            </w:r>
          </w:p>
        </w:tc>
        <w:tc>
          <w:tcPr>
            <w:tcW w:w="3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3,987</w:t>
            </w:r>
          </w:p>
        </w:tc>
        <w:tc>
          <w:tcPr>
            <w:tcW w:w="24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1,282</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6,103</w:t>
            </w:r>
          </w:p>
        </w:tc>
        <w:tc>
          <w:tcPr>
            <w:tcW w:w="6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11,218</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13,576</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8,973</w:t>
            </w: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20,191</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24,307</w:t>
            </w:r>
          </w:p>
        </w:tc>
        <w:tc>
          <w:tcPr>
            <w:tcW w:w="60" w:type="dxa"/>
            <w:vAlign w:val="bottom"/>
          </w:tcPr>
          <w:p>
            <w:pPr>
              <w:spacing w:after="0"/>
              <w:rPr>
                <w:sz w:val="24"/>
                <w:szCs w:val="24"/>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U.S.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$ 3,504</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6"/>
              </w:rPr>
              <w:t>$ 3,733</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$3,214</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9"/>
              </w:rPr>
              <w:t>$ 6,718</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9"/>
              </w:rPr>
              <w:t>$ 7,929</w:t>
            </w:r>
          </w:p>
        </w:tc>
        <w:tc>
          <w:tcPr>
            <w:tcW w:w="60" w:type="dxa"/>
            <w:vAlign w:val="bottom"/>
          </w:tcPr>
          <w:p>
            <w:pPr>
              <w:spacing w:after="0"/>
              <w:rPr>
                <w:sz w:val="24"/>
                <w:szCs w:val="24"/>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7,714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9,843</w:t>
            </w:r>
          </w:p>
        </w:tc>
        <w:tc>
          <w:tcPr>
            <w:tcW w:w="24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5,759</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13,473</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16,378</w:t>
            </w:r>
          </w:p>
        </w:tc>
        <w:tc>
          <w:tcPr>
            <w:tcW w:w="6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11,218</w:t>
            </w: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13,576</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8,973</w:t>
            </w: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20,191</w:t>
            </w:r>
          </w:p>
        </w:tc>
        <w:tc>
          <w:tcPr>
            <w:tcW w:w="10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24,307</w:t>
            </w:r>
          </w:p>
        </w:tc>
        <w:tc>
          <w:tcPr>
            <w:tcW w:w="60" w:type="dxa"/>
            <w:vAlign w:val="bottom"/>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Our consolidated net revenues for the quarter ended June 30, 2013 decreased $2.4 million or 17% as compared to the same period in 2012. For the quarter ended June 30, 2013, net revenues (net of intersegment sales) of our Thermal and Electrical Products segments decreased $731,000 or 11% and $2.3 million or 59%, respectively, as compared to the same period in 2012, while the net revenues (net of intersegment sales) of our Mechanical Products segment increased $712,000 or 23% as compared to the same period in 2012. Our consolidated net revenues for the quarter ended June 30, 2013 increased $2.2 million or 25% as compared to the quarter ended March 31, 2013. Net revenues (net of intersegment sales) of our Mechanical and Electrical Products segments increased $2.0 million or 112% and $366,000 or 29%, respectively, for the second quarter of 2013 as compared to the first quarter of 2013, while the net revenues (net of intersegment sales) of our Thermal Products segment decreased $126,000 or 2% during this time period. Net revenues from customers in various industries outside of the ATE industry and those net revenues as a percentage of our total consolidated net revenues were $2.5 million or 22%, respectively, for the quarter ended June 30, 2013, compared to $1.9 million or 22%, respectively, for the quarter ended March 31, 2013, and $2.2 million or 17%, respectively, for the quarter ended June 30, 2012.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believe the decline in the level of net revenues of our Thermal Products segment in the second quarter of 2013 as compared to the same period in 2012 as well as to the first quarter of 2013 primarily reflects reduced levels of demand within the ATE industry. This segment has historically lagged our other two product segments in regard to experiencing the impact of both increases and decreases in the levels of demand within the ATE industry. This trend has continued in the most recent downturn in the ATE industry. While our Mechanical and Electrical Products segments began to be affected by a decline in demand within the ATE industry in the second quarter of 2011, our Thermal Products segment did not begin to experience a significant impact from this decline in demand until the fourth quarter of 2011. Moreover, our Thermal Products segment has not yet begun to experience an increase in demand within the ATE industry although both our Mechanical and Electrical Products segments have experienced increased levels of demand in the most recent quarter.</w:t>
      </w:r>
    </w:p>
    <w:p>
      <w:pPr>
        <w:spacing w:after="0" w:line="172"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We believe the increased level of net revenues experienced by both our Mechanical and Electrical Products segments during the second quarter of 2013 as compared to the first quarter of 2013 reflects increased demand within the ATE industry. Our Mechanical Products segment also recorded an increase in net revenues in the second quarter of 2013 as compared to the same period in 2012, reflecting the impact of this increased level of demand. However, for our Electrical Products segment, net revenues for the second quarter of 2013 decreased as compared to the same period in 2012. We attribute this decrease</w:t>
      </w:r>
    </w:p>
    <w:p>
      <w:pPr>
        <w:sectPr>
          <w:pgSz w:w="11900" w:h="16838" w:orient="portrait"/>
          <w:cols w:equalWidth="0" w:num="1">
            <w:col w:w="11400"/>
          </w:cols>
          <w:pgMar w:left="240" w:top="131" w:right="259" w:bottom="0" w:gutter="0" w:footer="0" w:header="0"/>
          <w:type w:val="continuous"/>
        </w:sectPr>
      </w:pPr>
    </w:p>
    <w:bookmarkStart w:id="17" w:name="page18"/>
    <w:bookmarkEnd w:id="17"/>
    <w:p>
      <w:pPr>
        <w:ind w:left="540" w:right="340"/>
        <w:spacing w:after="0" w:line="268" w:lineRule="auto"/>
        <w:rPr>
          <w:sz w:val="20"/>
          <w:szCs w:val="20"/>
          <w:color w:val="auto"/>
        </w:rPr>
      </w:pPr>
      <w:r>
        <w:rPr>
          <w:rFonts w:ascii="Arial" w:cs="Arial" w:eastAsia="Arial" w:hAnsi="Arial"/>
          <w:sz w:val="18"/>
          <w:szCs w:val="18"/>
          <w:color w:val="auto"/>
        </w:rPr>
        <w:t>to the fact that during the second quarter of 2012, our Electrical Products segment experienced an unusually high level of demand from one particular OEM customer which offset the decline in demand within the ATE industry during that quarter.</w:t>
      </w:r>
    </w:p>
    <w:p>
      <w:pPr>
        <w:spacing w:after="0" w:line="186" w:lineRule="exact"/>
        <w:rPr>
          <w:sz w:val="20"/>
          <w:szCs w:val="20"/>
          <w:color w:val="auto"/>
        </w:rPr>
      </w:pPr>
    </w:p>
    <w:p>
      <w:pPr>
        <w:ind w:left="540"/>
        <w:spacing w:after="0" w:line="312" w:lineRule="auto"/>
        <w:rPr>
          <w:sz w:val="20"/>
          <w:szCs w:val="20"/>
          <w:color w:val="auto"/>
        </w:rPr>
      </w:pPr>
      <w:r>
        <w:rPr>
          <w:rFonts w:ascii="Arial" w:cs="Arial" w:eastAsia="Arial" w:hAnsi="Arial"/>
          <w:sz w:val="15"/>
          <w:szCs w:val="15"/>
          <w:color w:val="auto"/>
        </w:rPr>
        <w:t>Total orders for the quarter ended June 30, 2013 were $11.0 million compared to $7.7 million for the quarter ended March 31, 2013 and $11.8 million for the quarter ended June 30, 2012. For the quarter ended June 30, 2013, orders for our Thermal, Mechanical and Electrical Products segments were $5.4 million, $3.7 million and $1.9 million, respectively, compared to $4.7 million, $2.2 million and $759,000 for the quarter ended March 31, 2013, respectively, and $6.4 million, $2.3 million and $3.1 million for the quarter ended June 30, 2012, respectively. Orders from customers in various industries outside of the ATE industry and those orders as a percentage of our total consolidated orders were $2.2 million or 20%, respectively, for the quarter ended June 30, 2013, compared to $1.4 million or 18%, respectively, for the quarter ended March 31, 2013, and $1.4 million or 12%, respectively, for the quarter ended June 30, 2012.We cannot be certain what the level of our orders or net revenues will be in any future period for any of our product segments.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At June 30, 2013, our backlog of unfilled orders for all products was approximately $2.7 million compared with approximately $2.9 million at March 31, 2013 and $5.2 million at June 30, 2012. Our backlog includes customer orders which we have accepted, substantially all of which we expect to deliver in 2013.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and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energy and telecommunications industries. The mix of customers during any given period will affect our gross margin due to differing sales discounts and commissions. For the six months ended June 30, 2013 and 2012, our OEM sales as a percentage of net revenues were 10% and 16%,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i w:val="1"/>
                <w:iCs w:val="1"/>
                <w:color w:val="auto"/>
              </w:rPr>
              <w:t>Percentage of Net Revenues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20" w:type="dxa"/>
            <w:vAlign w:val="bottom"/>
          </w:tcPr>
          <w:p>
            <w:pPr>
              <w:spacing w:after="0"/>
              <w:rPr>
                <w:sz w:val="13"/>
                <w:szCs w:val="13"/>
                <w:color w:val="auto"/>
              </w:rPr>
            </w:pPr>
          </w:p>
        </w:tc>
        <w:tc>
          <w:tcPr>
            <w:tcW w:w="1660" w:type="dxa"/>
            <w:vAlign w:val="bottom"/>
            <w:gridSpan w:val="10"/>
          </w:tcPr>
          <w:p>
            <w:pPr>
              <w:spacing w:after="0" w:line="155" w:lineRule="exact"/>
              <w:rPr>
                <w:sz w:val="20"/>
                <w:szCs w:val="20"/>
                <w:color w:val="auto"/>
              </w:rPr>
            </w:pPr>
            <w:r>
              <w:rPr>
                <w:rFonts w:ascii="Arial" w:cs="Arial" w:eastAsia="Arial" w:hAnsi="Arial"/>
                <w:sz w:val="14"/>
                <w:szCs w:val="14"/>
                <w:b w:val="1"/>
                <w:bCs w:val="1"/>
                <w:i w:val="1"/>
                <w:iCs w:val="1"/>
                <w:color w:val="auto"/>
                <w:w w:val="99"/>
              </w:rPr>
              <w:t>Quarters Ended June 30,</w:t>
            </w:r>
          </w:p>
        </w:tc>
        <w:tc>
          <w:tcPr>
            <w:tcW w:w="1760" w:type="dxa"/>
            <w:vAlign w:val="bottom"/>
            <w:gridSpan w:val="12"/>
          </w:tcPr>
          <w:p>
            <w:pPr>
              <w:ind w:left="100"/>
              <w:spacing w:after="0" w:line="155" w:lineRule="exact"/>
              <w:rPr>
                <w:sz w:val="20"/>
                <w:szCs w:val="20"/>
                <w:color w:val="auto"/>
              </w:rPr>
            </w:pPr>
            <w:r>
              <w:rPr>
                <w:rFonts w:ascii="Arial" w:cs="Arial" w:eastAsia="Arial" w:hAnsi="Arial"/>
                <w:sz w:val="14"/>
                <w:szCs w:val="14"/>
                <w:b w:val="1"/>
                <w:bCs w:val="1"/>
                <w:i w:val="1"/>
                <w:iCs w:val="1"/>
                <w:color w:val="auto"/>
                <w:w w:val="90"/>
              </w:rPr>
              <w:t>Six Months Ended June 30,</w:t>
            </w:r>
          </w:p>
        </w:tc>
      </w:tr>
      <w:tr>
        <w:trPr>
          <w:trHeight w:val="156"/>
        </w:trPr>
        <w:tc>
          <w:tcPr>
            <w:tcW w:w="3620" w:type="dxa"/>
            <w:vAlign w:val="bottom"/>
          </w:tcPr>
          <w:p>
            <w:pPr>
              <w:spacing w:after="0"/>
              <w:rPr>
                <w:sz w:val="13"/>
                <w:szCs w:val="13"/>
                <w:color w:val="auto"/>
              </w:rPr>
            </w:pPr>
          </w:p>
        </w:tc>
        <w:tc>
          <w:tcPr>
            <w:tcW w:w="3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i w:val="1"/>
                <w:iCs w:val="1"/>
                <w:color w:val="auto"/>
                <w:w w:val="76"/>
              </w:rPr>
              <w:t>2013</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4"/>
          </w:tcPr>
          <w:p>
            <w:pPr>
              <w:ind w:left="26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gridSpan w:val="4"/>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4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5"/>
        </w:trPr>
        <w:tc>
          <w:tcPr>
            <w:tcW w:w="3620" w:type="dxa"/>
            <w:vAlign w:val="bottom"/>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5"/>
          </w:tcPr>
          <w:p>
            <w:pPr>
              <w:ind w:left="100"/>
              <w:spacing w:after="0"/>
              <w:rPr>
                <w:sz w:val="20"/>
                <w:szCs w:val="20"/>
                <w:color w:val="auto"/>
              </w:rPr>
            </w:pPr>
            <w:r>
              <w:rPr>
                <w:rFonts w:ascii="Arial" w:cs="Arial" w:eastAsia="Arial" w:hAnsi="Arial"/>
                <w:sz w:val="18"/>
                <w:szCs w:val="18"/>
                <w:color w:val="auto"/>
              </w:rPr>
              <w:t>100.0%</w:t>
            </w:r>
          </w:p>
        </w:tc>
        <w:tc>
          <w:tcPr>
            <w:tcW w:w="900" w:type="dxa"/>
            <w:vAlign w:val="bottom"/>
            <w:gridSpan w:val="5"/>
          </w:tcPr>
          <w:p>
            <w:pPr>
              <w:ind w:left="240"/>
              <w:spacing w:after="0"/>
              <w:rPr>
                <w:sz w:val="20"/>
                <w:szCs w:val="20"/>
                <w:color w:val="auto"/>
              </w:rPr>
            </w:pPr>
            <w:r>
              <w:rPr>
                <w:rFonts w:ascii="Arial" w:cs="Arial" w:eastAsia="Arial" w:hAnsi="Arial"/>
                <w:sz w:val="18"/>
                <w:szCs w:val="18"/>
                <w:color w:val="auto"/>
              </w:rPr>
              <w:t>100.0%</w:t>
            </w:r>
          </w:p>
        </w:tc>
        <w:tc>
          <w:tcPr>
            <w:tcW w:w="1220" w:type="dxa"/>
            <w:vAlign w:val="bottom"/>
            <w:gridSpan w:val="6"/>
          </w:tcPr>
          <w:p>
            <w:pPr>
              <w:jc w:val="right"/>
              <w:ind w:right="360"/>
              <w:spacing w:after="0"/>
              <w:rPr>
                <w:sz w:val="20"/>
                <w:szCs w:val="20"/>
                <w:color w:val="auto"/>
              </w:rPr>
            </w:pPr>
            <w:r>
              <w:rPr>
                <w:rFonts w:ascii="Arial" w:cs="Arial" w:eastAsia="Arial" w:hAnsi="Arial"/>
                <w:sz w:val="18"/>
                <w:szCs w:val="18"/>
                <w:color w:val="auto"/>
              </w:rPr>
              <w:t>100.0%</w:t>
            </w:r>
          </w:p>
        </w:tc>
        <w:tc>
          <w:tcPr>
            <w:tcW w:w="540" w:type="dxa"/>
            <w:vAlign w:val="bottom"/>
            <w:gridSpan w:val="6"/>
          </w:tcPr>
          <w:p>
            <w:pPr>
              <w:spacing w:after="0"/>
              <w:rPr>
                <w:sz w:val="20"/>
                <w:szCs w:val="20"/>
                <w:color w:val="auto"/>
              </w:rPr>
            </w:pPr>
            <w:r>
              <w:rPr>
                <w:rFonts w:ascii="Arial" w:cs="Arial" w:eastAsia="Arial" w:hAnsi="Arial"/>
                <w:sz w:val="18"/>
                <w:szCs w:val="18"/>
                <w:color w:val="auto"/>
                <w:w w:val="85"/>
              </w:rPr>
              <w:t>100.0%</w:t>
            </w:r>
          </w:p>
        </w:tc>
      </w:tr>
      <w:tr>
        <w:trPr>
          <w:trHeight w:val="421"/>
        </w:trPr>
        <w:tc>
          <w:tcPr>
            <w:tcW w:w="36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51.</w:t>
            </w:r>
            <w:r>
              <w:rPr>
                <w:rFonts w:ascii="Arial" w:cs="Arial" w:eastAsia="Arial" w:hAnsi="Arial"/>
                <w:sz w:val="18"/>
                <w:szCs w:val="18"/>
                <w:u w:val="single" w:color="auto"/>
                <w:color w:val="auto"/>
                <w:w w:val="85"/>
              </w:rPr>
              <w:t>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6</w:t>
            </w:r>
          </w:p>
        </w:tc>
        <w:tc>
          <w:tcPr>
            <w:tcW w:w="480" w:type="dxa"/>
            <w:vAlign w:val="bottom"/>
          </w:tcPr>
          <w:p>
            <w:pPr>
              <w:spacing w:after="0"/>
              <w:rPr>
                <w:sz w:val="24"/>
                <w:szCs w:val="24"/>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48.</w:t>
            </w:r>
            <w:r>
              <w:rPr>
                <w:rFonts w:ascii="Arial" w:cs="Arial" w:eastAsia="Arial" w:hAnsi="Arial"/>
                <w:sz w:val="18"/>
                <w:szCs w:val="18"/>
                <w:u w:val="single" w:color="auto"/>
                <w:color w:val="auto"/>
                <w:w w:val="85"/>
              </w:rPr>
              <w:t>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4</w:t>
            </w:r>
          </w:p>
        </w:tc>
        <w:tc>
          <w:tcPr>
            <w:tcW w:w="480" w:type="dxa"/>
            <w:vAlign w:val="bottom"/>
          </w:tcPr>
          <w:p>
            <w:pPr>
              <w:spacing w:after="0"/>
              <w:rPr>
                <w:sz w:val="24"/>
                <w:szCs w:val="24"/>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3620" w:type="dxa"/>
            <w:vAlign w:val="bottom"/>
          </w:tcPr>
          <w:p>
            <w:pPr>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13.6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24"/>
                <w:szCs w:val="24"/>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w w:val="95"/>
              </w:rPr>
              <w:t>Engineering and product development expense</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1220" w:type="dxa"/>
            <w:vAlign w:val="bottom"/>
            <w:gridSpan w:val="6"/>
          </w:tcPr>
          <w:p>
            <w:pPr>
              <w:jc w:val="right"/>
              <w:ind w:right="480"/>
              <w:spacing w:after="0"/>
              <w:rPr>
                <w:sz w:val="20"/>
                <w:szCs w:val="20"/>
                <w:color w:val="auto"/>
              </w:rPr>
            </w:pPr>
            <w:r>
              <w:rPr>
                <w:rFonts w:ascii="Arial" w:cs="Arial" w:eastAsia="Arial" w:hAnsi="Arial"/>
                <w:sz w:val="18"/>
                <w:szCs w:val="18"/>
                <w:color w:val="auto"/>
              </w:rPr>
              <w:t>9.5</w:t>
            </w: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4"/>
                <w:szCs w:val="24"/>
                <w:color w:val="auto"/>
              </w:rPr>
            </w:pPr>
          </w:p>
        </w:tc>
        <w:tc>
          <w:tcPr>
            <w:tcW w:w="1220" w:type="dxa"/>
            <w:vAlign w:val="bottom"/>
            <w:gridSpan w:val="6"/>
          </w:tcPr>
          <w:p>
            <w:pPr>
              <w:jc w:val="right"/>
              <w:ind w:right="480"/>
              <w:spacing w:after="0"/>
              <w:rPr>
                <w:sz w:val="20"/>
                <w:szCs w:val="20"/>
                <w:color w:val="auto"/>
              </w:rPr>
            </w:pPr>
            <w:r>
              <w:rPr>
                <w:rFonts w:ascii="Arial" w:cs="Arial" w:eastAsia="Arial" w:hAnsi="Arial"/>
                <w:sz w:val="18"/>
                <w:szCs w:val="18"/>
                <w:color w:val="auto"/>
              </w:rPr>
              <w:t>15.2</w:t>
            </w: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r>
      <w:tr>
        <w:trPr>
          <w:trHeight w:val="421"/>
        </w:trPr>
        <w:tc>
          <w:tcPr>
            <w:tcW w:w="36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4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w:t>
            </w:r>
          </w:p>
        </w:tc>
        <w:tc>
          <w:tcPr>
            <w:tcW w:w="1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131" w:right="259" w:bottom="0" w:gutter="0" w:footer="0" w:header="0"/>
        </w:sectPr>
      </w:pPr>
    </w:p>
    <w:bookmarkStart w:id="18" w:name="page19"/>
    <w:bookmarkEnd w:id="18"/>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13.3</w:t>
            </w:r>
          </w:p>
        </w:tc>
        <w:tc>
          <w:tcPr>
            <w:tcW w:w="6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70"/>
              </w:rPr>
              <w:t>14.7</w:t>
            </w:r>
          </w:p>
        </w:tc>
        <w:tc>
          <w:tcPr>
            <w:tcW w:w="680" w:type="dxa"/>
            <w:vAlign w:val="bottom"/>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9.2</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7.9</w:t>
            </w:r>
          </w:p>
        </w:tc>
      </w:tr>
      <w:tr>
        <w:trPr>
          <w:trHeight w:val="421"/>
        </w:trPr>
        <w:tc>
          <w:tcPr>
            <w:tcW w:w="38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0.0</w:t>
            </w:r>
          </w:p>
        </w:tc>
        <w:tc>
          <w:tcPr>
            <w:tcW w:w="68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6"/>
                <w:szCs w:val="16"/>
                <w:color w:val="auto"/>
                <w:w w:val="71"/>
              </w:rPr>
              <w:t>0.</w:t>
            </w:r>
            <w:r>
              <w:rPr>
                <w:rFonts w:ascii="Arial" w:cs="Arial" w:eastAsia="Arial" w:hAnsi="Arial"/>
                <w:sz w:val="16"/>
                <w:szCs w:val="16"/>
                <w:u w:val="single" w:color="auto"/>
                <w:color w:val="auto"/>
                <w:w w:val="71"/>
              </w:rPr>
              <w:t>0</w:t>
            </w:r>
          </w:p>
        </w:tc>
        <w:tc>
          <w:tcPr>
            <w:tcW w:w="66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r>
      <w:tr>
        <w:trPr>
          <w:trHeight w:val="20"/>
        </w:trPr>
        <w:tc>
          <w:tcPr>
            <w:tcW w:w="3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78"/>
        </w:trPr>
        <w:tc>
          <w:tcPr>
            <w:tcW w:w="382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13.3</w:t>
            </w: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70"/>
              </w:rPr>
              <w:t>14.7</w:t>
            </w:r>
          </w:p>
        </w:tc>
        <w:tc>
          <w:tcPr>
            <w:tcW w:w="68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6"/>
                <w:szCs w:val="16"/>
                <w:color w:val="auto"/>
                <w:w w:val="71"/>
              </w:rPr>
              <w:t>9.2</w:t>
            </w:r>
          </w:p>
        </w:tc>
        <w:tc>
          <w:tcPr>
            <w:tcW w:w="66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7.9</w:t>
            </w:r>
          </w:p>
        </w:tc>
      </w:tr>
      <w:tr>
        <w:trPr>
          <w:trHeight w:val="421"/>
        </w:trPr>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4</w:t>
            </w: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4.9</w:t>
            </w:r>
          </w:p>
        </w:tc>
        <w:tc>
          <w:tcPr>
            <w:tcW w:w="68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6"/>
                <w:szCs w:val="16"/>
                <w:color w:val="auto"/>
                <w:w w:val="71"/>
              </w:rPr>
              <w:t>2.</w:t>
            </w:r>
            <w:r>
              <w:rPr>
                <w:rFonts w:ascii="Arial" w:cs="Arial" w:eastAsia="Arial" w:hAnsi="Arial"/>
                <w:sz w:val="16"/>
                <w:szCs w:val="16"/>
                <w:u w:val="single" w:color="auto"/>
                <w:color w:val="auto"/>
                <w:w w:val="71"/>
              </w:rPr>
              <w:t>8</w:t>
            </w:r>
          </w:p>
        </w:tc>
        <w:tc>
          <w:tcPr>
            <w:tcW w:w="66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r>
      <w:tr>
        <w:trPr>
          <w:trHeight w:val="20"/>
        </w:trPr>
        <w:tc>
          <w:tcPr>
            <w:tcW w:w="3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39"/>
        </w:trPr>
        <w:tc>
          <w:tcPr>
            <w:tcW w:w="3820" w:type="dxa"/>
            <w:vAlign w:val="bottom"/>
          </w:tcPr>
          <w:p>
            <w:pPr>
              <w:spacing w:after="0"/>
              <w:rPr>
                <w:sz w:val="20"/>
                <w:szCs w:val="20"/>
                <w:color w:val="auto"/>
              </w:rPr>
            </w:pPr>
            <w:r>
              <w:rPr>
                <w:rFonts w:ascii="Arial" w:cs="Arial" w:eastAsia="Arial" w:hAnsi="Arial"/>
                <w:sz w:val="18"/>
                <w:szCs w:val="18"/>
                <w:color w:val="auto"/>
              </w:rPr>
              <w:t>Net earnings</w:t>
            </w:r>
          </w:p>
        </w:tc>
        <w:tc>
          <w:tcPr>
            <w:tcW w:w="8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82"/>
              </w:rPr>
              <w:t>8.9%</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9.8%</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6.4%</w:t>
            </w:r>
          </w:p>
        </w:tc>
        <w:tc>
          <w:tcPr>
            <w:tcW w:w="380" w:type="dxa"/>
            <w:vAlign w:val="bottom"/>
            <w:gridSpan w:val="2"/>
          </w:tcPr>
          <w:p>
            <w:pPr>
              <w:spacing w:after="0"/>
              <w:rPr>
                <w:sz w:val="20"/>
                <w:szCs w:val="20"/>
                <w:color w:val="auto"/>
              </w:rPr>
            </w:pPr>
            <w:r>
              <w:rPr>
                <w:rFonts w:ascii="Arial" w:cs="Arial" w:eastAsia="Arial" w:hAnsi="Arial"/>
                <w:sz w:val="18"/>
                <w:szCs w:val="18"/>
                <w:color w:val="auto"/>
                <w:w w:val="87"/>
              </w:rPr>
              <w:t>5.3%</w:t>
            </w: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2013 Compared to Quarter Ended June 30, 2012</w:t>
      </w:r>
    </w:p>
    <w:p>
      <w:pPr>
        <w:spacing w:after="0" w:line="225"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$11.2 million for the quarter ended June 30, 2013 compared to $13.6 million for the same period in 2012,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$2.4 million or 17%. We believe the decrease in our net revenues during the second quarter of 2013 primarily reflects the factors previously discussed in the Overview.</w:t>
      </w:r>
    </w:p>
    <w:p>
      <w:pPr>
        <w:spacing w:after="0" w:line="194"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During the quarter ended June 30, 2013, our net revenues from customers in the U.S. decreased 6% and our net revenues from foreign customers decreased 22%, respectively, as compared to the same period in 2012. The impact of changes in foreign currency exchange rates on the decrease in net revenues from foreign customers was less than 1%.</w:t>
      </w:r>
    </w:p>
    <w:p>
      <w:pPr>
        <w:spacing w:after="0" w:line="194"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49% for the quarter ended June 30, 2013 compared to 46% for the same period in 2012. The improvement in the gross</w:t>
      </w:r>
      <w:r>
        <w:rPr>
          <w:rFonts w:ascii="Arial" w:cs="Arial" w:eastAsia="Arial" w:hAnsi="Arial"/>
          <w:sz w:val="15"/>
          <w:szCs w:val="15"/>
          <w:i w:val="1"/>
          <w:iCs w:val="1"/>
          <w:color w:val="auto"/>
        </w:rPr>
        <w:t xml:space="preserve"> </w:t>
      </w:r>
      <w:r>
        <w:rPr>
          <w:rFonts w:ascii="Arial" w:cs="Arial" w:eastAsia="Arial" w:hAnsi="Arial"/>
          <w:sz w:val="15"/>
          <w:szCs w:val="15"/>
          <w:color w:val="auto"/>
        </w:rPr>
        <w:t>margin was primarily the result of a reduction in our component material costs as a percentage of net revenues, which decreased from 38% of net revenues in the second quarter of 2012 to 36% of net revenues in the second quarter of 2013. We attribute the decrease to changes in customer and product mix. In addition, the improvement in gross margin reflects a lower level of charges for obsolete and excess inventory in the second quarter of 2013 as compared to the same period in 2012. The reduction in these charges primarily reflects fewer items falling into our standard objective criteria. Finally, although our fixed operating costs were relatively unchanged as a percentage of net revenues, in absolute dollar terms these costs declined $345,000 in the second quarter of 2013 as compared to the same period in 2012. This decrease primarily reflects reduced staff in the manufacturing operations of our Thermal Products segment. During the second quarter of 2012, we had higher staffing levels as a result of the integration of the Thermonics acquisition.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$1.5 million for the quarter ended June 30, 2013 compared to $1.6 million for the same period in 2012,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$27,000 or 2%. The decrease primarily reflects lower levels of advertising, trade show and travel expenses which were partially offset by an increase in salary and benefits expense as a result of increases in our sales staff in our Thermal Products segment.</w:t>
      </w:r>
    </w:p>
    <w:p>
      <w:pPr>
        <w:spacing w:after="0" w:line="16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$925,000 for the quarter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$980,000 for the same period in 2012, a decrease of $55,000 or 6%. The decrease primarily reflects reduced spending on materials used in product development projects, as well as third party product development consultants.</w:t>
      </w:r>
    </w:p>
    <w:p>
      <w:pPr>
        <w:spacing w:after="0" w:line="194"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$1.5 million for the quarter ended June 30, 2013 compared to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2012, a decrease of $142,000 or 9%. The decrease primarily reflects reduced levels of profit-based bonus accruals reflecting the lower level of earnings in the second quarter of 2013 as compared to the same period in 2012.</w:t>
      </w:r>
    </w:p>
    <w:p>
      <w:pPr>
        <w:spacing w:after="0" w:line="16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June 30, 2013, we recorded income tax expense of $484,000 compared to income tax expense of $660,000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2012. Our effective tax rate was relatively unchanged at 33% for each of the quarters ended June 30, 2013 and 2012, respectively. On a quarterly basis, we record income tax expense or benefit based on the expected annualized effective tax rate for the various taxing jurisdictions in which we operate our businesses.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2013 Compared to Six Months Ended June 30, 2012</w:t>
      </w:r>
    </w:p>
    <w:p>
      <w:pPr>
        <w:spacing w:after="0" w:line="225"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$20.2 million for the six months ended June 30, 2013 compared to $24.3 million for the same period in 2012,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$4.1 million or 17%. We believe the decrease in our net revenues during the first six months of 2013 primarily reflects the factors previously discussed in the Overview.</w:t>
      </w:r>
    </w:p>
    <w:p>
      <w:pPr>
        <w:spacing w:after="0" w:line="194" w:lineRule="exact"/>
        <w:rPr>
          <w:sz w:val="20"/>
          <w:szCs w:val="20"/>
          <w:color w:val="auto"/>
        </w:rPr>
      </w:pPr>
    </w:p>
    <w:p>
      <w:pPr>
        <w:jc w:val="both"/>
        <w:ind w:left="540" w:right="280"/>
        <w:spacing w:after="0" w:line="259" w:lineRule="auto"/>
        <w:rPr>
          <w:sz w:val="20"/>
          <w:szCs w:val="20"/>
          <w:color w:val="auto"/>
        </w:rPr>
      </w:pPr>
      <w:r>
        <w:rPr>
          <w:rFonts w:ascii="Arial" w:cs="Arial" w:eastAsia="Arial" w:hAnsi="Arial"/>
          <w:sz w:val="18"/>
          <w:szCs w:val="18"/>
          <w:color w:val="auto"/>
        </w:rPr>
        <w:t>During the six months ended June 30, 2013, our net revenues from customers in the U.S. decreased 15% and our net revenues from foreign customers decreased 18%, respectively, as compared to the same period in 2012. The impact of changes in foreign currency exchange rates on the decrease in net revenues from foreign customers was less than 1%.</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47% for the six months ended June 30, 2013 compared to 44% for the same period in 2012. The improvement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gross margin was primarily the result of a reduction in our component material costs as a percentage of net revenues, which decreased from 37% of net revenues for the first six months of 2012 to 35% of net revenues for the same period in 2013. We attribute the decrease to changes in customer and product mix. In addition, our fixed operating costs declined from 15% of net revenues for the first six months of 2012 to 14% of net revenues for the same period in 2013. In absolute dollar terms these costs declined $709,000. This decrease primarily reflects reduced headcount in our Thermal Products segment. Finally, the improvement in gross margin reflects a lower level of charges for obsolete and excess inventory in the first six months of 2013 as compared to the same period in 2012. The reduction in these charges primarily reflects fewer items falling into our standard objective criteria.</w:t>
      </w:r>
    </w:p>
    <w:p>
      <w:pPr>
        <w:spacing w:after="0" w:line="172"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$2.7 million for the six months ended June 30, 2013 compared to $3.0 million for the same period in 2012,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$244,000 or 8%. The decrease primarily reflects lower levels of commission expense reflecting the lower net revenue levels in the first six months of 2013 as compared to the same period in 2012.</w:t>
      </w:r>
    </w:p>
    <w:p>
      <w:pPr>
        <w:sectPr>
          <w:pgSz w:w="11900" w:h="16838" w:orient="portrait"/>
          <w:cols w:equalWidth="0" w:num="1">
            <w:col w:w="11420"/>
          </w:cols>
          <w:pgMar w:left="240" w:top="158" w:right="239" w:bottom="0" w:gutter="0" w:footer="0" w:header="0"/>
        </w:sectPr>
      </w:pPr>
    </w:p>
    <w:bookmarkStart w:id="19" w:name="page20"/>
    <w:bookmarkEnd w:id="19"/>
    <w:p>
      <w:pPr>
        <w:spacing w:after="0" w:line="45" w:lineRule="exact"/>
        <w:rPr>
          <w:sz w:val="20"/>
          <w:szCs w:val="20"/>
          <w:color w:val="auto"/>
        </w:rPr>
      </w:pPr>
    </w:p>
    <w:p>
      <w:pPr>
        <w:jc w:val="both"/>
        <w:ind w:left="540" w:right="14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$1.9 million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2013 and 2012, respectively. Increases in spending on matters related to our intellectual property were offset by reductions in the use of third party consultants.</w:t>
      </w:r>
    </w:p>
    <w:p>
      <w:pPr>
        <w:spacing w:after="0" w:line="194"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$3.1 million for the six months ended June 30, 2013 compared to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2012, a decrease of $577,000 or 16%. During the first six months of 2012, we recorded $337,000 in costs associated with the acquisition of Thermonics and $55,000 in costs related to the relocation of our Electrical Products segment's operation in California. There were no similar costs recorded in the first six months of 2013. To a lesser extent, the decrease also reflects lower levels of professional fees and a reduction in salary and benefits expense.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six months of 2012. There were no similar charges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six months of 2013. The restructuring and other charges recorded during the first six months of 2012 represent facility closure costs related to the closure of the Sunnyvale, California facility occupied by Thermonics at the time of our acquisition of this operation.</w:t>
      </w:r>
    </w:p>
    <w:p>
      <w:pPr>
        <w:spacing w:after="0" w:line="161"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the six months ended June 30, 2013, we recorded income tax expense of $562,000 compared to income tax expense of $632,000</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same period in 2012. Our effective tax rate was 30% for the first six months of 2013 compared to 33% for the same period in 2012. On a quarterly basis, we record income tax expense or benefit based on the expected annualized effective tax rate for the various taxing jurisdictions in which we operate our businesses. The reduction in our effective tax rate in the first six months of 2013 as compared to the same period in 2012 primarily reflects the recording of the effect of the reinstatement of certain domestic research and development tax credits; this change was enacted in January 2013.</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Net cash provided by operations for the six months ended June 30, 2013 was $541,000 compared to $1.7 million for the same period in 2012. During the first six months of 2013, we recorded net earnings of $1.3 million. However, the positive impact on cash of our net earnings was offset by an increase of $1.8 million in accounts receivable and $423,000 in inventories. These increases reflect increased business activity, particularly during the second quarter of 2013 as compared to the fourth quarter of 2012. These increases were partially offset by a $287,000 increase in accounts payable during the first six months of 2013, also reflecting the increased business activity as compared to the fourth quarter of 2012. During the first six months of 2013, domestic and foreign income taxes payable increased $255,000 reflecting the accrual of income tax due on our earnings and accrued wages and benefits decreased $238,000 reflecting the payout of profit related bonuses accrued on the prior year's results. During the first six months of 2013, we recorded $426,000 of non-cash charges for depreciation and amortization.</w:t>
      </w:r>
    </w:p>
    <w:p>
      <w:pPr>
        <w:spacing w:after="0" w:line="17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no significant commitments for capital expenditures for the balance of 2013, however, depending upon changes in market demand, we may make such purchases as we deem necessary and appropriate.</w:t>
      </w:r>
    </w:p>
    <w:p>
      <w:pPr>
        <w:spacing w:after="0" w:line="186"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As of June 30, 2013, we had cash and cash equivalents of $16.0 million. We currently expect our cash and cash equivalents and projected future cash flow to be sufficient to support our short term working capital requirements. We do not currently have any credit facilities under which we can borrow to help fund our working capital or other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2013, there have been no significant changes to the accounting policies that we have deemed critical. These policies are more fully described in our 2012 Form 10-K.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June 30,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ectPr>
          <w:pgSz w:w="11900" w:h="16884" w:orient="portrait"/>
          <w:cols w:equalWidth="0" w:num="1">
            <w:col w:w="11420"/>
          </w:cols>
          <w:pgMar w:left="240" w:top="347"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ectPr>
          <w:pgSz w:w="11900" w:h="16838" w:orient="portrait"/>
          <w:cols w:equalWidth="0" w:num="1">
            <w:col w:w="11420"/>
          </w:cols>
          <w:pgMar w:left="240" w:top="341" w:right="239" w:bottom="0" w:gutter="0" w:footer="0" w:header="0"/>
          <w:type w:val="continuous"/>
        </w:sectPr>
      </w:pPr>
    </w:p>
    <w:bookmarkStart w:id="21" w:name="page22"/>
    <w:bookmarkEnd w:id="21"/>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2013</w:t>
            </w:r>
          </w:p>
        </w:tc>
        <w:tc>
          <w:tcPr>
            <w:tcW w:w="458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280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2013</w:t>
            </w:r>
          </w:p>
        </w:tc>
        <w:tc>
          <w:tcPr>
            <w:tcW w:w="458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306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gridSpan w:val="3"/>
          </w:tcPr>
          <w:p>
            <w:pPr>
              <w:jc w:val="right"/>
              <w:ind w:right="1380"/>
              <w:spacing w:after="0"/>
              <w:rPr>
                <w:sz w:val="20"/>
                <w:szCs w:val="20"/>
                <w:color w:val="auto"/>
              </w:rPr>
            </w:pPr>
            <w:r>
              <w:rPr>
                <w:rFonts w:ascii="Arial" w:cs="Arial" w:eastAsia="Arial" w:hAnsi="Arial"/>
                <w:sz w:val="18"/>
                <w:szCs w:val="18"/>
                <w:color w:val="auto"/>
              </w:rPr>
              <w:t>- 26 -</w:t>
            </w:r>
          </w:p>
        </w:tc>
      </w:tr>
      <w:tr>
        <w:trPr>
          <w:trHeight w:val="39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 - - - - - - - - - - - - - - - - - - - - - - -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- 27 -</w:t>
      </w:r>
    </w:p>
    <w:p>
      <w:pPr>
        <w:sectPr>
          <w:pgSz w:w="11900" w:h="16838" w:orient="portrait"/>
          <w:cols w:equalWidth="0" w:num="1">
            <w:col w:w="10940"/>
          </w:cols>
          <w:pgMar w:left="240" w:top="131" w:right="71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2013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2013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2019-12-06T18:22:17Z</dcterms:created>
  <dcterms:modified xsi:type="dcterms:W3CDTF">2019-12-06T18:22:17Z</dcterms:modified>
</cp:coreProperties>
</file>