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ABRAMS STEVEN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10"/>
        <w:gridCol w:w="350"/>
        <w:gridCol w:w="846"/>
        <w:gridCol w:w="450"/>
        <w:gridCol w:w="616"/>
        <w:gridCol w:w="1163"/>
        <w:gridCol w:w="999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Steven J. Abrams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9, 2026, the reporting person transferred 3,000 shares of InTest Corporation common stock to a family trust for no consideration. The reporting person and his spouse are co-trustees of the trust. The reporting person remains the beneficial owner of the shares of common stock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Gilmour, Attorney-in-Fact for Steven J. Abrams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893" TargetMode="External"/><Relationship Id="rId5" Type="http://schemas.openxmlformats.org/officeDocument/2006/relationships/hyperlink" Target="http://www.sec.gov/cgi-bin/browse-edgar?action=getcompany&amp;CIK=000103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3361</Characters>
  <CharactersWithSpaces>3926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