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4" w:lineRule="exact"/>
        <w:rPr>
          <w:sz w:val="24"/>
          <w:szCs w:val="24"/>
          <w:color w:val="auto"/>
        </w:rPr>
      </w:pPr>
    </w:p>
    <w:p>
      <w:pPr>
        <w:ind w:left="4000" w:right="2080" w:hanging="3992"/>
        <w:spacing w:after="0" w:line="253"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u w:val="single" w:color="auto"/>
          <w:color w:val="auto"/>
        </w:rPr>
        <w:t>December 31, 2024</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68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3721100</wp:posOffset>
            </wp:positionH>
            <wp:positionV relativeFrom="paragraph">
              <wp:posOffset>-20320</wp:posOffset>
            </wp:positionV>
            <wp:extent cx="1087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1-36117</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34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22-2370659</w:t>
            </w:r>
          </w:p>
        </w:tc>
        <w:tc>
          <w:tcPr>
            <w:tcW w:w="0" w:type="dxa"/>
            <w:vAlign w:val="bottom"/>
          </w:tcPr>
          <w:p>
            <w:pPr>
              <w:spacing w:after="0"/>
              <w:rPr>
                <w:sz w:val="1"/>
                <w:szCs w:val="1"/>
                <w:color w:val="auto"/>
              </w:rPr>
            </w:pPr>
          </w:p>
        </w:tc>
      </w:tr>
      <w:tr>
        <w:trPr>
          <w:trHeight w:val="234"/>
        </w:trPr>
        <w:tc>
          <w:tcPr>
            <w:tcW w:w="5980" w:type="dxa"/>
            <w:vAlign w:val="bottom"/>
            <w:gridSpan w:val="6"/>
          </w:tcPr>
          <w:p>
            <w:pPr>
              <w:jc w:val="center"/>
              <w:ind w:right="15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34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804 East Gate Drive, Suite 200</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0" w:type="dxa"/>
            <w:vAlign w:val="bottom"/>
            <w:gridSpan w:val="2"/>
            <w:vMerge w:val="restart"/>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08054</w:t>
            </w:r>
          </w:p>
        </w:tc>
        <w:tc>
          <w:tcPr>
            <w:tcW w:w="0" w:type="dxa"/>
            <w:vAlign w:val="bottom"/>
          </w:tcPr>
          <w:p>
            <w:pPr>
              <w:spacing w:after="0"/>
              <w:rPr>
                <w:sz w:val="1"/>
                <w:szCs w:val="1"/>
                <w:color w:val="auto"/>
              </w:rPr>
            </w:pPr>
          </w:p>
        </w:tc>
      </w:tr>
      <w:tr>
        <w:trPr>
          <w:trHeight w:val="112"/>
        </w:trPr>
        <w:tc>
          <w:tcPr>
            <w:tcW w:w="560" w:type="dxa"/>
            <w:vAlign w:val="bottom"/>
          </w:tcPr>
          <w:p>
            <w:pPr>
              <w:spacing w:after="0"/>
              <w:rPr>
                <w:sz w:val="9"/>
                <w:szCs w:val="9"/>
                <w:color w:val="auto"/>
              </w:rPr>
            </w:pPr>
          </w:p>
        </w:tc>
        <w:tc>
          <w:tcPr>
            <w:tcW w:w="346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Mt. Laurel, New Jersey</w:t>
            </w: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52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346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9620" w:type="dxa"/>
            <w:vAlign w:val="bottom"/>
            <w:gridSpan w:val="7"/>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 (856) 505-8800</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80" w:type="dxa"/>
            <w:vAlign w:val="bottom"/>
            <w:gridSpan w:val="6"/>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6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INTT</w:t>
            </w:r>
          </w:p>
        </w:tc>
        <w:tc>
          <w:tcPr>
            <w:tcW w:w="68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00"/>
          </w:cols>
          <w:pgMar w:left="320" w:top="684" w:right="37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880" w:space="720"/>
            <w:col w:w="5600"/>
          </w:cols>
          <w:pgMar w:left="320" w:top="684" w:right="379" w:bottom="1440" w:gutter="0" w:footer="0" w:header="0"/>
          <w:type w:val="continuous"/>
        </w:sectPr>
      </w:pPr>
    </w:p>
    <w:p>
      <w:pPr>
        <w:spacing w:after="0" w:line="17"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1" w:name="page2"/>
    <w:bookmarkEnd w:id="1"/>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on June 30, 2024 (the last business day of the registrant's most recently completed second fiscal quarter), was: $118,016,975.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at March 1, 2025, was 12,373,276.</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Portions of the definitive proxy statement of the Registrant for the Registrant’s 2025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1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inTEST CORPORATION</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91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91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Page</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1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1B.</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Cybersecurity</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1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9C</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14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14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10-K Summary</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Index to Exhibits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Index to Consolidated Financial Statements and Financial Statement Schedule</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91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88"/>
              </w:rPr>
              <w:t>2</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9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or requires,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inTEST,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we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our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used in this Annual Report on Form 10-K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inTEST Corporation and our consolidated subsidiaries as a combined entity. We do not use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symbol in each instance in which one of our registered or common law trademarks appears in this Annual Report on Form 10-K, but this should not be construed as any indication that we will not assert our rights thereto to the fullest extent permissible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From time to time, we make written or oral “forward-looking statements” within the meaning of the Private Securities Litigation Reform Act of 1995, as amended, including statements contained in our filings with the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(including this Report for the year ended December 31, 2024), in our annual report to stockholders and in other communications.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“intends,” “may,” “could,” “will,” “should,” “plans,” “depending,” “projects,” “forecasts,” “seeks,” “anticipates,” “goal,” “objective,” “target,” “estimates,” “future,” “outlook,” “strategy,” “vision,”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spacing w:after="0" w:line="194" w:lineRule="exact"/>
        <w:rPr>
          <w:sz w:val="20"/>
          <w:szCs w:val="20"/>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5-Point Strategy;</w:t>
      </w:r>
    </w:p>
    <w:p>
      <w:pPr>
        <w:spacing w:after="0" w:line="27" w:lineRule="exact"/>
        <w:rPr>
          <w:rFonts w:ascii="Times New Roman" w:cs="Times New Roman" w:eastAsia="Times New Roman" w:hAnsi="Times New Roman"/>
          <w:sz w:val="18"/>
          <w:szCs w:val="18"/>
          <w:color w:val="auto"/>
        </w:rPr>
      </w:pPr>
    </w:p>
    <w:p>
      <w:pPr>
        <w:ind w:left="680" w:right="120" w:hanging="213"/>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presence in the industrial, automotive/electric vehicle (“</w:t>
      </w:r>
      <w:r>
        <w:rPr>
          <w:rFonts w:ascii="Times New Roman" w:cs="Times New Roman" w:eastAsia="Times New Roman" w:hAnsi="Times New Roman"/>
          <w:sz w:val="18"/>
          <w:szCs w:val="18"/>
          <w:b w:val="1"/>
          <w:bCs w:val="1"/>
          <w:u w:val="single" w:color="auto"/>
          <w:color w:val="auto"/>
        </w:rPr>
        <w:t>EV</w:t>
      </w:r>
      <w:r>
        <w:rPr>
          <w:rFonts w:ascii="Times New Roman" w:cs="Times New Roman" w:eastAsia="Times New Roman" w:hAnsi="Times New Roman"/>
          <w:sz w:val="18"/>
          <w:szCs w:val="18"/>
          <w:color w:val="auto"/>
        </w:rPr>
        <w:t>”), life sciences, defense/aerospace, security and international markets;</w:t>
      </w: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future acquisitions or dispositions and the successful integration of any acquired operations;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strategy to diversify our business by entering markets outside the semiconductor automated test equipment (“</w:t>
      </w:r>
      <w:r>
        <w:rPr>
          <w:rFonts w:ascii="Times New Roman" w:cs="Times New Roman" w:eastAsia="Times New Roman" w:hAnsi="Times New Roman"/>
          <w:sz w:val="18"/>
          <w:szCs w:val="18"/>
          <w:b w:val="1"/>
          <w:bCs w:val="1"/>
          <w:u w:val="single" w:color="auto"/>
          <w:color w:val="auto"/>
        </w:rPr>
        <w:t>ATE</w:t>
      </w:r>
      <w:r>
        <w:rPr>
          <w:rFonts w:ascii="Times New Roman" w:cs="Times New Roman" w:eastAsia="Times New Roman" w:hAnsi="Times New Roman"/>
          <w:sz w:val="18"/>
          <w:szCs w:val="18"/>
          <w:color w:val="auto"/>
        </w:rPr>
        <w:t>”) market;</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indications of a change in the market cycles in the semiconductor (“</w:t>
      </w:r>
      <w:r>
        <w:rPr>
          <w:rFonts w:ascii="Times New Roman" w:cs="Times New Roman" w:eastAsia="Times New Roman" w:hAnsi="Times New Roman"/>
          <w:sz w:val="18"/>
          <w:szCs w:val="18"/>
          <w:b w:val="1"/>
          <w:bCs w:val="1"/>
          <w:u w:val="single" w:color="auto"/>
          <w:color w:val="auto"/>
        </w:rPr>
        <w:t>semi</w:t>
      </w:r>
      <w:r>
        <w:rPr>
          <w:rFonts w:ascii="Times New Roman" w:cs="Times New Roman" w:eastAsia="Times New Roman" w:hAnsi="Times New Roman"/>
          <w:sz w:val="18"/>
          <w:szCs w:val="18"/>
          <w:color w:val="auto"/>
        </w:rPr>
        <w:t>”) market, or other markets we serve;</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trends in the semi market, including changes in the demand for semiconductors;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backlog to sales and to ship product in a timely manner;</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one or more of our largest customers, or a reduction in orders by a major customer;</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materials used to manufacture our products;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interruptions in our supply chain caused by external factors;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cash balances, lines of credit and net cash from operations;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fluctuations;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borrow funds or raise capital to finance potential acquisitions or for working capital;</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and timing of, capital expenditures by our customers;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exchange rate fluctuations;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product development programs;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market for our products;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a proper and effective system of disclosure controls and internal control over financial reporting;</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retention of key personnel or our ability to hire personnel at anticipated costs; and</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globally.</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We discuss many of these risks and uncertainties and others under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Report,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left="680" w:right="60"/>
        <w:spacing w:after="0" w:line="282" w:lineRule="auto"/>
        <w:rPr>
          <w:sz w:val="20"/>
          <w:szCs w:val="20"/>
          <w:color w:val="auto"/>
        </w:rPr>
      </w:pPr>
      <w:r>
        <w:rPr>
          <w:rFonts w:ascii="Times New Roman" w:cs="Times New Roman" w:eastAsia="Times New Roman" w:hAnsi="Times New Roman"/>
          <w:sz w:val="18"/>
          <w:szCs w:val="18"/>
          <w:color w:val="auto"/>
        </w:rPr>
        <w:t>inTEST Corporation was incorporated in New Jersey in 1981 and reincorporated in Delaware in April 1997. The consolidated entity is comprised of inTEST Corporation and our wholly owned subsidiaries.</w:t>
      </w:r>
    </w:p>
    <w:p>
      <w:pPr>
        <w:spacing w:after="0" w:line="162" w:lineRule="exact"/>
        <w:rPr>
          <w:sz w:val="20"/>
          <w:szCs w:val="20"/>
          <w:color w:val="auto"/>
        </w:rPr>
      </w:pPr>
    </w:p>
    <w:p>
      <w:pPr>
        <w:ind w:left="680" w:right="60"/>
        <w:spacing w:after="0" w:line="266" w:lineRule="auto"/>
        <w:rPr>
          <w:sz w:val="20"/>
          <w:szCs w:val="20"/>
          <w:color w:val="auto"/>
        </w:rPr>
      </w:pPr>
      <w:r>
        <w:rPr>
          <w:rFonts w:ascii="Times New Roman" w:cs="Times New Roman" w:eastAsia="Times New Roman" w:hAnsi="Times New Roman"/>
          <w:sz w:val="18"/>
          <w:szCs w:val="18"/>
          <w:color w:val="auto"/>
        </w:rPr>
        <w:t>We are a global supplier of innovative test and process technology solutions for use in manufacturing and testing across a wide range of markets including semiconductors, industrial, automotive, life sciences, defense/aerospace, and security. We have three operating segments which are also our reportable segments and reporting units: Electronic Test, Environmental Technologies and Process Technologies.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STRATEGY</w:t>
      </w:r>
    </w:p>
    <w:p>
      <w:pPr>
        <w:spacing w:after="0" w:line="225" w:lineRule="exact"/>
        <w:rPr>
          <w:sz w:val="20"/>
          <w:szCs w:val="20"/>
          <w:color w:val="auto"/>
        </w:rPr>
      </w:pPr>
    </w:p>
    <w:p>
      <w:pPr>
        <w:ind w:left="680" w:right="20"/>
        <w:spacing w:after="0" w:line="254" w:lineRule="auto"/>
        <w:rPr>
          <w:sz w:val="20"/>
          <w:szCs w:val="20"/>
          <w:color w:val="auto"/>
        </w:rPr>
      </w:pPr>
      <w:r>
        <w:rPr>
          <w:rFonts w:ascii="Times New Roman" w:cs="Times New Roman" w:eastAsia="Times New Roman" w:hAnsi="Times New Roman"/>
          <w:sz w:val="18"/>
          <w:szCs w:val="18"/>
          <w:color w:val="auto"/>
        </w:rPr>
        <w:t>In early 2021, we launched our 5-Point Strategy, our new corporate vision and our mission statement. Our vision is to be the supplier of choice for innovative test and process technology solutions. Our mission is to leverage our deep industry knowledge and expertise to develop and deliver high quality, innovative customer solutions and superior support for complex global challenges. We are committed to becoming recognized as a leader in our targeted markets for engineering and manufacturing capabilities that help solve our customers’ most complex challenges in their manufacturing and quality processes. Our products provide highly engineered, high quality and cost-effective test and process technology solutions which are delivered with a customer focus that are intended to drive a high level of customer satisfaction. Our strategy is to consistently expand our unique and differentiated test and process technology solutions through innovative new product development and acquisitions. We expect to expand our portfolio of products, services, and support to drive increased value to our customers to drive revenue and earnings growth.</w:t>
      </w:r>
    </w:p>
    <w:p>
      <w:pPr>
        <w:spacing w:after="0" w:line="192" w:lineRule="exact"/>
        <w:rPr>
          <w:sz w:val="20"/>
          <w:szCs w:val="20"/>
          <w:color w:val="auto"/>
        </w:rPr>
      </w:pPr>
    </w:p>
    <w:p>
      <w:pPr>
        <w:ind w:left="680" w:right="40"/>
        <w:spacing w:after="0" w:line="255" w:lineRule="auto"/>
        <w:rPr>
          <w:sz w:val="20"/>
          <w:szCs w:val="20"/>
          <w:color w:val="auto"/>
        </w:rPr>
      </w:pPr>
      <w:r>
        <w:rPr>
          <w:rFonts w:ascii="Times New Roman" w:cs="Times New Roman" w:eastAsia="Times New Roman" w:hAnsi="Times New Roman"/>
          <w:sz w:val="18"/>
          <w:szCs w:val="18"/>
          <w:color w:val="auto"/>
        </w:rPr>
        <w:t>When we launched the 5-Point Strategy in 2021, we believed that by executing on our five growth strategies, as described more fully below, that we could aggressively grow our annual revenue to between $200 million to $250 million by the end of 2025, while maintaining our strong margin profile. We grew from $53.8 million in 2020 to $130.8 million in 2024, a 243% increase. However, in late 2023 and throughout 2024, three of our largest markets (semi, automotive/EV and industrials) had simultaneous cyclical downturns. Additionally, we did not fully achieve our inorganic growth targets. As a result, while we continue to expect to scale the enterprise through a combination of organic growth and acquisitions and to achieve our intended targets, these goals will extend beyond 2025. We remain confident that successful execution of our 5-Point Strategy can deliver on our growth ambitions.</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5-Point Strategy is as follows:</w:t>
      </w:r>
    </w:p>
    <w:p>
      <w:pPr>
        <w:spacing w:after="0" w:line="223" w:lineRule="exact"/>
        <w:rPr>
          <w:sz w:val="20"/>
          <w:szCs w:val="20"/>
          <w:color w:val="auto"/>
        </w:rPr>
      </w:pPr>
    </w:p>
    <w:p>
      <w:pPr>
        <w:ind w:left="3280"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Global and Market Expansion. </w:t>
      </w:r>
      <w:r>
        <w:rPr>
          <w:rFonts w:ascii="Times New Roman" w:cs="Times New Roman" w:eastAsia="Times New Roman" w:hAnsi="Times New Roman"/>
          <w:sz w:val="18"/>
          <w:szCs w:val="18"/>
          <w:color w:val="auto"/>
        </w:rPr>
        <w:t>We provide highly-engineered solutions within our large serviceable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addressable market (“</w:t>
      </w:r>
      <w:r>
        <w:rPr>
          <w:rFonts w:ascii="Times New Roman" w:cs="Times New Roman" w:eastAsia="Times New Roman" w:hAnsi="Times New Roman"/>
          <w:sz w:val="18"/>
          <w:szCs w:val="18"/>
          <w:b w:val="1"/>
          <w:bCs w:val="1"/>
          <w:u w:val="single" w:color="auto"/>
          <w:color w:val="auto"/>
        </w:rPr>
        <w:t>SAM</w:t>
      </w:r>
      <w:r>
        <w:rPr>
          <w:rFonts w:ascii="Times New Roman" w:cs="Times New Roman" w:eastAsia="Times New Roman" w:hAnsi="Times New Roman"/>
          <w:sz w:val="18"/>
          <w:szCs w:val="18"/>
          <w:color w:val="auto"/>
        </w:rPr>
        <w:t>”) which we estimate to be in excess of $2.0 billion. We believe that we can provide significant and sustainable long-term growth by further penetrating our SAM and building a larger installed product base. To capture this opportunity, we have been making investments in talent, technology, channels to market and geographic presence. These continued investments may include initiatives to increase revenue both by leveraging our customer relationships to provide a broader array of our current portfolio of products to our existing customer base as well as by expanding our customer base within these markets. For example, we have upgraded talent in our sales and engineering organizations, advanced initiatives in our facility in Penang, Malaysia and have been optimizing our channel partners around the globe. In 2024 we acquired Alfamation S.p.A, which expanded our reach into Europe and the auto/EV market and created exposure into consumer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-1167765</wp:posOffset>
            </wp:positionV>
            <wp:extent cx="1654175" cy="2057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2057400"/>
                    </a:xfrm>
                    <a:prstGeom prst="rect">
                      <a:avLst/>
                    </a:prstGeom>
                    <a:noFill/>
                  </pic:spPr>
                </pic:pic>
              </a:graphicData>
            </a:graphic>
          </wp:anchor>
        </w:drawing>
      </w:r>
    </w:p>
    <w:p>
      <w:pPr>
        <w:spacing w:after="0" w:line="172" w:lineRule="exact"/>
        <w:rPr>
          <w:sz w:val="20"/>
          <w:szCs w:val="20"/>
          <w:color w:val="auto"/>
        </w:rPr>
      </w:pPr>
    </w:p>
    <w:p>
      <w:pPr>
        <w:ind w:left="3280"/>
        <w:spacing w:after="0" w:line="255" w:lineRule="auto"/>
        <w:rPr>
          <w:sz w:val="20"/>
          <w:szCs w:val="20"/>
          <w:color w:val="auto"/>
        </w:rPr>
      </w:pPr>
      <w:r>
        <w:rPr>
          <w:rFonts w:ascii="Times New Roman" w:cs="Times New Roman" w:eastAsia="Times New Roman" w:hAnsi="Times New Roman"/>
          <w:sz w:val="18"/>
          <w:szCs w:val="18"/>
          <w:i w:val="1"/>
          <w:iCs w:val="1"/>
          <w:color w:val="auto"/>
        </w:rPr>
        <w:t>Innovation and Differentiation</w:t>
      </w:r>
      <w:r>
        <w:rPr>
          <w:rFonts w:ascii="Times New Roman" w:cs="Times New Roman" w:eastAsia="Times New Roman" w:hAnsi="Times New Roman"/>
          <w:sz w:val="18"/>
          <w:szCs w:val="18"/>
          <w:color w:val="auto"/>
        </w:rPr>
        <w:t>. Our 5-Point Strategy focuses on leveraging our engineering know-how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to deliver innovative solutions which we believe will outperform those of our competitors. We continue to invest in engineering resources with the goal of developing new and unique solutions to help solve our customers’ most complex challenges in their manufacturing and quality processes. Designed to be broadly applicable through more standardized platforms, these solution platforms enable late-stage configuration to address each customers’ unique requirements. We believe creating more standardization to increase market availability will drive growth and reduce costs by enabling us to increase the breadth and depth of our customer base.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ind w:left="2600"/>
        <w:spacing w:after="0" w:line="254" w:lineRule="auto"/>
        <w:rPr>
          <w:sz w:val="20"/>
          <w:szCs w:val="20"/>
          <w:color w:val="auto"/>
        </w:rPr>
      </w:pPr>
      <w:r>
        <w:rPr>
          <w:rFonts w:ascii="Times New Roman" w:cs="Times New Roman" w:eastAsia="Times New Roman" w:hAnsi="Times New Roman"/>
          <w:sz w:val="18"/>
          <w:szCs w:val="18"/>
          <w:color w:val="auto"/>
        </w:rPr>
        <w:t>In 2024, within our Process Technologies division, Videology Imaging Corporation (“</w:t>
      </w:r>
      <w:r>
        <w:rPr>
          <w:rFonts w:ascii="Times New Roman" w:cs="Times New Roman" w:eastAsia="Times New Roman" w:hAnsi="Times New Roman"/>
          <w:sz w:val="18"/>
          <w:szCs w:val="18"/>
          <w:b w:val="1"/>
          <w:bCs w:val="1"/>
          <w:u w:val="single" w:color="auto"/>
          <w:color w:val="auto"/>
        </w:rPr>
        <w:t>Videology</w:t>
      </w:r>
      <w:r>
        <w:rPr>
          <w:rFonts w:ascii="Times New Roman" w:cs="Times New Roman" w:eastAsia="Times New Roman" w:hAnsi="Times New Roman"/>
          <w:sz w:val="18"/>
          <w:szCs w:val="18"/>
          <w:color w:val="auto"/>
        </w:rPr>
        <w:t>®”) advanced the development of its SCAiLX Edge AI platform. We added a new in-house built SCAiLX board camera, further expanding the modularity of the platform. We also expanded the capabilities of the core of the SCAiLX SoM board, making it compatible with a range of other block cameras from the industry’s leading manufacturers. Additionally, we have expanded our board camera lineup with three newly developed Full HD (1080p) board cameras. This includes a digital IP camera, an AHD camera, and a USB camera, all designed in-house to meet diverse imaging needs. We also continued development of our EKOHEAT® 2 induction heating products manufactured by Ambrell Corporation (“</w:t>
      </w:r>
      <w:r>
        <w:rPr>
          <w:rFonts w:ascii="Times New Roman" w:cs="Times New Roman" w:eastAsia="Times New Roman" w:hAnsi="Times New Roman"/>
          <w:sz w:val="18"/>
          <w:szCs w:val="18"/>
          <w:b w:val="1"/>
          <w:bCs w:val="1"/>
          <w:u w:val="single" w:color="auto"/>
          <w:color w:val="auto"/>
        </w:rPr>
        <w:t>Ambrell</w:t>
      </w:r>
      <w:r>
        <w:rPr>
          <w:rFonts w:ascii="Times New Roman" w:cs="Times New Roman" w:eastAsia="Times New Roman" w:hAnsi="Times New Roman"/>
          <w:sz w:val="18"/>
          <w:szCs w:val="18"/>
          <w:color w:val="auto"/>
        </w:rPr>
        <w:t>®”). The EKOHEAT® 2 offering is the next generation and evolution of Ambrell®’s renowned VPA Technology.</w:t>
      </w:r>
    </w:p>
    <w:p>
      <w:pPr>
        <w:spacing w:after="0" w:line="192" w:lineRule="exact"/>
        <w:rPr>
          <w:sz w:val="20"/>
          <w:szCs w:val="20"/>
          <w:color w:val="auto"/>
        </w:rPr>
      </w:pPr>
    </w:p>
    <w:p>
      <w:pPr>
        <w:ind w:left="2600" w:right="80"/>
        <w:spacing w:after="0" w:line="253" w:lineRule="auto"/>
        <w:rPr>
          <w:sz w:val="20"/>
          <w:szCs w:val="20"/>
          <w:color w:val="auto"/>
        </w:rPr>
      </w:pPr>
      <w:r>
        <w:rPr>
          <w:rFonts w:ascii="Times New Roman" w:cs="Times New Roman" w:eastAsia="Times New Roman" w:hAnsi="Times New Roman"/>
          <w:sz w:val="18"/>
          <w:szCs w:val="18"/>
          <w:color w:val="auto"/>
        </w:rPr>
        <w:t>In our Environmental Technologies division, we released the BT28, our next generation benchtop ThermoStream®. The BT28 is a new benchtop thermal testing system that was released at the Optical Fiber Communication Conference in San Diego on March 26, 2024. It uses the same compressor technology that is in our large ThermoStream® to deliver -28 degrees Celsius to +225 degrees Celsius air at 14 standard cubic feet per minute, enabling our customers to save space and still be able to test a broad range of devices. We also sold our first units of our next generation mid-sized ThermoStream®, the MS60 to select customers. We plan to officially release this new system 2025. In our Thermonics® and Sigma Systems product line we released several new industrial process chillers and thermal test chambers. Our strategy with these products is to target promising opportunities with original equipment manufacturers (“</w:t>
      </w:r>
      <w:r>
        <w:rPr>
          <w:rFonts w:ascii="Times New Roman" w:cs="Times New Roman" w:eastAsia="Times New Roman" w:hAnsi="Times New Roman"/>
          <w:sz w:val="18"/>
          <w:szCs w:val="18"/>
          <w:b w:val="1"/>
          <w:bCs w:val="1"/>
          <w:u w:val="single" w:color="auto"/>
          <w:color w:val="auto"/>
        </w:rPr>
        <w:t>OEMs</w:t>
      </w:r>
      <w:r>
        <w:rPr>
          <w:rFonts w:ascii="Times New Roman" w:cs="Times New Roman" w:eastAsia="Times New Roman" w:hAnsi="Times New Roman"/>
          <w:sz w:val="18"/>
          <w:szCs w:val="18"/>
          <w:color w:val="auto"/>
        </w:rPr>
        <w:t>”). This is particularly evident with the release of our AC95-R gas chiller. The AC95-R system has been incorporated by several semiconductor test handler OEMs as the cooling component for their systems.</w:t>
      </w:r>
    </w:p>
    <w:p>
      <w:pPr>
        <w:spacing w:after="0" w:line="192" w:lineRule="exact"/>
        <w:rPr>
          <w:sz w:val="20"/>
          <w:szCs w:val="20"/>
          <w:color w:val="auto"/>
        </w:rPr>
      </w:pPr>
    </w:p>
    <w:p>
      <w:pPr>
        <w:ind w:left="2600" w:right="40"/>
        <w:spacing w:after="0" w:line="254" w:lineRule="auto"/>
        <w:rPr>
          <w:sz w:val="20"/>
          <w:szCs w:val="20"/>
          <w:color w:val="auto"/>
        </w:rPr>
      </w:pPr>
      <w:r>
        <w:rPr>
          <w:rFonts w:ascii="Times New Roman" w:cs="Times New Roman" w:eastAsia="Times New Roman" w:hAnsi="Times New Roman"/>
          <w:sz w:val="18"/>
          <w:szCs w:val="18"/>
          <w:color w:val="auto"/>
        </w:rPr>
        <w:t>In our Electronic Test division, we continued to expand our automated manipulator offerings with the launch of the LS2 manipulator for test heads under 250kg and the fully automated LSL manipulator for test heads weighing up to 1200kg. We launched an additional model in our LS series of automated manipulators, the LSCP, which is a smaller footprint version of the LSC manipulator that holds test heads up to 400 kg. We also sold our first AERODOCK™ which is a new design in our docking hardware product line, bringing to market a cost-effective, pneumatically driven, active docking system. Acculogic Inc. (“</w:t>
      </w:r>
      <w:r>
        <w:rPr>
          <w:rFonts w:ascii="Times New Roman" w:cs="Times New Roman" w:eastAsia="Times New Roman" w:hAnsi="Times New Roman"/>
          <w:sz w:val="18"/>
          <w:szCs w:val="18"/>
          <w:b w:val="1"/>
          <w:bCs w:val="1"/>
          <w:u w:val="single" w:color="auto"/>
          <w:color w:val="auto"/>
        </w:rPr>
        <w:t>Acculogic</w:t>
      </w:r>
      <w:r>
        <w:rPr>
          <w:rFonts w:ascii="Times New Roman" w:cs="Times New Roman" w:eastAsia="Times New Roman" w:hAnsi="Times New Roman"/>
          <w:sz w:val="18"/>
          <w:szCs w:val="18"/>
          <w:color w:val="auto"/>
        </w:rPr>
        <w:t>”) significantly increased the amount of functional test capabilities that can be integrated into our flying probe test systems. Alfamation S.p.A., (“</w:t>
      </w:r>
      <w:r>
        <w:rPr>
          <w:rFonts w:ascii="Times New Roman" w:cs="Times New Roman" w:eastAsia="Times New Roman" w:hAnsi="Times New Roman"/>
          <w:sz w:val="18"/>
          <w:szCs w:val="18"/>
          <w:b w:val="1"/>
          <w:bCs w:val="1"/>
          <w:u w:val="single" w:color="auto"/>
          <w:color w:val="auto"/>
        </w:rPr>
        <w:t>Alfamation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which we acquired in March 2024, greatly increased our audio, video and networking and power-management capabilities, primarily in the automotive market.</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Service and Support</w:t>
      </w:r>
      <w:r>
        <w:rPr>
          <w:rFonts w:ascii="Times New Roman" w:cs="Times New Roman" w:eastAsia="Times New Roman" w:hAnsi="Times New Roman"/>
          <w:sz w:val="18"/>
          <w:szCs w:val="18"/>
          <w:color w:val="auto"/>
        </w:rPr>
        <w:t>. We have strong customer relationships and believe service and support activities are valuable in strengthening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loyalty and retention. Through ensuring that we serve our customers’ needs, whether by expanding service coverage and decreasing response time or through expanding and enhancing service offerings, we believe we can drive revenue growth and strengthen our customer relationships. We have been investing in resources to fill areas where we have identified gaps in service and support. As we expand our SAM and increase our market penetration, we also expect to identify opportunities to add more consumable products within our offerings. We believe that increasing the number of ways and the frequency with which we make customer contacts can drive growth in our business in the future. In 2024, we continued to expand our global service partner network. Our facility in Malaysia serves as the main location in the region for customer product demonstrations, customer service and applications training.</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Strategic Acquisitions &amp; Partnerships. </w:t>
      </w:r>
      <w:r>
        <w:rPr>
          <w:rFonts w:ascii="Times New Roman" w:cs="Times New Roman" w:eastAsia="Times New Roman" w:hAnsi="Times New Roman"/>
          <w:sz w:val="18"/>
          <w:szCs w:val="18"/>
          <w:color w:val="auto"/>
        </w:rPr>
        <w:t>In addition to driving organic growth, our strategy includes acquiring businesses, (see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technologies or products that are complementary to our current product offerings or opens up attractive adjacent markets. Our acquisition strategy focuses on adding to our current solutions by expanding capabilities within our three divisions, such as broadening our induction heating frequencies, adding additional environmental test and process solutions such as vibration and humidity, or bringing a larger customer base for our automated test solutions that can expand our geographic presence. We also will consider new technologies that replicate the highly engineered, high quality and differentiated solutions of our current product portfolio for test and process solutions. Our focus is on expanding our electronic test capabilities, widening our capabilities beyond thermal test in areas such as environmental test, and building our processing technologies offerings with expanded imaging and heating capabilities. We continue to assess target companies to drive further inorganic growth in support of our 5-Point Strategy.</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Talent and Culture</w:t>
      </w:r>
      <w:r>
        <w:rPr>
          <w:rFonts w:ascii="Times New Roman" w:cs="Times New Roman" w:eastAsia="Times New Roman" w:hAnsi="Times New Roman"/>
          <w:sz w:val="18"/>
          <w:szCs w:val="18"/>
          <w:color w:val="auto"/>
        </w:rPr>
        <w:t>. We believe ensuring the right people are in the right roles and are empowered to deliver success is crucial to the achievement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core strategies. In addition, we have and will continue to create a culture and environment of openness, one that is results-oriented and drives accountability across the organization. Finally, we intend to foster diversity, equity and inclusion and provide opportunities for career development so as to maximize employee engagement, all of which is necessary to achieving our corporate vision. In 2023, we began our inTEST leadership academy which is another tool for identifying and developing talent from within, connecting emerging leaders across our organization and promoting collaboration and teamwork. In addition, we have hosted separate company-wide marketing and engineering summits, where our sales and marketing leadership and engineers, respectively, from across the organization came together to collaborate on a global level and share ideas for growing and expanding the inTEST brand.</w:t>
      </w:r>
    </w:p>
    <w:p>
      <w:pPr>
        <w:spacing w:after="0" w:line="1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76"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auto"/>
        </w:rPr>
        <w:t>ACQUISITION</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March 12, 2024, we entered into a stock purchase agreement to acquire all of the outstanding capital shares of Alfamation S.p.A.,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is a part of our Electronic Test operating segment. The aggregate purchase price was approximately €20 million comprised of €18 million in cash (approximately $19.7 million) and 187,432 shares of our common stock (valued at $2.1 million based on the closing price of our stock on the date of acquisition). The cash portion of the purchase price was subject to customary working capital adjustments which were finalized in June 2024 and resulted in recording an additional €129 thousand (approximately $141 thousand) of cash purchase price for assets delivered at closing in excess of agreed upon thresholds. The liabilities assumed in connection with the acquisition included debt of approximately €10.3 million, or $11.3 million. After all closing adjustments, the total purchase price was $21.9 million. We finalized our allocation of the purchase price to assets acquired and liabilities assumed during the fourth quarter of 2024.</w:t>
      </w:r>
    </w:p>
    <w:p>
      <w:pPr>
        <w:spacing w:after="0" w:line="1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we have entered into a lease agreement (the “</w:t>
      </w:r>
      <w:r>
        <w:rPr>
          <w:rFonts w:ascii="Times New Roman" w:cs="Times New Roman" w:eastAsia="Times New Roman" w:hAnsi="Times New Roman"/>
          <w:sz w:val="18"/>
          <w:szCs w:val="18"/>
          <w:b w:val="1"/>
          <w:bCs w:val="1"/>
          <w:u w:val="single" w:color="auto"/>
          <w:color w:val="auto"/>
        </w:rPr>
        <w:t>Lease Agreement</w:t>
      </w:r>
      <w:r>
        <w:rPr>
          <w:rFonts w:ascii="Times New Roman" w:cs="Times New Roman" w:eastAsia="Times New Roman" w:hAnsi="Times New Roman"/>
          <w:sz w:val="18"/>
          <w:szCs w:val="18"/>
          <w:color w:val="auto"/>
        </w:rPr>
        <w:t>”) with the former owner of Alfamation™. The Lease Agreement commenced on March 12, 2024, will last for six years and will be automatically renewed for the same period of time unless terminated by either party. Under the terms of the Lease Agreement, Alfamation™ will lease warehouse and office space totaling about 51,871 square feet. Alfamation™ will pay a yearly lease payment of approximately €260 thousand broken up into four equal payments. At the date of the signing of the Lease Agreement, the yearly lease payment equated to approximately $284 thousand.</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MARKETS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7" w:lineRule="exact"/>
        <w:rPr>
          <w:sz w:val="20"/>
          <w:szCs w:val="20"/>
          <w:color w:val="auto"/>
        </w:rPr>
      </w:pPr>
    </w:p>
    <w:p>
      <w:pPr>
        <w:ind w:left="20" w:right="160"/>
        <w:spacing w:after="0" w:line="261" w:lineRule="auto"/>
        <w:rPr>
          <w:sz w:val="20"/>
          <w:szCs w:val="20"/>
          <w:color w:val="auto"/>
        </w:rPr>
      </w:pPr>
      <w:r>
        <w:rPr>
          <w:rFonts w:ascii="Times New Roman" w:cs="Times New Roman" w:eastAsia="Times New Roman" w:hAnsi="Times New Roman"/>
          <w:sz w:val="18"/>
          <w:szCs w:val="18"/>
          <w:color w:val="auto"/>
        </w:rPr>
        <w:t>We are focused on specific target markets which include semi, industrial, automotive/EV, life sciences, defense/aerospace, security and other. Our largest market is semi. Products and equipment sold into semi are generally delineated as being part of either specialized wafer manufacturing (“</w:t>
      </w:r>
      <w:r>
        <w:rPr>
          <w:rFonts w:ascii="Times New Roman" w:cs="Times New Roman" w:eastAsia="Times New Roman" w:hAnsi="Times New Roman"/>
          <w:sz w:val="18"/>
          <w:szCs w:val="18"/>
          <w:b w:val="1"/>
          <w:bCs w:val="1"/>
          <w:u w:val="single" w:color="auto"/>
          <w:color w:val="auto"/>
        </w:rPr>
        <w:t>front-end</w:t>
      </w:r>
      <w:r>
        <w:rPr>
          <w:rFonts w:ascii="Times New Roman" w:cs="Times New Roman" w:eastAsia="Times New Roman" w:hAnsi="Times New Roman"/>
          <w:sz w:val="18"/>
          <w:szCs w:val="18"/>
          <w:color w:val="auto"/>
        </w:rPr>
        <w:t>”) or semiconductor ATE (“</w:t>
      </w:r>
      <w:r>
        <w:rPr>
          <w:rFonts w:ascii="Times New Roman" w:cs="Times New Roman" w:eastAsia="Times New Roman" w:hAnsi="Times New Roman"/>
          <w:sz w:val="18"/>
          <w:szCs w:val="18"/>
          <w:b w:val="1"/>
          <w:bCs w:val="1"/>
          <w:u w:val="single" w:color="auto"/>
          <w:color w:val="auto"/>
        </w:rPr>
        <w:t>back-end</w:t>
      </w:r>
      <w:r>
        <w:rPr>
          <w:rFonts w:ascii="Times New Roman" w:cs="Times New Roman" w:eastAsia="Times New Roman" w:hAnsi="Times New Roman"/>
          <w:sz w:val="18"/>
          <w:szCs w:val="18"/>
          <w:color w:val="auto"/>
        </w:rPr>
        <w:t>”). The roots of inTEST’s engineered product history are in the back-end of semi in integrated circuit (“</w:t>
      </w:r>
      <w:r>
        <w:rPr>
          <w:rFonts w:ascii="Times New Roman" w:cs="Times New Roman" w:eastAsia="Times New Roman" w:hAnsi="Times New Roman"/>
          <w:sz w:val="18"/>
          <w:szCs w:val="18"/>
          <w:b w:val="1"/>
          <w:bCs w:val="1"/>
          <w:u w:val="single" w:color="auto"/>
          <w:color w:val="auto"/>
        </w:rPr>
        <w:t>IC</w:t>
      </w:r>
      <w:r>
        <w:rPr>
          <w:rFonts w:ascii="Times New Roman" w:cs="Times New Roman" w:eastAsia="Times New Roman" w:hAnsi="Times New Roman"/>
          <w:sz w:val="18"/>
          <w:szCs w:val="18"/>
          <w:color w:val="auto"/>
        </w:rPr>
        <w:t>”) testing.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(in thousands except</w:t>
            </w: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Semi</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48,708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65,735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13,382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14,310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Automotive/EV</w:t>
            </w:r>
          </w:p>
        </w:tc>
        <w:tc>
          <w:tcPr>
            <w:tcW w:w="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9,895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Life Sciences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Defense/Aerospace</w:t>
            </w:r>
          </w:p>
        </w:tc>
        <w:tc>
          <w:tcPr>
            <w:tcW w:w="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123,302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00"/>
        <w:spacing w:after="0" w:line="253" w:lineRule="auto"/>
        <w:rPr>
          <w:sz w:val="20"/>
          <w:szCs w:val="20"/>
          <w:color w:val="auto"/>
        </w:rPr>
      </w:pPr>
      <w:r>
        <w:rPr>
          <w:rFonts w:ascii="Times New Roman" w:cs="Times New Roman" w:eastAsia="Times New Roman" w:hAnsi="Times New Roman"/>
          <w:sz w:val="18"/>
          <w:szCs w:val="18"/>
          <w:color w:val="auto"/>
        </w:rPr>
        <w:t>During 2024 our total consolidated revenue grew $7.4 million or 6% year over year. Alfamation™ contributed $25.0 million in revenue from the date of acquisition, with a significant majority of that in the automotive market and to a lesser extent life sciences. We also experienced increased demand in the defense/aerospace market in 2024 compared to 2023. These increases were offset by continued softness in the semi market in 2024. This reduction in demand, which we began to experience in the fourth quarter of 2023, has been particularly notable with regard to our customers in the front-end market who purchase our induction heating solutions for silicon carbide (“</w:t>
      </w:r>
      <w:r>
        <w:rPr>
          <w:rFonts w:ascii="Times New Roman" w:cs="Times New Roman" w:eastAsia="Times New Roman" w:hAnsi="Times New Roman"/>
          <w:sz w:val="18"/>
          <w:szCs w:val="18"/>
          <w:b w:val="1"/>
          <w:bCs w:val="1"/>
          <w:u w:val="single" w:color="auto"/>
          <w:color w:val="auto"/>
        </w:rPr>
        <w:t>SiC</w:t>
      </w:r>
      <w:r>
        <w:rPr>
          <w:rFonts w:ascii="Times New Roman" w:cs="Times New Roman" w:eastAsia="Times New Roman" w:hAnsi="Times New Roman"/>
          <w:sz w:val="18"/>
          <w:szCs w:val="18"/>
          <w:color w:val="auto"/>
        </w:rPr>
        <w:t>”) crystal growth and epitaxial reactors. The semi market is highly cyclical resulting in significant swings in demand when period to period comparisons are to different points in a given cycle. The current period of weakened demand began in the fourth quarter of 2023 resulting in significantly reduced revenue levels from our customers in the semi market during 2024. During the fourth quarter of 2024, as compared to the third quarter of the year, we have noted a modest improvement in the semi market based on the timing of front-end shipments and improving demand for our back-end semi solutions but order activity for our front-end semi solutions remains significantly reduced from the levels in 2023. We cannot be certain of the timing or amount of any future orders or revenue in this or any of our markets, nor can we be certain this positive trend in demand from our customers in the back-end of the semi market will continue.</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Semi Market</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semi market includes both the broader semiconductor manufacturing industry as well as the front-end and back-end sectors within the broader semiconductor market. With our induction heating products, we serve the front-end of the semiconductor manufacturing process including SiC crystal growth and epitaxial reactors. A variety of our electronic test and environmental technologies segments’ products are used in the back-end of the semiconductor manufacturing process, which includes the testing of ICs.</w:t>
      </w:r>
    </w:p>
    <w:p>
      <w:pPr>
        <w:spacing w:after="0" w:line="178"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IC Testing</w:t>
      </w:r>
      <w:r>
        <w:rPr>
          <w:rFonts w:ascii="Times New Roman" w:cs="Times New Roman" w:eastAsia="Times New Roman" w:hAnsi="Times New Roman"/>
          <w:sz w:val="18"/>
          <w:szCs w:val="18"/>
          <w:color w:val="auto"/>
        </w:rPr>
        <w:t>. Semiconductor manufacturers typically produce ICs in multiples of several hundred or more on a silicon wafer that is later separated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u w:val="single" w:color="auto"/>
          <w:color w:val="auto"/>
        </w:rPr>
        <w:t>diced</w:t>
      </w:r>
      <w:r>
        <w:rPr>
          <w:rFonts w:ascii="Times New Roman" w:cs="Times New Roman" w:eastAsia="Times New Roman" w:hAnsi="Times New Roman"/>
          <w:sz w:val="18"/>
          <w:szCs w:val="18"/>
          <w:color w:val="auto"/>
        </w:rPr>
        <w:t>” into individual ICs. Extended leads are then attached to the individual ICs for later connection to other electrical components. In most cases, the ICs are then encapsulated in a plastic, ceramic or other protective housing. These process steps are called “</w:t>
      </w:r>
      <w:r>
        <w:rPr>
          <w:rFonts w:ascii="Times New Roman" w:cs="Times New Roman" w:eastAsia="Times New Roman" w:hAnsi="Times New Roman"/>
          <w:sz w:val="18"/>
          <w:szCs w:val="18"/>
          <w:b w:val="1"/>
          <w:bCs w:val="1"/>
          <w:u w:val="single" w:color="auto"/>
          <w:color w:val="auto"/>
        </w:rPr>
        <w:t>packaging</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Wafers are tested before being diced and packaged to ensure that only properly functioning ICs are packaged. This testing step has several names, including “</w:t>
      </w:r>
      <w:r>
        <w:rPr>
          <w:rFonts w:ascii="Times New Roman" w:cs="Times New Roman" w:eastAsia="Times New Roman" w:hAnsi="Times New Roman"/>
          <w:sz w:val="18"/>
          <w:szCs w:val="18"/>
          <w:b w:val="1"/>
          <w:bCs w:val="1"/>
          <w:u w:val="single" w:color="auto"/>
          <w:color w:val="auto"/>
        </w:rPr>
        <w:t>front-end test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wafer test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wafer probe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wafer sort</w:t>
      </w:r>
      <w:r>
        <w:rPr>
          <w:rFonts w:ascii="Times New Roman" w:cs="Times New Roman" w:eastAsia="Times New Roman" w:hAnsi="Times New Roman"/>
          <w:sz w:val="18"/>
          <w:szCs w:val="18"/>
          <w:color w:val="auto"/>
        </w:rPr>
        <w:t>.” In front-end testing,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Once the good ICs have been identified, they are packaged.</w:t>
      </w:r>
    </w:p>
    <w:p>
      <w:pPr>
        <w:spacing w:after="0" w:line="17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The packaged ICs also require testing, called “</w:t>
      </w:r>
      <w:r>
        <w:rPr>
          <w:rFonts w:ascii="Times New Roman" w:cs="Times New Roman" w:eastAsia="Times New Roman" w:hAnsi="Times New Roman"/>
          <w:sz w:val="17"/>
          <w:szCs w:val="17"/>
          <w:b w:val="1"/>
          <w:bCs w:val="1"/>
          <w:u w:val="single" w:color="auto"/>
          <w:color w:val="auto"/>
        </w:rPr>
        <w:t>back-end test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final test</w:t>
      </w:r>
      <w:r>
        <w:rPr>
          <w:rFonts w:ascii="Times New Roman" w:cs="Times New Roman" w:eastAsia="Times New Roman" w:hAnsi="Times New Roman"/>
          <w:sz w:val="17"/>
          <w:szCs w:val="17"/>
          <w:color w:val="auto"/>
        </w:rPr>
        <w:t>,” to determine if they meet design and performance specifications. Packaged ICs are tested after loading into another type of electronic handling device called a “</w:t>
      </w:r>
      <w:r>
        <w:rPr>
          <w:rFonts w:ascii="Times New Roman" w:cs="Times New Roman" w:eastAsia="Times New Roman" w:hAnsi="Times New Roman"/>
          <w:sz w:val="17"/>
          <w:szCs w:val="17"/>
          <w:b w:val="1"/>
          <w:bCs w:val="1"/>
          <w:u w:val="single" w:color="auto"/>
          <w:color w:val="auto"/>
        </w:rPr>
        <w:t>package handler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handler</w:t>
      </w:r>
      <w:r>
        <w:rPr>
          <w:rFonts w:ascii="Times New Roman" w:cs="Times New Roman" w:eastAsia="Times New Roman" w:hAnsi="Times New Roman"/>
          <w:sz w:val="17"/>
          <w:szCs w:val="17"/>
          <w:color w:val="auto"/>
        </w:rPr>
        <w:t>,” which then transfers the packaged ICs into a test socket that is attached to the test head. These handlers may be temperature controlled for testing.</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Testers range in price from approximately $100 thousand to over $2.0 million each, depending primarily on the complexity of the IC to be tested. Probers and handlers range in price from approximately $50 thousand to $500 thousand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Market Trends</w:t>
      </w:r>
      <w:r>
        <w:rPr>
          <w:rFonts w:ascii="Times New Roman" w:cs="Times New Roman" w:eastAsia="Times New Roman" w:hAnsi="Times New Roman"/>
          <w:sz w:val="18"/>
          <w:szCs w:val="18"/>
          <w:color w:val="auto"/>
        </w:rPr>
        <w:t>. We believe the semi market, an historically highly cyclical industry, will experience increased growth in the overall size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over the next several years as a result of billions of dollars of investments in new fabrication (“</w:t>
      </w:r>
      <w:r>
        <w:rPr>
          <w:rFonts w:ascii="Times New Roman" w:cs="Times New Roman" w:eastAsia="Times New Roman" w:hAnsi="Times New Roman"/>
          <w:sz w:val="18"/>
          <w:szCs w:val="18"/>
          <w:b w:val="1"/>
          <w:bCs w:val="1"/>
          <w:u w:val="single" w:color="auto"/>
          <w:color w:val="auto"/>
        </w:rPr>
        <w:t>fab</w:t>
      </w:r>
      <w:r>
        <w:rPr>
          <w:rFonts w:ascii="Times New Roman" w:cs="Times New Roman" w:eastAsia="Times New Roman" w:hAnsi="Times New Roman"/>
          <w:sz w:val="18"/>
          <w:szCs w:val="18"/>
          <w:color w:val="auto"/>
        </w:rPr>
        <w:t>”) facilities around the world. These investments are being driven by the continued growth of the use of electronics, the need for powering an ever-growing number of devices and the continued economic development of less wealthy nations. We believe the COVID-19 pandemic and an increase in geopolitical tensions in recent years have made the high concentration of semiconductor manufacturing in China and Taiwan very apparent to more wealthy nations and has spurred the investment in expansion of this industry in areas outside of these regions. While we believe the semi market will continue to experience its historical pattern of cyclicality, we expect the effect on our business to be reduced due to our efforts to expand our customer base and the release of new products. Nonetheless, we expect the shifts in demand in the industry from periods of expansion to periods of contraction may be significant, as has been the case for much of the semi market in 2023 and 2024, when the industry was in a period of slowing growth and overall declines as compared to 2021 and 2022.</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semiconductor manufacturers remain under pressure to maximize production yields and reduce testing costs. At the same time, the growing complexity of ICs has increased the difficulty of maximizing test yields. To address these market trends, we believe semiconductor manufacturers strive for more effective utilization of ATE, smaller test areas and increased wafer level testing which requires our differentiated solutions that include test head manipulators, test head docking stations and test interfaces. As technology advances and ICs become increasingly more complex, we believe the need for increased capabilities in the test process should drive greater demand for our equipment. We expect that more front-end testing is going to be required to ensure maximum yield from the massive capital investments being made in fab expansion.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Markets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provide a variety of solutions to our industrial, automotive, life sciences, defense/aerospace, security and other markets. We believe a number of drivers are creating more opportunities for our highly engineered solutions in these markets.</w:t>
      </w:r>
    </w:p>
    <w:p>
      <w:pPr>
        <w:spacing w:after="0" w:line="1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78" w:right="339" w:bottom="1440" w:gutter="0" w:footer="0" w:header="0"/>
        </w:sectPr>
      </w:pPr>
    </w:p>
    <w:bookmarkStart w:id="8" w:name="page9"/>
    <w:bookmarkEnd w:id="8"/>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industrial market is the broadest, most diverse area we serve with a majority of our products serving a variety of applications. Applications for our induction heating products include annealing, bonding, brazing, curing, forging, heat treating, melting and shrink-fitting. Applications for our thermal test and process products include pressure-sensor testing, printed circuit board testing and cold-trap cooling for industrial processes. We believe the trend toward the use of green energy, automation, increased productivity and expanding manufacturing technology present opportunities for us to help our customers solve their complex challenges.</w:t>
      </w:r>
    </w:p>
    <w:p>
      <w:pPr>
        <w:spacing w:after="0" w:line="183" w:lineRule="exact"/>
        <w:rPr>
          <w:sz w:val="20"/>
          <w:szCs w:val="20"/>
          <w:color w:val="auto"/>
        </w:rPr>
      </w:pPr>
    </w:p>
    <w:p>
      <w:pPr>
        <w:ind w:left="20" w:right="100"/>
        <w:spacing w:after="0" w:line="255" w:lineRule="auto"/>
        <w:rPr>
          <w:sz w:val="20"/>
          <w:szCs w:val="20"/>
          <w:color w:val="auto"/>
        </w:rPr>
      </w:pPr>
      <w:r>
        <w:rPr>
          <w:rFonts w:ascii="Times New Roman" w:cs="Times New Roman" w:eastAsia="Times New Roman" w:hAnsi="Times New Roman"/>
          <w:sz w:val="18"/>
          <w:szCs w:val="18"/>
          <w:color w:val="auto"/>
        </w:rPr>
        <w:t>In the automotive market, we provide solutions that help in the quality and productivity of both internal combustion and EV manufacturing and onboard electronics. Our EV solutions include, but are not limited to, induction heating solutions for motor manufacturing, automated test equipment for battery cells, and industrial process chillers and thermal test chambers for inverter and battery testing and automated test solutions for automotive infotainment systems in both production and quality control. We believe there is a strong global growth trend in EVs and that our differentiated solutions can be applied to more customers in more geographic regions. Our automotive electronics testing solutions include functional test platforms that address a broad range of test requirements, from wireless communication telematics through automotive infotainment, computer control units and touch displays and instrument clusters.</w:t>
      </w:r>
    </w:p>
    <w:p>
      <w:pPr>
        <w:spacing w:after="0" w:line="189"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In the life sciences industry, we provide image capture products, electronic test systems and heating systems for medical device manufacturing and equipment for critical applications within the medical cold chain for pharmaceuticals.</w:t>
      </w:r>
    </w:p>
    <w:p>
      <w:pPr>
        <w:spacing w:after="0" w:line="162" w:lineRule="exact"/>
        <w:rPr>
          <w:sz w:val="20"/>
          <w:szCs w:val="20"/>
          <w:color w:val="auto"/>
        </w:rPr>
      </w:pPr>
    </w:p>
    <w:p>
      <w:pPr>
        <w:ind w:left="20" w:right="260"/>
        <w:spacing w:after="0" w:line="266" w:lineRule="auto"/>
        <w:rPr>
          <w:sz w:val="20"/>
          <w:szCs w:val="20"/>
          <w:color w:val="auto"/>
        </w:rPr>
      </w:pPr>
      <w:r>
        <w:rPr>
          <w:rFonts w:ascii="Times New Roman" w:cs="Times New Roman" w:eastAsia="Times New Roman" w:hAnsi="Times New Roman"/>
          <w:sz w:val="18"/>
          <w:szCs w:val="18"/>
          <w:color w:val="auto"/>
        </w:rPr>
        <w:t>In the defense/aerospace industry, we provide ATE to prime and subcontract manufacturers to ensure quality control is maintained while also providing quicker, more accurate test times of electronic circuit boards. We also provide solutions for thermal testing of equipment to ensure it will function over the specified temperature range. We believe this market is growing, in part, due to recent global instability.</w:t>
      </w:r>
    </w:p>
    <w:p>
      <w:pPr>
        <w:spacing w:after="0" w:line="176"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In the security industry, our image capture and data management technologies are used in a broad variety of applications primarily related to safety and monitoring.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OUR SOLUTIONS</w:t>
      </w:r>
    </w:p>
    <w:p>
      <w:pPr>
        <w:spacing w:after="0" w:line="225" w:lineRule="exact"/>
        <w:rPr>
          <w:sz w:val="20"/>
          <w:szCs w:val="20"/>
          <w:color w:val="auto"/>
        </w:rPr>
      </w:pPr>
    </w:p>
    <w:p>
      <w:pPr>
        <w:ind w:left="20" w:right="200"/>
        <w:spacing w:after="0" w:line="281" w:lineRule="auto"/>
        <w:rPr>
          <w:sz w:val="20"/>
          <w:szCs w:val="20"/>
          <w:color w:val="auto"/>
        </w:rPr>
      </w:pPr>
      <w:r>
        <w:rPr>
          <w:rFonts w:ascii="Times New Roman" w:cs="Times New Roman" w:eastAsia="Times New Roman" w:hAnsi="Times New Roman"/>
          <w:sz w:val="17"/>
          <w:szCs w:val="17"/>
          <w:color w:val="auto"/>
        </w:rPr>
        <w:t>We focus our development efforts on designing and producing high quality products and highly-engineered solutions that deliver superior performance and cost-effectiveness for our customers. We seek to address each manufacturer’s individual needs through innovative and customized designs, use of the best materials available, quality manufacturing practices and personalized service. We design solutions to overcome the evolving challenges facing the semi market and other markets that we serve, which we believe provide the following advantages: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Temperature-Controlled Testing</w:t>
      </w:r>
      <w:r>
        <w:rPr>
          <w:rFonts w:ascii="Times New Roman" w:cs="Times New Roman" w:eastAsia="Times New Roman" w:hAnsi="Times New Roman"/>
          <w:sz w:val="18"/>
          <w:szCs w:val="18"/>
          <w:color w:val="auto"/>
        </w:rPr>
        <w:t>. Our ThermoStream® products are used by manufacturers in a number of markets to stress test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thermal platforms and temperature chambers, sold under our Sigma Systems product line,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83" w:lineRule="exact"/>
        <w:rPr>
          <w:sz w:val="20"/>
          <w:szCs w:val="20"/>
          <w:color w:val="auto"/>
        </w:rPr>
      </w:pPr>
    </w:p>
    <w:p>
      <w:pPr>
        <w:ind w:left="20" w:right="1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Induction Heating. </w:t>
      </w:r>
      <w:r>
        <w:rPr>
          <w:rFonts w:ascii="Times New Roman" w:cs="Times New Roman" w:eastAsia="Times New Roman" w:hAnsi="Times New Roman"/>
          <w:sz w:val="17"/>
          <w:szCs w:val="17"/>
          <w:color w:val="auto"/>
        </w:rPr>
        <w:t>Our induction heating products are used in process applications where precision-controlled heating is needed. Customers 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induction heating products in conjunction with other technologies in various manufacturing environments to improve production efficiencies and reduce or eliminate greenhouse gas emissions. Applications for our EKOHEAT® or EASYHEAT™ induction heating products include annealing, bonding, brazing, curing, forging, heat treating, melting, shrink-fitting, crystal growing, semi-wafer heating and material testing.</w:t>
      </w:r>
    </w:p>
    <w:p>
      <w:pPr>
        <w:spacing w:after="0" w:line="164" w:lineRule="exact"/>
        <w:rPr>
          <w:sz w:val="20"/>
          <w:szCs w:val="20"/>
          <w:color w:val="auto"/>
        </w:rPr>
      </w:pPr>
    </w:p>
    <w:p>
      <w:pPr>
        <w:ind w:left="2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Streaming and Image Capturing Solutions. </w:t>
      </w:r>
      <w:r>
        <w:rPr>
          <w:rFonts w:ascii="Times New Roman" w:cs="Times New Roman" w:eastAsia="Times New Roman" w:hAnsi="Times New Roman"/>
          <w:sz w:val="18"/>
          <w:szCs w:val="18"/>
          <w:color w:val="auto"/>
        </w:rPr>
        <w:t>Videology® offers industrial-grade circuit board mounted digital imaging solutions, Zoom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cameras and complete image capture systems. Videology® also offers OEMs imaging solutions designed to the customers’ specifications and that can interface with the customers’ software.</w:t>
      </w:r>
    </w:p>
    <w:p>
      <w:pPr>
        <w:spacing w:after="0" w:line="173"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8"/>
          <w:szCs w:val="18"/>
          <w:i w:val="1"/>
          <w:iCs w:val="1"/>
          <w:color w:val="auto"/>
        </w:rPr>
        <w:t>Scalable, Universal, High Performance ATE Integration Solutions</w:t>
      </w:r>
      <w:r>
        <w:rPr>
          <w:rFonts w:ascii="Times New Roman" w:cs="Times New Roman" w:eastAsia="Times New Roman" w:hAnsi="Times New Roman"/>
          <w:sz w:val="18"/>
          <w:szCs w:val="18"/>
          <w:color w:val="auto"/>
        </w:rPr>
        <w:t>. Our universal test head manipulators provide a high degree of positioning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with a minimum amount of effort. As a result, our products can be used in virtually any test setting. Our manipulator products are designed to accommodate the increased size of test heads and can now support test heads weighing up to 1200kg. Our docking hardware products offer precise control over the connection to test sockets, probing assemblies and interface boards, reducing downtime and minimizing costly damage to fragile components. Our newest manipulator and docking hardware designs offer automated capabilities that allow for reduced downtime and increased productivity through predictable and repeatable production setup with reduced risk of operator error. Our tester interface products optimize the integrity of the signals transmitted between the test head and the device under test by being virtually transparent to the test signals, which results in increased accuracy of the test data and may thus enable improved test yields. Our interface product offerings have recently been expanded to serve the growing market for testing higher powered devices. A hallmark of our semi market product offerings has been, and continues to be, compatibility with a wide variety of ATE. Our manipulator 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80" w:right="379" w:bottom="1440" w:gutter="0" w:footer="0" w:header="0"/>
        </w:sectPr>
      </w:pPr>
    </w:p>
    <w:bookmarkStart w:id="9" w:name="page10"/>
    <w:bookmarkEnd w:id="9"/>
    <w:p>
      <w:pPr>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Robotics-Based Electronic Production Test Equipment. </w:t>
      </w:r>
      <w:r>
        <w:rPr>
          <w:rFonts w:ascii="Times New Roman" w:cs="Times New Roman" w:eastAsia="Times New Roman" w:hAnsi="Times New Roman"/>
          <w:sz w:val="17"/>
          <w:szCs w:val="17"/>
          <w:color w:val="auto"/>
        </w:rPr>
        <w:t>Acculogic adds to our electronic test platform offerings beyond those which exclusively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 the semi market. Acculogic designs and manufactures robotics-based electronic production test equipment and provides application support services which are sold to electronic manufacturers including OEM and contract electronic manufacturers as well as battery manufacturers.</w:t>
      </w:r>
    </w:p>
    <w:p>
      <w:pPr>
        <w:spacing w:after="0" w:line="1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Functional Test Equipment for Automotive, Life Sciences and Specialty Consumer Electronics Markets. </w:t>
      </w:r>
      <w:r>
        <w:rPr>
          <w:rFonts w:ascii="Times New Roman" w:cs="Times New Roman" w:eastAsia="Times New Roman" w:hAnsi="Times New Roman"/>
          <w:sz w:val="18"/>
          <w:szCs w:val="18"/>
          <w:color w:val="auto"/>
        </w:rPr>
        <w:t>Alfamation designs, builds, and supports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 range of products, from individual functional test modules to fully automated systems for production quality control and product development. In automotive electronics, these systems are sold to Tier One manufacturers, whose products are delivered to car manufacturers (OEMs).</w:t>
      </w:r>
    </w:p>
    <w:p>
      <w:pPr>
        <w:spacing w:after="0" w:line="1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Worldwide Customer Service and Support</w:t>
      </w:r>
      <w:r>
        <w:rPr>
          <w:rFonts w:ascii="Times New Roman" w:cs="Times New Roman" w:eastAsia="Times New Roman" w:hAnsi="Times New Roman"/>
          <w:sz w:val="18"/>
          <w:szCs w:val="18"/>
          <w:color w:val="auto"/>
        </w:rPr>
        <w:t>. We have long recognized the need to maintain a physical presence near our customers’ facilities.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we had manufacturing facilities in the U.S. in Massachusetts, New Jersey, and New York as well as outside the U.S. in Canada, Germany, Italy and the Netherlands. We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noted above, we have a facility in Penang, Malaysia which supports applications engineering, product development and localized manufacturing for nearly all inTEST brands. It serves as the main location in the region for customer product demonstrations, customer service and applications training. This facility began engineering and supply chain operations in the third quarter of 2024 and is expected to begin manufacturing and support operations by the third quarter of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SEGMENTS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which are also our reportable segments and reporting units: Electronic Test, Environmental Technologies and Process Technologies.</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Our Electronic Test segment consists of (i) inTEST EMS which has operations in New Jersey and California, and (ii) Acculogic, which has operations in Canada, California and Germany and (iii) Alfamation S.p.A., which has operations in Italy and China. Semiconductor manufacturers use our inTEST EMS solutions in back-end testing where our mechanical and electrical products serve production testing of wafers and specialized packaged ICs. These ICs include microprocessors, digital signal processing chips, mixed signal devices, micro-electro-mechanical systems (“</w:t>
      </w:r>
      <w:r>
        <w:rPr>
          <w:rFonts w:ascii="Times New Roman" w:cs="Times New Roman" w:eastAsia="Times New Roman" w:hAnsi="Times New Roman"/>
          <w:sz w:val="17"/>
          <w:szCs w:val="17"/>
          <w:b w:val="1"/>
          <w:bCs w:val="1"/>
          <w:u w:val="single" w:color="auto"/>
          <w:color w:val="auto"/>
        </w:rPr>
        <w:t>MEMS</w:t>
      </w:r>
      <w:r>
        <w:rPr>
          <w:rFonts w:ascii="Times New Roman" w:cs="Times New Roman" w:eastAsia="Times New Roman" w:hAnsi="Times New Roman"/>
          <w:sz w:val="17"/>
          <w:szCs w:val="17"/>
          <w:color w:val="auto"/>
        </w:rPr>
        <w:t>”), application specific ICs and specialized memory ICs, and are used primarily in the automotive, consumer electronics, industrial, and mobile communication markets. Our products are a combination of standard designs based on industry requirements and those designed specifically to meet a customer’s particular combination of ATE. Acculogic’s product offerings include robotics-based electronic test equipment and application support services used primarily in defense/aerospace, automotive, battery, life sciences and electronic manufacturing services industries. Alfamation™’s product offerings include functional test equipment for production quality control and product development.</w:t>
      </w:r>
    </w:p>
    <w:p>
      <w:pPr>
        <w:spacing w:after="0" w:line="16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Our Environmental Technologies segment consists of inTEST Thermal Solutions (“</w:t>
      </w:r>
      <w:r>
        <w:rPr>
          <w:rFonts w:ascii="Times New Roman" w:cs="Times New Roman" w:eastAsia="Times New Roman" w:hAnsi="Times New Roman"/>
          <w:sz w:val="18"/>
          <w:szCs w:val="18"/>
          <w:b w:val="1"/>
          <w:bCs w:val="1"/>
          <w:u w:val="single" w:color="auto"/>
          <w:color w:val="auto"/>
        </w:rPr>
        <w:t>iTS</w:t>
      </w:r>
      <w:r>
        <w:rPr>
          <w:rFonts w:ascii="Times New Roman" w:cs="Times New Roman" w:eastAsia="Times New Roman" w:hAnsi="Times New Roman"/>
          <w:sz w:val="18"/>
          <w:szCs w:val="18"/>
          <w:color w:val="auto"/>
        </w:rPr>
        <w:t>”), which manufactures and sells products under the Temptronic®, Sigma, Thermonics® and North Sciences brand names and has operations in Massachusetts, Germany and Singapore. Customers use the thermal solutions produced by iTS for product development, characterization and production test. This segment also offers ultra-cold storage solutions for the life sciences cold chain market. Our Environmental Technologies segment provides these solutions across an array of markets including automotive, defense/aerospace, industrial, life sciences and semiconductor.</w:t>
      </w:r>
    </w:p>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Process Technologies segment consists of (i) Ambrell® which has operations in New York, the Netherlands and the U.K. and (ii) Videology®, which has operations in Massachusetts and the Netherlands. Ambrell® provides customers with induction heating solutions for a wide variety of manufacturing processes. Videology® is a designer, developer and manufacturer of digital streaming and image capturing solutions. Our Process Technologies segment provides these solutions across an array of markets including automotive, defense/aerospace, industrial, life sciences, security and semiconductor.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25, 2025, we notified employees of our wholly-owned subsidiary, Videology Imaging Corporation, of our intention to consolidate all operations in the Netherlands into our facility located in Mansfield, Massachusetts. This plan would result in the closure of the Netherlands facility and the termination of certain employees at that location. The consolidation of the Netherlands operations is being undertaken to increase efficiencies and lower operating costs associated with the current operation of Videology®. The consolidation is expected to be substantially completed by the end of 2025 at which point we intend to fully vacate the Netherlands facility.</w:t>
      </w:r>
    </w:p>
    <w:p>
      <w:pPr>
        <w:spacing w:after="0" w:line="1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78" w:right="359" w:bottom="1440" w:gutter="0" w:footer="0" w:header="0"/>
        </w:sectPr>
      </w:pPr>
    </w:p>
    <w:bookmarkStart w:id="10" w:name="page11"/>
    <w:bookmarkEnd w:id="10"/>
    <w:p>
      <w:pPr>
        <w:ind w:right="80"/>
        <w:spacing w:after="0" w:line="266" w:lineRule="auto"/>
        <w:rPr>
          <w:sz w:val="20"/>
          <w:szCs w:val="20"/>
          <w:color w:val="auto"/>
        </w:rPr>
      </w:pPr>
      <w:r>
        <w:rPr>
          <w:rFonts w:ascii="Times New Roman" w:cs="Times New Roman" w:eastAsia="Times New Roman" w:hAnsi="Times New Roman"/>
          <w:sz w:val="18"/>
          <w:szCs w:val="18"/>
          <w:color w:val="auto"/>
        </w:rPr>
        <w:t>As a result of this action, we expect to incur cash charges for severance and other one-time termination benefits of $350 thousand. In addition, we expect to incur cash charges for other costs related to the facility consolidation, including moving costs, costs associated with the termination of the Netherlands facility lease and other consolidation costs, ranging from $200 thousand to $300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Electronic Test Products</w:t>
      </w:r>
    </w:p>
    <w:p>
      <w:pPr>
        <w:spacing w:after="0" w:line="22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Manipulator Products. </w:t>
      </w:r>
      <w:r>
        <w:rPr>
          <w:rFonts w:ascii="Times New Roman" w:cs="Times New Roman" w:eastAsia="Times New Roman" w:hAnsi="Times New Roman"/>
          <w:sz w:val="18"/>
          <w:szCs w:val="18"/>
          <w:color w:val="auto"/>
        </w:rPr>
        <w:t>We provide a range of manipulators, including the Cobal and the LS Series, to accommodate the unique testing needs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head weights ranging from 115kg to 1,200kg. Our manipulator line includes hinge, universal and probe only manipulators to hold a variety of test heads, enabling operators to easily reposition them for use with any of several probers or handlers on a test floor.</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manipulator products incorporate a balanced floating-head design. This design permits a test head weighing up to 1,200kg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inTEST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computer-controlled pendant. Our manipulator products generally range in price from approximately $12 thousand to $100 thousand.</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Docking Hardware Products</w:t>
      </w:r>
      <w:r>
        <w:rPr>
          <w:rFonts w:ascii="Times New Roman" w:cs="Times New Roman" w:eastAsia="Times New Roman" w:hAnsi="Times New Roman"/>
          <w:sz w:val="18"/>
          <w:szCs w:val="18"/>
          <w:color w:val="auto"/>
        </w:rPr>
        <w:t>. We offer three lines of docking hardware products: fixed manual docking, AERODOCK™ and INTELLIDOCK™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pin and cup docking. All of our docking hardware products protect the delicate interface contacts and ensure proper repeatable and precise alignment between the test head’s interface board and the prober’s probing assembly or the handler’s test socket as they are brought together, or “</w:t>
      </w:r>
      <w:r>
        <w:rPr>
          <w:rFonts w:ascii="Times New Roman" w:cs="Times New Roman" w:eastAsia="Times New Roman" w:hAnsi="Times New Roman"/>
          <w:sz w:val="18"/>
          <w:szCs w:val="18"/>
          <w:b w:val="1"/>
          <w:bCs w:val="1"/>
          <w:u w:val="single" w:color="auto"/>
          <w:color w:val="auto"/>
        </w:rPr>
        <w:t>docked</w:t>
      </w:r>
      <w:r>
        <w:rPr>
          <w:rFonts w:ascii="Times New Roman" w:cs="Times New Roman" w:eastAsia="Times New Roman" w:hAnsi="Times New Roman"/>
          <w:sz w:val="18"/>
          <w:szCs w:val="18"/>
          <w:color w:val="auto"/>
        </w:rPr>
        <w:t>.” Fixed manual docking includes a mechanical cam mechanism to dock and lock the test head to the prober or handler. AERODOCK™ is a new design in our docking hardware product line, bringing to market a cost-effective, pneumatically driven, active docking system. INTELLIDOCK™ is an automated docking solution that provides operator feedback for each docking step via a touchscreen display, and when coupled with the LS Series manipulator, redeployment of the test head can be done automatically and accurately via the computer pendant. All of our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believe our docking hardware products offer our customers the ability to make various competing brands of test heads compatible with various brands of probers and handlers by only changing interface boards (“</w:t>
      </w:r>
      <w:r>
        <w:rPr>
          <w:rFonts w:ascii="Times New Roman" w:cs="Times New Roman" w:eastAsia="Times New Roman" w:hAnsi="Times New Roman"/>
          <w:sz w:val="17"/>
          <w:szCs w:val="17"/>
          <w:b w:val="1"/>
          <w:bCs w:val="1"/>
          <w:u w:val="single" w:color="auto"/>
          <w:color w:val="auto"/>
        </w:rPr>
        <w:t>plug-compatibility</w:t>
      </w:r>
      <w:r>
        <w:rPr>
          <w:rFonts w:ascii="Times New Roman" w:cs="Times New Roman" w:eastAsia="Times New Roman" w:hAnsi="Times New Roman"/>
          <w:sz w:val="17"/>
          <w:szCs w:val="17"/>
          <w:color w:val="auto"/>
        </w:rPr>
        <w:t>”).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generally range in price from approximately $2 thousand to $25 thousand.</w:t>
      </w:r>
    </w:p>
    <w:p>
      <w:pPr>
        <w:spacing w:after="0" w:line="1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Interface Products</w:t>
      </w:r>
      <w:r>
        <w:rPr>
          <w:rFonts w:ascii="Times New Roman" w:cs="Times New Roman" w:eastAsia="Times New Roman" w:hAnsi="Times New Roman"/>
          <w:sz w:val="18"/>
          <w:szCs w:val="18"/>
          <w:color w:val="auto"/>
        </w:rPr>
        <w:t>. Our tester interface products provide the electrical connections between the tester and the wafer prober or IC handler to carry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 modular interface is designed to provide flexibility and scalability through the use of replaceable signal modules which can be easily changed on the test floor as our customers’ testing requirements change. In addition to the Centaur® modular interface, we also offer over 200 different types of tester interface models that we custom designed for our customers’ specific applications. These tester interface products generally range in price from approximately $7 thousand to $175 thousand.</w:t>
      </w:r>
    </w:p>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0" w:right="339" w:bottom="1440" w:gutter="0" w:footer="0" w:header="0"/>
        </w:sectPr>
      </w:pPr>
    </w:p>
    <w:bookmarkStart w:id="11" w:name="page12"/>
    <w:bookmarkEnd w:id="11"/>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Acculogic Scorpion Flying Probe Test Systems. </w:t>
      </w:r>
      <w:r>
        <w:rPr>
          <w:rFonts w:ascii="Times New Roman" w:cs="Times New Roman" w:eastAsia="Times New Roman" w:hAnsi="Times New Roman"/>
          <w:sz w:val="18"/>
          <w:szCs w:val="18"/>
          <w:color w:val="auto"/>
        </w:rPr>
        <w:t>Acculogic designs and manufactures robotics-based electronic test equipment and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support services for OEMs, contract electronic manufacturers and battery manufacturers. These systems are used to structurally test an electronic device including printed circuit board assembly (“</w:t>
      </w:r>
      <w:r>
        <w:rPr>
          <w:rFonts w:ascii="Times New Roman" w:cs="Times New Roman" w:eastAsia="Times New Roman" w:hAnsi="Times New Roman"/>
          <w:sz w:val="18"/>
          <w:szCs w:val="18"/>
          <w:b w:val="1"/>
          <w:bCs w:val="1"/>
          <w:u w:val="single" w:color="auto"/>
          <w:color w:val="auto"/>
        </w:rPr>
        <w:t>PCBA</w:t>
      </w:r>
      <w:r>
        <w:rPr>
          <w:rFonts w:ascii="Times New Roman" w:cs="Times New Roman" w:eastAsia="Times New Roman" w:hAnsi="Times New Roman"/>
          <w:sz w:val="18"/>
          <w:szCs w:val="18"/>
          <w:color w:val="auto"/>
        </w:rPr>
        <w:t>”) and battery interconnect test. Structural testing provides confirmation that the device was manufactured properly by confirming circuits are functioning properly. In addition to testing of the basic circuitry of a PCBA, our Acculogic solutions can integrate various functional testing capabilities such as boundary scan and radio frequency measurement to confirm that the device will perform the functions for which it is designed. Acculogic’s Scorpion Flying Probe system can be quickly programmed to test almost any printed circuit board. This programming is done with computer-aided design or design data of the device to be tested. Traditional in-circuit testing systems require a dedicated fixture for each board to be tested. Acculogic’s Flying Probe system can test a virtually unlimited number of boards without any hardware modifications. These systems generally sell for between $250 thousand and $800 thousand.</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Using the flying probe configuration, The STINGRAY Battery Tester employs a set of test heads to measure the electrical resistance of each bond in the battery array. By utilizing the four-wire technique, the tester can perform electrical tests on low-resistance interconnects, even as low as 200uΩ. Each test is completed within milliseconds, ensuring rapid testing of each battery array. The STINGRAY was the first to market a non-contact probe module in 2024. Using advanced magnetic field measurement techniques to assess the interconnect quality without physical contact, this allows for accurate and complete test coverage for both laser-welded and wire bonded interconnects.</w:t>
      </w:r>
    </w:p>
    <w:p>
      <w:pPr>
        <w:spacing w:after="0" w:line="181" w:lineRule="exact"/>
        <w:rPr>
          <w:sz w:val="20"/>
          <w:szCs w:val="20"/>
          <w:color w:val="auto"/>
        </w:rPr>
      </w:pPr>
    </w:p>
    <w:p>
      <w:pPr>
        <w:jc w:val="both"/>
        <w:ind w:right="140"/>
        <w:spacing w:after="0" w:line="315" w:lineRule="auto"/>
        <w:rPr>
          <w:sz w:val="20"/>
          <w:szCs w:val="20"/>
          <w:color w:val="auto"/>
        </w:rPr>
      </w:pPr>
      <w:r>
        <w:rPr>
          <w:rFonts w:ascii="Times New Roman" w:cs="Times New Roman" w:eastAsia="Times New Roman" w:hAnsi="Times New Roman"/>
          <w:sz w:val="17"/>
          <w:szCs w:val="17"/>
          <w:i w:val="1"/>
          <w:iCs w:val="1"/>
          <w:color w:val="auto"/>
        </w:rPr>
        <w:t>Acculogic BRiZ Automated Test and Programming Services</w:t>
      </w:r>
      <w:r>
        <w:rPr>
          <w:rFonts w:ascii="Times New Roman" w:cs="Times New Roman" w:eastAsia="Times New Roman" w:hAnsi="Times New Roman"/>
          <w:sz w:val="17"/>
          <w:szCs w:val="17"/>
          <w:color w:val="auto"/>
        </w:rPr>
        <w:t>: BRiZ is an automated test platform that can consolidate any variety of circuit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test and programming into a single, compact, low-cost test station. These platforms generally sell for between $50 thousand and $250 thousand.</w:t>
      </w:r>
    </w:p>
    <w:p>
      <w:pPr>
        <w:spacing w:after="0" w:line="13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Alfamation Hyperion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Functional Test Platform: </w:t>
      </w:r>
      <w:r>
        <w:rPr>
          <w:rFonts w:ascii="Times New Roman" w:cs="Times New Roman" w:eastAsia="Times New Roman" w:hAnsi="Times New Roman"/>
          <w:sz w:val="18"/>
          <w:szCs w:val="18"/>
          <w:color w:val="auto"/>
        </w:rPr>
        <w:t>Hyperion™ is an automated Test Platform for PCBA &amp; Assembly level testing, modular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configurable to quickly fit different customer applications. It addresses End-of-Line testing of a broad range of devices, from wireless communication telematics through automotive infotainment and computer control units.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Alfamation Pixelshooter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Touch Display Tester</w:t>
      </w:r>
      <w:r>
        <w:rPr>
          <w:rFonts w:ascii="Times New Roman" w:cs="Times New Roman" w:eastAsia="Times New Roman" w:hAnsi="Times New Roman"/>
          <w:sz w:val="18"/>
          <w:szCs w:val="18"/>
          <w:color w:val="auto"/>
        </w:rPr>
        <w:t>: Pixelshooter™ is comprehensive and scalable solution for electrical and optical testing of touch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displays, including automotive instrument clusters and touch screens, with integrated robotics for haptic feedback, buttons and knobs assessment. It is conceived for 24/7 high volume manufacturing operations and provides hi-res defective pixel detection, color calibration, brightness uniformity and flicker measurement. These products typically sell for between $150 thousand and $250 thousand.</w:t>
      </w:r>
    </w:p>
    <w:p>
      <w:pPr>
        <w:spacing w:after="0" w:line="1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Alfamation Wafer-Level Optical component Tester (WALOT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WALOT™ is a fully automated test system designed to test passive optical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at Wafer-level, such as diffractive optical elements (“</w:t>
      </w:r>
      <w:r>
        <w:rPr>
          <w:rFonts w:ascii="Times New Roman" w:cs="Times New Roman" w:eastAsia="Times New Roman" w:hAnsi="Times New Roman"/>
          <w:sz w:val="18"/>
          <w:szCs w:val="18"/>
          <w:b w:val="1"/>
          <w:bCs w:val="1"/>
          <w:u w:val="single" w:color="auto"/>
          <w:color w:val="auto"/>
        </w:rPr>
        <w:t>DOE</w:t>
      </w:r>
      <w:r>
        <w:rPr>
          <w:rFonts w:ascii="Times New Roman" w:cs="Times New Roman" w:eastAsia="Times New Roman" w:hAnsi="Times New Roman"/>
          <w:sz w:val="18"/>
          <w:szCs w:val="18"/>
          <w:color w:val="auto"/>
        </w:rPr>
        <w:t>”), meta optical elements (“</w:t>
      </w:r>
      <w:r>
        <w:rPr>
          <w:rFonts w:ascii="Times New Roman" w:cs="Times New Roman" w:eastAsia="Times New Roman" w:hAnsi="Times New Roman"/>
          <w:sz w:val="18"/>
          <w:szCs w:val="18"/>
          <w:b w:val="1"/>
          <w:bCs w:val="1"/>
          <w:u w:val="single" w:color="auto"/>
          <w:color w:val="auto"/>
        </w:rPr>
        <w:t>MOE</w:t>
      </w:r>
      <w:r>
        <w:rPr>
          <w:rFonts w:ascii="Times New Roman" w:cs="Times New Roman" w:eastAsia="Times New Roman" w:hAnsi="Times New Roman"/>
          <w:sz w:val="18"/>
          <w:szCs w:val="18"/>
          <w:color w:val="auto"/>
        </w:rPr>
        <w:t>”) and micro lens array (“</w:t>
      </w:r>
      <w:r>
        <w:rPr>
          <w:rFonts w:ascii="Times New Roman" w:cs="Times New Roman" w:eastAsia="Times New Roman" w:hAnsi="Times New Roman"/>
          <w:sz w:val="18"/>
          <w:szCs w:val="18"/>
          <w:b w:val="1"/>
          <w:bCs w:val="1"/>
          <w:u w:val="single" w:color="auto"/>
          <w:color w:val="auto"/>
        </w:rPr>
        <w:t>MLA</w:t>
      </w:r>
      <w:r>
        <w:rPr>
          <w:rFonts w:ascii="Times New Roman" w:cs="Times New Roman" w:eastAsia="Times New Roman" w:hAnsi="Times New Roman"/>
          <w:sz w:val="18"/>
          <w:szCs w:val="18"/>
          <w:color w:val="auto"/>
        </w:rPr>
        <w:t>”). These optical components are used in consumer electronics devices (i.e. facial recognition) and automotive decorative lighting applications. It combines efficient automation with the capability of handling a wide range of functional tests and is equipped with air-bearing wafer handling system combined with a flexible measurement setup architecture which requires little to no maintenance. These systems generally sell for between $300 thousand and $450 thousand.</w:t>
      </w:r>
    </w:p>
    <w:p>
      <w:pPr>
        <w:spacing w:after="0" w:line="1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Alfamation Flexmedia XM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Specialty Test Modules</w:t>
      </w:r>
      <w:r>
        <w:rPr>
          <w:rFonts w:ascii="Times New Roman" w:cs="Times New Roman" w:eastAsia="Times New Roman" w:hAnsi="Times New Roman"/>
          <w:sz w:val="18"/>
          <w:szCs w:val="18"/>
          <w:color w:val="auto"/>
        </w:rPr>
        <w:t>: Flexmedia XM® is a modular, robust and cost-effective solution for building flexible,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scalable, functional testers for applications that include audio and video generators and analyzers, automotive ethernet and communication interfaces, and analog measurements. They address the requirements of many automotive infotainment and wireless telematics functional testing needs. Average selling price of each module is $2 thousand, and they are sold online as well, at www.flexmediaxm.com.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Technologies Products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ThermoStream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Products</w:t>
      </w:r>
      <w:r>
        <w:rPr>
          <w:rFonts w:ascii="Times New Roman" w:cs="Times New Roman" w:eastAsia="Times New Roman" w:hAnsi="Times New Roman"/>
          <w:sz w:val="18"/>
          <w:szCs w:val="18"/>
          <w:color w:val="auto"/>
        </w:rPr>
        <w:t>: Our ThermoStream® products are used in the semi market as a stand-alone temperature management tool, or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electronic test applications as part of our MobileTemp systems. ThermoStream® products provide a source of heated and cooled air that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 provide a temperature-controlled air stream to rapidly change and stabilize the temperature of packaged ICs and other devices.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MobileTemp Series combines our ThermoStream®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 market and have found applications in the automotive, electronic, fiber optic and oil field service markets testing such things as electronic sub-assemblies, sensor assemblies, and printed circuit boards.</w:t>
      </w:r>
    </w:p>
    <w:p>
      <w:pPr>
        <w:spacing w:after="0" w:line="18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78" w:right="359" w:bottom="1440" w:gutter="0" w:footer="0" w:header="0"/>
        </w:sectPr>
      </w:pPr>
    </w:p>
    <w:bookmarkStart w:id="12" w:name="page13"/>
    <w:bookmarkEnd w:id="12"/>
    <w:p>
      <w:pPr>
        <w:ind w:right="840"/>
        <w:spacing w:after="0" w:line="312" w:lineRule="auto"/>
        <w:rPr>
          <w:sz w:val="20"/>
          <w:szCs w:val="20"/>
          <w:color w:val="auto"/>
        </w:rPr>
      </w:pPr>
      <w:r>
        <w:rPr>
          <w:rFonts w:ascii="Times New Roman" w:cs="Times New Roman" w:eastAsia="Times New Roman" w:hAnsi="Times New Roman"/>
          <w:sz w:val="17"/>
          <w:szCs w:val="17"/>
          <w:color w:val="auto"/>
        </w:rPr>
        <w:t>Traditionally, our customers use ThermoStream® products primarily in engineering, quality assurance and small-run manufacturing environments. ThermoStream® and MobileTemp products generally range in price from approximately $15 thousand to $55 thousand.</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Thermal Chambers: </w:t>
      </w:r>
      <w:r>
        <w:rPr>
          <w:rFonts w:ascii="Times New Roman" w:cs="Times New Roman" w:eastAsia="Times New Roman" w:hAnsi="Times New Roman"/>
          <w:sz w:val="18"/>
          <w:szCs w:val="18"/>
          <w:color w:val="auto"/>
        </w:rPr>
        <w:t>Our thermal chamber products are available in a variety of sizes, from small bench-top units to chambers with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generally priced from $18 thousand to $150 thousand.</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Thermal Platforms: </w:t>
      </w:r>
      <w:r>
        <w:rPr>
          <w:rFonts w:ascii="Times New Roman" w:cs="Times New Roman" w:eastAsia="Times New Roman" w:hAnsi="Times New Roman"/>
          <w:sz w:val="18"/>
          <w:szCs w:val="18"/>
          <w:color w:val="auto"/>
        </w:rPr>
        <w:t>Our thermal platforms are available in surface sizes ranging from 7.2 square inches to 616 square inches. They provide a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thermally 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generally priced from $7 thousand to $65 thousand.</w:t>
      </w:r>
    </w:p>
    <w:p>
      <w:pPr>
        <w:spacing w:after="0" w:line="1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Thermonics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Products: </w:t>
      </w:r>
      <w:r>
        <w:rPr>
          <w:rFonts w:ascii="Times New Roman" w:cs="Times New Roman" w:eastAsia="Times New Roman" w:hAnsi="Times New Roman"/>
          <w:sz w:val="18"/>
          <w:szCs w:val="18"/>
          <w:color w:val="auto"/>
        </w:rPr>
        <w:t>Our Thermonics® temperature conditioning products, which include our process chillers, provide tempered gas or fluid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enable customers to maintain desired thermal conditions within their tool or process. Applications include general industrial, chemical processing, energy, electronics, automotive, defense/aerospace and semiconductor markets. Prices generally range from $25 thousand to $150 thousand.</w:t>
      </w:r>
    </w:p>
    <w:p>
      <w:pPr>
        <w:spacing w:after="0" w:line="18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Ultra-Cold Storage Solutions: </w:t>
      </w:r>
      <w:r>
        <w:rPr>
          <w:rFonts w:ascii="Times New Roman" w:cs="Times New Roman" w:eastAsia="Times New Roman" w:hAnsi="Times New Roman"/>
          <w:sz w:val="18"/>
          <w:szCs w:val="18"/>
          <w:color w:val="auto"/>
        </w:rPr>
        <w:t>Our high-performance biomedical freezers, refrigerators and mobile storage solutions meet versatile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ultra-cold storage solutions for biological sample banks, blood safety, vaccine safety, medical supplies and reagent safety. Prices generally range from $2 thousand to $20 thousand.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 Technologies Products</w:t>
      </w:r>
    </w:p>
    <w:p>
      <w:pPr>
        <w:spacing w:after="0" w:line="22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EKOHEAT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Products: </w:t>
      </w:r>
      <w:r>
        <w:rPr>
          <w:rFonts w:ascii="Times New Roman" w:cs="Times New Roman" w:eastAsia="Times New Roman" w:hAnsi="Times New Roman"/>
          <w:sz w:val="18"/>
          <w:szCs w:val="18"/>
          <w:color w:val="auto"/>
        </w:rPr>
        <w:t>Our EKOHEAT® induction heating systems with power ratings from 10kW to 1 MW are manufactured by Ambrell®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to conduct fast, efficient, repeatable non-contact heating of metals or other electrically conductive materials in order to transform raw materials into finished parts. Prices generally range from $30 thousand to $250 thousand.</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EASYHEAT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Products: </w:t>
      </w:r>
      <w:r>
        <w:rPr>
          <w:rFonts w:ascii="Times New Roman" w:cs="Times New Roman" w:eastAsia="Times New Roman" w:hAnsi="Times New Roman"/>
          <w:sz w:val="18"/>
          <w:szCs w:val="18"/>
          <w:color w:val="auto"/>
        </w:rPr>
        <w:t>Our compact EASYHEAT™ induction heating systems with power ratings from 0.5kW to 10kW are manufactured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Ambrell® and used to conduct fast, efficient, repeatable non-contact heating of metals or other electrically conductive materials in order to transform raw materials into finished parts. Prices generally range from $10 thousand to $25 thousand.</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Applications for both EKOHEAT® and EASYHEAT™ products include annealing, bonding, brazing, curing, forging, heat treating, melting, shrink-fitting, soldering and testing.</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Streaming and Image Capturing Solutions. </w:t>
      </w:r>
      <w:r>
        <w:rPr>
          <w:rFonts w:ascii="Times New Roman" w:cs="Times New Roman" w:eastAsia="Times New Roman" w:hAnsi="Times New Roman"/>
          <w:sz w:val="18"/>
          <w:szCs w:val="18"/>
          <w:color w:val="auto"/>
        </w:rPr>
        <w:t>Our industrial-grade imaging solutions are designed and manufactured by Videology®.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custom solutions for OEMs and end users and specialize in meeting customers’ design specifications for imaging systems. Per unit prices for these products can range up to $3 thousand for a single unit. These products are generally purchased in higher volumes than our other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Information About Operating Segments and Geographic Areas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b w:val="1"/>
          <w:bCs w:val="1"/>
          <w:color w:val="auto"/>
        </w:rPr>
        <w:t>Part II; Item 8. Financial Statements and Supplementary Data; Notes to Consolidated Financial Statements; Note 17.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of this Report for additional data regarding revenue, profit or loss and total assets of each of our segments and revenue attributable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foreign countries.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SALES AND CUSTOMER SUPPORT</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market and sell our products globally and across multiple markets, as previously discussed. North American and European semiconductor manufacturers, as well as third-party foundries, test and assembly providers, have located most of their back-end factories in China, Taiwan and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8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Electronic Test Products</w:t>
      </w:r>
      <w:r>
        <w:rPr>
          <w:rFonts w:ascii="Times New Roman" w:cs="Times New Roman" w:eastAsia="Times New Roman" w:hAnsi="Times New Roman"/>
          <w:sz w:val="18"/>
          <w:szCs w:val="18"/>
          <w:color w:val="auto"/>
        </w:rPr>
        <w:t>: In North America, we sell our inTEST EMS products to semiconductor manufacturers through internal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and independent, commissioned sales representatives. North American sales representatives also coordinate product installation and support with our technical staff and participate in trade shows.</w:t>
      </w:r>
    </w:p>
    <w:p>
      <w:pPr>
        <w:spacing w:after="0" w:line="1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by employees based in New Jersey, California and Texas.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Europe, we sell to semiconductor and ATE manufacturers through our internal sales staff. Technical support is provided by our staff in the U.K. In China, Japan, the Philippines, South Korea, and Thailand, we sell using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robotics-based electronic test equipment and automated test programming services are sold in North America through a combination of internal sales staff and manufacturer representatives. Customer support is supplied by a team located throughout North America. In Europe, these products and services are sold through manufacturer representatives and supported with direct employees based in our Hamburg, Germany facility. In Asia, these products and services are sold through a mixture of distributors and manufacturer representatives. Customer support is provided by trained distributors and supplemented by direct employees from North America and Europe.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Alfamation products are sold globally through our internal sales staff. Customer support is supplied by teams located in Italy and China.</w:t>
      </w:r>
    </w:p>
    <w:p>
      <w:pPr>
        <w:spacing w:after="0" w:line="2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Environmental Technologies Products</w:t>
      </w:r>
      <w:r>
        <w:rPr>
          <w:rFonts w:ascii="Times New Roman" w:cs="Times New Roman" w:eastAsia="Times New Roman" w:hAnsi="Times New Roman"/>
          <w:sz w:val="18"/>
          <w:szCs w:val="18"/>
          <w:color w:val="auto"/>
        </w:rPr>
        <w:t>: We market our Temptronic®, Sigma, Thermonics®, and North Sciences brands under the umbrella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inTEST Thermal Solutions and sales to ATE manufacturers are handled directly by our own sales force and our network of independent representatives and distributors. Sales to life sciences customers worldwide are handled directly by our own sales force and by our network of independent representatives and distributors. Sales to semiconductor manufacturers and customers in other markets in the U.S. are handled directly by our own sales force and through independent sales representative organizations. In Singapore, Malaysia, and Philippines, our sales and service are handled directly by our own sales force and through independent sales representative organizations. In the rest of Asia, our sales are handled through distributors. In Europe, sales managers at our office in Germany, as well as regional distributors and independent sales representatives, sell to semiconductor manufacturers and customers in other markets. We communicate with our distributors regularly and have trained them to sell and service our thermal products.</w:t>
      </w:r>
    </w:p>
    <w:p>
      <w:pPr>
        <w:spacing w:after="0" w:line="188"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Process Technologies Products</w:t>
      </w:r>
      <w:r>
        <w:rPr>
          <w:rFonts w:ascii="Times New Roman" w:cs="Times New Roman" w:eastAsia="Times New Roman" w:hAnsi="Times New Roman"/>
          <w:sz w:val="18"/>
          <w:szCs w:val="18"/>
          <w:color w:val="auto"/>
        </w:rPr>
        <w:t>: We market our EASYHEAT™ and EKOHEAT® precision induction heating equipment to manufacturers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specialized industrial heating in a wide array of industries, including automotive, aerospace and semiconductor, and are sold globally through a combination of regional sales managers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 We generate a significant portion of our sales leads through our website as well as through trade show attendance where we display our products and technology.</w:t>
      </w:r>
    </w:p>
    <w:p>
      <w:pPr>
        <w:spacing w:after="0" w:line="1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several distributors in Europe and Asia have factory-trained service technicians.</w:t>
      </w:r>
    </w:p>
    <w:p>
      <w:pPr>
        <w:spacing w:after="0" w:line="17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market our Videology® industrial camera solutions to OEMs and end users both directly and through distributors. We have both manufacturing and service capabilities in the U.S. and the Netherlands. We acquire our sales from repeat long-term customers, new leads through our website, regional sales managers and distributors as well as through trade show attendance where we display our products and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CUSTOMERS</w:t>
      </w:r>
    </w:p>
    <w:p>
      <w:pPr>
        <w:spacing w:after="0" w:line="22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market our products to end users including semiconductor manufacturers, third-party foundries and test and assembly providers, as well as to OEMs, which include ATE manufacturers and their third-party outsource manufacturing partners. We also market our products to independent testers of semiconductors, manufacturers of automotive, defense/aerospace, industrial, life sciences and security products, semiconductor research facilities, and manufacturers and manufacturing process integrators for a variety of industrial process applications. Our customers use our products principally in production testing or process/manufacturing applications, although our ThermoStream® products traditionally have been used largely in engineering development and quality assurance. We believe that we sell to most of the major semiconductor manufacturers in the world.</w:t>
      </w:r>
    </w:p>
    <w:p>
      <w:pPr>
        <w:spacing w:after="0" w:line="1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0" w:right="339" w:bottom="1440" w:gutter="0" w:footer="0" w:header="0"/>
        </w:sectPr>
      </w:pPr>
    </w:p>
    <w:bookmarkStart w:id="14" w:name="page15"/>
    <w:bookmarkEnd w:id="14"/>
    <w:p>
      <w:pPr>
        <w:jc w:val="both"/>
        <w:ind w:left="20" w:right="16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2024, one customer accounted for 13% of our consolidated revenue. This revenue was primarily generated by our Electronic Test segment. During the year ended December 31, 2023, this same customer accounted for 13% of our consolidated revenue.</w:t>
      </w:r>
    </w:p>
    <w:p>
      <w:pPr>
        <w:spacing w:after="0" w:line="140" w:lineRule="exact"/>
        <w:rPr>
          <w:sz w:val="20"/>
          <w:szCs w:val="20"/>
          <w:color w:val="auto"/>
        </w:rPr>
      </w:pPr>
    </w:p>
    <w:p>
      <w:pPr>
        <w:ind w:left="20" w:right="40"/>
        <w:spacing w:after="0" w:line="277" w:lineRule="auto"/>
        <w:rPr>
          <w:sz w:val="20"/>
          <w:szCs w:val="20"/>
          <w:color w:val="auto"/>
        </w:rPr>
      </w:pPr>
      <w:r>
        <w:rPr>
          <w:rFonts w:ascii="Times New Roman" w:cs="Times New Roman" w:eastAsia="Times New Roman" w:hAnsi="Times New Roman"/>
          <w:sz w:val="17"/>
          <w:szCs w:val="17"/>
          <w:color w:val="auto"/>
        </w:rPr>
        <w:t>An important aspect of our 5-Point Strategy includes broadening and diversifying our customer base. We plan to do this both through acquisitions as well as through leveraging current customer relationships, increasing our portfolio of product offerings and expanding our global footprint to better serve existing and new customers. The list of our largest customers in any given period continues to shift as we advance the applications of our technologies, acquire new technologies and grow the business. The loss of any one or more of our largest customers, or a reduction in orders by a major customer, could materially reduce our revenue or otherwise materially affect our business, financial condition or results of operations.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MANUFACTURING AND SUPPLY</w:t>
      </w:r>
    </w:p>
    <w:p>
      <w:pPr>
        <w:spacing w:after="0" w:line="22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At December 31, 2024, our principal manufacturing operations consisted of assembly and testing at our facilities in in the U.S. (New York, Massachusetts and New Jersey), Italy, Canada, Germany and the Netherlands. We assemble most of our products from a combination of standard components and custom parts that have been fabricated to our specifications by either third-party manufacturers or our own facilities. Our practice is to use high quality raw materials and components in our products. The primary raw materials used in fabricated parts are widely available. Substantially all of our components are purchased from multiple suppliers; however, certain raw materials and components are sourced from single suppliers, as discussed further in “</w:t>
      </w:r>
      <w:r>
        <w:rPr>
          <w:rFonts w:ascii="Times New Roman" w:cs="Times New Roman" w:eastAsia="Times New Roman" w:hAnsi="Times New Roman"/>
          <w:sz w:val="18"/>
          <w:szCs w:val="18"/>
          <w:b w:val="1"/>
          <w:b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18"/>
          <w:szCs w:val="18"/>
          <w:color w:val="auto"/>
        </w:rPr>
        <w:t>.” Although, from time to time, certain components may be in short supply due to high demand or inability of vendors to meet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delivery requirements, we believe that all materials and components are available in adequate amounts from other sources, except as noted above.</w:t>
      </w:r>
    </w:p>
    <w:p>
      <w:pPr>
        <w:spacing w:after="0" w:line="188"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76"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Each of our Massachusetts, New York, and Canada facilities is ISO 9001:2015 certified. Our New Jersey facility manufactures products only for the semiconductor industry where ISO certification is not required, so we do not maintain any ISO certifications there. However, this location does employ the practices embodied in the ISO 9001:2008.</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Our Massachusetts facility and our Acculogic office in Canada are International Traffic in Arms Regulations (“</w:t>
      </w:r>
      <w:r>
        <w:rPr>
          <w:rFonts w:ascii="Times New Roman" w:cs="Times New Roman" w:eastAsia="Times New Roman" w:hAnsi="Times New Roman"/>
          <w:sz w:val="18"/>
          <w:szCs w:val="18"/>
          <w:b w:val="1"/>
          <w:bCs w:val="1"/>
          <w:u w:val="single" w:color="auto"/>
          <w:color w:val="auto"/>
        </w:rPr>
        <w:t>ITAR</w:t>
      </w:r>
      <w:r>
        <w:rPr>
          <w:rFonts w:ascii="Times New Roman" w:cs="Times New Roman" w:eastAsia="Times New Roman" w:hAnsi="Times New Roman"/>
          <w:sz w:val="18"/>
          <w:szCs w:val="18"/>
          <w:color w:val="auto"/>
        </w:rPr>
        <w:t>”) compliant enabling them to support the specific requirement of the U.S. Department of Defense. Our Canadian facility is compliant with the Canadian Controlled Goods Program, enabling them to support the Canadian Department of Defense.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ENGINEERING AND PRODUCT DEVELOPMENT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provide our customers with products and solutions that are well engineered and to design those products and solutions before, or at least no later than, our competitors. At December 31, 2024, we employed approximately 100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high-performance interfaces.</w:t>
      </w:r>
    </w:p>
    <w:p>
      <w:pPr>
        <w:spacing w:after="0" w:line="19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Since most of our products are customized, we consider substantially all of our engineering activities to be engineering and product development. In the years ended December 31, 2024 and 2023, we spent approximately $8.5 million and $7.6 million, respectively, on engineering and product development.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PATENTS AND OTHER PROPRIETARY RIGHTS</w:t>
      </w:r>
    </w:p>
    <w:p>
      <w:pPr>
        <w:spacing w:after="0" w:line="225"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We intend to protect our technology by filing patent applications for the technologies that we consider important to our business. We also rely on trademarks, trade secrets, copyrights and unpatented know-how to protect our proprietary rights.</w:t>
      </w:r>
    </w:p>
    <w:p>
      <w:pPr>
        <w:spacing w:after="0" w:line="162"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In the absence of intellectual property protection, we may be vulnerable to competitors who attempt to copy or imitate our products or processes. For additional information regarding risks related to our intellectual property, see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Report.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15" w:name="page16"/>
    <w:bookmarkEnd w:id="15"/>
    <w:p>
      <w:pPr>
        <w:ind w:left="20" w:right="700"/>
        <w:spacing w:after="0" w:line="266" w:lineRule="auto"/>
        <w:rPr>
          <w:sz w:val="20"/>
          <w:szCs w:val="20"/>
          <w:color w:val="auto"/>
        </w:rPr>
      </w:pPr>
      <w:r>
        <w:rPr>
          <w:rFonts w:ascii="Times New Roman" w:cs="Times New Roman" w:eastAsia="Times New Roman" w:hAnsi="Times New Roman"/>
          <w:sz w:val="18"/>
          <w:szCs w:val="18"/>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w:t>
      </w:r>
    </w:p>
    <w:p>
      <w:pPr>
        <w:spacing w:after="0" w:line="176"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December 31, 2024, we held 21 active U.S. patents and had one pending U.S. patent applications covering various aspects of our technology. Our U.S. patents expire at various times beginning in 2025 and extending through 2039. During 2024, no U.S. patents were issued and 9 U.S. patents expired. We do not believe that the upcoming expiration of certain of our patents in 2025 will have a material impact on our business. We also hold foreign patents and file foreign patent applications, in selected cases corresponding to our U.S. patents and patent applications, to the extent management deems appropriate.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COMPETITION</w:t>
      </w:r>
    </w:p>
    <w:p>
      <w:pPr>
        <w:spacing w:after="0" w:line="225"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18"/>
          <w:szCs w:val="18"/>
          <w:color w:val="auto"/>
        </w:rPr>
        <w:t>We operate in an increasingly competitive environment within all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spacing w:after="0" w:line="187" w:lineRule="exact"/>
        <w:rPr>
          <w:sz w:val="20"/>
          <w:szCs w:val="20"/>
          <w:color w:val="auto"/>
        </w:rPr>
      </w:pPr>
    </w:p>
    <w:p>
      <w:pPr>
        <w:ind w:left="20" w:right="140"/>
        <w:spacing w:after="0" w:line="258" w:lineRule="auto"/>
        <w:rPr>
          <w:sz w:val="20"/>
          <w:szCs w:val="20"/>
          <w:color w:val="auto"/>
        </w:rPr>
      </w:pPr>
      <w:r>
        <w:rPr>
          <w:rFonts w:ascii="Times New Roman" w:cs="Times New Roman" w:eastAsia="Times New Roman" w:hAnsi="Times New Roman"/>
          <w:sz w:val="18"/>
          <w:szCs w:val="18"/>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83" w:lineRule="exact"/>
        <w:rPr>
          <w:sz w:val="20"/>
          <w:szCs w:val="20"/>
          <w:color w:val="auto"/>
        </w:rPr>
      </w:pPr>
    </w:p>
    <w:p>
      <w:pPr>
        <w:ind w:left="20" w:right="40"/>
        <w:spacing w:after="0" w:line="277" w:lineRule="auto"/>
        <w:rPr>
          <w:sz w:val="20"/>
          <w:szCs w:val="20"/>
          <w:color w:val="auto"/>
        </w:rPr>
      </w:pPr>
      <w:r>
        <w:rPr>
          <w:rFonts w:ascii="Times New Roman" w:cs="Times New Roman" w:eastAsia="Times New Roman" w:hAnsi="Times New Roman"/>
          <w:sz w:val="17"/>
          <w:szCs w:val="17"/>
          <w:color w:val="auto"/>
        </w:rPr>
        <w:t>Our principal competitors for manipulator products, docking hardware products and tester interface products are Advantest Corporation, Esmo AG, Reid-Ashman Manufacturing Inc. and Teradyne, Inc. Our principal competitors for Acculogic products are Digitaltest GmbH, Seica S.p.A., SPEA S.p.A., and Takaya Corporation. Our main competitors for Alfamation™ test equipment are NOFFZ Technologies GmbH, Konrad Technologies GmbH, TST Total Solutions Technology Ltd, MCD Elektronik GmbH and Averna Technologies Inc. For Flexmedia XM® products, our principal competitors are Intrepid Control Systems Inc, GÖPEL electronic GmbH, TZ Electronic Systems GmbH and Solectrix GmbH.</w:t>
      </w:r>
    </w:p>
    <w:p>
      <w:pPr>
        <w:spacing w:after="0" w:line="168"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7"/>
          <w:szCs w:val="17"/>
          <w:color w:val="auto"/>
        </w:rPr>
        <w:t>Our principal competitors for ThermoStream® products are FTS Systems, a part of ATS Corporation, and MPI Corporation. Our principal competitors for environmental chambers are Cincinnati Sub-Zero Products, Inc., Espec Corp. and Thermotron Industries. Our principal competitor for thermal platforms is Environmental Stress Systems Inc. Our principal competitors for liquid chillers include Huber Kältemaschinenbau AG, Julabo GmbH, Boyd Corporation, and Advanced Thermal Sciences Corporation. Our principal competitors for life sciences products include Panasonic Health Care Holdings Corporation, Haier Group Corporation, Thermo Fisher Scientific Corporation, and Eppendoerf AG.</w:t>
      </w:r>
    </w:p>
    <w:p>
      <w:pPr>
        <w:spacing w:after="0" w:line="168"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Our principal competitors for EKOHEAT® and EASYHEAT™ products are Inductotherm Corporation, Park-Ohio Holdings Corporation, ENRX Corporation, Trumpf Hüttinger GmbH, Ultraflex Power Technologies and CEIA S.p.A. Our digital streaming and image capturing solutions products compete in a large space with multiple small competitors. We do not believe that there is a competitor that has over 5% share of the current market.</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BACKLOG</w:t>
      </w:r>
    </w:p>
    <w:p>
      <w:pPr>
        <w:spacing w:after="0" w:line="225" w:lineRule="exact"/>
        <w:rPr>
          <w:sz w:val="20"/>
          <w:szCs w:val="20"/>
          <w:color w:val="auto"/>
        </w:rPr>
      </w:pPr>
    </w:p>
    <w:p>
      <w:pPr>
        <w:ind w:left="20" w:right="60"/>
        <w:spacing w:after="0" w:line="273" w:lineRule="auto"/>
        <w:rPr>
          <w:sz w:val="20"/>
          <w:szCs w:val="20"/>
          <w:color w:val="auto"/>
        </w:rPr>
      </w:pPr>
      <w:r>
        <w:rPr>
          <w:rFonts w:ascii="Times New Roman" w:cs="Times New Roman" w:eastAsia="Times New Roman" w:hAnsi="Times New Roman"/>
          <w:sz w:val="17"/>
          <w:szCs w:val="17"/>
          <w:color w:val="auto"/>
        </w:rPr>
        <w:t>At December 31, 2024, our backlog of unfilled orders for all products was $39.5 million compared with $40.1 million at December 31, 2023. Our backlog consists of purchase orders that we have accepted, substantially all of which we expect to deliver in 2025.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which has the effect of increasing backlog. As a result of these factors, our backlog at a particular date is not necessarily indicative of sales for any future period. See also the discussion of backlog in “</w:t>
      </w:r>
      <w:r>
        <w:rPr>
          <w:rFonts w:ascii="Times New Roman" w:cs="Times New Roman" w:eastAsia="Times New Roman" w:hAnsi="Times New Roman"/>
          <w:sz w:val="17"/>
          <w:szCs w:val="17"/>
          <w:b w:val="1"/>
          <w:bCs w:val="1"/>
          <w:color w:val="auto"/>
        </w:rPr>
        <w:t>Part 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Item 7.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 Overview; Orders and Backlog.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 w:name="page17"/>
    <w:bookmarkEnd w:id="16"/>
    <w:p>
      <w:pPr>
        <w:ind w:left="680"/>
        <w:spacing w:after="0"/>
        <w:rPr>
          <w:sz w:val="20"/>
          <w:szCs w:val="20"/>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8"/>
          <w:szCs w:val="18"/>
          <w:color w:val="auto"/>
        </w:rPr>
        <w:t>At December 31, 2024, we had 425 employees (393 of which were full-time), including 209 based domestically and 216 based outside the United States. Substantially all of our key employees are highly skilled and trained technical personnel. Only two of our employees (both outside the United States) are represented by a labor union, and we have never experienced a work stoppage. From time to time, we retain temporary workers or third-party contractors to assist us in manufacturing operations and engineering and product development projects.</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ADDITIONAL INFORMATION</w:t>
      </w:r>
    </w:p>
    <w:p>
      <w:pPr>
        <w:spacing w:after="0" w:line="225"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and Current Reports on Form 8-K, and amendments to these reports that are filed with the SEC pursuant to Section 13(a) or 15(d) of the Securities Exchange Act of 1934, as amended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are available free of charge through our website (</w:t>
      </w:r>
      <w:r>
        <w:rPr>
          <w:rFonts w:ascii="Times New Roman" w:cs="Times New Roman" w:eastAsia="Times New Roman" w:hAnsi="Times New Roman"/>
          <w:sz w:val="18"/>
          <w:szCs w:val="18"/>
          <w:u w:val="single" w:color="auto"/>
          <w:color w:val="auto"/>
        </w:rPr>
        <w:t>www.intest.com</w:t>
      </w:r>
      <w:r>
        <w:rPr>
          <w:rFonts w:ascii="Times New Roman" w:cs="Times New Roman" w:eastAsia="Times New Roman" w:hAnsi="Times New Roman"/>
          <w:sz w:val="18"/>
          <w:szCs w:val="18"/>
          <w:color w:val="auto"/>
        </w:rPr>
        <w:t>) as soon as reasonably practicable after we electronically file them with, or furnish them to, the SEC. We also routinely post press releases, presentations, webcasts and other information regarding the Company on our website. The information posted to our website is not part of this Report.</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680" w:right="160"/>
        <w:spacing w:after="0" w:line="258" w:lineRule="auto"/>
        <w:rPr>
          <w:sz w:val="20"/>
          <w:szCs w:val="20"/>
          <w:color w:val="auto"/>
        </w:rPr>
      </w:pPr>
      <w:r>
        <w:rPr>
          <w:rFonts w:ascii="Times New Roman" w:cs="Times New Roman" w:eastAsia="Times New Roman" w:hAnsi="Times New Roman"/>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risks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ACQUISITION AND GROWTH STRATEGY</w:t>
      </w:r>
    </w:p>
    <w:p>
      <w:pPr>
        <w:spacing w:after="0" w:line="225" w:lineRule="exact"/>
        <w:rPr>
          <w:sz w:val="20"/>
          <w:szCs w:val="20"/>
          <w:color w:val="auto"/>
        </w:rPr>
      </w:pPr>
    </w:p>
    <w:p>
      <w:pPr>
        <w:ind w:left="680" w:right="20"/>
        <w:spacing w:after="0" w:line="268" w:lineRule="auto"/>
        <w:rPr>
          <w:sz w:val="20"/>
          <w:szCs w:val="20"/>
          <w:color w:val="auto"/>
        </w:rPr>
      </w:pPr>
      <w:r>
        <w:rPr>
          <w:rFonts w:ascii="Times New Roman" w:cs="Times New Roman" w:eastAsia="Times New Roman" w:hAnsi="Times New Roman"/>
          <w:sz w:val="18"/>
          <w:szCs w:val="18"/>
          <w:b w:val="1"/>
          <w:bCs w:val="1"/>
          <w:color w:val="auto"/>
        </w:rPr>
        <w:t>We seek to grow our business through the acquisition of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175" w:lineRule="exact"/>
        <w:rPr>
          <w:sz w:val="20"/>
          <w:szCs w:val="20"/>
          <w:color w:val="auto"/>
        </w:rPr>
      </w:pPr>
    </w:p>
    <w:p>
      <w:pPr>
        <w:ind w:left="680" w:right="160"/>
        <w:spacing w:after="0" w:line="266" w:lineRule="auto"/>
        <w:rPr>
          <w:sz w:val="20"/>
          <w:szCs w:val="20"/>
          <w:color w:val="auto"/>
        </w:rPr>
      </w:pPr>
      <w:r>
        <w:rPr>
          <w:rFonts w:ascii="Times New Roman" w:cs="Times New Roman" w:eastAsia="Times New Roman" w:hAnsi="Times New Roman"/>
          <w:sz w:val="18"/>
          <w:szCs w:val="18"/>
          <w:color w:val="auto"/>
        </w:rPr>
        <w:t>A key element of our growth strategy is to acquire businesses, technologies or products that are complementary to our current product offerings. We seek to make acquisitions that will further expand our product lines as well as strengthen our positions in served markets and provide expansion into new markets. We may not be able to execute our acquisition strategy and our future growth may be limited if:</w:t>
      </w:r>
    </w:p>
    <w:p>
      <w:pPr>
        <w:spacing w:after="0" w:line="176"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identify suitable businesses, technologies or products to acquire;</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cash or access to required capital at the necessary time;</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unwilling or unable to outbid larger companies with greater resources; or</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successfully close proposed acquisitions.</w:t>
      </w:r>
    </w:p>
    <w:p>
      <w:pPr>
        <w:spacing w:after="0" w:line="252" w:lineRule="exact"/>
        <w:rPr>
          <w:sz w:val="20"/>
          <w:szCs w:val="20"/>
          <w:color w:val="auto"/>
        </w:rPr>
      </w:pPr>
    </w:p>
    <w:p>
      <w:pPr>
        <w:ind w:left="680" w:right="540"/>
        <w:spacing w:after="0" w:line="282" w:lineRule="auto"/>
        <w:rPr>
          <w:sz w:val="20"/>
          <w:szCs w:val="20"/>
          <w:color w:val="auto"/>
        </w:rPr>
      </w:pPr>
      <w:r>
        <w:rPr>
          <w:rFonts w:ascii="Times New Roman" w:cs="Times New Roman" w:eastAsia="Times New Roman" w:hAnsi="Times New Roman"/>
          <w:sz w:val="18"/>
          <w:szCs w:val="18"/>
          <w:color w:val="auto"/>
        </w:rPr>
        <w:t>We may incur significant expenses related to due diligence or other transaction-related expenses for a proposed acquisition that may not be completed, which may have a material adverse effect on our financial condition and results of operations.</w:t>
      </w:r>
    </w:p>
    <w:p>
      <w:pPr>
        <w:spacing w:after="0" w:line="1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acquisition strategy involves financial and management risks which may adversely affect our results in the future.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If we acquire additional businesses, technologies or products, we will face the following additional risks:</w:t>
      </w:r>
    </w:p>
    <w:p>
      <w:pPr>
        <w:spacing w:after="0" w:line="225" w:lineRule="exact"/>
        <w:rPr>
          <w:sz w:val="20"/>
          <w:szCs w:val="20"/>
          <w:color w:val="auto"/>
        </w:rPr>
      </w:pPr>
    </w:p>
    <w:p>
      <w:pPr>
        <w:ind w:left="1300" w:right="360" w:hanging="320"/>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divert management’s attention from daily operations or otherwise require additional management, operational and financial resources;</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integrate acquisitions into our business successfully or operate acquired businesses profitably;</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realize substantial acquisition-related expenses that would reduce our net earnings in future years;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such acquisitions;</w:t>
      </w:r>
    </w:p>
    <w:p>
      <w:pPr>
        <w:spacing w:after="0" w:line="36"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investigation of potential acquisition candidates may not reveal problems and liabilities of the companies and businesses that we acquire;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 w:name="page18"/>
    <w:bookmarkEnd w:id="17"/>
    <w:p>
      <w:pPr>
        <w:ind w:left="620" w:right="340" w:hanging="320"/>
        <w:spacing w:after="0" w:line="257"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may pose risks associated with entry into new geographic markets, including outside the U.S., distribution channels, lines of business or product categories, where we may not have significant or any prior experience and where we may not be as successful or profitable as we are in businesses and geographic regions where we have greater familiarity and brand recognition;</w:t>
      </w:r>
    </w:p>
    <w:p>
      <w:pPr>
        <w:spacing w:after="0" w:line="1" w:lineRule="exact"/>
        <w:rPr>
          <w:rFonts w:ascii="Times New Roman" w:cs="Times New Roman" w:eastAsia="Times New Roman" w:hAnsi="Times New Roman"/>
          <w:sz w:val="18"/>
          <w:szCs w:val="18"/>
          <w:color w:val="auto"/>
        </w:rPr>
      </w:pPr>
    </w:p>
    <w:p>
      <w:pPr>
        <w:ind w:left="620" w:hanging="320"/>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disparate information technology, internal control, financial reporting and record-keeping systems;</w:t>
      </w:r>
    </w:p>
    <w:p>
      <w:pPr>
        <w:spacing w:after="0" w:line="17" w:lineRule="exact"/>
        <w:rPr>
          <w:rFonts w:ascii="Times New Roman" w:cs="Times New Roman" w:eastAsia="Times New Roman" w:hAnsi="Times New Roman"/>
          <w:sz w:val="18"/>
          <w:szCs w:val="18"/>
          <w:color w:val="auto"/>
        </w:rPr>
      </w:pPr>
    </w:p>
    <w:p>
      <w:pPr>
        <w:ind w:left="620" w:hanging="320"/>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 anxiety, morale and/or engagement issues and employees not familiar with our business;</w:t>
      </w:r>
    </w:p>
    <w:p>
      <w:pPr>
        <w:spacing w:after="0" w:line="36" w:lineRule="exact"/>
        <w:rPr>
          <w:rFonts w:ascii="Times New Roman" w:cs="Times New Roman" w:eastAsia="Times New Roman" w:hAnsi="Times New Roman"/>
          <w:sz w:val="18"/>
          <w:szCs w:val="18"/>
          <w:color w:val="auto"/>
        </w:rPr>
      </w:pPr>
    </w:p>
    <w:p>
      <w:pPr>
        <w:ind w:left="620" w:hanging="320"/>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loss of our or the acquired company’s key personnel, customers, distributors or suppliers; and</w:t>
      </w:r>
    </w:p>
    <w:p>
      <w:pPr>
        <w:spacing w:after="0" w:line="36" w:lineRule="exact"/>
        <w:rPr>
          <w:rFonts w:ascii="Times New Roman" w:cs="Times New Roman" w:eastAsia="Times New Roman" w:hAnsi="Times New Roman"/>
          <w:sz w:val="18"/>
          <w:szCs w:val="18"/>
          <w:color w:val="auto"/>
        </w:rPr>
      </w:pPr>
    </w:p>
    <w:p>
      <w:pPr>
        <w:ind w:left="620" w:hanging="320"/>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litigation or claims associated with an acquisition.</w:t>
      </w:r>
    </w:p>
    <w:p>
      <w:pPr>
        <w:spacing w:after="0" w:line="2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any of the events described above occur, our earnings could be reduced and may adversely affect our financial condition, results of operations and ability to grow our business or otherwise achieve our financial and strategic objectives. If we issue shares of our stock or other rights to purchase our stock in connection with any future acquisitions, the issuance will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We may attempt to acquire a business that would require us to issue equity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strategy, we may pursue potential acquisition opportunities which could require us to issue equity or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We may acquire businesses in the future and utilize an earnout structure as we have done in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trading price.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utilize an earnout structure on future acquisitions as we have done in prior transactions we have closed.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 of Acculogic we have recorded a contingent consideration liability that represents the fair value of additional payments we may make to the seller of up to an additional CAD $5.0 million in the five-year period from 2022 through 2026. The additional payments will be based on a percentage of net invoices for which payments have been received on systems sold to EV battery customers exceeding CAD $2.5 million per year in each of the five years. The maximum payment is capped at CAD $5.0 million, which equates to approximately USD $3.5 million at December 31, 2024. There were no payments due for the years ended December 31, 2023 or 2022, while an immaterial amount is due for 2024 and is recorded as a component of other current liabilities. The fair value of this contingent consideration liability involves assessing the total amount of revenue we expect from sales to EV or battery customers during the applicable time periods as well as when we expect to receive payment for the related net invoices. At December 31, 2024, the total contingent consideration liability on our balance sheet was USD $0.9 million which was its estimated fair value at that date. Any future adjustments to the estimated fair value of the contingent liability will be recorded in our results of operations for the period in which the adjustment occurs.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effectively manage our growth and operations, which could materially and adversely affect our business.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we implement our business strategy as intended, we have and may in the future experience rapid growth and development in a relatively short period of time. The management of this growth will require, among other things, continued development of our financial and management controls and management information systems, stringent control of costs, the ability to attract and retain qualified management personnel and the training of new personnel. Failure to successfully manage our possible growth and development could have a material adverse effect on our business.</w:t>
      </w:r>
    </w:p>
    <w:p>
      <w:pPr>
        <w:spacing w:after="0" w:line="1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18" w:name="page19"/>
    <w:bookmarkEnd w:id="18"/>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There is a risk that some or all of the anticipated strategic and financial benefits may fail to materialize, may not continue on their existing terms, or may not occur within the time period anticipated. Although we have conducted due diligence with respect to material aspects of the development of our business, there is no certainty that our due diligence procedures will reveal all of the risks and liabilities associated with our current plans. Although we are not aware of any specific liabilities, such liabilities may be unknown and, accordingly, the potential monetary cost of such liability is also unknown.</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effectively integrate acquired businesses into our operations or otherwise fail to realize the anticipated benefits of the acquisitions.</w:t>
      </w:r>
    </w:p>
    <w:p>
      <w:pPr>
        <w:spacing w:after="0" w:line="159" w:lineRule="exact"/>
        <w:rPr>
          <w:sz w:val="20"/>
          <w:szCs w:val="20"/>
          <w:color w:val="auto"/>
        </w:rPr>
      </w:pPr>
    </w:p>
    <w:p>
      <w:pPr>
        <w:ind w:left="20" w:right="80"/>
        <w:spacing w:after="0" w:line="312" w:lineRule="auto"/>
        <w:rPr>
          <w:sz w:val="20"/>
          <w:szCs w:val="20"/>
          <w:color w:val="auto"/>
        </w:rPr>
      </w:pPr>
      <w:r>
        <w:rPr>
          <w:rFonts w:ascii="Times New Roman" w:cs="Times New Roman" w:eastAsia="Times New Roman" w:hAnsi="Times New Roman"/>
          <w:sz w:val="17"/>
          <w:szCs w:val="17"/>
          <w:color w:val="auto"/>
        </w:rPr>
        <w:t>If we fail to accurately assess and successfully integrate any recent or future acquisitions, we may not achieve the anticipated benefits, which could result in lower revenue, unanticipated operating expenses, and financial losses. Successful integration involves many challenges, including:</w:t>
      </w:r>
    </w:p>
    <w:p>
      <w:pPr>
        <w:spacing w:after="0" w:line="140" w:lineRule="exact"/>
        <w:rPr>
          <w:sz w:val="20"/>
          <w:szCs w:val="20"/>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operations and personnel with our existing operations;</w:t>
      </w:r>
    </w:p>
    <w:p>
      <w:pPr>
        <w:spacing w:after="0" w:line="3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developing, manufacturing, and marketing new products and services;</w:t>
      </w:r>
    </w:p>
    <w:p>
      <w:pPr>
        <w:spacing w:after="0" w:line="3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as a result of evaluating, negotiating and integrating acquisitions;</w:t>
      </w:r>
    </w:p>
    <w:p>
      <w:pPr>
        <w:spacing w:after="0" w:line="3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cases, our exposure to unforeseen liabilities of acquired companies; and</w:t>
      </w:r>
    </w:p>
    <w:p>
      <w:pPr>
        <w:spacing w:after="0" w:line="3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of an acquired business operation.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addition, an acquisition could adversely impact cash flows, operating results, and stockholder interests, for many reasons, including:</w:t>
      </w:r>
    </w:p>
    <w:p>
      <w:pPr>
        <w:spacing w:after="0" w:line="225" w:lineRule="exact"/>
        <w:rPr>
          <w:sz w:val="20"/>
          <w:szCs w:val="20"/>
          <w:color w:val="auto"/>
        </w:rPr>
      </w:pPr>
    </w:p>
    <w:p>
      <w:pPr>
        <w:ind w:left="640" w:hanging="32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w:t>
      </w:r>
    </w:p>
    <w:p>
      <w:pPr>
        <w:spacing w:after="0" w:line="36" w:lineRule="exact"/>
        <w:rPr>
          <w:rFonts w:ascii="Times New Roman" w:cs="Times New Roman" w:eastAsia="Times New Roman" w:hAnsi="Times New Roman"/>
          <w:sz w:val="18"/>
          <w:szCs w:val="18"/>
          <w:color w:val="auto"/>
        </w:rPr>
      </w:pPr>
    </w:p>
    <w:p>
      <w:pPr>
        <w:ind w:left="640" w:right="580" w:hanging="320"/>
        <w:spacing w:after="0" w:line="261"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securities in connection with an acquisition or new business venture that dilutes or lessens the rights of our current stockholders;</w:t>
      </w:r>
    </w:p>
    <w:p>
      <w:pPr>
        <w:ind w:left="640" w:hanging="32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income to reflect the impairment of acquired intangible assets, including goodwill; and</w:t>
      </w:r>
    </w:p>
    <w:p>
      <w:pPr>
        <w:spacing w:after="0" w:line="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costs and debt service requirements for any debt incurred in connection with an acquisition or new business venture.</w:t>
      </w:r>
    </w:p>
    <w:p>
      <w:pPr>
        <w:spacing w:after="0" w:line="252" w:lineRule="exact"/>
        <w:rPr>
          <w:sz w:val="20"/>
          <w:szCs w:val="20"/>
          <w:color w:val="auto"/>
        </w:rPr>
      </w:pPr>
    </w:p>
    <w:p>
      <w:pPr>
        <w:ind w:left="20" w:right="220"/>
        <w:spacing w:after="0" w:line="261" w:lineRule="auto"/>
        <w:rPr>
          <w:sz w:val="20"/>
          <w:szCs w:val="20"/>
          <w:color w:val="auto"/>
        </w:rPr>
      </w:pPr>
      <w:r>
        <w:rPr>
          <w:rFonts w:ascii="Times New Roman" w:cs="Times New Roman" w:eastAsia="Times New Roman" w:hAnsi="Times New Roman"/>
          <w:sz w:val="18"/>
          <w:szCs w:val="18"/>
          <w:color w:val="auto"/>
        </w:rPr>
        <w:t>The anticipated benefit of any of our acquisitions may never materialize. Future acquisitions could result in potentially dilutive issuances of our equity securities, the incurrence of debt, contingent liabilities or amortization expenses, or write-offs of goodwill, any of which could harm our financial condition. Future acquisitions may require us to obtain additional equity or debt financing, which may not be available on favorable terms, or at all.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MARKETS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sales are affected by the cyclicality of the semi market, which causes our operating results to fluctuate significantly.</w:t>
      </w:r>
    </w:p>
    <w:p>
      <w:pPr>
        <w:spacing w:after="0" w:line="229"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depends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83"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b w:val="1"/>
          <w:bCs w:val="1"/>
          <w:color w:val="auto"/>
        </w:rPr>
        <w:t>We seek to further diversify the markets for our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sell certain of our products in markets other than the semi market, including the automotive, defense/aerospace, industrial, life sciences and security markets. During 2024 and 2023, our sales to markets other than the semi market were $82.0 million and $57.6 million, respectively, and represented 63% and 47% of our consolidated revenue, respectively. Our goal is to increase our sales to markets other than the semi market; however, in most cases, the expansion of our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these markets, we do not expect broad market penetration in many of these markets. If we are unable to expand these sales, our revenue and results of operations will remain substantially dependent upon the cycles of the semi market.</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w:t>
      </w:r>
    </w:p>
    <w:p>
      <w:pPr>
        <w:spacing w:after="0" w:line="225" w:lineRule="exact"/>
        <w:rPr>
          <w:sz w:val="20"/>
          <w:szCs w:val="20"/>
          <w:color w:val="auto"/>
        </w:rPr>
      </w:pPr>
    </w:p>
    <w:p>
      <w:pPr>
        <w:ind w:left="2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our suppliers do not meet product or delivery requirements, or inflationary pressures continue to increase and we cannot increase our prices to our customers, we could have reduced revenues and earnings.</w:t>
      </w:r>
    </w:p>
    <w:p>
      <w:pPr>
        <w:spacing w:after="0" w:line="159"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8"/>
          <w:szCs w:val="18"/>
          <w:color w:val="auto"/>
        </w:rPr>
        <w:t>During 2022, as global supply chain constraints became more pronounced, we experienced price increases and lack of availability from several of our normal suppliers for the materials needed to produce our products in a timely manner and/or with the level of margins we typically expect to achieve. While the global supply chain seems to have returned to a more normalized state as of the end of 2024, ongoing uncertainty from geopolitical events and the global trade environment, including changes in the United States’ or international trade policy, tariffs, export controls, quotas, embargoes, or sanctions may trigger additional retaliatory actions by affected countries resulting in “trade wars” and further increased costs for goods and materials transported globally, which may negatively impact our customers, revenues and earnings. Furthermore, certain components of our products may continue to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experience reputational harm and be subject to contractual penalties, any of which could have a material adverse effect on our business, results of operations and financial condition. Additionally, we may not be able to raise our prices to our customers in an amount or timeframe sufficient to offset the increases in price we are experiencing from our suppliers. This could result in a reduction in our earnings in future periods.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breach of our operational or security systems could negatively affect our business, our reputation and results of operations.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result in litigation, damage our reputation, cause losses and significantly increase our costs. Although we have been and continue to be the target of security breaches, we have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 are subject to significant environmental, health and safety laws and regulations and related compliance expenditures and liabilities.</w:t>
      </w:r>
    </w:p>
    <w:p>
      <w:pPr>
        <w:spacing w:after="0" w:line="22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Our businesses are subject to many foreign, federal, state and local environmental, health and safety laws and regulations, particularly with respect to the use, handling, treatment, storage, discharge and disposal of substances and hazardous wastes used or generated in our manufacturing processes. Compliance with these laws and regulations is a significant factor in our business. We have incurred and expect to continue to incur significant expenditures to comply with applicable environmental laws and regulations.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w:t>
      </w:r>
    </w:p>
    <w:p>
      <w:pPr>
        <w:spacing w:after="0" w:line="187"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We expect to continue to be subject to increasingly stringent environmental and health and safety laws and regulations. It is difficult to predict the future interpretation and development of environmental and health and safety laws and regulations or their impact on our future earnings and operations. We anticipate that compliance will continue to require increased capital expenditures and operating costs. Any increase in these costs, or unanticipated liabilities arising from, among other things, discovery of previously unknown conditions or more aggressive enforcement actions, could adversely affect our results of operations, and there is no assurance that they will not exceed our reserves or have a material adverse effect on our financial condition.</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20" w:name="page21"/>
    <w:bookmarkEnd w:id="20"/>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In prior periods, our management identified material weaknesses in our internal control over financial reporting. If other material weaknesses are identified in the future, we may not be able to report our financial results accurately, prevent fraud or file our periodic reports in a timely manner, which may adversely affect investor confidence in our Company and, as a result, the value of our common stock.</w:t>
      </w:r>
    </w:p>
    <w:p>
      <w:pPr>
        <w:spacing w:after="0" w:line="17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As further explained in “</w:t>
      </w:r>
      <w:r>
        <w:rPr>
          <w:rFonts w:ascii="Times New Roman" w:cs="Times New Roman" w:eastAsia="Times New Roman" w:hAnsi="Times New Roman"/>
          <w:sz w:val="18"/>
          <w:szCs w:val="18"/>
          <w:b w:val="1"/>
          <w:bCs w:val="1"/>
          <w:color w:val="auto"/>
        </w:rPr>
        <w:t>Item 9A. Controls and Procedures,</w:t>
      </w:r>
      <w:r>
        <w:rPr>
          <w:rFonts w:ascii="Times New Roman" w:cs="Times New Roman" w:eastAsia="Times New Roman" w:hAnsi="Times New Roman"/>
          <w:sz w:val="18"/>
          <w:szCs w:val="18"/>
          <w:color w:val="auto"/>
        </w:rPr>
        <w:t>” in prior periods, our management identified material weaknesses in our internal control over financial reporting, which have been remediated as of December 31, 2024. We cannot be certain that other material weaknesses will not occur in the future. If material weaknesses are identified in the future, or if we are not able to comply with the requirements of Section 404 of the Sarbanes-Oxley Act in a timely manner, our reported financial results could be materially misstated and we could be subject to investigations or sanctions by regulatory authorities, which would require additional financial and management resources, and the value of our common stock could decline.</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are not able to maintain internal controls and procedures in accordance with the requirements of applicable securities laws, rules, and regulations, including, without limitation, Section 404 of the Sarbanes-Oxley Act in a timely manner or with adequate compliance, we may not be able to conclude that our internal control over financial reporting is effective, which may subject us to adverse regulatory consequences and could harm investor confidence and the market price of our Common Shares. The existence of material weaknesses in internal control over financial reporting could adversely affect our reputation or investor perceptions of us.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business may suffer if we are unable to attract and retain key employees or hire personnel at the costs we currently project.</w:t>
      </w:r>
    </w:p>
    <w:p>
      <w:pPr>
        <w:spacing w:after="0" w:line="229"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18"/>
          <w:szCs w:val="18"/>
          <w:color w:val="auto"/>
        </w:rPr>
        <w:t>Our future success will depend largely upon the continued services of our senior management and other key employees or the development of successors with commensurate skills and talents in a timely fashion and at the costs we project. If we cannot continue to increase employee salaries and maintain employee benefits commensurate with competitive opportunities, we may not be able to retain our senior management and other key employees. The loss of key personnel could adversely affect our ability to manage our business effectively and could increase our costs in future periods.</w:t>
      </w:r>
    </w:p>
    <w:p>
      <w:pPr>
        <w:spacing w:after="0" w:line="183" w:lineRule="exact"/>
        <w:rPr>
          <w:sz w:val="20"/>
          <w:szCs w:val="20"/>
          <w:color w:val="auto"/>
        </w:rPr>
      </w:pPr>
    </w:p>
    <w:p>
      <w:pPr>
        <w:ind w:left="40" w:right="100"/>
        <w:spacing w:after="0" w:line="266" w:lineRule="auto"/>
        <w:rPr>
          <w:sz w:val="20"/>
          <w:szCs w:val="20"/>
          <w:color w:val="auto"/>
        </w:rPr>
      </w:pPr>
      <w:r>
        <w:rPr>
          <w:rFonts w:ascii="Times New Roman" w:cs="Times New Roman" w:eastAsia="Times New Roman" w:hAnsi="Times New Roman"/>
          <w:sz w:val="18"/>
          <w:szCs w:val="18"/>
          <w:color w:val="auto"/>
        </w:rPr>
        <w:t>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w:t>
      </w:r>
    </w:p>
    <w:p>
      <w:pPr>
        <w:spacing w:after="0" w:line="172"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color w:val="auto"/>
        </w:rPr>
        <w:t>We have experienced and may continue to experience significant variability in our effective tax rates and may have exposure to additional tax liabilities and costs.</w:t>
      </w:r>
    </w:p>
    <w:p>
      <w:pPr>
        <w:spacing w:after="0" w:line="159" w:lineRule="exact"/>
        <w:rPr>
          <w:sz w:val="20"/>
          <w:szCs w:val="20"/>
          <w:color w:val="auto"/>
        </w:rPr>
      </w:pPr>
    </w:p>
    <w:p>
      <w:pPr>
        <w:ind w:left="40" w:right="20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76" w:lineRule="exact"/>
        <w:rPr>
          <w:sz w:val="20"/>
          <w:szCs w:val="20"/>
          <w:color w:val="auto"/>
        </w:rPr>
      </w:pPr>
    </w:p>
    <w:p>
      <w:pPr>
        <w:ind w:left="40" w:right="620"/>
        <w:spacing w:after="0" w:line="286" w:lineRule="auto"/>
        <w:rPr>
          <w:sz w:val="20"/>
          <w:szCs w:val="20"/>
          <w:color w:val="auto"/>
        </w:rPr>
      </w:pPr>
      <w:r>
        <w:rPr>
          <w:rFonts w:ascii="Times New Roman" w:cs="Times New Roman" w:eastAsia="Times New Roman" w:hAnsi="Times New Roman"/>
          <w:sz w:val="18"/>
          <w:szCs w:val="18"/>
          <w:b w:val="1"/>
          <w:bCs w:val="1"/>
          <w:color w:val="auto"/>
        </w:rPr>
        <w:t>The terms and covenants relating to our credit facility could adversely impact our ability to pursue our strategy and our financial performance and liquidity, and thus we may need additional financial resources to maintain our liquidity.</w:t>
      </w:r>
    </w:p>
    <w:p>
      <w:pPr>
        <w:spacing w:after="0" w:line="155" w:lineRule="exact"/>
        <w:rPr>
          <w:sz w:val="20"/>
          <w:szCs w:val="20"/>
          <w:color w:val="auto"/>
        </w:rPr>
      </w:pPr>
    </w:p>
    <w:p>
      <w:pPr>
        <w:ind w:left="40" w:right="40"/>
        <w:spacing w:after="0" w:line="256" w:lineRule="auto"/>
        <w:rPr>
          <w:sz w:val="20"/>
          <w:szCs w:val="20"/>
          <w:color w:val="auto"/>
        </w:rPr>
      </w:pPr>
      <w:r>
        <w:rPr>
          <w:rFonts w:ascii="Times New Roman" w:cs="Times New Roman" w:eastAsia="Times New Roman" w:hAnsi="Times New Roman"/>
          <w:sz w:val="18"/>
          <w:szCs w:val="18"/>
          <w:color w:val="auto"/>
        </w:rPr>
        <w:t>Our credit facility with M&amp;T Bank (“</w:t>
      </w:r>
      <w:r>
        <w:rPr>
          <w:rFonts w:ascii="Times New Roman" w:cs="Times New Roman" w:eastAsia="Times New Roman" w:hAnsi="Times New Roman"/>
          <w:sz w:val="18"/>
          <w:szCs w:val="18"/>
          <w:b w:val="1"/>
          <w:bCs w:val="1"/>
          <w:u w:val="single" w:color="auto"/>
          <w:color w:val="auto"/>
        </w:rPr>
        <w:t>M&amp;T</w:t>
      </w:r>
      <w:r>
        <w:rPr>
          <w:rFonts w:ascii="Times New Roman" w:cs="Times New Roman" w:eastAsia="Times New Roman" w:hAnsi="Times New Roman"/>
          <w:sz w:val="18"/>
          <w:szCs w:val="18"/>
          <w:color w:val="auto"/>
        </w:rPr>
        <w:t>”)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credit facility,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w:t>
      </w:r>
    </w:p>
    <w:p>
      <w:pPr>
        <w:spacing w:after="0" w:line="187" w:lineRule="exact"/>
        <w:rPr>
          <w:sz w:val="20"/>
          <w:szCs w:val="20"/>
          <w:color w:val="auto"/>
        </w:rPr>
      </w:pPr>
    </w:p>
    <w:p>
      <w:pPr>
        <w:ind w:left="40" w:right="40"/>
        <w:spacing w:after="0" w:line="256" w:lineRule="auto"/>
        <w:rPr>
          <w:sz w:val="20"/>
          <w:szCs w:val="20"/>
          <w:color w:val="auto"/>
        </w:rPr>
      </w:pPr>
      <w:r>
        <w:rPr>
          <w:rFonts w:ascii="Times New Roman" w:cs="Times New Roman" w:eastAsia="Times New Roman" w:hAnsi="Times New Roman"/>
          <w:sz w:val="18"/>
          <w:szCs w:val="18"/>
          <w:color w:val="auto"/>
        </w:rPr>
        <w:t>At June 30, 2024, we were in compliance with all of the covenants included in our credit facility, except for the fixed charge coverage ratio financial covenant which was 1.16 to 1.0 for the quarter ended June 30, 2024, for which we received a one-time waiver from M&amp;T. At September 30, 2024 and December 31, 2024, we were in compliance with all of the covenants included in our credit facility. See “</w:t>
      </w:r>
      <w:r>
        <w:rPr>
          <w:rFonts w:ascii="Times New Roman" w:cs="Times New Roman" w:eastAsia="Times New Roman" w:hAnsi="Times New Roman"/>
          <w:sz w:val="18"/>
          <w:szCs w:val="18"/>
          <w:b w:val="1"/>
          <w:bCs w:val="1"/>
          <w:color w:val="auto"/>
        </w:rPr>
        <w:t>Part II; 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 Liquidity and Capital Resources; Credit Facility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 II; Item 8. Financial Statements and Supplementary Data; Notes to Consolidated Financial Statements; Note (10) Debt</w:t>
      </w:r>
      <w:r>
        <w:rPr>
          <w:rFonts w:ascii="Times New Roman" w:cs="Times New Roman" w:eastAsia="Times New Roman" w:hAnsi="Times New Roman"/>
          <w:sz w:val="18"/>
          <w:szCs w:val="18"/>
          <w:color w:val="auto"/>
        </w:rPr>
        <w:t>” in this Report for a discussion of the material terms of our credit facility.</w:t>
      </w:r>
    </w:p>
    <w:p>
      <w:pPr>
        <w:spacing w:after="0" w:line="183" w:lineRule="exact"/>
        <w:rPr>
          <w:sz w:val="20"/>
          <w:szCs w:val="20"/>
          <w:color w:val="auto"/>
        </w:rPr>
      </w:pPr>
    </w:p>
    <w:p>
      <w:pPr>
        <w:ind w:left="40" w:right="40"/>
        <w:spacing w:after="0" w:line="286" w:lineRule="auto"/>
        <w:rPr>
          <w:sz w:val="20"/>
          <w:szCs w:val="20"/>
          <w:color w:val="auto"/>
        </w:rPr>
      </w:pPr>
      <w:r>
        <w:rPr>
          <w:rFonts w:ascii="Times New Roman" w:cs="Times New Roman" w:eastAsia="Times New Roman" w:hAnsi="Times New Roman"/>
          <w:sz w:val="18"/>
          <w:szCs w:val="18"/>
          <w:b w:val="1"/>
          <w:bCs w:val="1"/>
          <w:color w:val="auto"/>
        </w:rPr>
        <w:t>We hold our cash and cash equivalents that we use to meet our working capital needs in deposit accounts that could be adversely affected if the financial institutions holding such funds fail.</w:t>
      </w:r>
    </w:p>
    <w:p>
      <w:pPr>
        <w:spacing w:after="0" w:line="159" w:lineRule="exact"/>
        <w:rPr>
          <w:sz w:val="20"/>
          <w:szCs w:val="20"/>
          <w:color w:val="auto"/>
        </w:rPr>
      </w:pPr>
    </w:p>
    <w:p>
      <w:pPr>
        <w:ind w:left="40" w:right="60"/>
        <w:spacing w:after="0" w:line="256" w:lineRule="auto"/>
        <w:rPr>
          <w:sz w:val="20"/>
          <w:szCs w:val="20"/>
          <w:color w:val="auto"/>
        </w:rPr>
      </w:pPr>
      <w:r>
        <w:rPr>
          <w:rFonts w:ascii="Times New Roman" w:cs="Times New Roman" w:eastAsia="Times New Roman" w:hAnsi="Times New Roman"/>
          <w:sz w:val="18"/>
          <w:szCs w:val="18"/>
          <w:color w:val="auto"/>
        </w:rPr>
        <w:t>We hold our cash and cash equivalents that we use to meet our working capital needs in deposit accounts at multiple financial institutions. The balance held in these accounts may exceed the Federal Deposit Insurance Corporation (“</w:t>
      </w:r>
      <w:r>
        <w:rPr>
          <w:rFonts w:ascii="Times New Roman" w:cs="Times New Roman" w:eastAsia="Times New Roman" w:hAnsi="Times New Roman"/>
          <w:sz w:val="18"/>
          <w:szCs w:val="18"/>
          <w:b w:val="1"/>
          <w:bCs w:val="1"/>
          <w:u w:val="single" w:color="auto"/>
          <w:color w:val="auto"/>
        </w:rPr>
        <w:t>FDIC</w:t>
      </w:r>
      <w:r>
        <w:rPr>
          <w:rFonts w:ascii="Times New Roman" w:cs="Times New Roman" w:eastAsia="Times New Roman" w:hAnsi="Times New Roman"/>
          <w:sz w:val="18"/>
          <w:szCs w:val="18"/>
          <w:color w:val="auto"/>
        </w:rPr>
        <w:t>”), standard deposit insurance limit or similar government guarantee schemes.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obligations.</w:t>
      </w:r>
    </w:p>
    <w:p>
      <w:pPr>
        <w:spacing w:after="0" w:line="187"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18"/>
          <w:szCs w:val="18"/>
          <w:color w:val="auto"/>
        </w:rPr>
        <w:t>For example, on March 10, 2023, Silicon Valley Bank, and on March 12, 2023, Signature Bank, were closed by state regulators and the FDIC was appointed receiver for each bank. The FDIC created successor bridge banks and all deposits of Silicon Valley Bank and Signature Bank were transferred to the bridge banks under a systemic risk exception approved by the United States Department of the Treasury, the Federal Reserve and the FDIC. If financial institutions in which we hold funds for working capital were to fail, we cannot provide any assurances that such governmental agencies would take action to protect our uninsured deposits in a similar manner.</w:t>
      </w:r>
    </w:p>
    <w:p>
      <w:pPr>
        <w:spacing w:after="0" w:line="1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576" w:right="359" w:bottom="0" w:gutter="0" w:footer="0" w:header="0"/>
        </w:sectPr>
      </w:pPr>
    </w:p>
    <w:bookmarkStart w:id="21" w:name="page22"/>
    <w:bookmarkEnd w:id="21"/>
    <w:p>
      <w:pPr>
        <w:ind w:right="240"/>
        <w:spacing w:after="0" w:line="266" w:lineRule="auto"/>
        <w:rPr>
          <w:sz w:val="20"/>
          <w:szCs w:val="20"/>
          <w:color w:val="auto"/>
        </w:rPr>
      </w:pPr>
      <w:r>
        <w:rPr>
          <w:rFonts w:ascii="Times New Roman" w:cs="Times New Roman" w:eastAsia="Times New Roman" w:hAnsi="Times New Roman"/>
          <w:sz w:val="18"/>
          <w:szCs w:val="18"/>
          <w:color w:val="auto"/>
        </w:rPr>
        <w:t>We also maintain investment accounts with other financial institutions in which we hold our investments and, if access to the funds we use for working capital is impaired, we may not be able to sell investments or transfer funds from our investment accounts to new accounts on a timely basis sufficient to meet our working capital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doing business in China.</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 sales and other business operations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intellectual property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92" w:lineRule="exact"/>
        <w:rPr>
          <w:sz w:val="20"/>
          <w:szCs w:val="20"/>
          <w:color w:val="auto"/>
        </w:rPr>
      </w:pPr>
    </w:p>
    <w:p>
      <w:pPr>
        <w:ind w:left="940" w:hanging="640"/>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substantial influence over the manner in which we must conduct our business activities;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exchange may limit our ability to receive, transfer and use our cash effectively;</w:t>
      </w:r>
    </w:p>
    <w:p>
      <w:pPr>
        <w:spacing w:after="0" w:line="36" w:lineRule="exact"/>
        <w:rPr>
          <w:rFonts w:ascii="Times New Roman" w:cs="Times New Roman" w:eastAsia="Times New Roman" w:hAnsi="Times New Roman"/>
          <w:sz w:val="18"/>
          <w:szCs w:val="18"/>
          <w:color w:val="auto"/>
        </w:rPr>
      </w:pPr>
    </w:p>
    <w:p>
      <w:pPr>
        <w:ind w:left="940" w:right="320" w:hanging="640"/>
        <w:spacing w:after="0" w:line="261"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uncertainties related to the enforcement of intellectual property rights including any intellectual property rights that we may license to a Chinese (or other emerging jurisdiction) entity, including any joint ventures we may form;</w:t>
      </w:r>
    </w:p>
    <w:p>
      <w:pPr>
        <w:ind w:left="940" w:hanging="640"/>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uncertainties relating to Chinese regulation of exports of products and technology to and from China;</w:t>
      </w:r>
    </w:p>
    <w:p>
      <w:pPr>
        <w:spacing w:after="0" w:line="17" w:lineRule="exact"/>
        <w:rPr>
          <w:rFonts w:ascii="Times New Roman" w:cs="Times New Roman" w:eastAsia="Times New Roman" w:hAnsi="Times New Roman"/>
          <w:sz w:val="18"/>
          <w:szCs w:val="18"/>
          <w:color w:val="auto"/>
        </w:rPr>
      </w:pPr>
    </w:p>
    <w:p>
      <w:pPr>
        <w:ind w:left="940" w:right="600" w:hanging="640"/>
        <w:spacing w:after="0" w:line="261"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rapidly changing export and related trade regulations and restrictions imposed by U.S. and Chinese legislation, executive actions and regulations;</w:t>
      </w:r>
    </w:p>
    <w:p>
      <w:pPr>
        <w:ind w:left="940" w:right="380" w:hanging="640"/>
        <w:spacing w:after="0" w:line="250"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travel to and from China (and to and from United States) arising from or related to the COVID-19 pandemic or any future pandemic;</w:t>
      </w:r>
    </w:p>
    <w:p>
      <w:pPr>
        <w:ind w:left="940" w:right="200" w:hanging="640"/>
        <w:spacing w:after="0" w:line="250"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ind w:left="940" w:hanging="640"/>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uncertainties related to the enforcement of contracts with certain parties;</w:t>
      </w:r>
    </w:p>
    <w:p>
      <w:pPr>
        <w:spacing w:after="0" w:line="17"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rules on foreign investment could adversely affect our ability to expand our operations in China; and</w:t>
      </w:r>
    </w:p>
    <w:p>
      <w:pPr>
        <w:spacing w:after="0" w:line="36" w:lineRule="exact"/>
        <w:rPr>
          <w:rFonts w:ascii="Times New Roman" w:cs="Times New Roman" w:eastAsia="Times New Roman" w:hAnsi="Times New Roman"/>
          <w:sz w:val="18"/>
          <w:szCs w:val="18"/>
          <w:color w:val="auto"/>
        </w:rPr>
      </w:pPr>
    </w:p>
    <w:p>
      <w:pPr>
        <w:ind w:left="940" w:right="500" w:hanging="640"/>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growing operations in China, these risks could harm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political and other risks conducting business in Taiwan particularly due to their tense relationships with China.</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customers located in Taiwan. Accordingly, our business, financial condition and results of operations may be affected by changes in governmental and economic policies in Taiwan, social instability and diplomatic and social developments in or affecting Taiwan due to its unique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0"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CUSTOMER BASE</w:t>
      </w:r>
    </w:p>
    <w:p>
      <w:pPr>
        <w:spacing w:after="0" w:line="225" w:lineRule="exact"/>
        <w:rPr>
          <w:sz w:val="20"/>
          <w:szCs w:val="20"/>
          <w:color w:val="auto"/>
        </w:rPr>
      </w:pPr>
    </w:p>
    <w:p>
      <w:pPr>
        <w:ind w:left="20" w:right="18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59"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8"/>
          <w:szCs w:val="18"/>
          <w:color w:val="auto"/>
        </w:rPr>
        <w:t>In addition to the cyclicality of the semi market,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Such shifts in market practices have had, and may continue to have, varying degrees of impact on our revenue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88" w:lineRule="exact"/>
        <w:rPr>
          <w:sz w:val="20"/>
          <w:szCs w:val="20"/>
          <w:color w:val="auto"/>
        </w:rPr>
      </w:pPr>
    </w:p>
    <w:p>
      <w:pPr>
        <w:ind w:left="20"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generate a large portion of our sales from a small number of customers. If we were to lose one or more of our large customers, our operating results could suffer dramatically.</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one customer accounted for 13% of our consolidated revenue. This revenue was primarily generated by our Electronic Test segment. During the year ended December 31, 2023, this same customer accounted for 13% of our consolidated revenue. During the years ended December 31, 2024 and 2023, our ten largest customers accounted for approximately 45% and 42% of our consolidated revenue,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COMPETITION</w:t>
      </w:r>
    </w:p>
    <w:p>
      <w:pPr>
        <w:spacing w:after="0" w:line="225" w:lineRule="exact"/>
        <w:rPr>
          <w:sz w:val="20"/>
          <w:szCs w:val="20"/>
          <w:color w:val="auto"/>
        </w:rPr>
      </w:pPr>
    </w:p>
    <w:p>
      <w:pPr>
        <w:ind w:left="20" w:right="3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59"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price-based competition, which has and could continue to materially adversely affect our business, financial condition and results of operations.</w:t>
      </w:r>
    </w:p>
    <w:p>
      <w:pPr>
        <w:spacing w:after="0" w:line="188" w:lineRule="exact"/>
        <w:rPr>
          <w:sz w:val="20"/>
          <w:szCs w:val="20"/>
          <w:color w:val="auto"/>
        </w:rPr>
      </w:pPr>
    </w:p>
    <w:p>
      <w:pPr>
        <w:ind w:left="20" w:right="540"/>
        <w:spacing w:after="0" w:line="286" w:lineRule="auto"/>
        <w:rPr>
          <w:sz w:val="20"/>
          <w:szCs w:val="20"/>
          <w:color w:val="auto"/>
        </w:rPr>
      </w:pPr>
      <w:r>
        <w:rPr>
          <w:rFonts w:ascii="Times New Roman" w:cs="Times New Roman" w:eastAsia="Times New Roman" w:hAnsi="Times New Roman"/>
          <w:sz w:val="18"/>
          <w:szCs w:val="18"/>
          <w:b w:val="1"/>
          <w:bCs w:val="1"/>
          <w:color w:val="auto"/>
        </w:rPr>
        <w:t>Our markets are subject to rapid technological change, and our business prospects would be negatively affected if we are unable to quickly and effectively respond to innovation in the semi market or other markets that we serve.</w:t>
      </w:r>
    </w:p>
    <w:p>
      <w:pPr>
        <w:spacing w:after="0" w:line="15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Technology, including semiconductor technology, continues to become more complex as the pace of innovation and development of new technology increases. In addition, manufacturers are incorporating ICs into an increasing variety of products. This trend, including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FOREIGN OPERATIONS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continuing conflict in the Ukraine could disrupt our supply chain or cause other adverse effects on our revenue and earnings.</w:t>
      </w:r>
    </w:p>
    <w:p>
      <w:pPr>
        <w:spacing w:after="0" w:line="229"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In late February 2022, Russia initiated significant military action against Ukraine. In response, the U.S. and certain other countries imposed significant sanctions and trade actions against Russia. Recently, the U.S. added sanctions to Belarus. The U.S. and certain other countries could impose further sanctions, trade restrictions and other retaliatory actions should the conflict continue or worsen. It is not possible to predict the broader consequences of the conflict, including related geopolitical tensions, and the measures and retaliatory actions taken by the U.S. and other countries in respect thereof, as well as any counter measures or retaliatory actions by Russia or its allies in response. The continuing conflict has caused regional instability and could cause geopolitical shifts and could materially adversely affect global trade, currency exchange rates, regional economies and the global economy, which could materially adversely affect our financial condition or results of operations.</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76" w:right="359" w:bottom="1440" w:gutter="0" w:footer="0" w:header="0"/>
        </w:sectPr>
      </w:pPr>
    </w:p>
    <w:bookmarkStart w:id="23" w:name="page24"/>
    <w:bookmarkEnd w:id="23"/>
    <w:p>
      <w:pPr>
        <w:ind w:right="140"/>
        <w:spacing w:after="0" w:line="253" w:lineRule="auto"/>
        <w:rPr>
          <w:sz w:val="20"/>
          <w:szCs w:val="20"/>
          <w:color w:val="auto"/>
        </w:rPr>
      </w:pPr>
      <w:r>
        <w:rPr>
          <w:rFonts w:ascii="Times New Roman" w:cs="Times New Roman" w:eastAsia="Times New Roman" w:hAnsi="Times New Roman"/>
          <w:sz w:val="18"/>
          <w:szCs w:val="18"/>
          <w:color w:val="auto"/>
        </w:rPr>
        <w:t>The conflict and actions taken in response to the conflict could increase our costs or disrupt our supply chain for certain unique materials. Specifically, Acculogic purchases certain parts from a key sole-source supplier in Belarus, which is bordered by Russia to the east and northeast and Ukraine to the south. In August 2024, the United States, Canada and the European Union added additional sanctions on certain companies based in Belarus, including this key sole-source supplier. We are complying with these sanctions and have not received materials from this supplier since the restrictions were announced. As a result, we have a limited supply of these parts. We are currently in the process of qualifying an alternate supplier for these parts. In addition, in December 2024, we submitted a request to the Office of Foreign Assets Control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to allow us a temporary license to purchase a limited quantity of these parts from this supplier. This application is currently pending OFAC review. There can be no assurance that we will be granted a license by OFAC in a timely matter or at all, that if granted a license by OFAC that such supplier in Belarus will be willing or able to provide these parts on reasonable commercial terms or at all, or that we will be able to identify and qualify an alternative supplier for these parts in a timely matter or at all. If we cannot source this material from alternate suppliers for similar costs, our revenue and earnings could be adversely affected.</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have a sole source supplier of components in Israel and the continuing Hamas-Israel conflict could disrupt our supply chain or cause other adverse effects on our revenue and earnings.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early October 2023, Hamas attacked Israel and Israel formally declared war in response to the attack. While some efforts have been made towards a cessation of hostilities, the conflict is ongoing, and it is unclear when it might end. The continuing conflict is likely to cause regional instability and could materially adversely affect global trade, regional economies and the global economy, which could materially adversely affect our financial condition and results of operations. Our subsidiary, Ambrell® has a sole source supplier of capacitors used in certain of our induction heating products that is located in Israel. This supplier is the sole source supplier of capacitors for numerous induction companies, and currently there are no viable alternatives available. There can be no assurance that the situation will not worsen, which could impact our ability to assemble and ship certain of our induction heating products which could have a material impact on our results of operations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substantial portion of our customers are located outside the U.S., which exposes us to foreign political and economic risks.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operated internationally for many years and expect to expand our international operations to continue expansion of our sales and service to our non-U.S. customers. Our foreign subsidiaries generated 39% and 24% of consolidated revenue in 2024 and 2023, respectively. Revenue from foreign customers totaled $77.1 million, or 59% of consolidated revenue in 2024, and $78.1 million, or 63% of consolidated revenue in 2023. We expect our revenue from foreign customers will continue to represent a significant portion of total revenue.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87" w:lineRule="exact"/>
        <w:rPr>
          <w:sz w:val="20"/>
          <w:szCs w:val="20"/>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certain foreign customers being added to the list of restricted customers by the U.S. Department of Commerce;</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trade tariffs by the U.S. and other countries that would impact our products;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foreign countries;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financial and operational controls and regulatory restrictions by foreign governments;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 wide variety of U.S. and foreign import and export laws;</w:t>
      </w:r>
    </w:p>
    <w:p>
      <w:pPr>
        <w:spacing w:after="0" w:line="36" w:lineRule="exact"/>
        <w:rPr>
          <w:rFonts w:ascii="Times New Roman" w:cs="Times New Roman" w:eastAsia="Times New Roman" w:hAnsi="Times New Roman"/>
          <w:sz w:val="18"/>
          <w:szCs w:val="18"/>
          <w:color w:val="auto"/>
        </w:rPr>
      </w:pPr>
    </w:p>
    <w:p>
      <w:pPr>
        <w:ind w:left="940" w:right="520" w:hanging="640"/>
        <w:spacing w:after="0" w:line="261"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17"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difficulty of administering business abroad.</w:t>
      </w:r>
    </w:p>
    <w:p>
      <w:pPr>
        <w:spacing w:after="0" w:line="24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much of our cash is in the U.S., a significant portion is generated from and maintained by our foreign operations. At December 31, 2024,</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$8.6 million, or 44% of our cash and cash equivalents was held by our foreign subsidiaries.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of intellectual property infringement by or against us could seriously harm our businesses.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have been and may again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protect our intellectual property, we may lose a valuable asset or may incur costly litigation to protect our rights.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protect the technology that is incorporated in our products in several ways, including through patent, copyright, trademark and trade secret protection and by contractual agreement. However, even with these protections, our intellectual property may still be challenged, invalidated or subject to other infringement actions. While we believe that our intellectual property has value in the aggregate, no single element of our intellectual property is in itself essential. If a significant portion of our intellectual property is invalidated or ineffective, our business could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OPERATING RESULTS AND STOCK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often change significantly from quarter to quarter and may cause fluctuations in our stock price.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spacing w:after="0" w:line="176" w:lineRule="exact"/>
        <w:rPr>
          <w:sz w:val="20"/>
          <w:szCs w:val="20"/>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due diligence and transaction-related expenses for a proposed acquisition that does not get completed;</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integration of our acquisitions and plant consolidations and relocations;</w:t>
      </w:r>
    </w:p>
    <w:p>
      <w:pPr>
        <w:spacing w:after="0" w:line="36" w:lineRule="exact"/>
        <w:rPr>
          <w:rFonts w:ascii="Times New Roman" w:cs="Times New Roman" w:eastAsia="Times New Roman" w:hAnsi="Times New Roman"/>
          <w:sz w:val="18"/>
          <w:szCs w:val="18"/>
          <w:color w:val="auto"/>
        </w:rPr>
      </w:pPr>
    </w:p>
    <w:p>
      <w:pPr>
        <w:ind w:left="940" w:right="560" w:hanging="640"/>
        <w:spacing w:after="0" w:line="261"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in the markets we serve including the automotive, defense/aerospace, industrial, life sciences and security markets;</w:t>
      </w: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and global economies;</w:t>
      </w:r>
    </w:p>
    <w:p>
      <w:pPr>
        <w:spacing w:after="0" w:line="17"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buying patterns of our customers including any changes in the rate of, and timing of, purchases by our customers;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interruptions in our supply chain caused by external factors;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market share;</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or any other pandemic on our business;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obsolescence of our inventories;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quantities of our inventories greater than is reasonably likely to be utilized in future periods;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 of product warranty charges;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pressures;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manufacturing capacity;</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operating costs;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shipments of our products;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products sold;</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customers and geographic regions where we sell our products;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our fixed costs;</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development of our proprietary technology;</w:t>
      </w:r>
    </w:p>
    <w:p>
      <w:pPr>
        <w:spacing w:after="0" w:line="36" w:lineRule="exact"/>
        <w:rPr>
          <w:rFonts w:ascii="Times New Roman" w:cs="Times New Roman" w:eastAsia="Times New Roman" w:hAnsi="Times New Roman"/>
          <w:sz w:val="18"/>
          <w:szCs w:val="18"/>
          <w:color w:val="auto"/>
        </w:rPr>
      </w:pPr>
    </w:p>
    <w:p>
      <w:pPr>
        <w:ind w:left="940" w:hanging="640"/>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raw materials or fabricated parts when needed;</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76" w:right="359" w:bottom="1440" w:gutter="0" w:footer="0" w:header="0"/>
        </w:sectPr>
      </w:pPr>
    </w:p>
    <w:bookmarkStart w:id="25" w:name="page26"/>
    <w:bookmarkEnd w:id="25"/>
    <w:p>
      <w:pPr>
        <w:ind w:left="1620" w:hanging="64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component materials;</w:t>
      </w:r>
    </w:p>
    <w:p>
      <w:pPr>
        <w:spacing w:after="0" w:line="36"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or rescheduling of orders by our customers;</w:t>
      </w:r>
    </w:p>
    <w:p>
      <w:pPr>
        <w:spacing w:after="0" w:line="36"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w:t>
      </w:r>
    </w:p>
    <w:p>
      <w:pPr>
        <w:spacing w:after="0" w:line="36"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w:t>
      </w:r>
    </w:p>
    <w:p>
      <w:pPr>
        <w:spacing w:after="0" w:line="252" w:lineRule="exact"/>
        <w:rPr>
          <w:sz w:val="20"/>
          <w:szCs w:val="20"/>
          <w:color w:val="auto"/>
        </w:rPr>
      </w:pPr>
    </w:p>
    <w:p>
      <w:pPr>
        <w:ind w:left="680" w:right="40"/>
        <w:spacing w:after="0" w:line="282" w:lineRule="auto"/>
        <w:rPr>
          <w:sz w:val="20"/>
          <w:szCs w:val="20"/>
          <w:color w:val="auto"/>
        </w:rPr>
      </w:pPr>
      <w:r>
        <w:rPr>
          <w:rFonts w:ascii="Times New Roman" w:cs="Times New Roman" w:eastAsia="Times New Roman" w:hAnsi="Times New Roman"/>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Cyber Security Governance</w:t>
      </w:r>
    </w:p>
    <w:p>
      <w:pPr>
        <w:spacing w:after="0" w:line="223" w:lineRule="exact"/>
        <w:rPr>
          <w:sz w:val="20"/>
          <w:szCs w:val="20"/>
          <w:color w:val="auto"/>
        </w:rPr>
      </w:pPr>
    </w:p>
    <w:p>
      <w:pPr>
        <w:ind w:left="660" w:right="20"/>
        <w:spacing w:after="0" w:line="259" w:lineRule="auto"/>
        <w:rPr>
          <w:sz w:val="20"/>
          <w:szCs w:val="20"/>
          <w:color w:val="auto"/>
        </w:rPr>
      </w:pPr>
      <w:r>
        <w:rPr>
          <w:rFonts w:ascii="Times New Roman" w:cs="Times New Roman" w:eastAsia="Times New Roman" w:hAnsi="Times New Roman"/>
          <w:sz w:val="18"/>
          <w:szCs w:val="18"/>
          <w:color w:val="auto"/>
        </w:rPr>
        <w:t>Oversight of cybersecurity risks by management is led by our Information Technology (“</w:t>
      </w:r>
      <w:r>
        <w:rPr>
          <w:rFonts w:ascii="Times New Roman" w:cs="Times New Roman" w:eastAsia="Times New Roman" w:hAnsi="Times New Roman"/>
          <w:sz w:val="18"/>
          <w:szCs w:val="18"/>
          <w:b w:val="1"/>
          <w:bCs w:val="1"/>
          <w:u w:val="single" w:color="auto"/>
          <w:color w:val="auto"/>
        </w:rPr>
        <w:t>IT</w:t>
      </w:r>
      <w:r>
        <w:rPr>
          <w:rFonts w:ascii="Times New Roman" w:cs="Times New Roman" w:eastAsia="Times New Roman" w:hAnsi="Times New Roman"/>
          <w:sz w:val="18"/>
          <w:szCs w:val="18"/>
          <w:color w:val="auto"/>
        </w:rPr>
        <w:t>”) Committee, which is chaired by our Corporate Vice President of IT and Cybersecurity and comprised of members of senior management including our Chief Executive Officer and Chief Financial Officer. Among its responsibilities, the IT Committee identifies our material cyber risks and reviews the strategies, processes and controls in place to facilitate the understanding, identification, prevention, measurement, reporting and mitigation of those risks. The IT Committee meets quarterly to review our cyber risk management strategy. A member of the Board attends these meetings as an observer.</w:t>
      </w:r>
    </w:p>
    <w:p>
      <w:pPr>
        <w:spacing w:after="0" w:line="183"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Board and senior management provide general oversight and support to the IT Committee. The Board periodically reviews, appraises and discusses with management the effectiveness of our information technology security, data privacy and cyber security and related risks.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Cybersecurity is a key component of our overall risk management system. We are implementing processes that are designed to effectively manage risks from cybersecurity threats. The IT Committee currently has in place an Incident Response Plan (the “</w:t>
      </w:r>
      <w:r>
        <w:rPr>
          <w:rFonts w:ascii="Times New Roman" w:cs="Times New Roman" w:eastAsia="Times New Roman" w:hAnsi="Times New Roman"/>
          <w:sz w:val="18"/>
          <w:szCs w:val="18"/>
          <w:b w:val="1"/>
          <w:bCs w:val="1"/>
          <w:u w:val="single" w:color="auto"/>
          <w:color w:val="auto"/>
        </w:rPr>
        <w:t>IRP</w:t>
      </w:r>
      <w:r>
        <w:rPr>
          <w:rFonts w:ascii="Times New Roman" w:cs="Times New Roman" w:eastAsia="Times New Roman" w:hAnsi="Times New Roman"/>
          <w:sz w:val="18"/>
          <w:szCs w:val="18"/>
          <w:color w:val="auto"/>
        </w:rPr>
        <w:t>”). The IRP lays out our guidelines for responding to and handling cyber incidents. The IRP helps to ensure a quick and organized response in the event of a cyber incident and helps ensure all necessary members of management, the Board and legal counsel are informed so action can be taken as soon as possible. Under the IRP, once a cyber incident is identified, a response team will review the details of the cyber incident, inform management and the Board and work to secure our systems and fix the vulnerability. An investigation will be conducted, with the assistance of third-party consultants if needed, to determine the root cause of the cyber incident, the materiality of the cyber incident, and any disclosure or legal obligations that will stem from the cyber incident.</w:t>
      </w:r>
    </w:p>
    <w:p>
      <w:pPr>
        <w:spacing w:after="0" w:line="19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To enhance our cybersecurity defenses and reduce the risk of cybersecurity incidents, we have integrated a range of third-party services into our IT systems. These include a robust detection and response solution that provides continuous monitoring of our environment and in January 2025 we implemented automation that shuts down active threats, endpoint protection across all devices, and the implementation of two-factor authentication for secure access. Additionally, we conduct regular penetration testing to identify and address potential vulnerabilities. We also engage a trusted external cybersecurity consultant to review and update our IRP, ensuring it aligns with the latest industry standards and best practices.</w:t>
      </w:r>
    </w:p>
    <w:p>
      <w:pPr>
        <w:spacing w:after="0" w:line="183" w:lineRule="exact"/>
        <w:rPr>
          <w:sz w:val="20"/>
          <w:szCs w:val="20"/>
          <w:color w:val="auto"/>
        </w:rPr>
      </w:pPr>
    </w:p>
    <w:p>
      <w:pPr>
        <w:ind w:left="660" w:right="120"/>
        <w:spacing w:after="0" w:line="286" w:lineRule="auto"/>
        <w:rPr>
          <w:sz w:val="20"/>
          <w:szCs w:val="20"/>
          <w:color w:val="auto"/>
        </w:rPr>
      </w:pPr>
      <w:r>
        <w:rPr>
          <w:rFonts w:ascii="Times New Roman" w:cs="Times New Roman" w:eastAsia="Times New Roman" w:hAnsi="Times New Roman"/>
          <w:sz w:val="18"/>
          <w:szCs w:val="18"/>
          <w:color w:val="auto"/>
        </w:rPr>
        <w:t>We have been the victim of cybersecurity incidents and may be the subject of cybersecurity incidents in the future.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for more information about the risk posed to us by cybersecurity threats.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left="680" w:right="520"/>
        <w:spacing w:after="0" w:line="282" w:lineRule="auto"/>
        <w:rPr>
          <w:sz w:val="20"/>
          <w:szCs w:val="20"/>
          <w:color w:val="auto"/>
        </w:rPr>
      </w:pPr>
      <w:r>
        <w:rPr>
          <w:rFonts w:ascii="Times New Roman" w:cs="Times New Roman" w:eastAsia="Times New Roman" w:hAnsi="Times New Roman"/>
          <w:sz w:val="18"/>
          <w:szCs w:val="18"/>
          <w:color w:val="auto"/>
        </w:rPr>
        <w:t>As of December 31, 2024, we leased fourteen facilities worldwide. The following chart provides information regarding each of our principal leased facilities as of December 31, 2024:</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Approx.</w:t>
            </w:r>
          </w:p>
        </w:tc>
        <w:tc>
          <w:tcPr>
            <w:tcW w:w="60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8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Square</w:t>
            </w:r>
          </w:p>
        </w:tc>
        <w:tc>
          <w:tcPr>
            <w:tcW w:w="6060" w:type="dxa"/>
            <w:vAlign w:val="bottom"/>
          </w:tcPr>
          <w:p>
            <w:pPr>
              <w:spacing w:after="0"/>
              <w:rPr>
                <w:sz w:val="18"/>
                <w:szCs w:val="18"/>
                <w:color w:val="auto"/>
              </w:rPr>
            </w:pPr>
          </w:p>
        </w:tc>
      </w:tr>
      <w:tr>
        <w:trPr>
          <w:trHeight w:val="238"/>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Footage</w:t>
            </w:r>
          </w:p>
        </w:tc>
        <w:tc>
          <w:tcPr>
            <w:tcW w:w="6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Principal Uses</w:t>
            </w:r>
          </w:p>
        </w:tc>
      </w:tr>
      <w:tr>
        <w:trPr>
          <w:trHeight w:val="20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Rochester, NY</w:t>
            </w:r>
          </w:p>
        </w:tc>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2028</w:t>
            </w:r>
          </w:p>
        </w:tc>
        <w:tc>
          <w:tcPr>
            <w:tcW w:w="12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79,150</w:t>
            </w:r>
          </w:p>
        </w:tc>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Process Technologies segment operations (principal facility for Ambrell®)</w:t>
            </w:r>
          </w:p>
        </w:tc>
      </w:tr>
      <w:tr>
        <w:trPr>
          <w:trHeight w:val="198"/>
        </w:trPr>
        <w:tc>
          <w:tcPr>
            <w:tcW w:w="1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Mansfield, MA</w:t>
            </w:r>
          </w:p>
        </w:tc>
        <w:tc>
          <w:tcPr>
            <w:tcW w:w="18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February 2032</w:t>
            </w:r>
          </w:p>
        </w:tc>
        <w:tc>
          <w:tcPr>
            <w:tcW w:w="1260" w:type="dxa"/>
            <w:vAlign w:val="bottom"/>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rPr>
              <w:t>58,800</w:t>
            </w:r>
          </w:p>
        </w:tc>
        <w:tc>
          <w:tcPr>
            <w:tcW w:w="6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Environmental Technologies segment operations (principal facility for iTS),</w:t>
            </w:r>
          </w:p>
        </w:tc>
      </w:tr>
      <w:tr>
        <w:trPr>
          <w:trHeight w:val="234"/>
        </w:trPr>
        <w:tc>
          <w:tcPr>
            <w:tcW w:w="1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 Technologies segment operations (principal facility for Videology®)</w:t>
            </w: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Milan, Italy</w:t>
            </w:r>
          </w:p>
        </w:tc>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February 2030</w:t>
            </w:r>
          </w:p>
        </w:tc>
        <w:tc>
          <w:tcPr>
            <w:tcW w:w="12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51,871</w:t>
            </w:r>
          </w:p>
        </w:tc>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Electronic Test segment operations (principal facility for Alfamation™)</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2031</w:t>
            </w: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33,650</w:t>
            </w:r>
          </w:p>
        </w:tc>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headquarters and Electronic Test segment operations</w:t>
            </w:r>
          </w:p>
        </w:tc>
      </w:tr>
      <w:tr>
        <w:trPr>
          <w:trHeight w:val="198"/>
        </w:trPr>
        <w:tc>
          <w:tcPr>
            <w:tcW w:w="1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Penang, Malaysia</w:t>
            </w:r>
          </w:p>
        </w:tc>
        <w:tc>
          <w:tcPr>
            <w:tcW w:w="18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May 2027</w:t>
            </w:r>
          </w:p>
        </w:tc>
        <w:tc>
          <w:tcPr>
            <w:tcW w:w="1260" w:type="dxa"/>
            <w:vAlign w:val="bottom"/>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60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Applications engineering, product development and localized manufacturing for</w:t>
            </w:r>
          </w:p>
        </w:tc>
      </w:tr>
      <w:tr>
        <w:trPr>
          <w:trHeight w:val="234"/>
        </w:trPr>
        <w:tc>
          <w:tcPr>
            <w:tcW w:w="15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nearly all inTEST brands</w:t>
            </w:r>
          </w:p>
        </w:tc>
      </w:tr>
      <w:tr>
        <w:trPr>
          <w:trHeight w:val="198"/>
        </w:trPr>
        <w:tc>
          <w:tcPr>
            <w:tcW w:w="1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Markham, Ontario,</w:t>
            </w:r>
          </w:p>
        </w:tc>
        <w:tc>
          <w:tcPr>
            <w:tcW w:w="18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February 2028</w:t>
            </w:r>
          </w:p>
        </w:tc>
        <w:tc>
          <w:tcPr>
            <w:tcW w:w="1260" w:type="dxa"/>
            <w:vAlign w:val="bottom"/>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rPr>
              <w:t>16,437</w:t>
            </w:r>
          </w:p>
        </w:tc>
        <w:tc>
          <w:tcPr>
            <w:tcW w:w="6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Electronic Test segment operations (principal facility for Acculogic Inc.)</w:t>
            </w: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60" w:type="dxa"/>
            <w:vAlign w:val="bottom"/>
          </w:tcPr>
          <w:p>
            <w:pPr>
              <w:spacing w:after="0"/>
              <w:rPr>
                <w:sz w:val="20"/>
                <w:szCs w:val="20"/>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All of our facilities have space to accommodate our needs for the foreseeable future.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80" w:right="560"/>
        <w:spacing w:after="0" w:line="282"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EQUITY SECURITIES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u w:val="single" w:color="auto"/>
          <w:color w:val="auto"/>
        </w:rPr>
        <w:t>Market for Common Stock</w:t>
      </w:r>
    </w:p>
    <w:p>
      <w:pPr>
        <w:spacing w:after="0" w:line="225" w:lineRule="exact"/>
        <w:rPr>
          <w:sz w:val="20"/>
          <w:szCs w:val="20"/>
          <w:color w:val="auto"/>
        </w:rPr>
      </w:pPr>
    </w:p>
    <w:p>
      <w:pPr>
        <w:ind w:left="680" w:right="280"/>
        <w:spacing w:after="0" w:line="268" w:lineRule="auto"/>
        <w:rPr>
          <w:sz w:val="20"/>
          <w:szCs w:val="20"/>
          <w:color w:val="auto"/>
        </w:rPr>
      </w:pPr>
      <w:r>
        <w:rPr>
          <w:rFonts w:ascii="Times New Roman" w:cs="Times New Roman" w:eastAsia="Times New Roman" w:hAnsi="Times New Roman"/>
          <w:sz w:val="18"/>
          <w:szCs w:val="18"/>
          <w:color w:val="auto"/>
        </w:rPr>
        <w:t>Our common stock is traded on NYSE American LLC (“</w:t>
      </w:r>
      <w:r>
        <w:rPr>
          <w:rFonts w:ascii="Times New Roman" w:cs="Times New Roman" w:eastAsia="Times New Roman" w:hAnsi="Times New Roman"/>
          <w:sz w:val="18"/>
          <w:szCs w:val="18"/>
          <w:b w:val="1"/>
          <w:bCs w:val="1"/>
          <w:u w:val="single" w:color="auto"/>
          <w:color w:val="auto"/>
        </w:rPr>
        <w:t>NYSE American</w:t>
      </w:r>
      <w:r>
        <w:rPr>
          <w:rFonts w:ascii="Times New Roman" w:cs="Times New Roman" w:eastAsia="Times New Roman" w:hAnsi="Times New Roman"/>
          <w:sz w:val="18"/>
          <w:szCs w:val="18"/>
          <w:color w:val="auto"/>
        </w:rPr>
        <w:t>”) under the symbol “INTT.” On March 1, 2025, the closing price for our common stock as reported on the NYSE American was $8.35. At March 1, we had 12,373,276 shares outstanding that were held by approximately 1,000 beneficial and record holders.</w:t>
      </w:r>
    </w:p>
    <w:p>
      <w:pPr>
        <w:spacing w:after="0" w:line="175" w:lineRule="exact"/>
        <w:rPr>
          <w:sz w:val="20"/>
          <w:szCs w:val="20"/>
          <w:color w:val="auto"/>
        </w:rPr>
      </w:pPr>
    </w:p>
    <w:p>
      <w:pPr>
        <w:jc w:val="both"/>
        <w:ind w:left="680" w:right="220"/>
        <w:spacing w:after="0" w:line="261" w:lineRule="auto"/>
        <w:rPr>
          <w:sz w:val="20"/>
          <w:szCs w:val="20"/>
          <w:color w:val="auto"/>
        </w:rPr>
      </w:pPr>
      <w:r>
        <w:rPr>
          <w:rFonts w:ascii="Times New Roman" w:cs="Times New Roman" w:eastAsia="Times New Roman" w:hAnsi="Times New Roman"/>
          <w:sz w:val="18"/>
          <w:szCs w:val="18"/>
          <w:color w:val="auto"/>
        </w:rPr>
        <w:t>No dividends were paid on our common stock in the years ended December 31, 2024 or 2023.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u w:val="single" w:color="auto"/>
          <w:color w:val="auto"/>
        </w:rPr>
        <w:t>Purchases of Equity Securities</w:t>
      </w:r>
    </w:p>
    <w:p>
      <w:pPr>
        <w:spacing w:after="0" w:line="225" w:lineRule="exact"/>
        <w:rPr>
          <w:sz w:val="20"/>
          <w:szCs w:val="20"/>
          <w:color w:val="auto"/>
        </w:rPr>
      </w:pPr>
    </w:p>
    <w:p>
      <w:pPr>
        <w:ind w:left="680" w:right="420"/>
        <w:spacing w:after="0" w:line="268" w:lineRule="auto"/>
        <w:rPr>
          <w:sz w:val="20"/>
          <w:szCs w:val="20"/>
          <w:color w:val="auto"/>
        </w:rPr>
      </w:pPr>
      <w:r>
        <w:rPr>
          <w:rFonts w:ascii="Times New Roman" w:cs="Times New Roman" w:eastAsia="Times New Roman" w:hAnsi="Times New Roman"/>
          <w:sz w:val="18"/>
          <w:szCs w:val="18"/>
          <w:color w:val="auto"/>
        </w:rPr>
        <w:t>On November 20, 2023, our Board of Directors authorized a share repurchase plan (the “</w:t>
      </w:r>
      <w:r>
        <w:rPr>
          <w:rFonts w:ascii="Times New Roman" w:cs="Times New Roman" w:eastAsia="Times New Roman" w:hAnsi="Times New Roman"/>
          <w:sz w:val="18"/>
          <w:szCs w:val="18"/>
          <w:b w:val="1"/>
          <w:bCs w:val="1"/>
          <w:u w:val="single" w:color="auto"/>
          <w:color w:val="auto"/>
        </w:rPr>
        <w:t>Repurchase Plan</w:t>
      </w:r>
      <w:r>
        <w:rPr>
          <w:rFonts w:ascii="Times New Roman" w:cs="Times New Roman" w:eastAsia="Times New Roman" w:hAnsi="Times New Roman"/>
          <w:sz w:val="18"/>
          <w:szCs w:val="18"/>
          <w:color w:val="auto"/>
        </w:rPr>
        <w:t>”) whereby we were permitted to repurchase shares of our common stock on the open market with a total aggregate repurchase amount of up to $10 million until November 17, 2024. Through November 17, 2024, we repurchased 141,117 shares of our common stock for $1.0 million.</w:t>
      </w:r>
    </w:p>
    <w:p>
      <w:pPr>
        <w:spacing w:after="0" w:line="175" w:lineRule="exact"/>
        <w:rPr>
          <w:sz w:val="20"/>
          <w:szCs w:val="20"/>
          <w:color w:val="auto"/>
        </w:rPr>
      </w:pPr>
    </w:p>
    <w:p>
      <w:pPr>
        <w:ind w:left="680" w:right="220"/>
        <w:spacing w:after="0" w:line="266" w:lineRule="auto"/>
        <w:rPr>
          <w:sz w:val="20"/>
          <w:szCs w:val="20"/>
          <w:color w:val="auto"/>
        </w:rPr>
      </w:pPr>
      <w:r>
        <w:rPr>
          <w:rFonts w:ascii="Times New Roman" w:cs="Times New Roman" w:eastAsia="Times New Roman" w:hAnsi="Times New Roman"/>
          <w:sz w:val="18"/>
          <w:szCs w:val="18"/>
          <w:color w:val="auto"/>
        </w:rPr>
        <w:t>On March 5, 2025, the Board of Directors authorized the renewal of the Repurchase Plan without a fixed expiration date. As of the renewal date, the Company had $8,961,150 available for repurchases under the renewed Repurchase Plan. The Company is not obligated to purchase any common stock under the Repurchase Plan. Further, the Repurchase Plan may be suspended or discontinued at any time without prior notice.</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19" w:right="259" w:bottom="1440" w:gutter="0" w:footer="0" w:header="0"/>
        </w:sectPr>
      </w:pPr>
    </w:p>
    <w:bookmarkStart w:id="27" w:name="page28"/>
    <w:bookmarkEnd w:id="27"/>
    <w:p>
      <w:pPr>
        <w:ind w:left="680"/>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Authorized for Issuance Under Equity Compensation Plan</w:t>
      </w:r>
    </w:p>
    <w:p>
      <w:pPr>
        <w:spacing w:after="0" w:line="225" w:lineRule="exact"/>
        <w:rPr>
          <w:sz w:val="20"/>
          <w:szCs w:val="20"/>
          <w:color w:val="auto"/>
        </w:rPr>
      </w:pPr>
    </w:p>
    <w:p>
      <w:pPr>
        <w:jc w:val="both"/>
        <w:ind w:left="680"/>
        <w:spacing w:after="0" w:line="286" w:lineRule="auto"/>
        <w:rPr>
          <w:sz w:val="20"/>
          <w:szCs w:val="20"/>
          <w:color w:val="auto"/>
        </w:rPr>
      </w:pPr>
      <w:r>
        <w:rPr>
          <w:rFonts w:ascii="Times New Roman" w:cs="Times New Roman" w:eastAsia="Times New Roman" w:hAnsi="Times New Roman"/>
          <w:sz w:val="18"/>
          <w:szCs w:val="18"/>
          <w:color w:val="auto"/>
        </w:rPr>
        <w:t>Information regarding securities authorized for issuance under equity compensation plans is included in “</w:t>
      </w:r>
      <w:r>
        <w:rPr>
          <w:rFonts w:ascii="Times New Roman" w:cs="Times New Roman" w:eastAsia="Times New Roman" w:hAnsi="Times New Roman"/>
          <w:sz w:val="18"/>
          <w:szCs w:val="18"/>
          <w:b w:val="1"/>
          <w:bCs w:val="1"/>
          <w:color w:val="auto"/>
        </w:rPr>
        <w:t>Part III; Item 12. Security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Certain Beneficial Owners and Management and Related Stockholder Matters; Equity Compensation Plan Information.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7" w:lineRule="exact"/>
        <w:rPr>
          <w:sz w:val="20"/>
          <w:szCs w:val="20"/>
          <w:color w:val="auto"/>
        </w:rPr>
      </w:pPr>
    </w:p>
    <w:p>
      <w:pPr>
        <w:jc w:val="both"/>
        <w:ind w:left="68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and quantitative and qualitative disclosures should be read in conjunction with our audited consolidated financial statements and related notes included in this Report for the year ended December 31, 2024. In addition, please refer to the discussion of our business and markets contained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 I, 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Report.</w:t>
      </w:r>
    </w:p>
    <w:p>
      <w:pPr>
        <w:spacing w:after="0" w:line="1" w:lineRule="exact"/>
        <w:rPr>
          <w:sz w:val="20"/>
          <w:szCs w:val="20"/>
          <w:color w:val="auto"/>
        </w:rPr>
      </w:pPr>
    </w:p>
    <w:p>
      <w:pPr>
        <w:ind w:left="680" w:right="100"/>
        <w:spacing w:after="0" w:line="253" w:lineRule="auto"/>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contains a number of forward-looking statements that reflect our plans, estimates, and beliefs, all of which are based on our current expectations and could be affected by certain uncertainties, risks, and other factors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Cautionary Statement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elsewhere throughout this Annual Report. Our actual results could differ materially from those discussed in the forward-looking statements or from our prior results.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680" w:right="120"/>
        <w:spacing w:after="0" w:line="256" w:lineRule="auto"/>
        <w:rPr>
          <w:sz w:val="20"/>
          <w:szCs w:val="20"/>
          <w:color w:val="auto"/>
        </w:rPr>
      </w:pPr>
      <w:r>
        <w:rPr>
          <w:rFonts w:ascii="Times New Roman" w:cs="Times New Roman" w:eastAsia="Times New Roman" w:hAnsi="Times New Roman"/>
          <w:sz w:val="18"/>
          <w:szCs w:val="18"/>
          <w:color w:val="auto"/>
        </w:rPr>
        <w:t>We are a global supplier of innovative test and process technology solutions for use in manufacturing and testing across a wide range of markets including semi, industrial, automotive, life sciences, defense/aerospace and security. We have three operating segments which are also our reportable segments and reporting units: Electronic Test (which includes our semiconductor test equipment, robotics-based electronic test equipment and application support services and functional test equipment for production quality control and product development), Environmental Technologies (which includes our thermal test, process and storage products) and Process Technologies (which includes our induction heating and video imaging products).</w:t>
      </w:r>
    </w:p>
    <w:p>
      <w:pPr>
        <w:spacing w:after="0" w:line="187"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u w:val="single" w:color="auto"/>
          <w:color w:val="auto"/>
        </w:rPr>
        <w:t>Markets</w:t>
      </w:r>
    </w:p>
    <w:p>
      <w:pPr>
        <w:spacing w:after="0" w:line="223" w:lineRule="exact"/>
        <w:rPr>
          <w:sz w:val="20"/>
          <w:szCs w:val="20"/>
          <w:color w:val="auto"/>
        </w:rPr>
      </w:pPr>
    </w:p>
    <w:p>
      <w:pPr>
        <w:ind w:left="680" w:right="140"/>
        <w:spacing w:after="0" w:line="255"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b w:val="1"/>
          <w:bCs w:val="1"/>
          <w:color w:val="auto"/>
        </w:rPr>
        <w:t>Part I; Item 1.; Markets,</w:t>
      </w:r>
      <w:r>
        <w:rPr>
          <w:rFonts w:ascii="Times New Roman" w:cs="Times New Roman" w:eastAsia="Times New Roman" w:hAnsi="Times New Roman"/>
          <w:sz w:val="18"/>
          <w:szCs w:val="18"/>
          <w:color w:val="auto"/>
        </w:rPr>
        <w:t>” we are focused on specific target markets which include both the front-end and back-end of the semiconductor manufacturing, industrial, automotive, life sciences, defense/aerospace and security.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89" w:lineRule="exact"/>
        <w:rPr>
          <w:sz w:val="20"/>
          <w:szCs w:val="20"/>
          <w:color w:val="auto"/>
        </w:rPr>
      </w:pPr>
    </w:p>
    <w:p>
      <w:pPr>
        <w:ind w:left="680" w:right="360"/>
        <w:spacing w:after="0" w:line="256" w:lineRule="auto"/>
        <w:rPr>
          <w:sz w:val="20"/>
          <w:szCs w:val="20"/>
          <w:color w:val="auto"/>
        </w:rPr>
      </w:pPr>
      <w:r>
        <w:rPr>
          <w:rFonts w:ascii="Times New Roman" w:cs="Times New Roman" w:eastAsia="Times New Roman" w:hAnsi="Times New Roman"/>
          <w:sz w:val="18"/>
          <w:szCs w:val="18"/>
          <w:color w:val="auto"/>
        </w:rPr>
        <w:t>The portion of our business that is derived from the semi market is substantially dependent upon the demand for ATE by semiconductor manufacturers and companies that specialize in the testing of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8" w:name="page29"/>
    <w:bookmarkEnd w:id="28"/>
    <w:p>
      <w:pPr>
        <w:ind w:left="20"/>
        <w:spacing w:after="0" w:line="254" w:lineRule="auto"/>
        <w:rPr>
          <w:sz w:val="20"/>
          <w:szCs w:val="20"/>
          <w:color w:val="auto"/>
        </w:rPr>
      </w:pPr>
      <w:r>
        <w:rPr>
          <w:rFonts w:ascii="Times New Roman" w:cs="Times New Roman" w:eastAsia="Times New Roman" w:hAnsi="Times New Roman"/>
          <w:sz w:val="18"/>
          <w:szCs w:val="18"/>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8" w:lineRule="exact"/>
        <w:rPr>
          <w:sz w:val="20"/>
          <w:szCs w:val="20"/>
          <w:color w:val="auto"/>
        </w:rPr>
      </w:pPr>
    </w:p>
    <w:p>
      <w:pPr>
        <w:ind w:left="20" w:right="120"/>
        <w:spacing w:after="0" w:line="253" w:lineRule="auto"/>
        <w:rPr>
          <w:sz w:val="20"/>
          <w:szCs w:val="20"/>
          <w:color w:val="auto"/>
        </w:rPr>
      </w:pPr>
      <w:r>
        <w:rPr>
          <w:rFonts w:ascii="Times New Roman" w:cs="Times New Roman" w:eastAsia="Times New Roman" w:hAnsi="Times New Roman"/>
          <w:sz w:val="18"/>
          <w:szCs w:val="18"/>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3" w:lineRule="exact"/>
        <w:rPr>
          <w:sz w:val="20"/>
          <w:szCs w:val="20"/>
          <w:color w:val="auto"/>
        </w:rPr>
      </w:pPr>
    </w:p>
    <w:p>
      <w:pPr>
        <w:ind w:left="20" w:right="140"/>
        <w:spacing w:after="0" w:line="257" w:lineRule="auto"/>
        <w:rPr>
          <w:sz w:val="20"/>
          <w:szCs w:val="20"/>
          <w:color w:val="auto"/>
        </w:rPr>
      </w:pPr>
      <w:r>
        <w:rPr>
          <w:rFonts w:ascii="Times New Roman" w:cs="Times New Roman" w:eastAsia="Times New Roman" w:hAnsi="Times New Roman"/>
          <w:sz w:val="18"/>
          <w:szCs w:val="18"/>
          <w:color w:val="auto"/>
        </w:rPr>
        <w:t>As discussed “</w:t>
      </w:r>
      <w:r>
        <w:rPr>
          <w:rFonts w:ascii="Times New Roman" w:cs="Times New Roman" w:eastAsia="Times New Roman" w:hAnsi="Times New Roman"/>
          <w:sz w:val="18"/>
          <w:szCs w:val="18"/>
          <w:b w:val="1"/>
          <w:bCs w:val="1"/>
          <w:color w:val="auto"/>
        </w:rPr>
        <w:t>Part I; Item 1.; Strategy,</w:t>
      </w:r>
      <w:r>
        <w:rPr>
          <w:rFonts w:ascii="Times New Roman" w:cs="Times New Roman" w:eastAsia="Times New Roman" w:hAnsi="Times New Roman"/>
          <w:sz w:val="18"/>
          <w:szCs w:val="18"/>
          <w:color w:val="auto"/>
        </w:rPr>
        <w:t>”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industrial, automotive, life sciences, defense/aerospace and security.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86"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12, 2024, we entered into a stock purchase agreement to acquire all of the outstanding capital shares of Alfamation S.p.A.,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is part of our Electronic Test operating segment. The aggregate purchase price was approximately €20 million comprised of €18 million in cash (approximately $19.7 million) and 187,432 shares of our common stock (valued at $2.1 million based on the closing price of our stock on the date of acquisition). The cash portion of the purchase price was subject to customary working capital adjustments which were finalized in June 2024 and resulted in recording an additional €129 thousand (approximately $141 thousand) of cash purchase price for assets delivered at closing in excess of agreed upon thresholds. The liabilities assumed in connection with the acquisition included debt of approximately €10.3 million, or $11.3 million. After all closing adjustments, the total purchase price was $21.9 million. We finalized our allocation of the purchase price to assets acquired and liabilities assumed during the fourth quarter of 2024.</w:t>
      </w:r>
    </w:p>
    <w:p>
      <w:pPr>
        <w:spacing w:after="0" w:line="19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As noted in “</w:t>
      </w:r>
      <w:r>
        <w:rPr>
          <w:rFonts w:ascii="Times New Roman" w:cs="Times New Roman" w:eastAsia="Times New Roman" w:hAnsi="Times New Roman"/>
          <w:sz w:val="18"/>
          <w:szCs w:val="18"/>
          <w:b w:val="1"/>
          <w:bCs w:val="1"/>
          <w:color w:val="auto"/>
        </w:rPr>
        <w:t>Part I; Item 2. Properties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 II; Item 8. Financial Statements and Supplementary Data;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Statements; Note (3) Acquisition,</w:t>
      </w:r>
      <w:r>
        <w:rPr>
          <w:rFonts w:ascii="Times New Roman" w:cs="Times New Roman" w:eastAsia="Times New Roman" w:hAnsi="Times New Roman"/>
          <w:sz w:val="18"/>
          <w:szCs w:val="18"/>
          <w:color w:val="auto"/>
        </w:rPr>
        <w:t>” in connection with the acquisition, we have entered into a lease agreement with the former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Alfamation™.</w:t>
      </w:r>
    </w:p>
    <w:p>
      <w:pPr>
        <w:spacing w:after="0" w:line="1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The following table sets forth, for the periods indicated, a breakdown of the revenue by market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440" w:type="dxa"/>
            <w:vAlign w:val="bottom"/>
            <w:gridSpan w:val="3"/>
            <w:vMerge w:val="continue"/>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34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Semi</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48,708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65,735</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13,382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Automotive/EV</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9,895</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Life Sciences</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4,856</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Defense/Aerospace</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12,537</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Security</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3,688</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12,281</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123,302</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40"/>
        <w:spacing w:after="0" w:line="253" w:lineRule="auto"/>
        <w:rPr>
          <w:sz w:val="20"/>
          <w:szCs w:val="20"/>
          <w:color w:val="auto"/>
        </w:rPr>
      </w:pPr>
      <w:r>
        <w:rPr>
          <w:rFonts w:ascii="Times New Roman" w:cs="Times New Roman" w:eastAsia="Times New Roman" w:hAnsi="Times New Roman"/>
          <w:sz w:val="18"/>
          <w:szCs w:val="18"/>
          <w:color w:val="auto"/>
        </w:rPr>
        <w:t>During 2024 our consolidated revenue grew $7.4 million or 6% year over year. Alfamation™ contributed $25.0 million in revenue from the date of acquisition, with a significant majority of that in the automotive market and to a lesser extent life sciences. We also experienced increased customer demand in the defense/aerospace market in 2024 compared to 2023. These increases were offset by continued softness in the semi market in 2024. This reduction in demand, which we began to experience in the fourth quarter of 2023, has been particularly notable with regard to our customers in the front-end market who purchase our induction heating solutions for SiC crystal growth and epitaxial reactors. The semi market is highly cyclical resulting in significant swings in demand when period to period comparisons are to different points in a given cycle. The current period of weakened demand began in the fourth quarter of 2023 resulting in significantly reduced revenue levels from our customers in this market during 2024. During the fourth quarter of 2024, as compared to the third quarter of the year, we have noted a modest improvement in the semi market based on the timing of front-end shipments and improving demand for our back-end semi solutions but order activity for our front-end semi solutions remains significantly reduced from the levels in 2023. We cannot be certain of the timing or amount of any future orders or revenue in this or any of our markets, nor can we be certain this positive trend in demand from our customers in the back-end of the semi market will continue.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7" w:lineRule="exact"/>
        <w:rPr>
          <w:sz w:val="20"/>
          <w:szCs w:val="20"/>
          <w:color w:val="auto"/>
        </w:rPr>
      </w:pPr>
    </w:p>
    <w:p>
      <w:pPr>
        <w:ind w:left="20" w:right="120"/>
        <w:spacing w:after="0" w:line="253" w:lineRule="auto"/>
        <w:rPr>
          <w:sz w:val="20"/>
          <w:szCs w:val="20"/>
          <w:color w:val="auto"/>
        </w:rPr>
      </w:pPr>
      <w:r>
        <w:rPr>
          <w:rFonts w:ascii="Times New Roman" w:cs="Times New Roman" w:eastAsia="Times New Roman" w:hAnsi="Times New Roman"/>
          <w:sz w:val="18"/>
          <w:szCs w:val="18"/>
          <w:color w:val="auto"/>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67" w:right="2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by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40" w:type="dxa"/>
            <w:vAlign w:val="bottom"/>
          </w:tcPr>
          <w:p>
            <w:pPr>
              <w:spacing w:after="0"/>
              <w:rPr>
                <w:sz w:val="20"/>
                <w:szCs w:val="20"/>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44,574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59,297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(14,723)</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14,980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19,390</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10,193</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9,197</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13,715</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13,386</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12,920</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11,478</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107,704</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116,632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(8,928)</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0" w:right="300"/>
        <w:spacing w:after="0" w:line="258" w:lineRule="auto"/>
        <w:rPr>
          <w:sz w:val="20"/>
          <w:szCs w:val="20"/>
          <w:color w:val="auto"/>
        </w:rPr>
      </w:pPr>
      <w:r>
        <w:rPr>
          <w:rFonts w:ascii="Times New Roman" w:cs="Times New Roman" w:eastAsia="Times New Roman" w:hAnsi="Times New Roman"/>
          <w:sz w:val="18"/>
          <w:szCs w:val="18"/>
          <w:color w:val="auto"/>
        </w:rPr>
        <w:t>Total consolidated orders for the year ended December 31, 2024 were $107.7 million compared to $116.6 million in 2023, a decrease of $8.9 million, or 8%. Alfamation™ contributed $10.0 million in orders from the date of acquisition, with virtually all of the orders coming from the automotive market. Our orders from the semi market decreased, reflecting the aforementioned decline in demand in this market since the fourth quarter of 2023. We also experienced declines in demand from the security and life sciences markets, as well as other markets we serve. These declines were partially offset by increases in demand from customers in the industrial and defense/aerospace markets.</w:t>
      </w:r>
    </w:p>
    <w:p>
      <w:pPr>
        <w:spacing w:after="0" w:line="183" w:lineRule="exact"/>
        <w:rPr>
          <w:sz w:val="20"/>
          <w:szCs w:val="20"/>
          <w:color w:val="auto"/>
        </w:rPr>
      </w:pPr>
    </w:p>
    <w:p>
      <w:pPr>
        <w:ind w:left="20" w:right="200"/>
        <w:spacing w:after="0" w:line="255" w:lineRule="auto"/>
        <w:rPr>
          <w:sz w:val="20"/>
          <w:szCs w:val="20"/>
          <w:color w:val="auto"/>
        </w:rPr>
      </w:pPr>
      <w:r>
        <w:rPr>
          <w:rFonts w:ascii="Times New Roman" w:cs="Times New Roman" w:eastAsia="Times New Roman" w:hAnsi="Times New Roman"/>
          <w:sz w:val="18"/>
          <w:szCs w:val="18"/>
          <w:color w:val="auto"/>
        </w:rPr>
        <w:t>At December 31, 2024, our backlog of unfilled orders for all products was approximately $39.5 million compared with approximately $40.1 million at December 31, 2023. The decrease in our backlog reflects reduced demand for our products and, to a lesser extent, lead times returning to a more normalized pattern. Our backlog includes customer orders that we have accepted, substantially all of which we expect to deliver in 2025.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Global Supply Chain Constraints</w:t>
      </w:r>
    </w:p>
    <w:p>
      <w:pPr>
        <w:spacing w:after="0" w:line="229" w:lineRule="exact"/>
        <w:rPr>
          <w:sz w:val="20"/>
          <w:szCs w:val="20"/>
          <w:color w:val="auto"/>
        </w:rPr>
      </w:pPr>
    </w:p>
    <w:p>
      <w:pPr>
        <w:ind w:left="20" w:right="120"/>
        <w:spacing w:after="0" w:line="254" w:lineRule="auto"/>
        <w:rPr>
          <w:sz w:val="20"/>
          <w:szCs w:val="20"/>
          <w:color w:val="auto"/>
        </w:rPr>
      </w:pPr>
      <w:r>
        <w:rPr>
          <w:rFonts w:ascii="Times New Roman" w:cs="Times New Roman" w:eastAsia="Times New Roman" w:hAnsi="Times New Roman"/>
          <w:sz w:val="18"/>
          <w:szCs w:val="18"/>
          <w:color w:val="auto"/>
        </w:rPr>
        <w:t>In October 2023, Hamas attacked Israel and Israel formally declared war in response to the attack. The conflict is ongoing, and it is unclear when it might end. Ambrell® 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spacing w:after="0" w:line="192" w:lineRule="exact"/>
        <w:rPr>
          <w:sz w:val="20"/>
          <w:szCs w:val="20"/>
          <w:color w:val="auto"/>
        </w:rPr>
      </w:pPr>
    </w:p>
    <w:p>
      <w:pPr>
        <w:ind w:left="20" w:right="100"/>
        <w:spacing w:after="0" w:line="253" w:lineRule="auto"/>
        <w:rPr>
          <w:sz w:val="20"/>
          <w:szCs w:val="20"/>
          <w:color w:val="auto"/>
        </w:rPr>
      </w:pPr>
      <w:r>
        <w:rPr>
          <w:rFonts w:ascii="Times New Roman" w:cs="Times New Roman" w:eastAsia="Times New Roman" w:hAnsi="Times New Roman"/>
          <w:sz w:val="18"/>
          <w:szCs w:val="18"/>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Acculogic purchases certain parts from a key sole-source supplier in Belarus, which is bordered by Russia to the east and northeast and Ukraine to the south. In August 2024, the United States, Canada and the European Union added additional sanctions on Belarus. We have not received materials from this supplier since the issuance of Executive Order 14038. Our remaining supply of these materials is expected to be sufficient to fulfill our orders for the first quarter of 2025. We have been working to qualify a new supplier for these materials and believe that these efforts are proceeding well. We are on track to have a fully functioning and tested system with the materials from this new supplier by the end of March 2025, and expect to begin receiving this new supply of materials in March 2025. Additionally, we have applied to OFAC to obtain permission for additional purchases from the Belarus supplier through December 31, 2025, and expect the Office’s response by the end of March 2025. There can be no assurance that we will be granted a license by OFAC in a timely matter or at all, or that if granted a license by OFAC that such supplier in Belarus will be willing or able to provide these parts on reasonable commercial terms or at all.</w:t>
      </w:r>
    </w:p>
    <w:p>
      <w:pPr>
        <w:spacing w:after="0" w:line="192" w:lineRule="exact"/>
        <w:rPr>
          <w:sz w:val="20"/>
          <w:szCs w:val="20"/>
          <w:color w:val="auto"/>
        </w:rPr>
      </w:pPr>
    </w:p>
    <w:p>
      <w:pPr>
        <w:ind w:left="20" w:right="100"/>
        <w:spacing w:after="0" w:line="253" w:lineRule="auto"/>
        <w:rPr>
          <w:sz w:val="20"/>
          <w:szCs w:val="20"/>
          <w:color w:val="auto"/>
        </w:rPr>
      </w:pPr>
      <w:r>
        <w:rPr>
          <w:rFonts w:ascii="Times New Roman" w:cs="Times New Roman" w:eastAsia="Times New Roman" w:hAnsi="Times New Roman"/>
          <w:sz w:val="18"/>
          <w:szCs w:val="18"/>
          <w:color w:val="auto"/>
        </w:rPr>
        <w:t>In addition, uncertainty in geopolitical events, policy and the global trade environment including changes in the United States’ or international trade policy, tariffs, export controls, quotas, embargoes, or sanctions, which may trigger additional retaliatory actions by affected countries, resulting in “trade wars” as well as the possibility of future global health or other crises remain.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sectPr>
      </w:pPr>
    </w:p>
    <w:bookmarkStart w:id="31" w:name="page32"/>
    <w:bookmarkEnd w:id="31"/>
    <w:p>
      <w:pPr>
        <w:ind w:left="20" w:right="700"/>
        <w:spacing w:after="0" w:line="286"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Report for further discussion of the risks associated with our business operations, including risks associated with foreign operations.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left="20" w:right="320"/>
        <w:spacing w:after="0" w:line="261" w:lineRule="auto"/>
        <w:rPr>
          <w:sz w:val="20"/>
          <w:szCs w:val="20"/>
          <w:color w:val="auto"/>
        </w:rPr>
      </w:pPr>
      <w:r>
        <w:rPr>
          <w:rFonts w:ascii="Times New Roman" w:cs="Times New Roman" w:eastAsia="Times New Roman" w:hAnsi="Times New Roman"/>
          <w:sz w:val="18"/>
          <w:szCs w:val="18"/>
          <w:color w:val="auto"/>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Year Ended December 31, 2023</w:t>
      </w:r>
    </w:p>
    <w:p>
      <w:pPr>
        <w:spacing w:after="0" w:line="22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$130.7 million for the year ended December 31, 2024 compared to $123.3 million in 2023, an increase of $7.4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This increase reflects the factors previously discussed in the Revenue section above.</w:t>
      </w:r>
    </w:p>
    <w:p>
      <w:pPr>
        <w:spacing w:after="0" w:line="158"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was 42% for the year ended December 31, 2024, compared to 46% in 2023. In the fourth quarter of 2024, we refined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finalized our purchase price allocation for the Alfamation™ acquisition. Adjustments recorded included a $1.6 million increase in the cost of inventory acquired (“inventory step-up”), to reflect the fair value of work in process and finished goods at the acquisition date. As the related inventory was sold in 2024, this increase was charged to cost of goods sold in the fourth quarter of 2024 which negatively impacted gross margin for the fourth quarter and year ended December 31, 2024. The balance of the decrease in our gross margin primarily reflects higher fixed operating costs and increased direct labor as a result of the costs attributable to Alfamation™ and higher average component material costs, reflecting changes in product sales mix.</w:t>
      </w:r>
    </w:p>
    <w:p>
      <w:pPr>
        <w:spacing w:after="0" w:line="183"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Selling Expense. </w:t>
      </w:r>
      <w:r>
        <w:rPr>
          <w:rFonts w:ascii="Times New Roman" w:cs="Times New Roman" w:eastAsia="Times New Roman" w:hAnsi="Times New Roman"/>
          <w:sz w:val="17"/>
          <w:szCs w:val="17"/>
          <w:color w:val="auto"/>
        </w:rPr>
        <w:t>Selling expense was $17.4 million for the year ended December 31, 2024 compared to $17.6 million in 2023, a decrease of $0.2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1%. The decrease was primarily due to lower commissions, reflecting changes in sales mix and lower third-party costs. These decreases were partly offset by increased travel costs as we increased the number of customer visits and trade show attendance as we work to continue to grow our business and increased warranty costs. The additional costs attributable to Alfamation™ also offset a portion of the decreases.</w:t>
      </w:r>
    </w:p>
    <w:p>
      <w:pPr>
        <w:spacing w:after="0" w:line="164" w:lineRule="exact"/>
        <w:rPr>
          <w:sz w:val="20"/>
          <w:szCs w:val="20"/>
          <w:color w:val="auto"/>
        </w:rPr>
      </w:pPr>
    </w:p>
    <w:p>
      <w:pPr>
        <w:ind w:left="20" w:right="1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Engineering and Product Development Expense. </w:t>
      </w:r>
      <w:r>
        <w:rPr>
          <w:rFonts w:ascii="Times New Roman" w:cs="Times New Roman" w:eastAsia="Times New Roman" w:hAnsi="Times New Roman"/>
          <w:sz w:val="17"/>
          <w:szCs w:val="17"/>
          <w:color w:val="auto"/>
        </w:rPr>
        <w:t>Engineering and product development expense was $8.5 million for the year ended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31, 2024 compared to $7.6 million in 2023, an increase of $0.9 million, or 12%. This increase is due to the increased payroll and related costs from the additional headcount acquired with Alfamation™. In the balance of our business, our costs decreased as a result of lower spending on materials used in our product development efforts, offset slightly by increased payroll and payroll related costs reflecting increases in headcount.</w:t>
      </w:r>
    </w:p>
    <w:p>
      <w:pPr>
        <w:spacing w:after="0" w:line="164"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$26.1 million for the year ended December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$21.3 million in 2023, an increase of $4.8 million, or 22%. Alfamation™ accounted for $4.7 million of the increase, including $0.6 million of amortization of acquired intangible assets. In the balance of our business, increased professional fees for assistance in various compliance matters and higher salary and benefits expenses were partly offset by reduced acquisition costs and reduced accruals for profit-based and performance-based bonuses and awards.</w:t>
      </w:r>
    </w:p>
    <w:p>
      <w:pPr>
        <w:spacing w:after="0" w:line="183"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For the year ended December 31, 2024, we recorded other income of $0.9 million compared to $1.3 million for 2023,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This decrease was partly due to the usage of cash for the Alfamation™ acquisition resulting in decreased interest earned on our cash balances as well as increased foreign exchange transaction losses during year.</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year ended December 31, 2024, we recorded income tax expense of $0.6 million compared to $1.7 million for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$1.1 million. This decrease was primarily driven by the decrease in our pre-tax earnings. Our effective tax rate was 16% for 2024 compared to 15% for 2023. On a quarterly basis, we record income tax expense or benefit based on the expected annualized effective tax rate for the various taxing jurisdictions in which we operate our businesses. See “</w:t>
      </w:r>
      <w:r>
        <w:rPr>
          <w:rFonts w:ascii="Times New Roman" w:cs="Times New Roman" w:eastAsia="Times New Roman" w:hAnsi="Times New Roman"/>
          <w:sz w:val="18"/>
          <w:szCs w:val="18"/>
          <w:b w:val="1"/>
          <w:bCs w:val="1"/>
          <w:color w:val="auto"/>
        </w:rPr>
        <w:t>Part II; Item 8. Financial Statements and Supplementary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 to Consolidated Financial Statements; Note (11) Income Taxes</w:t>
      </w:r>
      <w:r>
        <w:rPr>
          <w:rFonts w:ascii="Times New Roman" w:cs="Times New Roman" w:eastAsia="Times New Roman" w:hAnsi="Times New Roman"/>
          <w:sz w:val="18"/>
          <w:szCs w:val="18"/>
          <w:color w:val="auto"/>
        </w:rPr>
        <w:t>” for further detail of the difference between our effective tax rates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2023 and the statutory tax rate of 21%.</w:t>
      </w:r>
    </w:p>
    <w:p>
      <w:pPr>
        <w:spacing w:after="0" w:line="1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76" w:right="35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20" w:right="440"/>
        <w:spacing w:after="0" w:line="266"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76" w:lineRule="exact"/>
        <w:rPr>
          <w:sz w:val="20"/>
          <w:szCs w:val="20"/>
          <w:color w:val="auto"/>
        </w:rPr>
      </w:pPr>
    </w:p>
    <w:p>
      <w:pPr>
        <w:ind w:left="20" w:right="80"/>
        <w:spacing w:after="0" w:line="277" w:lineRule="auto"/>
        <w:rPr>
          <w:sz w:val="20"/>
          <w:szCs w:val="20"/>
          <w:color w:val="auto"/>
        </w:rPr>
      </w:pPr>
      <w:r>
        <w:rPr>
          <w:rFonts w:ascii="Times New Roman" w:cs="Times New Roman" w:eastAsia="Times New Roman" w:hAnsi="Times New Roman"/>
          <w:sz w:val="17"/>
          <w:szCs w:val="17"/>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Proceeds from Sale of Common Stock</w:t>
      </w:r>
    </w:p>
    <w:p>
      <w:pPr>
        <w:spacing w:after="0" w:line="223" w:lineRule="exact"/>
        <w:rPr>
          <w:sz w:val="20"/>
          <w:szCs w:val="20"/>
          <w:color w:val="auto"/>
        </w:rPr>
      </w:pPr>
    </w:p>
    <w:p>
      <w:pPr>
        <w:ind w:left="20" w:right="80"/>
        <w:spacing w:after="0" w:line="262" w:lineRule="auto"/>
        <w:rPr>
          <w:sz w:val="20"/>
          <w:szCs w:val="20"/>
          <w:color w:val="auto"/>
        </w:rPr>
      </w:pPr>
      <w:r>
        <w:rPr>
          <w:rFonts w:ascii="Times New Roman" w:cs="Times New Roman" w:eastAsia="Times New Roman" w:hAnsi="Times New Roman"/>
          <w:sz w:val="18"/>
          <w:szCs w:val="18"/>
          <w:color w:val="auto"/>
        </w:rPr>
        <w:t>On May 11, 2023, we entered into an At-the-Market Issuance Sales Agreement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3" w:lineRule="exact"/>
        <w:rPr>
          <w:sz w:val="20"/>
          <w:szCs w:val="20"/>
          <w:color w:val="auto"/>
        </w:rPr>
      </w:pPr>
    </w:p>
    <w:p>
      <w:pPr>
        <w:ind w:left="20" w:right="220"/>
        <w:spacing w:after="0" w:line="259"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b w:val="1"/>
          <w:bCs w:val="1"/>
          <w:color w:val="auto"/>
        </w:rPr>
        <w:t>Part II; Item 8. Financial Statements and Supplementary Data; Notes to Consolidated Financial Statements; 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this Report, on October 15, 2021, we entered into an Amended and Restated Loan and Security Agreement with M&amp;T which,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28, 2021, was amended by the Joinder and Amendment to Amended and Restated Loan and Security Agreement and which, on December 30, 2021, was further amended by the Joinder and Second Amendment to Amended and Restated Loan and Security Agreement (as amended, the “</w:t>
      </w:r>
      <w:r>
        <w:rPr>
          <w:rFonts w:ascii="Times New Roman" w:cs="Times New Roman" w:eastAsia="Times New Roman" w:hAnsi="Times New Roman"/>
          <w:sz w:val="18"/>
          <w:szCs w:val="18"/>
          <w:b w:val="1"/>
          <w:bCs w:val="1"/>
          <w:u w:val="single" w:color="auto"/>
          <w:color w:val="auto"/>
        </w:rPr>
        <w:t>Loan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Agreement included a $25 million non-revolving delayed draw term note (the “</w:t>
      </w:r>
      <w:r>
        <w:rPr>
          <w:rFonts w:ascii="Times New Roman" w:cs="Times New Roman" w:eastAsia="Times New Roman" w:hAnsi="Times New Roman"/>
          <w:sz w:val="18"/>
          <w:szCs w:val="18"/>
          <w:b w:val="1"/>
          <w:bCs w:val="1"/>
          <w:u w:val="single" w:color="auto"/>
          <w:color w:val="auto"/>
        </w:rPr>
        <w:t>Term Note</w:t>
      </w:r>
      <w:r>
        <w:rPr>
          <w:rFonts w:ascii="Times New Roman" w:cs="Times New Roman" w:eastAsia="Times New Roman" w:hAnsi="Times New Roman"/>
          <w:sz w:val="18"/>
          <w:szCs w:val="18"/>
          <w:color w:val="auto"/>
        </w:rPr>
        <w:t>”) and a $10 million revolving 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Revolving Facility</w:t>
      </w:r>
      <w:r>
        <w:rPr>
          <w:rFonts w:ascii="Times New Roman" w:cs="Times New Roman" w:eastAsia="Times New Roman" w:hAnsi="Times New Roman"/>
          <w:sz w:val="18"/>
          <w:szCs w:val="18"/>
          <w:color w:val="auto"/>
        </w:rPr>
        <w:t>” and together with the Term Note, the “</w:t>
      </w:r>
      <w:r>
        <w:rPr>
          <w:rFonts w:ascii="Times New Roman" w:cs="Times New Roman" w:eastAsia="Times New Roman" w:hAnsi="Times New Roman"/>
          <w:sz w:val="18"/>
          <w:szCs w:val="18"/>
          <w:b w:val="1"/>
          <w:bCs w:val="1"/>
          <w:u w:val="single" w:color="auto"/>
          <w:color w:val="auto"/>
        </w:rPr>
        <w:t>Credit Facility</w:t>
      </w:r>
      <w:r>
        <w:rPr>
          <w:rFonts w:ascii="Times New Roman" w:cs="Times New Roman" w:eastAsia="Times New Roman" w:hAnsi="Times New Roman"/>
          <w:sz w:val="18"/>
          <w:szCs w:val="18"/>
          <w:color w:val="auto"/>
        </w:rPr>
        <w:t>”). The Credit Facility had a five-year contract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 Period</w:t>
      </w:r>
      <w:r>
        <w:rPr>
          <w:rFonts w:ascii="Times New Roman" w:cs="Times New Roman" w:eastAsia="Times New Roman" w:hAnsi="Times New Roman"/>
          <w:sz w:val="18"/>
          <w:szCs w:val="18"/>
          <w:color w:val="auto"/>
        </w:rPr>
        <w:t>”) that began on October 15, 2021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and expired on October 15, 2026, and draws under the Term Note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permissible for two years.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20, 2022, we further amended the Loan Agreement by entering into a Third Amendment to Amended and Restated Loan and Security Agreement (the Loan Agreement, as amended by the Third Amendment, the “</w:t>
      </w:r>
      <w:r>
        <w:rPr>
          <w:rFonts w:ascii="Times New Roman" w:cs="Times New Roman" w:eastAsia="Times New Roman" w:hAnsi="Times New Roman"/>
          <w:sz w:val="18"/>
          <w:szCs w:val="18"/>
          <w:b w:val="1"/>
          <w:bCs w:val="1"/>
          <w:u w:val="single" w:color="auto"/>
          <w:color w:val="auto"/>
        </w:rPr>
        <w:t>Amended Loan Agreement</w:t>
      </w:r>
      <w:r>
        <w:rPr>
          <w:rFonts w:ascii="Times New Roman" w:cs="Times New Roman" w:eastAsia="Times New Roman" w:hAnsi="Times New Roman"/>
          <w:sz w:val="18"/>
          <w:szCs w:val="18"/>
          <w:color w:val="auto"/>
        </w:rPr>
        <w:t>”) and the Third Amended and Restated Delayed Draw Term Note. Under the Amended Loan Agreement, the maximum loan amount that we may borrow under the Term Note increased from $25 million to $50.5 million. Under the Amended Loan Agreement, the maturity date of the Term Note and Revolving Facility were also extended to September 19, 2027.</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On May 2, 2024, we entered into a Fourth Amendment to the Amended and Restated Loan and Security Agreement (the “</w:t>
      </w:r>
      <w:r>
        <w:rPr>
          <w:rFonts w:ascii="Times New Roman" w:cs="Times New Roman" w:eastAsia="Times New Roman" w:hAnsi="Times New Roman"/>
          <w:sz w:val="18"/>
          <w:szCs w:val="18"/>
          <w:b w:val="1"/>
          <w:bCs w:val="1"/>
          <w:u w:val="single" w:color="auto"/>
          <w:color w:val="auto"/>
        </w:rPr>
        <w:t>Fourth Amendment</w:t>
      </w:r>
      <w:r>
        <w:rPr>
          <w:rFonts w:ascii="Times New Roman" w:cs="Times New Roman" w:eastAsia="Times New Roman" w:hAnsi="Times New Roman"/>
          <w:sz w:val="18"/>
          <w:szCs w:val="18"/>
          <w:color w:val="auto"/>
        </w:rPr>
        <w:t>”), which extended the period during which we may request advances under the Term Note until May 2, 2026, and the maturity date for the Term Note and Revolving Facility was extended from September 19, 2027 to May 2, 2031.</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On December 18, 2024, we entered into a Joinder and Fifth Amendment to Amended and Restated Loan and Security Agreement (the “</w:t>
      </w:r>
      <w:r>
        <w:rPr>
          <w:rFonts w:ascii="Times New Roman" w:cs="Times New Roman" w:eastAsia="Times New Roman" w:hAnsi="Times New Roman"/>
          <w:sz w:val="18"/>
          <w:szCs w:val="18"/>
          <w:b w:val="1"/>
          <w:bCs w:val="1"/>
          <w:u w:val="single" w:color="auto"/>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and related agreements (collectively, together with Loan Agreement, the Amended Loan Agreement, the Fourth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color w:val="auto"/>
        </w:rPr>
        <w:t>”) with M&amp;T Bank to add our subsidiary, inTEST Italy, Inc., as a subsidiary guarantor under the Credit Agreement.</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December 31, 2024, we had not borrowed any amounts under the $10 million Revolving Facility. Our borrowings under the Term Note are discussed below and occurred prior to entering into the Amended Loan Agreement. Our available funding under the Term Note at December 31, 2024 was $30 million.</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principal balance of the Revolving Facility and the principal balance of any amount drawn under the Term Note accrues interest based on the secured overnight financing rate for U.S. government securities (“</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76" w:right="379" w:bottom="1440" w:gutter="0" w:footer="0" w:header="0"/>
        </w:sectPr>
      </w:pPr>
    </w:p>
    <w:bookmarkStart w:id="33" w:name="page34"/>
    <w:bookmarkEnd w:id="33"/>
    <w:p>
      <w:pPr>
        <w:ind w:right="140"/>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default provisions, including but not limited to the failure by us to repay obligations when due, violation of provisions or representations provided in the Credit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Credit Agreement includes customary affirmative, negative and financial covenants, including a maximum ratio of consolidated funded debt to consolidated EBITDA of not more than 3.0 to 1.0 and a fixed charge coverage ratio of not less than 1.25 to 1.0. Our obligations under the Credit Agreement are secured by liens on substantially all of our tangible and intangible assets that are owned as of the Closing Date or acquired thereafter. At December 31, 2024, we were in compliance with all of the covenants included in the Credit Facility including the debt covenants of the Credit Agreement.</w:t>
      </w:r>
    </w:p>
    <w:p>
      <w:pPr>
        <w:spacing w:after="0" w:line="192"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0" w:lineRule="exact"/>
        <w:rPr>
          <w:sz w:val="20"/>
          <w:szCs w:val="20"/>
          <w:color w:val="auto"/>
        </w:rPr>
      </w:pPr>
    </w:p>
    <w:p>
      <w:pPr>
        <w:ind w:left="20" w:right="260"/>
        <w:spacing w:after="0" w:line="266" w:lineRule="auto"/>
        <w:rPr>
          <w:sz w:val="20"/>
          <w:szCs w:val="20"/>
          <w:color w:val="auto"/>
        </w:rPr>
      </w:pPr>
      <w:r>
        <w:rPr>
          <w:rFonts w:ascii="Times New Roman" w:cs="Times New Roman" w:eastAsia="Times New Roman" w:hAnsi="Times New Roman"/>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2024, it was approximately 6.6% based on current leverage.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acquisition of Alfamation as discussed in “</w:t>
      </w:r>
      <w:r>
        <w:rPr>
          <w:rFonts w:ascii="Times New Roman" w:cs="Times New Roman" w:eastAsia="Times New Roman" w:hAnsi="Times New Roman"/>
          <w:sz w:val="18"/>
          <w:szCs w:val="18"/>
          <w:b w:val="1"/>
          <w:bCs w:val="1"/>
          <w:color w:val="auto"/>
        </w:rPr>
        <w:t>Part II; Item 8. Financial Statements and Supplementary Data; Notes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Note (3) Acquisition</w:t>
      </w:r>
      <w:r>
        <w:rPr>
          <w:rFonts w:ascii="Times New Roman" w:cs="Times New Roman" w:eastAsia="Times New Roman" w:hAnsi="Times New Roman"/>
          <w:sz w:val="18"/>
          <w:szCs w:val="18"/>
          <w:color w:val="auto"/>
        </w:rPr>
        <w:t>,” we assumed debt which totaled $11.3 million as of the acquisition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Alfamation Debt</w:t>
      </w:r>
      <w:r>
        <w:rPr>
          <w:rFonts w:ascii="Times New Roman" w:cs="Times New Roman" w:eastAsia="Times New Roman" w:hAnsi="Times New Roman"/>
          <w:sz w:val="18"/>
          <w:szCs w:val="18"/>
          <w:color w:val="auto"/>
        </w:rPr>
        <w:t>”). As of December 31, 2024, the Alfamation Debt is comprised of $4.1 million of both fixed and variable rate bank issued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spread across several different institutions with monthly, quarterly or half-year repayment schedules, as well as $3.0 million of short-term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rate financing backed by Alfamation™’s accounts receivable, with a quarterly repayment schedule. The short-term financing variable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was 3.9%. At December 31, 2024, the weighted average interest rate payable was 1.18% for fixed rate debt, 4.35%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rate debt, and the overall weighted average interest rate for the Alfamation Debt was 3.47%.</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for the years ended December 31, 2024 and 2023 was $0.8 million and $0.7 million,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cash and cash equivalents and working capital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19,830</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r>
      <w:tr>
        <w:trPr>
          <w:trHeight w:val="234"/>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46,864</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61,479</w:t>
            </w:r>
          </w:p>
        </w:tc>
      </w:tr>
    </w:tbl>
    <w:p>
      <w:pPr>
        <w:spacing w:after="0" w:line="179" w:lineRule="exact"/>
        <w:rPr>
          <w:sz w:val="20"/>
          <w:szCs w:val="20"/>
          <w:color w:val="auto"/>
        </w:rPr>
      </w:pPr>
    </w:p>
    <w:p>
      <w:pPr>
        <w:ind w:left="20" w:right="160"/>
        <w:spacing w:after="0" w:line="258" w:lineRule="auto"/>
        <w:rPr>
          <w:sz w:val="20"/>
          <w:szCs w:val="20"/>
          <w:color w:val="auto"/>
        </w:rPr>
      </w:pPr>
      <w:r>
        <w:rPr>
          <w:rFonts w:ascii="Times New Roman" w:cs="Times New Roman" w:eastAsia="Times New Roman" w:hAnsi="Times New Roman"/>
          <w:sz w:val="18"/>
          <w:szCs w:val="18"/>
          <w:color w:val="auto"/>
        </w:rPr>
        <w:t>At December 31, 2024, $8.6 million, or 44%,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Times New Roman" w:cs="Times New Roman" w:eastAsia="Times New Roman" w:hAnsi="Times New Roman"/>
          <w:sz w:val="18"/>
          <w:szCs w:val="18"/>
          <w:b w:val="1"/>
          <w:bCs w:val="1"/>
          <w:color w:val="auto"/>
        </w:rPr>
        <w:t>Part II; Item 8. Financial Statements and Supplementary Data;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Statements; Note (10) Debt</w:t>
      </w:r>
      <w:r>
        <w:rPr>
          <w:rFonts w:ascii="Times New Roman" w:cs="Times New Roman" w:eastAsia="Times New Roman" w:hAnsi="Times New Roman"/>
          <w:sz w:val="18"/>
          <w:szCs w:val="18"/>
          <w:color w:val="auto"/>
        </w:rPr>
        <w:t>” of this Report.</w:t>
      </w:r>
    </w:p>
    <w:p>
      <w:pPr>
        <w:spacing w:after="0" w:line="183" w:lineRule="exact"/>
        <w:rPr>
          <w:sz w:val="20"/>
          <w:szCs w:val="20"/>
          <w:color w:val="auto"/>
        </w:rPr>
      </w:pPr>
    </w:p>
    <w:p>
      <w:pPr>
        <w:ind w:left="20" w:right="140"/>
        <w:spacing w:after="0" w:line="255" w:lineRule="auto"/>
        <w:rPr>
          <w:sz w:val="20"/>
          <w:szCs w:val="20"/>
          <w:color w:val="auto"/>
        </w:rPr>
      </w:pPr>
      <w:r>
        <w:rPr>
          <w:rFonts w:ascii="Times New Roman" w:cs="Times New Roman" w:eastAsia="Times New Roman" w:hAnsi="Times New Roman"/>
          <w:sz w:val="18"/>
          <w:szCs w:val="18"/>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anticipate making investments in our business in the next twelve months including hiring of additional staff, updates to our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spacing w:after="0" w:line="189" w:lineRule="exact"/>
        <w:rPr>
          <w:sz w:val="20"/>
          <w:szCs w:val="20"/>
          <w:color w:val="auto"/>
        </w:rPr>
      </w:pPr>
    </w:p>
    <w:p>
      <w:pPr>
        <w:ind w:left="20" w:right="280"/>
        <w:spacing w:after="0" w:line="258" w:lineRule="auto"/>
        <w:rPr>
          <w:sz w:val="20"/>
          <w:szCs w:val="20"/>
          <w:color w:val="auto"/>
        </w:rPr>
      </w:pPr>
      <w:r>
        <w:rPr>
          <w:rFonts w:ascii="Times New Roman" w:cs="Times New Roman" w:eastAsia="Times New Roman" w:hAnsi="Times New Roman"/>
          <w:sz w:val="18"/>
          <w:szCs w:val="18"/>
          <w:color w:val="auto"/>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w:t>
      </w:r>
      <w:r>
        <w:rPr>
          <w:rFonts w:ascii="Times New Roman" w:cs="Times New Roman" w:eastAsia="Times New Roman" w:hAnsi="Times New Roman"/>
          <w:sz w:val="18"/>
          <w:szCs w:val="18"/>
          <w:b w:val="1"/>
          <w:bCs w:val="1"/>
          <w:color w:val="auto"/>
        </w:rPr>
        <w:t>Part II; Item 8. Financial Statements and Supplementary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 Notes to Consolidated Financial Statements; Note (10) Debt</w:t>
      </w:r>
      <w:r>
        <w:rPr>
          <w:rFonts w:ascii="Times New Roman" w:cs="Times New Roman" w:eastAsia="Times New Roman" w:hAnsi="Times New Roman"/>
          <w:sz w:val="18"/>
          <w:szCs w:val="18"/>
          <w:color w:val="auto"/>
        </w:rPr>
        <w:t>” of this Report.</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operations for the year ended December 31, 2024 was $3.8 million compared to $16.2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The decrease in cash provided by operations was due primarily to the combination of the decrease in net earnings, increased balances in trade accounts receivable from the significant increase in revenue during the fourth quarter of 2024 compared to the fourth quarter of 2023, the decline in deferred revenue and increased payments for domestic and foreign taxes payable, offset partly by declines in inventory, prepaid and other current asset balances. Non-cash adjustments to net earnings increased primarily due to increased depreciation and amortization and a decreased impact from the change in deferred tax benefit.</w:t>
      </w:r>
    </w:p>
    <w:p>
      <w:pPr>
        <w:spacing w:after="0" w:line="182" w:lineRule="exact"/>
        <w:rPr>
          <w:sz w:val="20"/>
          <w:szCs w:val="20"/>
          <w:color w:val="auto"/>
        </w:rPr>
      </w:pPr>
    </w:p>
    <w:p>
      <w:pPr>
        <w:jc w:val="both"/>
        <w:ind w:left="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for the year ended December 31, 2024 was $20.1 million compared to $1.3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The difference is primarily the result of the Alfamation™ acquisition. Capital expenditures for property and equipment was consistent with the prior year.</w:t>
      </w:r>
    </w:p>
    <w:p>
      <w:pPr>
        <w:spacing w:after="0" w:line="173" w:lineRule="exact"/>
        <w:rPr>
          <w:sz w:val="20"/>
          <w:szCs w:val="20"/>
          <w:color w:val="auto"/>
        </w:rPr>
      </w:pPr>
    </w:p>
    <w:p>
      <w:pPr>
        <w:ind w:left="20" w:right="180"/>
        <w:spacing w:after="0" w:line="25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used in financing activities for the year ended December 31, 2024 was $8.6 million compared to cash provided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$15.6 million in the prior year. In the current year, we made $7.8 million of repayments on our long-term debt and short-term borrowings along with $1.0 million used to repurchase shares under our Repurchase Plan. These outflows were slightly offset by proceeds received during 2024 from stock options exercised and employee purchases of shares under our Employee Stock Purchase Plan. In the prior year, we received $19.2 million of proceeds from shares issued as part of our Sales Agreement stock offering, partly offset by payments of $4.1 million on our Credit Facility.</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pacing w:after="0" w:line="225" w:lineRule="exact"/>
        <w:rPr>
          <w:sz w:val="20"/>
          <w:szCs w:val="20"/>
          <w:color w:val="auto"/>
        </w:rPr>
      </w:pPr>
    </w:p>
    <w:p>
      <w:pPr>
        <w:jc w:val="both"/>
        <w:ind w:left="20" w:right="240"/>
        <w:spacing w:after="0" w:line="317"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b w:val="1"/>
          <w:bCs w:val="1"/>
          <w:color w:val="auto"/>
        </w:rPr>
        <w:t>Part II, Item 8. Financial Statements and Supplementary Data; Notes to Consolidated Financial Statements; Note (2) 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Significant Accounting Policies</w:t>
      </w:r>
      <w:r>
        <w:rPr>
          <w:rFonts w:ascii="Times New Roman" w:cs="Times New Roman" w:eastAsia="Times New Roman" w:hAnsi="Times New Roman"/>
          <w:sz w:val="17"/>
          <w:szCs w:val="17"/>
          <w:color w:val="auto"/>
        </w:rPr>
        <w:t>” for information concerning the implementation and impact of new or recently adopted accounting standards.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Inventory Valuation</w:t>
      </w:r>
    </w:p>
    <w:p>
      <w:pPr>
        <w:spacing w:after="0" w:line="227" w:lineRule="exact"/>
        <w:rPr>
          <w:sz w:val="20"/>
          <w:szCs w:val="20"/>
          <w:color w:val="auto"/>
        </w:rPr>
      </w:pPr>
    </w:p>
    <w:p>
      <w:pPr>
        <w:ind w:left="20" w:right="60"/>
        <w:spacing w:after="0" w:line="254"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and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2024 and 2023, we recorded inventory obsolescence charges for excess and obsolete inventory of $0.7 million and $0.5 million, respectively.</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Goodwill, Intangible and Long-Lived Assets</w:t>
      </w:r>
    </w:p>
    <w:p>
      <w:pPr>
        <w:spacing w:after="0" w:line="223"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Accounting Standards Codification (“</w:t>
      </w:r>
      <w:r>
        <w:rPr>
          <w:rFonts w:ascii="Times New Roman" w:cs="Times New Roman" w:eastAsia="Times New Roman" w:hAnsi="Times New Roman"/>
          <w:sz w:val="18"/>
          <w:szCs w:val="18"/>
          <w:b w:val="1"/>
          <w:bCs w:val="1"/>
          <w:u w:val="single" w:color="auto"/>
          <w:color w:val="auto"/>
        </w:rPr>
        <w:t>ASC</w:t>
      </w:r>
      <w:r>
        <w:rPr>
          <w:rFonts w:ascii="Times New Roman" w:cs="Times New Roman" w:eastAsia="Times New Roman" w:hAnsi="Times New Roman"/>
          <w:sz w:val="18"/>
          <w:szCs w:val="18"/>
          <w:color w:val="auto"/>
        </w:rPr>
        <w:t xml:space="preserve">”) Topic 350 –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color w:val="auto"/>
        </w:rPr>
        <w:t>. Finite-lived intangible assets are amortized over their estimated useful economic life and are carried at cost less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8" w:right="33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December 31, 2024 and 2023, goodwill was $30.7 million and $21.7 million, respectively. We did not record any impairment charges related to our goodwill during 2024 or 2023.</w:t>
      </w:r>
    </w:p>
    <w:p>
      <w:pPr>
        <w:spacing w:after="0" w:line="1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Our indefinite-lived intangible assets were trademarks and trade names carried at $10.2 million and $8.4 million at December 31, 2024 and 2023, respectively. We did not record any impairment charges related to our indefinite-lived intangible assets during 2024 or 2023.</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property and equipment and right of use (“</w:t>
      </w:r>
      <w:r>
        <w:rPr>
          <w:rFonts w:ascii="Times New Roman" w:cs="Times New Roman" w:eastAsia="Times New Roman" w:hAnsi="Times New Roman"/>
          <w:sz w:val="18"/>
          <w:szCs w:val="18"/>
          <w:b w:val="1"/>
          <w:bCs w:val="1"/>
          <w:u w:val="single" w:color="auto"/>
          <w:color w:val="auto"/>
        </w:rPr>
        <w:t>ROU</w:t>
      </w:r>
      <w:r>
        <w:rPr>
          <w:rFonts w:ascii="Times New Roman" w:cs="Times New Roman" w:eastAsia="Times New Roman" w:hAnsi="Times New Roman"/>
          <w:sz w:val="18"/>
          <w:szCs w:val="18"/>
          <w:color w:val="auto"/>
        </w:rPr>
        <w:t>”)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2024 and 2023, finite-lived intangibles and long-lived assets were $31.4 million and $16.4 million, respectively. We did not record any impairment charges related to our long-lived assets during 2024 or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 Liabilities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contingent consideration liabilities on our balance sheet are accounted for in accordance with the guidance in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ASC 820</w:t>
      </w:r>
      <w:r>
        <w:rPr>
          <w:rFonts w:ascii="Times New Roman" w:cs="Times New Roman" w:eastAsia="Times New Roman" w:hAnsi="Times New Roman"/>
          <w:sz w:val="18"/>
          <w:szCs w:val="18"/>
          <w:color w:val="auto"/>
        </w:rPr>
        <w:t>”). ASC 820 establishes a fair value hierarchy for instruments measured at fair value that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contingent consideration liability is a result of our acquisition of Acculogic on December 21, 2021. The contingent consideration liability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There were no payments due to the seller for the years ended December 31, 2023 or 2022, while an immaterial amount is due for 2024 and is recorded as a component of other current liabilities. The maximum payment over the five-year period is capped at CAD $5.0 million, which equates to approximately $3.5 million at December 31, 2024. The fair value of this Level 3 instrument involves assessing the total amount of revenue we expect from sales to EV or battery customers during the applicable time period as well as when we expect to receive payment for the related net invoices. At December 31, 2024 and 2023, the total contingent consideration liability on our balance sheet was $0.9 million and $1.1 million, respectively. The entire contingent consideration at December 31, 2023 was long-term.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spacing w:after="0" w:line="1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36" w:name="page37"/>
    <w:bookmarkEnd w:id="36"/>
    <w:p>
      <w:pPr>
        <w:ind w:left="680"/>
        <w:spacing w:after="0" w:line="254" w:lineRule="auto"/>
        <w:rPr>
          <w:sz w:val="20"/>
          <w:szCs w:val="20"/>
          <w:color w:val="auto"/>
        </w:rPr>
      </w:pPr>
      <w:r>
        <w:rPr>
          <w:rFonts w:ascii="Times New Roman" w:cs="Times New Roman" w:eastAsia="Times New Roman" w:hAnsi="Times New Roman"/>
          <w:sz w:val="18"/>
          <w:szCs w:val="18"/>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At December 31, 2024 and 2023, we had a deferred tax asset of $0.5 million and $1.4 million, respectively. Our deferred tax valuation allowance at December 31, 2024 and 2023 was $0.3 million and $0.2 million,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year ended December 31, 2024 that have or are reasonably likely to have, a material current or future effect on our financial condition, changes in financial condition, revenues or expenses, results of operations, liquidity, cash requirements or capital resources.</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financial statements are set forth in this Report beginning at page F-1 and are incorporated by reference into this Item 8.</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right="18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w:t>
      </w:r>
      <w:r>
        <w:rPr>
          <w:rFonts w:ascii="Times New Roman" w:cs="Times New Roman" w:eastAsia="Times New Roman" w:hAnsi="Times New Roman"/>
          <w:sz w:val="18"/>
          <w:szCs w:val="18"/>
          <w:b w:val="1"/>
          <w:bCs w:val="1"/>
          <w:u w:val="single" w:color="auto"/>
          <w:color w:val="auto"/>
        </w:rPr>
        <w:t>CEO</w:t>
      </w:r>
      <w:r>
        <w:rPr>
          <w:rFonts w:ascii="Times New Roman" w:cs="Times New Roman" w:eastAsia="Times New Roman" w:hAnsi="Times New Roman"/>
          <w:sz w:val="18"/>
          <w:szCs w:val="18"/>
          <w:color w:val="auto"/>
        </w:rPr>
        <w:t>”) and Chief Financial Officer (“</w:t>
      </w:r>
      <w:r>
        <w:rPr>
          <w:rFonts w:ascii="Times New Roman" w:cs="Times New Roman" w:eastAsia="Times New Roman" w:hAnsi="Times New Roman"/>
          <w:sz w:val="18"/>
          <w:szCs w:val="18"/>
          <w:b w:val="1"/>
          <w:bCs w:val="1"/>
          <w:u w:val="single" w:color="auto"/>
          <w:color w:val="auto"/>
        </w:rPr>
        <w:t>CFO</w:t>
      </w:r>
      <w:r>
        <w:rPr>
          <w:rFonts w:ascii="Times New Roman" w:cs="Times New Roman" w:eastAsia="Times New Roman" w:hAnsi="Times New Roman"/>
          <w:sz w:val="18"/>
          <w:szCs w:val="18"/>
          <w:color w:val="auto"/>
        </w:rPr>
        <w:t>”),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90"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18"/>
          <w:szCs w:val="18"/>
          <w:b w:val="1"/>
          <w:bCs w:val="1"/>
          <w:color w:val="auto"/>
        </w:rPr>
        <w:t>CEO/CFO Conclusions about the Effectiveness of the Disclosure Controls and Procedures</w:t>
      </w:r>
      <w:r>
        <w:rPr>
          <w:rFonts w:ascii="Times New Roman" w:cs="Times New Roman" w:eastAsia="Times New Roman" w:hAnsi="Times New Roman"/>
          <w:sz w:val="18"/>
          <w:szCs w:val="18"/>
          <w:color w:val="auto"/>
        </w:rPr>
        <w:t>. As required by Rule 13a-15(b)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 Our independent registered public accounting firm that audited the consolidated financial statements included in this Report has issued an attestation report on our internal control over financial reporting, which is included herein.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b w:val="1"/>
          <w:bCs w:val="1"/>
          <w:color w:val="auto"/>
        </w:rPr>
        <w:t>Remediation of Material Weaknesses</w:t>
      </w:r>
    </w:p>
    <w:p>
      <w:pPr>
        <w:spacing w:after="0" w:line="225" w:lineRule="exact"/>
        <w:rPr>
          <w:sz w:val="20"/>
          <w:szCs w:val="20"/>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color w:val="auto"/>
        </w:rPr>
        <w:t>As previously reported in “</w:t>
      </w:r>
      <w:r>
        <w:rPr>
          <w:rFonts w:ascii="Times New Roman" w:cs="Times New Roman" w:eastAsia="Times New Roman" w:hAnsi="Times New Roman"/>
          <w:sz w:val="18"/>
          <w:szCs w:val="18"/>
          <w:b w:val="1"/>
          <w:bCs w:val="1"/>
          <w:color w:val="auto"/>
        </w:rPr>
        <w:t>Item 9A. Controls and Procedures</w:t>
      </w:r>
      <w:r>
        <w:rPr>
          <w:rFonts w:ascii="Times New Roman" w:cs="Times New Roman" w:eastAsia="Times New Roman" w:hAnsi="Times New Roman"/>
          <w:sz w:val="18"/>
          <w:szCs w:val="18"/>
          <w:color w:val="auto"/>
        </w:rPr>
        <w:t>” of our Annual Report on Form 10-K for the year ended December 31, 2023, we identified a material weakness in our control over financial reporting because we did not appropriately design and implement controls over the identification and the application of appropriate U.S. GAAP for transactions related to the procurement and sale of discontinued material/components purchased on behalf of customers where the associated materials/components were still physically located with us and the materials/components are expected to be applied to future product orders for these customers. In addition, as reported in “</w:t>
      </w:r>
      <w:r>
        <w:rPr>
          <w:rFonts w:ascii="Times New Roman" w:cs="Times New Roman" w:eastAsia="Times New Roman" w:hAnsi="Times New Roman"/>
          <w:sz w:val="18"/>
          <w:szCs w:val="18"/>
          <w:b w:val="1"/>
          <w:bCs w:val="1"/>
          <w:color w:val="auto"/>
        </w:rPr>
        <w:t>Item 4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of our Quarterly Report on Form 10-Q for the quarter ended September 30, 2024, we also identified a material weakness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recognition for Alfamation shipments at or near period-end with shipment terms where title does not transfer until delivery at the customer site.</w:t>
      </w:r>
    </w:p>
    <w:p>
      <w:pPr>
        <w:spacing w:after="0" w:line="189"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In response to these items, management has now implemented more rigorous period-end review processes around financial reporting and added new transactional level revenue recognition controls. Additionally, we have strengthened our internal accounting functions by investing in additional resources. As of December 31, 2024, we have remediated these material weaknesses.</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Management has expanded and will continue to enhance our system of identifying transactions and evaluating and implementing the accounting standards that apply to our financial statements, including enhanced analyses by our personnel and third-party professionals with whom we consult regarding complex accounting applications. We intend to continue re-assessing the design of controls, the testing of controls and modifying processes designed to improve our internal control over financial reporting.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As described above, we have implemented changes to our internal control over financial reporting to remediate the material weaknesses described herein. Other than these changes,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Alfamation S.p.A. Acquisition</w:t>
      </w:r>
    </w:p>
    <w:p>
      <w:pPr>
        <w:spacing w:after="0" w:line="229"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On March 12, 2024, we entered into a stock purchase agreement to acquire all of the outstanding capital shares of Alfamation S.p.A., a leading global provider of state-of-the-art test and measurement solutions for the automotive, life sciences and specialty consumer electronics markets. For additional information regarding the acquisition, refer to “</w:t>
      </w:r>
      <w:r>
        <w:rPr>
          <w:rFonts w:ascii="Times New Roman" w:cs="Times New Roman" w:eastAsia="Times New Roman" w:hAnsi="Times New Roman"/>
          <w:sz w:val="18"/>
          <w:szCs w:val="18"/>
          <w:b w:val="1"/>
          <w:bCs w:val="1"/>
          <w:color w:val="auto"/>
        </w:rPr>
        <w:t>Part II; Item 8. Financial Statements and Supplementary Data;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Consolidated Financial Statements; Note (3) Acquisition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r>
        <w:rPr>
          <w:rFonts w:ascii="Times New Roman" w:cs="Times New Roman" w:eastAsia="Times New Roman" w:hAnsi="Times New Roman"/>
          <w:sz w:val="18"/>
          <w:szCs w:val="18"/>
          <w:color w:val="auto"/>
        </w:rPr>
        <w:t>” Based on the recent completion of this acquisition and, pursuant to the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Commission’s guidance that an assessment of a recently acquired business may be omitted from the scope of an assessment for a period not to exceed one year form the date of acquisition, the scope of our assessment of the effectiveness of internal control over financial reporting as of the end of the period covered by this report does not include Alfamation S.p.A.</w:t>
      </w:r>
    </w:p>
    <w:p>
      <w:pPr>
        <w:spacing w:after="0" w:line="192"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We are in the process of implementing our internal control structure over Alfamation S.p.A. and we expect that this effort will be completed during the fiscal year ending December 31, 2025.</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Report on Internal Control over Financial Reporting</w:t>
      </w:r>
    </w:p>
    <w:p>
      <w:pPr>
        <w:spacing w:after="0" w:line="229"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324" w:hanging="324"/>
        <w:spacing w:after="0"/>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52" w:lineRule="exact"/>
        <w:rPr>
          <w:rFonts w:ascii="Times New Roman" w:cs="Times New Roman" w:eastAsia="Times New Roman" w:hAnsi="Times New Roman"/>
          <w:sz w:val="18"/>
          <w:szCs w:val="18"/>
          <w:color w:val="auto"/>
        </w:rPr>
      </w:pPr>
    </w:p>
    <w:p>
      <w:pPr>
        <w:ind w:left="324" w:right="40" w:hanging="324"/>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38" w:name="page39"/>
    <w:bookmarkEnd w:id="38"/>
    <w:p>
      <w:pPr>
        <w:ind w:left="680" w:right="140"/>
        <w:spacing w:after="0" w:line="258" w:lineRule="auto"/>
        <w:rPr>
          <w:sz w:val="20"/>
          <w:szCs w:val="20"/>
          <w:color w:val="auto"/>
        </w:rPr>
      </w:pPr>
      <w:r>
        <w:rPr>
          <w:rFonts w:ascii="Times New Roman" w:cs="Times New Roman" w:eastAsia="Times New Roman" w:hAnsi="Times New Roman"/>
          <w:sz w:val="18"/>
          <w:szCs w:val="18"/>
          <w:color w:val="auto"/>
        </w:rPr>
        <w:t>As previously noted in this Report, during the first quarter of 2024, we completed the acquisition of Alfamation™. We have excluded certain elements of Alfamation™ from our assessment of the effectiveness of our internal control over financial reporting as of December 31, 2024, as permitted under existing guidance issued by the SEC for newly acquired businesses. Alfamation™’s total assets as of December 31, 2024, and total revenue for the period from the acquisition dates through December 31, 2024, excluded from our management assessment represented 29% and 19% of our consolidated total assets and revenue, respectively.</w:t>
      </w:r>
    </w:p>
    <w:p>
      <w:pPr>
        <w:spacing w:after="0" w:line="183" w:lineRule="exact"/>
        <w:rPr>
          <w:sz w:val="20"/>
          <w:szCs w:val="20"/>
          <w:color w:val="auto"/>
        </w:rPr>
      </w:pPr>
    </w:p>
    <w:p>
      <w:pPr>
        <w:ind w:left="680"/>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at December 31, 2024. In making this assessment, management used the criteria set forth by the Committee of Sponsoring Organizations of the Treadway Commission (COSO) on Internal Control-Integrated 2013 Framework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upon this assessment, management believes that, at December 31, 2024, our internal control over financial reporting is effective at a reasonable assurance level.</w:t>
      </w:r>
    </w:p>
    <w:p>
      <w:pPr>
        <w:spacing w:after="0" w:line="180" w:lineRule="exact"/>
        <w:rPr>
          <w:sz w:val="20"/>
          <w:szCs w:val="20"/>
          <w:color w:val="auto"/>
        </w:rPr>
      </w:pPr>
    </w:p>
    <w:p>
      <w:pPr>
        <w:ind w:left="680" w:right="3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RSM US LLP, our independent registered public accounting firm, as stated in their report included in this Report.</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left="680" w:right="5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from our definitive proxy statement for our 2025 Annual Meeting of Stockholders to be filed with the SEC within 120 days after the end of the fiscal year covered by this Report.</w:t>
      </w:r>
    </w:p>
    <w:p>
      <w:pPr>
        <w:spacing w:after="0" w:line="1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3" w:lineRule="exact"/>
        <w:rPr>
          <w:sz w:val="20"/>
          <w:szCs w:val="20"/>
          <w:color w:val="auto"/>
        </w:rPr>
      </w:pPr>
    </w:p>
    <w:p>
      <w:pPr>
        <w:jc w:val="both"/>
        <w:ind w:left="680" w:right="260"/>
        <w:spacing w:after="0" w:line="268" w:lineRule="auto"/>
        <w:rPr>
          <w:sz w:val="20"/>
          <w:szCs w:val="20"/>
          <w:color w:val="auto"/>
        </w:rPr>
      </w:pPr>
      <w:r>
        <w:rPr>
          <w:rFonts w:ascii="Times New Roman" w:cs="Times New Roman" w:eastAsia="Times New Roman" w:hAnsi="Times New Roman"/>
          <w:sz w:val="18"/>
          <w:szCs w:val="18"/>
          <w:color w:val="auto"/>
        </w:rPr>
        <w:t>We have adopted a Code of Ethics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pacing w:after="0" w:line="1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80" w:right="5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from our definitive proxy statement for our 2025 Annual Meeting of Stockholders to be filed with the SEC within 120 days after the end of the fiscal year covered by this Report.</w:t>
      </w:r>
    </w:p>
    <w:p>
      <w:pPr>
        <w:spacing w:after="0" w:line="158" w:lineRule="exact"/>
        <w:rPr>
          <w:sz w:val="20"/>
          <w:szCs w:val="20"/>
          <w:color w:val="auto"/>
        </w:rPr>
      </w:pPr>
    </w:p>
    <w:p>
      <w:pPr>
        <w:ind w:left="1140" w:right="2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left="680"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below. The remainder of the information required by this Item 12 is incorporated by reference from our definitive proxy statement for our 2025 Annual Meeting of Stockholders to be filed with the SEC within 120 days after the end of the fiscal year covered by this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ind w:left="680" w:right="92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at December 31, 2024:</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55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and rights</w:t>
            </w:r>
            <w:r>
              <w:rPr>
                <w:rFonts w:ascii="Times New Roman" w:cs="Times New Roman" w:eastAsia="Times New Roman" w:hAnsi="Times New Roman"/>
                <w:sz w:val="27"/>
                <w:szCs w:val="27"/>
                <w:b w:val="1"/>
                <w:bCs w:val="1"/>
                <w:color w:val="auto"/>
                <w:vertAlign w:val="superscript"/>
              </w:rPr>
              <w:t>(1)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7"/>
              </w:rPr>
              <w:t>plans</w:t>
            </w:r>
            <w:r>
              <w:rPr>
                <w:rFonts w:ascii="Times New Roman" w:cs="Times New Roman" w:eastAsia="Times New Roman" w:hAnsi="Times New Roman"/>
                <w:sz w:val="27"/>
                <w:szCs w:val="27"/>
                <w:b w:val="1"/>
                <w:bCs w:val="1"/>
                <w:color w:val="auto"/>
                <w:w w:val="97"/>
                <w:vertAlign w:val="superscript"/>
              </w:rPr>
              <w:t>(2)</w:t>
            </w:r>
          </w:p>
        </w:tc>
        <w:tc>
          <w:tcPr>
            <w:tcW w:w="10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602,593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1,068,203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602,593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1,068,203</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securities that may be issued are shares of inTEST common stock, issuable upon exercise of outstanding stock options.</w:t>
      </w:r>
    </w:p>
    <w:p>
      <w:pPr>
        <w:spacing w:after="0" w:line="28" w:lineRule="exact"/>
        <w:rPr>
          <w:rFonts w:ascii="Times New Roman" w:cs="Times New Roman" w:eastAsia="Times New Roman" w:hAnsi="Times New Roman"/>
          <w:sz w:val="30"/>
          <w:szCs w:val="30"/>
          <w:color w:val="auto"/>
          <w:vertAlign w:val="superscript"/>
        </w:rPr>
      </w:pPr>
    </w:p>
    <w:p>
      <w:pPr>
        <w:ind w:left="980" w:right="480" w:hanging="324"/>
        <w:spacing w:after="0" w:line="187" w:lineRule="auto"/>
        <w:tabs>
          <w:tab w:leader="none" w:pos="98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securities that remain available for future issuance include 877,810 that are issuable pursuant to the inTEST Corporation 2023 Stock Incentive Plan and 190,393 that are issuable pursuant to the inTEST Corporation Employee Stock Purchase Plan.</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680" w:right="6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from our definitive proxy statement for our 2025 Annual Meeting of Stockholders to be filed with the SEC within 120 days after the end of the fiscal year covered by this Report.</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left="680" w:right="6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from our definitive proxy statement for our 2025 Annual Meeting of Stockholders to be filed with the SEC within 120 days after the end of the fiscal year covered by this Report.</w:t>
      </w:r>
    </w:p>
    <w:p>
      <w:pPr>
        <w:spacing w:after="0" w:line="3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1020" w:hanging="44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filed as part of this Report are:</w:t>
      </w:r>
    </w:p>
    <w:p>
      <w:pPr>
        <w:spacing w:after="0" w:line="225" w:lineRule="exact"/>
        <w:rPr>
          <w:rFonts w:ascii="Times New Roman" w:cs="Times New Roman" w:eastAsia="Times New Roman" w:hAnsi="Times New Roman"/>
          <w:sz w:val="18"/>
          <w:szCs w:val="18"/>
          <w:color w:val="auto"/>
        </w:rPr>
      </w:pPr>
    </w:p>
    <w:p>
      <w:pPr>
        <w:ind w:left="1120" w:right="820" w:firstLine="4"/>
        <w:spacing w:after="0" w:line="282" w:lineRule="auto"/>
        <w:tabs>
          <w:tab w:leader="none" w:pos="15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and notes thereto as well as the applicable reports of our independent registered public accounting firm are included in Part II, Item 8 of this Report.</w:t>
      </w:r>
    </w:p>
    <w:p>
      <w:pPr>
        <w:spacing w:after="0" w:line="157" w:lineRule="exact"/>
        <w:rPr>
          <w:rFonts w:ascii="Times New Roman" w:cs="Times New Roman" w:eastAsia="Times New Roman" w:hAnsi="Times New Roman"/>
          <w:sz w:val="18"/>
          <w:szCs w:val="18"/>
          <w:color w:val="auto"/>
        </w:rPr>
      </w:pPr>
    </w:p>
    <w:p>
      <w:pPr>
        <w:ind w:left="1120" w:right="160" w:firstLine="4"/>
        <w:spacing w:after="0" w:line="286" w:lineRule="auto"/>
        <w:tabs>
          <w:tab w:leader="none" w:pos="15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 should be read in conjunction with the consolidated financial statements set forth in “</w:t>
      </w:r>
      <w:r>
        <w:rPr>
          <w:rFonts w:ascii="Times New Roman" w:cs="Times New Roman" w:eastAsia="Times New Roman" w:hAnsi="Times New Roman"/>
          <w:sz w:val="18"/>
          <w:szCs w:val="18"/>
          <w:b w:val="1"/>
          <w:bCs w:val="1"/>
          <w:color w:val="auto"/>
        </w:rPr>
        <w:t>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 Item 8. Financial Statements and Supplementary Data</w:t>
      </w:r>
      <w:r>
        <w:rPr>
          <w:rFonts w:ascii="Times New Roman" w:cs="Times New Roman" w:eastAsia="Times New Roman" w:hAnsi="Times New Roman"/>
          <w:sz w:val="18"/>
          <w:szCs w:val="18"/>
          <w:color w:val="auto"/>
        </w:rPr>
        <w:t>” of this Report:</w:t>
      </w:r>
    </w:p>
    <w:p>
      <w:pPr>
        <w:spacing w:after="0" w:line="15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sz w:val="20"/>
          <w:szCs w:val="20"/>
          <w:color w:val="auto"/>
        </w:rPr>
      </w:pPr>
    </w:p>
    <w:p>
      <w:pPr>
        <w:ind w:left="1520" w:hanging="396"/>
        <w:spacing w:after="0"/>
        <w:tabs>
          <w:tab w:leader="none" w:pos="1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included under Item 15(b) of this Report.</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225" w:lineRule="exact"/>
        <w:rPr>
          <w:sz w:val="20"/>
          <w:szCs w:val="20"/>
          <w:color w:val="auto"/>
        </w:rPr>
      </w:pPr>
    </w:p>
    <w:p>
      <w:pPr>
        <w:ind w:left="680" w:right="100"/>
        <w:spacing w:after="0" w:line="282" w:lineRule="auto"/>
        <w:rPr>
          <w:sz w:val="20"/>
          <w:szCs w:val="20"/>
          <w:color w:val="auto"/>
        </w:rPr>
      </w:pPr>
      <w:r>
        <w:rPr>
          <w:rFonts w:ascii="Times New Roman" w:cs="Times New Roman" w:eastAsia="Times New Roman" w:hAnsi="Times New Roman"/>
          <w:sz w:val="18"/>
          <w:szCs w:val="18"/>
          <w:color w:val="auto"/>
        </w:rPr>
        <w:t>A list of the Exhibits which are required by Item 601 of Regulation S-K and filed with this Report is set forth in the Index to Exhibits immediately preceding the signature page, which Index to Exhibits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0"/>
        </w:trPr>
        <w:tc>
          <w:tcPr>
            <w:tcW w:w="1040" w:type="dxa"/>
            <w:vAlign w:val="bottom"/>
            <w:tcBorders>
              <w:left w:val="single" w:sz="8" w:color="auto"/>
              <w:right w:val="single" w:sz="8" w:color="auto"/>
            </w:tcBorders>
          </w:tcPr>
          <w:p>
            <w:pPr>
              <w:ind w:left="200"/>
              <w:spacing w:after="0" w:line="190" w:lineRule="exact"/>
              <w:rPr>
                <w:sz w:val="20"/>
                <w:szCs w:val="20"/>
                <w:color w:val="auto"/>
              </w:rPr>
            </w:pPr>
            <w:r>
              <w:rPr>
                <w:rFonts w:ascii="Times New Roman" w:cs="Times New Roman" w:eastAsia="Times New Roman" w:hAnsi="Times New Roman"/>
                <w:sz w:val="18"/>
                <w:szCs w:val="18"/>
                <w:b w:val="1"/>
                <w:bCs w:val="1"/>
                <w:color w:val="auto"/>
              </w:rPr>
              <w:t>Exhibit</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Filed/</w:t>
            </w:r>
          </w:p>
        </w:tc>
      </w:tr>
      <w:tr>
        <w:trPr>
          <w:trHeight w:val="216"/>
        </w:trPr>
        <w:tc>
          <w:tcPr>
            <w:tcW w:w="104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31"/>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52"/>
        </w:trPr>
        <w:tc>
          <w:tcPr>
            <w:tcW w:w="104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3.1</w:t>
            </w:r>
          </w:p>
        </w:tc>
        <w:tc>
          <w:tcPr>
            <w:tcW w:w="4600" w:type="dxa"/>
            <w:vAlign w:val="bottom"/>
            <w:tcBorders>
              <w:right w:val="single" w:sz="8" w:color="auto"/>
            </w:tcBorders>
            <w:gridSpan w:val="36"/>
          </w:tcPr>
          <w:p>
            <w:pPr>
              <w:spacing w:after="0" w:line="152" w:lineRule="exact"/>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Certificate of Incorporation</w:t>
              </w:r>
            </w:hyperlink>
          </w:p>
        </w:tc>
        <w:tc>
          <w:tcPr>
            <w:tcW w:w="100" w:type="dxa"/>
            <w:vAlign w:val="bottom"/>
          </w:tcPr>
          <w:p>
            <w:pPr>
              <w:spacing w:after="0"/>
              <w:rPr>
                <w:sz w:val="13"/>
                <w:szCs w:val="13"/>
                <w:color w:val="auto"/>
              </w:rPr>
            </w:pPr>
          </w:p>
        </w:tc>
        <w:tc>
          <w:tcPr>
            <w:tcW w:w="780" w:type="dxa"/>
            <w:vAlign w:val="bottom"/>
            <w:tcBorders>
              <w:right w:val="single" w:sz="8" w:color="auto"/>
            </w:tcBorders>
            <w:gridSpan w:val="2"/>
          </w:tcPr>
          <w:p>
            <w:pPr>
              <w:jc w:val="center"/>
              <w:ind w:right="180"/>
              <w:spacing w:after="0" w:line="152" w:lineRule="exact"/>
              <w:rPr>
                <w:sz w:val="20"/>
                <w:szCs w:val="20"/>
                <w:color w:val="auto"/>
              </w:rPr>
            </w:pPr>
            <w:r>
              <w:rPr>
                <w:rFonts w:ascii="Times New Roman" w:cs="Times New Roman" w:eastAsia="Times New Roman" w:hAnsi="Times New Roman"/>
                <w:sz w:val="17"/>
                <w:szCs w:val="17"/>
                <w:color w:val="auto"/>
              </w:rPr>
              <w:t>10-K</w:t>
            </w:r>
          </w:p>
        </w:tc>
        <w:tc>
          <w:tcPr>
            <w:tcW w:w="12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001-36117</w:t>
            </w:r>
          </w:p>
        </w:tc>
        <w:tc>
          <w:tcPr>
            <w:tcW w:w="9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3.1</w:t>
            </w:r>
          </w:p>
        </w:tc>
        <w:tc>
          <w:tcPr>
            <w:tcW w:w="162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March 23, 2020</w:t>
            </w:r>
          </w:p>
        </w:tc>
        <w:tc>
          <w:tcPr>
            <w:tcW w:w="1000" w:type="dxa"/>
            <w:vAlign w:val="bottom"/>
            <w:tcBorders>
              <w:right w:val="single" w:sz="8" w:color="auto"/>
            </w:tcBorders>
          </w:tcPr>
          <w:p>
            <w:pPr>
              <w:spacing w:after="0"/>
              <w:rPr>
                <w:sz w:val="13"/>
                <w:szCs w:val="13"/>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3.2</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Bylaws as amended and restated on April 23, 2018</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April 25, 2018</w:t>
            </w:r>
          </w:p>
        </w:tc>
        <w:tc>
          <w:tcPr>
            <w:tcW w:w="100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Description of Securities</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23, 2020</w:t>
            </w:r>
          </w:p>
        </w:tc>
        <w:tc>
          <w:tcPr>
            <w:tcW w:w="1000" w:type="dxa"/>
            <w:vAlign w:val="bottom"/>
            <w:tcBorders>
              <w:right w:val="single" w:sz="8" w:color="auto"/>
            </w:tcBorders>
          </w:tcPr>
          <w:p>
            <w:pPr>
              <w:spacing w:after="0"/>
              <w:rPr>
                <w:sz w:val="14"/>
                <w:szCs w:val="14"/>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Lease Agreement between Exeter 804 East Gate, LLC and the</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000-22529</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13, 2010</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Company dated May 10, 2010</w:t>
              </w:r>
            </w:hyperlink>
          </w:p>
        </w:tc>
        <w:tc>
          <w:tcPr>
            <w:tcW w:w="160" w:type="dxa"/>
            <w:vAlign w:val="bottom"/>
            <w:tcBorders>
              <w:right w:val="single" w:sz="8" w:color="auto"/>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10.2</w:t>
            </w:r>
          </w:p>
        </w:tc>
        <w:tc>
          <w:tcPr>
            <w:tcW w:w="4320" w:type="dxa"/>
            <w:vAlign w:val="bottom"/>
            <w:tcBorders>
              <w:bottom w:val="single" w:sz="8" w:color="0000EE"/>
            </w:tcBorders>
            <w:gridSpan w:val="28"/>
          </w:tcPr>
          <w:p>
            <w:pPr>
              <w:spacing w:after="0" w:line="169"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First Amendment to Lease Agreement, dated September 22,</w:t>
              </w:r>
            </w:hyperlink>
          </w:p>
        </w:tc>
        <w:tc>
          <w:tcPr>
            <w:tcW w:w="280" w:type="dxa"/>
            <w:vAlign w:val="bottom"/>
            <w:tcBorders>
              <w:right w:val="single" w:sz="8" w:color="auto"/>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24, 2020</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2020, by and between inTEST Corporation and Exeter 804</w:t>
              </w:r>
            </w:hyperlink>
          </w:p>
        </w:tc>
        <w:tc>
          <w:tcPr>
            <w:tcW w:w="380" w:type="dxa"/>
            <w:vAlign w:val="bottom"/>
            <w:tcBorders>
              <w:right w:val="single" w:sz="8" w:color="auto"/>
            </w:tcBorders>
            <w:gridSpan w:val="12"/>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East Gate 2018, LLC</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10.3</w:t>
            </w:r>
          </w:p>
        </w:tc>
        <w:tc>
          <w:tcPr>
            <w:tcW w:w="4460" w:type="dxa"/>
            <w:vAlign w:val="bottom"/>
            <w:tcBorders>
              <w:bottom w:val="single" w:sz="8" w:color="0000EE"/>
            </w:tcBorders>
            <w:gridSpan w:val="32"/>
          </w:tcPr>
          <w:p>
            <w:pPr>
              <w:spacing w:after="0" w:line="169"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Second Amendment to Lease Agreement, dated April 7, 2021,</w:t>
              </w:r>
            </w:hyperlink>
          </w:p>
        </w:tc>
        <w:tc>
          <w:tcPr>
            <w:tcW w:w="140" w:type="dxa"/>
            <w:vAlign w:val="bottom"/>
            <w:tcBorders>
              <w:right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April 13, 2021</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by and between inTEST Corporation and Exeter 804 East Gate</w:t>
              </w:r>
            </w:hyperlink>
          </w:p>
        </w:tc>
        <w:tc>
          <w:tcPr>
            <w:tcW w:w="10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2018, LLC</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10.4</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Lease Agreement between AMB-SGP Seattle/Boston, LLC</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000-22529</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October 29, 2010</w:t>
            </w:r>
          </w:p>
        </w:tc>
        <w:tc>
          <w:tcPr>
            <w:tcW w:w="1000" w:type="dxa"/>
            <w:vAlign w:val="bottom"/>
            <w:tcBorders>
              <w:right w:val="single" w:sz="8" w:color="auto"/>
            </w:tcBorders>
          </w:tcPr>
          <w:p>
            <w:pPr>
              <w:spacing w:after="0"/>
              <w:rPr>
                <w:sz w:val="14"/>
                <w:szCs w:val="14"/>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and Temptronic Corporation (a subsidiary of the Company),</w:t>
              </w:r>
            </w:hyperlink>
          </w:p>
        </w:tc>
        <w:tc>
          <w:tcPr>
            <w:tcW w:w="280" w:type="dxa"/>
            <w:vAlign w:val="bottom"/>
            <w:tcBorders>
              <w:right w:val="single" w:sz="8" w:color="auto"/>
            </w:tcBorders>
            <w:gridSpan w:val="8"/>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dated October 25, 2010</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10.5</w:t>
            </w:r>
          </w:p>
        </w:tc>
        <w:tc>
          <w:tcPr>
            <w:tcW w:w="4480" w:type="dxa"/>
            <w:vAlign w:val="bottom"/>
            <w:tcBorders>
              <w:bottom w:val="single" w:sz="8" w:color="0000EE"/>
            </w:tcBorders>
            <w:gridSpan w:val="33"/>
          </w:tcPr>
          <w:p>
            <w:pPr>
              <w:spacing w:after="0" w:line="169"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Lease Agreement between Columbia California Warm Springs</w:t>
              </w:r>
            </w:hyperlink>
          </w:p>
        </w:tc>
        <w:tc>
          <w:tcPr>
            <w:tcW w:w="120" w:type="dxa"/>
            <w:vAlign w:val="bottom"/>
            <w:tcBorders>
              <w:right w:val="single" w:sz="8" w:color="auto"/>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rPr>
              <w:t>10-Q/A</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000-22529</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15, 2012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Industrial, LLC and inTEST Silicon Valley Corporation dated</w:t>
              </w:r>
            </w:hyperlink>
          </w:p>
        </w:tc>
        <w:tc>
          <w:tcPr>
            <w:tcW w:w="180" w:type="dxa"/>
            <w:vAlign w:val="bottom"/>
            <w:tcBorders>
              <w:right w:val="single" w:sz="8" w:color="auto"/>
            </w:tcBorders>
            <w:gridSpan w:val="6"/>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January 9, 2012</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10.6</w:t>
            </w:r>
          </w:p>
        </w:tc>
        <w:tc>
          <w:tcPr>
            <w:tcW w:w="4140" w:type="dxa"/>
            <w:vAlign w:val="bottom"/>
            <w:tcBorders>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First Amendment to Lease Agreement between Columbia</w:t>
              </w:r>
            </w:hyperlink>
          </w:p>
        </w:tc>
        <w:tc>
          <w:tcPr>
            <w:tcW w:w="460" w:type="dxa"/>
            <w:vAlign w:val="bottom"/>
            <w:tcBorders>
              <w:right w:val="single" w:sz="8" w:color="auto"/>
            </w:tcBorders>
            <w:gridSpan w:val="14"/>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22, 2016</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California Warm Springs Industrial, LLC and inTEST Silicon</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Valley Corporation dated November 18, 2016</w:t>
              </w:r>
            </w:hyperlink>
          </w:p>
        </w:tc>
        <w:tc>
          <w:tcPr>
            <w:tcW w:w="200" w:type="dxa"/>
            <w:vAlign w:val="bottom"/>
            <w:tcBorders>
              <w:right w:val="single" w:sz="8" w:color="auto"/>
            </w:tcBorders>
            <w:gridSpan w:val="7"/>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10.7</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Second Amendment to Standard Lease Agreement, dated</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January 28, 2020</w:t>
            </w:r>
          </w:p>
        </w:tc>
        <w:tc>
          <w:tcPr>
            <w:tcW w:w="1000" w:type="dxa"/>
            <w:vAlign w:val="bottom"/>
            <w:tcBorders>
              <w:right w:val="single" w:sz="8" w:color="auto"/>
            </w:tcBorders>
          </w:tcPr>
          <w:p>
            <w:pPr>
              <w:spacing w:after="0"/>
              <w:rPr>
                <w:sz w:val="14"/>
                <w:szCs w:val="14"/>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January 23, 2020, by and between inTEST Silicon Valley</w:t>
              </w:r>
            </w:hyperlink>
          </w:p>
        </w:tc>
        <w:tc>
          <w:tcPr>
            <w:tcW w:w="500" w:type="dxa"/>
            <w:vAlign w:val="bottom"/>
            <w:tcBorders>
              <w:right w:val="single" w:sz="8" w:color="auto"/>
            </w:tcBorders>
            <w:gridSpan w:val="16"/>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Corporation and Fremont Business Center, LLC</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10.8</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Guaranty Agreements between Columbia California Warm</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rPr>
              <w:t>10-Q/A</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000-22529</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15, 2012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Springs Industrial, LLC and inTEST Corporation dated</w:t>
              </w:r>
            </w:hyperlink>
          </w:p>
        </w:tc>
        <w:tc>
          <w:tcPr>
            <w:tcW w:w="400" w:type="dxa"/>
            <w:vAlign w:val="bottom"/>
            <w:tcBorders>
              <w:right w:val="single" w:sz="8" w:color="auto"/>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39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January 9, 2012</w:t>
              </w:r>
            </w:hyperlink>
          </w:p>
        </w:tc>
        <w:tc>
          <w:tcPr>
            <w:tcW w:w="660" w:type="dxa"/>
            <w:vAlign w:val="bottom"/>
            <w:tcBorders>
              <w:right w:val="single" w:sz="8" w:color="auto"/>
            </w:tcBorders>
            <w:gridSpan w:val="20"/>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10.9</w:t>
            </w:r>
          </w:p>
        </w:tc>
        <w:tc>
          <w:tcPr>
            <w:tcW w:w="4600" w:type="dxa"/>
            <w:vAlign w:val="bottom"/>
            <w:tcBorders>
              <w:bottom w:val="single" w:sz="8" w:color="0000EE"/>
              <w:right w:val="single" w:sz="8" w:color="auto"/>
            </w:tcBorders>
            <w:gridSpan w:val="36"/>
          </w:tcPr>
          <w:p>
            <w:pPr>
              <w:spacing w:after="0" w:line="169"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Lease Agreement between Maguire Family Properties, Inc. and</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22, 2017</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Ambrell Corporation dated December 19, 2017</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10.10</w:t>
            </w:r>
          </w:p>
        </w:tc>
        <w:tc>
          <w:tcPr>
            <w:tcW w:w="4300" w:type="dxa"/>
            <w:vAlign w:val="bottom"/>
            <w:tcBorders>
              <w:bottom w:val="single" w:sz="8" w:color="0000EE"/>
            </w:tcBorders>
            <w:gridSpan w:val="27"/>
          </w:tcPr>
          <w:p>
            <w:pPr>
              <w:spacing w:after="0" w:line="169"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Guaranty of Lease between Maguire Family Properties, Inc.</w:t>
              </w:r>
            </w:hyperlink>
          </w:p>
        </w:tc>
        <w:tc>
          <w:tcPr>
            <w:tcW w:w="300" w:type="dxa"/>
            <w:vAlign w:val="bottom"/>
            <w:tcBorders>
              <w:right w:val="single" w:sz="8" w:color="auto"/>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22, 2017</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and Ambrell Corporation dated December 19, 2017</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10.11</w:t>
            </w:r>
          </w:p>
        </w:tc>
        <w:tc>
          <w:tcPr>
            <w:tcW w:w="460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Lease Agreement between Apple Creek Properties Limited and</w:t>
              </w:r>
            </w:hyperlink>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December 6,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2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Acculogic Inc. dated November 30, 2022</w:t>
              </w:r>
            </w:hyperlink>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10.12</w:t>
            </w:r>
          </w:p>
        </w:tc>
        <w:tc>
          <w:tcPr>
            <w:tcW w:w="4280" w:type="dxa"/>
            <w:vAlign w:val="bottom"/>
            <w:tcBorders>
              <w:bottom w:val="single" w:sz="8" w:color="0000EE"/>
            </w:tcBorders>
            <w:gridSpan w:val="26"/>
          </w:tcPr>
          <w:p>
            <w:pPr>
              <w:spacing w:after="0" w:line="169"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Amended and Restated Loan and Security Agreement dated</w:t>
              </w:r>
            </w:hyperlink>
          </w:p>
        </w:tc>
        <w:tc>
          <w:tcPr>
            <w:tcW w:w="320" w:type="dxa"/>
            <w:vAlign w:val="bottom"/>
            <w:tcBorders>
              <w:right w:val="single" w:sz="8" w:color="auto"/>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October 20, 2021</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0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October 15, 2021, among inTEST Corporation, Ambrell</w:t>
              </w:r>
            </w:hyperlink>
          </w:p>
        </w:tc>
        <w:tc>
          <w:tcPr>
            <w:tcW w:w="580" w:type="dxa"/>
            <w:vAlign w:val="bottom"/>
            <w:tcBorders>
              <w:right w:val="single" w:sz="8" w:color="auto"/>
            </w:tcBorders>
            <w:gridSpan w:val="19"/>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Corporation, inTEST Silicon Valley Corporation, inTEST</w:t>
              </w:r>
            </w:hyperlink>
          </w:p>
        </w:tc>
        <w:tc>
          <w:tcPr>
            <w:tcW w:w="460" w:type="dxa"/>
            <w:vAlign w:val="bottom"/>
            <w:tcBorders>
              <w:right w:val="single" w:sz="8" w:color="auto"/>
            </w:tcBorders>
            <w:gridSpan w:val="14"/>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EMS, LLC, Temptronic Corporation and M&amp;T Bank</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10.13</w:t>
            </w:r>
          </w:p>
        </w:tc>
        <w:tc>
          <w:tcPr>
            <w:tcW w:w="4220" w:type="dxa"/>
            <w:vAlign w:val="bottom"/>
            <w:tcBorders>
              <w:bottom w:val="single" w:sz="8" w:color="0000EE"/>
            </w:tcBorders>
            <w:gridSpan w:val="24"/>
          </w:tcPr>
          <w:p>
            <w:pPr>
              <w:spacing w:after="0" w:line="169"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Joinder and Second Amendment to Amended and Restated</w:t>
              </w:r>
            </w:hyperlink>
          </w:p>
        </w:tc>
        <w:tc>
          <w:tcPr>
            <w:tcW w:w="380" w:type="dxa"/>
            <w:vAlign w:val="bottom"/>
            <w:tcBorders>
              <w:right w:val="single" w:sz="8" w:color="auto"/>
            </w:tcBorders>
            <w:gridSpan w:val="12"/>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January 6,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Loan and Security Agreement, dated December 30, 2021,</w:t>
              </w:r>
            </w:hyperlink>
          </w:p>
        </w:tc>
        <w:tc>
          <w:tcPr>
            <w:tcW w:w="480" w:type="dxa"/>
            <w:vAlign w:val="bottom"/>
            <w:tcBorders>
              <w:right w:val="single" w:sz="8" w:color="auto"/>
            </w:tcBorders>
            <w:gridSpan w:val="15"/>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among inTEST Corporation, Ambrell Corporation, inTEST</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2020" w:type="dxa"/>
            <w:vAlign w:val="bottom"/>
            <w:gridSpan w:val="1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Borders>
              <w:right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Silicon Valley Corporation, inTEST EMS, LLC, Temptronic</w:t>
              </w:r>
            </w:hyperlink>
          </w:p>
        </w:tc>
        <w:tc>
          <w:tcPr>
            <w:tcW w:w="280" w:type="dxa"/>
            <w:vAlign w:val="bottom"/>
            <w:tcBorders>
              <w:right w:val="single" w:sz="8" w:color="auto"/>
            </w:tcBorders>
            <w:gridSpan w:val="8"/>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Corporation, Videology Imaging Corporation, Acculogic Ltd.,</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Acculogic Inc. and M&amp;T Bank</w:t>
              </w:r>
            </w:hyperlink>
          </w:p>
        </w:tc>
        <w:tc>
          <w:tcPr>
            <w:tcW w:w="160" w:type="dxa"/>
            <w:vAlign w:val="bottom"/>
            <w:tcBorders>
              <w:right w:val="single" w:sz="8" w:color="auto"/>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25"/>
        </w:trPr>
        <w:tc>
          <w:tcPr>
            <w:tcW w:w="1040" w:type="dxa"/>
            <w:vAlign w:val="bottom"/>
          </w:tcPr>
          <w:p>
            <w:pPr>
              <w:spacing w:after="0"/>
              <w:rPr>
                <w:sz w:val="24"/>
                <w:szCs w:val="24"/>
                <w:color w:val="auto"/>
              </w:rPr>
            </w:pPr>
          </w:p>
        </w:tc>
        <w:tc>
          <w:tcPr>
            <w:tcW w:w="4700" w:type="dxa"/>
            <w:vAlign w:val="bottom"/>
            <w:gridSpan w:val="37"/>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40" w:type="dxa"/>
            <w:vAlign w:val="bottom"/>
            <w:tcBorders>
              <w:top w:val="single" w:sz="8" w:color="auto"/>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r>
      <w:tr>
        <w:trPr>
          <w:trHeight w:val="216"/>
        </w:trPr>
        <w:tc>
          <w:tcPr>
            <w:tcW w:w="104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00" w:type="dxa"/>
            <w:vAlign w:val="bottom"/>
            <w:tcBorders>
              <w:bottom w:val="single" w:sz="8" w:color="auto"/>
              <w:right w:val="single" w:sz="8" w:color="auto"/>
            </w:tcBorders>
            <w:gridSpan w:val="35"/>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52"/>
        </w:trPr>
        <w:tc>
          <w:tcPr>
            <w:tcW w:w="104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10.14</w:t>
            </w:r>
          </w:p>
        </w:tc>
        <w:tc>
          <w:tcPr>
            <w:tcW w:w="3920" w:type="dxa"/>
            <w:vAlign w:val="bottom"/>
            <w:tcBorders>
              <w:bottom w:val="single" w:sz="8" w:color="0000EE"/>
            </w:tcBorders>
            <w:gridSpan w:val="21"/>
          </w:tcPr>
          <w:p>
            <w:pPr>
              <w:spacing w:after="0" w:line="152"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Third Amendment to Amended and Restated Loan and</w:t>
              </w:r>
            </w:hyperlink>
          </w:p>
        </w:tc>
        <w:tc>
          <w:tcPr>
            <w:tcW w:w="660" w:type="dxa"/>
            <w:vAlign w:val="bottom"/>
            <w:tcBorders>
              <w:right w:val="single" w:sz="8" w:color="auto"/>
            </w:tcBorders>
            <w:gridSpan w:val="20"/>
          </w:tcPr>
          <w:p>
            <w:pPr>
              <w:spacing w:after="0"/>
              <w:rPr>
                <w:sz w:val="13"/>
                <w:szCs w:val="13"/>
                <w:color w:val="auto"/>
              </w:rPr>
            </w:pPr>
          </w:p>
        </w:tc>
        <w:tc>
          <w:tcPr>
            <w:tcW w:w="9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8-K</w:t>
            </w:r>
          </w:p>
        </w:tc>
        <w:tc>
          <w:tcPr>
            <w:tcW w:w="12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001-36117</w:t>
            </w:r>
          </w:p>
        </w:tc>
        <w:tc>
          <w:tcPr>
            <w:tcW w:w="92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10.1</w:t>
            </w:r>
          </w:p>
        </w:tc>
        <w:tc>
          <w:tcPr>
            <w:tcW w:w="16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September 26, 2022</w:t>
            </w:r>
          </w:p>
        </w:tc>
        <w:tc>
          <w:tcPr>
            <w:tcW w:w="1000" w:type="dxa"/>
            <w:vAlign w:val="bottom"/>
            <w:tcBorders>
              <w:right w:val="single" w:sz="8" w:color="auto"/>
            </w:tcBorders>
          </w:tcPr>
          <w:p>
            <w:pPr>
              <w:spacing w:after="0"/>
              <w:rPr>
                <w:sz w:val="13"/>
                <w:szCs w:val="13"/>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3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Security Agreement, dated September 20, 2022, among</w:t>
              </w:r>
            </w:hyperlink>
          </w:p>
        </w:tc>
        <w:tc>
          <w:tcPr>
            <w:tcW w:w="620" w:type="dxa"/>
            <w:vAlign w:val="bottom"/>
            <w:tcBorders>
              <w:right w:val="single" w:sz="8" w:color="auto"/>
            </w:tcBorders>
            <w:gridSpan w:val="19"/>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inTEST Corporation, Ambrell Corporation, inTEST Silicon</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Valley Corporation, inTEST EMS, LLC, Temptronic</w:t>
              </w:r>
            </w:hyperlink>
          </w:p>
        </w:tc>
        <w:tc>
          <w:tcPr>
            <w:tcW w:w="320" w:type="dxa"/>
            <w:vAlign w:val="bottom"/>
            <w:tcBorders>
              <w:right w:val="single" w:sz="8" w:color="auto"/>
            </w:tcBorders>
            <w:gridSpan w:val="10"/>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Corporation, Videology Imaging Corporation, Acculogic Ltd.,</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40" w:type="dxa"/>
            <w:vAlign w:val="bottom"/>
            <w:tcBorders>
              <w:top w:val="single" w:sz="8" w:color="0000EE"/>
            </w:tcBorders>
            <w:gridSpan w:val="38"/>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Acculogic Inc. and M&amp;T Bank</w:t>
              </w:r>
            </w:hyperlink>
          </w:p>
        </w:tc>
        <w:tc>
          <w:tcPr>
            <w:tcW w:w="14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10.15</w:t>
            </w:r>
          </w:p>
        </w:tc>
        <w:tc>
          <w:tcPr>
            <w:tcW w:w="4320" w:type="dxa"/>
            <w:vAlign w:val="bottom"/>
            <w:tcBorders>
              <w:bottom w:val="single" w:sz="8" w:color="0000EE"/>
            </w:tcBorders>
            <w:gridSpan w:val="34"/>
          </w:tcPr>
          <w:p>
            <w:pPr>
              <w:spacing w:after="0" w:line="169"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Third Amended and Restated Delayed Draw Term Note 1A,</w:t>
              </w:r>
            </w:hyperlink>
          </w:p>
        </w:tc>
        <w:tc>
          <w:tcPr>
            <w:tcW w:w="260" w:type="dxa"/>
            <w:vAlign w:val="bottom"/>
            <w:tcBorders>
              <w:right w:val="single" w:sz="8" w:color="auto"/>
            </w:tcBorders>
            <w:gridSpan w:val="7"/>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26,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dated September 30, 2022</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10.16</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Delayed Draw Term Note 1B, dated December 30, 2021</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January 6, 2022</w:t>
            </w:r>
          </w:p>
        </w:tc>
        <w:tc>
          <w:tcPr>
            <w:tcW w:w="1000" w:type="dxa"/>
            <w:vAlign w:val="bottom"/>
            <w:tcBorders>
              <w:right w:val="single" w:sz="8" w:color="auto"/>
            </w:tcBorders>
          </w:tcPr>
          <w:p>
            <w:pPr>
              <w:spacing w:after="0"/>
              <w:rPr>
                <w:sz w:val="14"/>
                <w:szCs w:val="14"/>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10.17</w:t>
            </w:r>
          </w:p>
        </w:tc>
        <w:tc>
          <w:tcPr>
            <w:tcW w:w="4180" w:type="dxa"/>
            <w:vAlign w:val="bottom"/>
            <w:tcBorders>
              <w:bottom w:val="single" w:sz="8" w:color="0000EE"/>
            </w:tcBorders>
            <w:gridSpan w:val="29"/>
          </w:tcPr>
          <w:p>
            <w:pPr>
              <w:spacing w:after="0" w:line="169"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Guarantee and Indemnity Agreement, dated December 30,</w:t>
              </w:r>
            </w:hyperlink>
          </w:p>
        </w:tc>
        <w:tc>
          <w:tcPr>
            <w:tcW w:w="400" w:type="dxa"/>
            <w:vAlign w:val="bottom"/>
            <w:tcBorders>
              <w:right w:val="single" w:sz="8" w:color="auto"/>
            </w:tcBorders>
            <w:gridSpan w:val="12"/>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January 6,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2021, among inTEST Corporation, Acculogic Inc. and M&amp;T</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4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Bank</w:t>
              </w:r>
            </w:hyperlink>
          </w:p>
        </w:tc>
        <w:tc>
          <w:tcPr>
            <w:tcW w:w="24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10.18</w:t>
            </w:r>
          </w:p>
        </w:tc>
        <w:tc>
          <w:tcPr>
            <w:tcW w:w="4580" w:type="dxa"/>
            <w:vAlign w:val="bottom"/>
            <w:tcBorders>
              <w:bottom w:val="single" w:sz="8" w:color="0000EE"/>
              <w:right w:val="single" w:sz="8" w:color="auto"/>
            </w:tcBorders>
            <w:gridSpan w:val="41"/>
          </w:tcPr>
          <w:p>
            <w:pPr>
              <w:spacing w:after="0" w:line="169"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Pledge Agreement, dated December 30, 2021, between inTEST</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January 6,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Corporation and M&amp;T Bank</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10.19</w:t>
            </w:r>
          </w:p>
        </w:tc>
        <w:tc>
          <w:tcPr>
            <w:tcW w:w="4580" w:type="dxa"/>
            <w:vAlign w:val="bottom"/>
            <w:tcBorders>
              <w:bottom w:val="single" w:sz="8" w:color="0000EE"/>
              <w:right w:val="single" w:sz="8" w:color="auto"/>
            </w:tcBorders>
            <w:gridSpan w:val="41"/>
          </w:tcPr>
          <w:p>
            <w:pPr>
              <w:spacing w:after="0" w:line="169"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General Security Agreement, dated December 30, 2021, among</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January 6,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inTEST Corporation, Acculogic Inc. and M&amp;T Bank</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10.20</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Second Amended and Restated Revolver Note, dated October</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October 20, 2021</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7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15, 2021</w:t>
              </w:r>
            </w:hyperlink>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Indemnification Agreement</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June 29, 2020</w:t>
            </w:r>
          </w:p>
        </w:tc>
        <w:tc>
          <w:tcPr>
            <w:tcW w:w="100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4100" w:type="dxa"/>
            <w:vAlign w:val="bottom"/>
            <w:tcBorders>
              <w:bottom w:val="single" w:sz="8" w:color="0000EE"/>
            </w:tcBorders>
            <w:gridSpan w:val="26"/>
          </w:tcPr>
          <w:p>
            <w:pPr>
              <w:spacing w:after="0" w:line="169"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inTEST Corporation Fourth Amended and Restated 2014</w:t>
              </w:r>
            </w:hyperlink>
          </w:p>
        </w:tc>
        <w:tc>
          <w:tcPr>
            <w:tcW w:w="480" w:type="dxa"/>
            <w:vAlign w:val="bottom"/>
            <w:tcBorders>
              <w:right w:val="single" w:sz="8" w:color="auto"/>
            </w:tcBorders>
            <w:gridSpan w:val="15"/>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June 27,2022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Stock Plan</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inTEST Corporation Employee Stock Purchase Plan</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August 12, 2021</w:t>
            </w:r>
          </w:p>
        </w:tc>
        <w:tc>
          <w:tcPr>
            <w:tcW w:w="100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4580" w:type="dxa"/>
            <w:vAlign w:val="bottom"/>
            <w:tcBorders>
              <w:bottom w:val="single" w:sz="8" w:color="0000EE"/>
              <w:right w:val="single" w:sz="8" w:color="auto"/>
            </w:tcBorders>
            <w:gridSpan w:val="41"/>
          </w:tcPr>
          <w:p>
            <w:pPr>
              <w:spacing w:after="0" w:line="169"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Letter Agreement between the Company and Richard N. Grant,</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August 11, 2020</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Jr. dated July 24, 2020</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4460" w:type="dxa"/>
            <w:vAlign w:val="bottom"/>
            <w:tcBorders>
              <w:bottom w:val="single" w:sz="8" w:color="0000EE"/>
            </w:tcBorders>
            <w:gridSpan w:val="39"/>
          </w:tcPr>
          <w:p>
            <w:pPr>
              <w:spacing w:after="0" w:line="169"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Letter Agreement between the Company and Duncan Gilmour</w:t>
              </w:r>
            </w:hyperlink>
          </w:p>
        </w:tc>
        <w:tc>
          <w:tcPr>
            <w:tcW w:w="120" w:type="dxa"/>
            <w:vAlign w:val="bottom"/>
            <w:tcBorders>
              <w:right w:val="single" w:sz="8" w:color="auto"/>
            </w:tcBorders>
            <w:gridSpan w:val="2"/>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June 14, 2021</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dated June 10, 2021</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10.26*</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Change of Control Agreement dated August 11, 2020 between</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12, 2020</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60" w:type="dxa"/>
            <w:vAlign w:val="bottom"/>
            <w:tcBorders>
              <w:top w:val="single" w:sz="8" w:color="0000EE"/>
            </w:tcBorders>
            <w:gridSpan w:val="3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the Company and Richard N. Grant, Jr.</w:t>
              </w:r>
            </w:hyperlink>
          </w:p>
        </w:tc>
        <w:tc>
          <w:tcPr>
            <w:tcW w:w="12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4300" w:type="dxa"/>
            <w:vAlign w:val="bottom"/>
            <w:tcBorders>
              <w:bottom w:val="single" w:sz="8" w:color="0000EE"/>
            </w:tcBorders>
            <w:gridSpan w:val="33"/>
          </w:tcPr>
          <w:p>
            <w:pPr>
              <w:spacing w:after="0" w:line="169"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Change of Control Agreement dated June 10, 2021 between</w:t>
              </w:r>
            </w:hyperlink>
          </w:p>
        </w:tc>
        <w:tc>
          <w:tcPr>
            <w:tcW w:w="280" w:type="dxa"/>
            <w:vAlign w:val="bottom"/>
            <w:tcBorders>
              <w:right w:val="single" w:sz="8" w:color="auto"/>
            </w:tcBorders>
            <w:gridSpan w:val="8"/>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10.32</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23, 2022</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the Company and Duncan Gilmour</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10.28*</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Officer Compensation Plan</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10.33</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27, 2024</w:t>
            </w:r>
          </w:p>
        </w:tc>
        <w:tc>
          <w:tcPr>
            <w:tcW w:w="1000" w:type="dxa"/>
            <w:vAlign w:val="bottom"/>
            <w:tcBorders>
              <w:right w:val="single" w:sz="8" w:color="auto"/>
            </w:tcBorders>
          </w:tcPr>
          <w:p>
            <w:pPr>
              <w:spacing w:after="0"/>
              <w:rPr>
                <w:sz w:val="14"/>
                <w:szCs w:val="14"/>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10.29*</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Compensatory Arrangements of Directors</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10.38</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27, 2024</w:t>
            </w:r>
          </w:p>
        </w:tc>
        <w:tc>
          <w:tcPr>
            <w:tcW w:w="100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10.30*</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inTEST Corporation 2023 Stock Incentive Plan</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DEF 14A</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April 27, 2023</w:t>
            </w:r>
          </w:p>
        </w:tc>
        <w:tc>
          <w:tcPr>
            <w:tcW w:w="100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10.31</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Sales Agreement dated May 11, 2023, by and between inTEST</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11, 2023</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00" w:type="dxa"/>
            <w:vAlign w:val="bottom"/>
            <w:tcBorders>
              <w:top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Corporation and Lake Street Capital Markets, LLC</w:t>
              </w:r>
            </w:hyperlink>
          </w:p>
        </w:tc>
        <w:tc>
          <w:tcPr>
            <w:tcW w:w="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10.32</w:t>
            </w:r>
          </w:p>
        </w:tc>
        <w:tc>
          <w:tcPr>
            <w:tcW w:w="4580" w:type="dxa"/>
            <w:vAlign w:val="bottom"/>
            <w:tcBorders>
              <w:right w:val="single" w:sz="8" w:color="auto"/>
            </w:tcBorders>
            <w:gridSpan w:val="41"/>
          </w:tcPr>
          <w:p>
            <w:pPr>
              <w:spacing w:after="0" w:line="169"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Lease Agreement, dated December 4, 2023, between inTEST</w:t>
              </w:r>
            </w:hyperlink>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December 6, 2023</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8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SE ASIA SDN BHD and PERFECT PRESS SDN BHD</w:t>
              </w:r>
            </w:hyperlink>
          </w:p>
        </w:tc>
        <w:tc>
          <w:tcPr>
            <w:tcW w:w="200" w:type="dxa"/>
            <w:vAlign w:val="bottom"/>
            <w:tcBorders>
              <w:right w:val="single" w:sz="8" w:color="auto"/>
            </w:tcBorders>
            <w:gridSpan w:val="5"/>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10.33</w:t>
            </w:r>
          </w:p>
        </w:tc>
        <w:tc>
          <w:tcPr>
            <w:tcW w:w="364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Stock Purchase Agreement, by and among inTEST</w:t>
              </w:r>
            </w:hyperlink>
          </w:p>
        </w:tc>
        <w:tc>
          <w:tcPr>
            <w:tcW w:w="940" w:type="dxa"/>
            <w:vAlign w:val="bottom"/>
            <w:tcBorders>
              <w:right w:val="single" w:sz="8" w:color="auto"/>
            </w:tcBorders>
            <w:gridSpan w:val="24"/>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12, 2024</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Corporation, inTEST Italy, Inc., Mauro Arigossi, and Elettra</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2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S.S., dated as of March 12, 2024</w:t>
              </w:r>
            </w:hyperlink>
          </w:p>
        </w:tc>
        <w:tc>
          <w:tcPr>
            <w:tcW w:w="260" w:type="dxa"/>
            <w:vAlign w:val="bottom"/>
            <w:tcBorders>
              <w:right w:val="single" w:sz="8" w:color="auto"/>
            </w:tcBorders>
            <w:gridSpan w:val="7"/>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10.34</w:t>
            </w:r>
          </w:p>
        </w:tc>
        <w:tc>
          <w:tcPr>
            <w:tcW w:w="4120" w:type="dxa"/>
            <w:vAlign w:val="bottom"/>
            <w:tcBorders>
              <w:bottom w:val="single" w:sz="8" w:color="0000EE"/>
            </w:tcBorders>
            <w:gridSpan w:val="27"/>
          </w:tcPr>
          <w:p>
            <w:pPr>
              <w:spacing w:after="0" w:line="169"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Lease Agreement, by and between Alfamation S.p.A. and</w:t>
              </w:r>
            </w:hyperlink>
          </w:p>
        </w:tc>
        <w:tc>
          <w:tcPr>
            <w:tcW w:w="460" w:type="dxa"/>
            <w:vAlign w:val="bottom"/>
            <w:tcBorders>
              <w:right w:val="single" w:sz="8" w:color="auto"/>
            </w:tcBorders>
            <w:gridSpan w:val="14"/>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12, 2024</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Elettra Real Estate S.r.l, dates as of March 12, 2024</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10.35</w:t>
            </w:r>
          </w:p>
        </w:tc>
        <w:tc>
          <w:tcPr>
            <w:tcW w:w="4000" w:type="dxa"/>
            <w:vAlign w:val="bottom"/>
            <w:tcBorders>
              <w:bottom w:val="single" w:sz="8" w:color="0000EE"/>
            </w:tcBorders>
            <w:gridSpan w:val="23"/>
          </w:tcPr>
          <w:p>
            <w:pPr>
              <w:spacing w:after="0" w:line="169"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Fourth Amendment to Amended and Restated Loan and</w:t>
              </w:r>
            </w:hyperlink>
          </w:p>
        </w:tc>
        <w:tc>
          <w:tcPr>
            <w:tcW w:w="580" w:type="dxa"/>
            <w:vAlign w:val="bottom"/>
            <w:tcBorders>
              <w:right w:val="single" w:sz="8" w:color="auto"/>
            </w:tcBorders>
            <w:gridSpan w:val="18"/>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May 3, 2024</w:t>
            </w:r>
          </w:p>
        </w:tc>
        <w:tc>
          <w:tcPr>
            <w:tcW w:w="100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Security Agreement, dated May 2, 2024, among inTEST</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620" w:type="dxa"/>
            <w:vAlign w:val="bottom"/>
            <w:gridSpan w:val="20"/>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Borders>
              <w:right w:val="single" w:sz="8" w:color="auto"/>
            </w:tcBorders>
            <w:gridSpan w:val="9"/>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1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Corporation, Ambrell Corporation, inTEST Silicon Valley</w:t>
              </w:r>
            </w:hyperlink>
          </w:p>
        </w:tc>
        <w:tc>
          <w:tcPr>
            <w:tcW w:w="420" w:type="dxa"/>
            <w:vAlign w:val="bottom"/>
            <w:tcBorders>
              <w:right w:val="single" w:sz="8" w:color="auto"/>
            </w:tcBorders>
            <w:gridSpan w:val="13"/>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Corporation, inTEST EMS, LLC, Temptronic Corporation,</w:t>
              </w:r>
            </w:hyperlink>
          </w:p>
        </w:tc>
        <w:tc>
          <w:tcPr>
            <w:tcW w:w="360" w:type="dxa"/>
            <w:vAlign w:val="bottom"/>
            <w:tcBorders>
              <w:right w:val="single" w:sz="8" w:color="auto"/>
            </w:tcBorders>
            <w:gridSpan w:val="11"/>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Videology Imaging Corporation, Acculogic Ltd., Acculogic</w:t>
              </w:r>
            </w:hyperlink>
          </w:p>
        </w:tc>
        <w:tc>
          <w:tcPr>
            <w:tcW w:w="300" w:type="dxa"/>
            <w:vAlign w:val="bottom"/>
            <w:tcBorders>
              <w:right w:val="single" w:sz="8" w:color="auto"/>
            </w:tcBorders>
            <w:gridSpan w:val="9"/>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4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 and M&amp;T Bank</w:t>
              </w:r>
            </w:hyperlink>
          </w:p>
        </w:tc>
        <w:tc>
          <w:tcPr>
            <w:tcW w:w="9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10"/>
        </w:trPr>
        <w:tc>
          <w:tcPr>
            <w:tcW w:w="1040" w:type="dxa"/>
            <w:vAlign w:val="bottom"/>
            <w:tcBorders>
              <w:top w:val="single" w:sz="8" w:color="auto"/>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r>
      <w:tr>
        <w:trPr>
          <w:trHeight w:val="216"/>
        </w:trPr>
        <w:tc>
          <w:tcPr>
            <w:tcW w:w="104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9"/>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52"/>
        </w:trPr>
        <w:tc>
          <w:tcPr>
            <w:tcW w:w="104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10.36*</w:t>
            </w:r>
          </w:p>
        </w:tc>
        <w:tc>
          <w:tcPr>
            <w:tcW w:w="4600" w:type="dxa"/>
            <w:vAlign w:val="bottom"/>
            <w:tcBorders>
              <w:right w:val="single" w:sz="8" w:color="auto"/>
            </w:tcBorders>
            <w:gridSpan w:val="34"/>
          </w:tcPr>
          <w:p>
            <w:pPr>
              <w:spacing w:after="0" w:line="152" w:lineRule="exact"/>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Separation Agreement, dated February 5, 2024, between</w:t>
              </w:r>
            </w:hyperlink>
          </w:p>
        </w:tc>
        <w:tc>
          <w:tcPr>
            <w:tcW w:w="140" w:type="dxa"/>
            <w:vAlign w:val="bottom"/>
          </w:tcPr>
          <w:p>
            <w:pPr>
              <w:spacing w:after="0"/>
              <w:rPr>
                <w:sz w:val="13"/>
                <w:szCs w:val="13"/>
                <w:color w:val="auto"/>
              </w:rPr>
            </w:pPr>
          </w:p>
        </w:tc>
        <w:tc>
          <w:tcPr>
            <w:tcW w:w="740" w:type="dxa"/>
            <w:vAlign w:val="bottom"/>
            <w:tcBorders>
              <w:right w:val="single" w:sz="8" w:color="auto"/>
            </w:tcBorders>
          </w:tcPr>
          <w:p>
            <w:pPr>
              <w:jc w:val="center"/>
              <w:ind w:right="130"/>
              <w:spacing w:after="0" w:line="152" w:lineRule="exact"/>
              <w:rPr>
                <w:sz w:val="20"/>
                <w:szCs w:val="20"/>
                <w:color w:val="auto"/>
              </w:rPr>
            </w:pPr>
            <w:r>
              <w:rPr>
                <w:rFonts w:ascii="Times New Roman" w:cs="Times New Roman" w:eastAsia="Times New Roman" w:hAnsi="Times New Roman"/>
                <w:sz w:val="17"/>
                <w:szCs w:val="17"/>
                <w:color w:val="auto"/>
              </w:rPr>
              <w:t>8-K</w:t>
            </w:r>
          </w:p>
        </w:tc>
        <w:tc>
          <w:tcPr>
            <w:tcW w:w="12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001-36117</w:t>
            </w:r>
          </w:p>
        </w:tc>
        <w:tc>
          <w:tcPr>
            <w:tcW w:w="9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10.1</w:t>
            </w:r>
          </w:p>
        </w:tc>
        <w:tc>
          <w:tcPr>
            <w:tcW w:w="162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February 7, 2024</w:t>
            </w:r>
          </w:p>
        </w:tc>
        <w:tc>
          <w:tcPr>
            <w:tcW w:w="1020" w:type="dxa"/>
            <w:vAlign w:val="bottom"/>
            <w:tcBorders>
              <w:right w:val="single" w:sz="8" w:color="auto"/>
            </w:tcBorders>
          </w:tcPr>
          <w:p>
            <w:pPr>
              <w:spacing w:after="0"/>
              <w:rPr>
                <w:sz w:val="13"/>
                <w:szCs w:val="13"/>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0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inTEST Corporation and Scott Nolen</w:t>
              </w:r>
            </w:hyperlink>
          </w:p>
        </w:tc>
        <w:tc>
          <w:tcPr>
            <w:tcW w:w="580" w:type="dxa"/>
            <w:vAlign w:val="bottom"/>
            <w:tcBorders>
              <w:right w:val="single" w:sz="8" w:color="auto"/>
            </w:tcBorders>
            <w:gridSpan w:val="14"/>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10.37</w:t>
            </w:r>
          </w:p>
        </w:tc>
        <w:tc>
          <w:tcPr>
            <w:tcW w:w="4080" w:type="dxa"/>
            <w:vAlign w:val="bottom"/>
            <w:tcBorders>
              <w:bottom w:val="single" w:sz="8" w:color="0000EE"/>
            </w:tcBorders>
            <w:gridSpan w:val="22"/>
          </w:tcPr>
          <w:p>
            <w:pPr>
              <w:spacing w:after="0" w:line="169"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Third Amendment to Lease dated May 21, 2024 between</w:t>
              </w:r>
            </w:hyperlink>
          </w:p>
        </w:tc>
        <w:tc>
          <w:tcPr>
            <w:tcW w:w="520" w:type="dxa"/>
            <w:vAlign w:val="bottom"/>
            <w:tcBorders>
              <w:right w:val="single" w:sz="8" w:color="auto"/>
            </w:tcBorders>
            <w:gridSpan w:val="12"/>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29,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0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Temptronic Corporation and BGO TSG 35-41 Hampden</w:t>
              </w:r>
            </w:hyperlink>
          </w:p>
        </w:tc>
        <w:tc>
          <w:tcPr>
            <w:tcW w:w="560" w:type="dxa"/>
            <w:vAlign w:val="bottom"/>
            <w:tcBorders>
              <w:right w:val="single" w:sz="8" w:color="auto"/>
            </w:tcBorders>
            <w:gridSpan w:val="13"/>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Owner LLC</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10.38*</w:t>
            </w:r>
          </w:p>
        </w:tc>
        <w:tc>
          <w:tcPr>
            <w:tcW w:w="460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Stock Option Award Agreement</w:t>
              </w:r>
            </w:hyperlink>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6, 2024</w:t>
            </w:r>
          </w:p>
        </w:tc>
        <w:tc>
          <w:tcPr>
            <w:tcW w:w="102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10.39*</w:t>
            </w:r>
          </w:p>
        </w:tc>
        <w:tc>
          <w:tcPr>
            <w:tcW w:w="460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Performance Stock Award Agreement for Employees</w:t>
              </w:r>
            </w:hyperlink>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6, 2024</w:t>
            </w:r>
          </w:p>
        </w:tc>
        <w:tc>
          <w:tcPr>
            <w:tcW w:w="102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10.40*</w:t>
            </w:r>
          </w:p>
        </w:tc>
        <w:tc>
          <w:tcPr>
            <w:tcW w:w="460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Restricted Stock Award Agreement for Employees</w:t>
              </w:r>
            </w:hyperlink>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6, 2024</w:t>
            </w:r>
          </w:p>
        </w:tc>
        <w:tc>
          <w:tcPr>
            <w:tcW w:w="1020" w:type="dxa"/>
            <w:vAlign w:val="bottom"/>
            <w:tcBorders>
              <w:right w:val="single" w:sz="8" w:color="auto"/>
            </w:tcBorders>
          </w:tcPr>
          <w:p>
            <w:pPr>
              <w:spacing w:after="0"/>
              <w:rPr>
                <w:sz w:val="14"/>
                <w:szCs w:val="14"/>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10.41*</w:t>
            </w:r>
          </w:p>
        </w:tc>
        <w:tc>
          <w:tcPr>
            <w:tcW w:w="460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Restricted Stock Award Agreement for Directors</w:t>
              </w:r>
            </w:hyperlink>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6, 2024</w:t>
            </w:r>
          </w:p>
        </w:tc>
        <w:tc>
          <w:tcPr>
            <w:tcW w:w="1020" w:type="dxa"/>
            <w:vAlign w:val="bottom"/>
            <w:tcBorders>
              <w:right w:val="single" w:sz="8" w:color="auto"/>
            </w:tcBorders>
          </w:tcPr>
          <w:p>
            <w:pPr>
              <w:spacing w:after="0"/>
              <w:rPr>
                <w:sz w:val="14"/>
                <w:szCs w:val="14"/>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10.42*</w:t>
            </w:r>
          </w:p>
        </w:tc>
        <w:tc>
          <w:tcPr>
            <w:tcW w:w="3780" w:type="dxa"/>
            <w:vAlign w:val="bottom"/>
            <w:tcBorders>
              <w:bottom w:val="single" w:sz="8" w:color="0000EE"/>
            </w:tcBorders>
            <w:gridSpan w:val="16"/>
          </w:tcPr>
          <w:p>
            <w:pPr>
              <w:spacing w:after="0" w:line="169"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Form of Restricted Stock Unit Award Agreement for</w:t>
              </w:r>
            </w:hyperlink>
          </w:p>
        </w:tc>
        <w:tc>
          <w:tcPr>
            <w:tcW w:w="820" w:type="dxa"/>
            <w:vAlign w:val="bottom"/>
            <w:tcBorders>
              <w:right w:val="single" w:sz="8" w:color="auto"/>
            </w:tcBorders>
            <w:gridSpan w:val="18"/>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6,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Employees</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10.43*</w:t>
            </w:r>
          </w:p>
        </w:tc>
        <w:tc>
          <w:tcPr>
            <w:tcW w:w="396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Form of Performance Stock Unit Award Agreement for</w:t>
              </w:r>
            </w:hyperlink>
          </w:p>
        </w:tc>
        <w:tc>
          <w:tcPr>
            <w:tcW w:w="640" w:type="dxa"/>
            <w:vAlign w:val="bottom"/>
            <w:tcBorders>
              <w:right w:val="single" w:sz="8" w:color="auto"/>
            </w:tcBorders>
            <w:gridSpan w:val="15"/>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6,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Employees</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10.44</w:t>
            </w:r>
          </w:p>
        </w:tc>
        <w:tc>
          <w:tcPr>
            <w:tcW w:w="4460" w:type="dxa"/>
            <w:vAlign w:val="bottom"/>
            <w:tcBorders>
              <w:bottom w:val="single" w:sz="8" w:color="0000EE"/>
            </w:tcBorders>
            <w:gridSpan w:val="32"/>
          </w:tcPr>
          <w:p>
            <w:pPr>
              <w:spacing w:after="0" w:line="169"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Joinder and Fifth Amendment to Amended and Restated Loan</w:t>
              </w:r>
            </w:hyperlink>
          </w:p>
        </w:tc>
        <w:tc>
          <w:tcPr>
            <w:tcW w:w="140" w:type="dxa"/>
            <w:vAlign w:val="bottom"/>
            <w:tcBorders>
              <w:right w:val="single" w:sz="8" w:color="auto"/>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and Security Agreement, dated December 18, 2024, among</w:t>
              </w:r>
            </w:hyperlink>
          </w:p>
        </w:tc>
        <w:tc>
          <w:tcPr>
            <w:tcW w:w="360" w:type="dxa"/>
            <w:vAlign w:val="bottom"/>
            <w:tcBorders>
              <w:right w:val="single" w:sz="8" w:color="auto"/>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inTEST Corporation, Ambrell Corporation, inTEST Silicon</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2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Valley Corporation, inTEST EMS, LLC, Temptronic</w:t>
              </w:r>
            </w:hyperlink>
          </w:p>
        </w:tc>
        <w:tc>
          <w:tcPr>
            <w:tcW w:w="340" w:type="dxa"/>
            <w:vAlign w:val="bottom"/>
            <w:tcBorders>
              <w:right w:val="single" w:sz="8" w:color="auto"/>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Corporation, Videology Imaging Corporation, Acculogic Ltd.,</w:t>
              </w:r>
            </w:hyperlink>
          </w:p>
        </w:tc>
        <w:tc>
          <w:tcPr>
            <w:tcW w:w="140" w:type="dxa"/>
            <w:vAlign w:val="bottom"/>
            <w:tcBorders>
              <w:right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Acculogic Inc., inTEST Italy, Inc. and M&amp;T Bank</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10.45</w:t>
            </w:r>
          </w:p>
        </w:tc>
        <w:tc>
          <w:tcPr>
            <w:tcW w:w="3920" w:type="dxa"/>
            <w:vAlign w:val="bottom"/>
            <w:tcBorders>
              <w:bottom w:val="single" w:sz="8" w:color="0000EE"/>
            </w:tcBorders>
            <w:gridSpan w:val="18"/>
          </w:tcPr>
          <w:p>
            <w:pPr>
              <w:spacing w:after="0" w:line="169"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Third Amended and Restated Surety Agreement, dated</w:t>
              </w:r>
            </w:hyperlink>
          </w:p>
        </w:tc>
        <w:tc>
          <w:tcPr>
            <w:tcW w:w="680" w:type="dxa"/>
            <w:vAlign w:val="bottom"/>
            <w:tcBorders>
              <w:right w:val="single" w:sz="8" w:color="auto"/>
            </w:tcBorders>
            <w:gridSpan w:val="16"/>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December 18, 2024, among Ambrell Corporation, inTEST</w:t>
              </w:r>
            </w:hyperlink>
          </w:p>
        </w:tc>
        <w:tc>
          <w:tcPr>
            <w:tcW w:w="420" w:type="dxa"/>
            <w:vAlign w:val="bottom"/>
            <w:tcBorders>
              <w:right w:val="single" w:sz="8" w:color="auto"/>
            </w:tcBorders>
            <w:gridSpan w:val="10"/>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Silicon Valley Corporation, inTEST EMS, LLC, Temptronic</w:t>
              </w:r>
            </w:hyperlink>
          </w:p>
        </w:tc>
        <w:tc>
          <w:tcPr>
            <w:tcW w:w="280" w:type="dxa"/>
            <w:vAlign w:val="bottom"/>
            <w:tcBorders>
              <w:right w:val="single" w:sz="8" w:color="auto"/>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Corporation, Videology Imaging Corporation, Acculogic Ltd.,</w:t>
              </w:r>
            </w:hyperlink>
          </w:p>
        </w:tc>
        <w:tc>
          <w:tcPr>
            <w:tcW w:w="140" w:type="dxa"/>
            <w:vAlign w:val="bottom"/>
            <w:tcBorders>
              <w:right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inTEST Italy, Inc. and M&amp;T Bank</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10.46</w:t>
            </w:r>
          </w:p>
        </w:tc>
        <w:tc>
          <w:tcPr>
            <w:tcW w:w="4480" w:type="dxa"/>
            <w:vAlign w:val="bottom"/>
            <w:tcBorders>
              <w:bottom w:val="single" w:sz="8" w:color="0000EE"/>
            </w:tcBorders>
            <w:gridSpan w:val="33"/>
          </w:tcPr>
          <w:p>
            <w:pPr>
              <w:spacing w:after="0" w:line="169"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Third Amended and Restated Patents, Trademarks, Copyrights</w:t>
              </w:r>
            </w:hyperlink>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and Licenses Security Agreement, dated December 18, 2024,</w:t>
              </w:r>
            </w:hyperlink>
          </w:p>
        </w:tc>
        <w:tc>
          <w:tcPr>
            <w:tcW w:w="220" w:type="dxa"/>
            <w:vAlign w:val="bottom"/>
            <w:tcBorders>
              <w:right w:val="single" w:sz="8" w:color="auto"/>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among inTEST Corporation, Ambrell Corporation, inTEST</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3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Silicon Valley Corporation, inTEST EMS, LLC, Temptronic</w:t>
              </w:r>
            </w:hyperlink>
          </w:p>
        </w:tc>
        <w:tc>
          <w:tcPr>
            <w:tcW w:w="280" w:type="dxa"/>
            <w:vAlign w:val="bottom"/>
            <w:tcBorders>
              <w:right w:val="single" w:sz="8" w:color="auto"/>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4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Corporation, Videology Imaging Corporation, Acculogic Ltd.,</w:t>
              </w:r>
            </w:hyperlink>
          </w:p>
        </w:tc>
        <w:tc>
          <w:tcPr>
            <w:tcW w:w="140" w:type="dxa"/>
            <w:vAlign w:val="bottom"/>
            <w:tcBorders>
              <w:right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inTEST Italy, Inc. and M&amp;T Bank</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10.47</w:t>
            </w:r>
          </w:p>
        </w:tc>
        <w:tc>
          <w:tcPr>
            <w:tcW w:w="4600" w:type="dxa"/>
            <w:vAlign w:val="bottom"/>
            <w:tcBorders>
              <w:bottom w:val="single" w:sz="8" w:color="0000EE"/>
              <w:right w:val="single" w:sz="8" w:color="auto"/>
            </w:tcBorders>
            <w:gridSpan w:val="34"/>
          </w:tcPr>
          <w:p>
            <w:pPr>
              <w:spacing w:after="0" w:line="169"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Pledge Agreement, dated December 18, 2024, between inTEST</w:t>
              </w:r>
            </w:hyperlink>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Corporation and M&amp;T Bank</w:t>
              </w:r>
            </w:hyperlink>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19</w:t>
            </w:r>
          </w:p>
        </w:tc>
        <w:tc>
          <w:tcPr>
            <w:tcW w:w="4600" w:type="dxa"/>
            <w:vAlign w:val="bottom"/>
            <w:tcBorders>
              <w:right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EE"/>
              </w:rPr>
              <w:t>Insider Trading Policy</w:t>
            </w: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21</w:t>
            </w:r>
          </w:p>
        </w:tc>
        <w:tc>
          <w:tcPr>
            <w:tcW w:w="4600" w:type="dxa"/>
            <w:vAlign w:val="bottom"/>
            <w:tcBorders>
              <w:right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EE"/>
              </w:rPr>
              <w:t>Subsidiaries of the Company</w:t>
            </w: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23</w:t>
            </w:r>
          </w:p>
        </w:tc>
        <w:tc>
          <w:tcPr>
            <w:tcW w:w="4600" w:type="dxa"/>
            <w:vAlign w:val="bottom"/>
            <w:tcBorders>
              <w:right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EE"/>
              </w:rPr>
              <w:t>Consent of RSM US LLP</w:t>
            </w: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31.1</w:t>
            </w:r>
          </w:p>
        </w:tc>
        <w:tc>
          <w:tcPr>
            <w:tcW w:w="4600" w:type="dxa"/>
            <w:vAlign w:val="bottom"/>
            <w:tcBorders>
              <w:right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w:t>
            </w: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040" w:type="dxa"/>
            <w:vAlign w:val="bottom"/>
            <w:tcBorders>
              <w:right w:val="single" w:sz="8" w:color="auto"/>
            </w:tcBorders>
          </w:tcPr>
          <w:p>
            <w:pPr>
              <w:spacing w:after="0"/>
              <w:rPr>
                <w:sz w:val="17"/>
                <w:szCs w:val="17"/>
                <w:color w:val="auto"/>
              </w:rPr>
            </w:pPr>
          </w:p>
        </w:tc>
        <w:tc>
          <w:tcPr>
            <w:tcW w:w="444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14(a)</w:t>
            </w:r>
          </w:p>
        </w:tc>
        <w:tc>
          <w:tcPr>
            <w:tcW w:w="160" w:type="dxa"/>
            <w:vAlign w:val="bottom"/>
            <w:tcBorders>
              <w:right w:val="single" w:sz="8" w:color="auto"/>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31.2</w:t>
            </w:r>
          </w:p>
        </w:tc>
        <w:tc>
          <w:tcPr>
            <w:tcW w:w="4400" w:type="dxa"/>
            <w:vAlign w:val="bottom"/>
            <w:tcBorders>
              <w:bottom w:val="single" w:sz="8" w:color="0000EE"/>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EE"/>
                <w:w w:val="98"/>
              </w:rPr>
              <w:t>Certification of Chief Financial Officer pursuant to Rule 13a-</w:t>
            </w:r>
          </w:p>
        </w:tc>
        <w:tc>
          <w:tcPr>
            <w:tcW w:w="200" w:type="dxa"/>
            <w:vAlign w:val="bottom"/>
            <w:tcBorders>
              <w:right w:val="single" w:sz="8" w:color="auto"/>
            </w:tcBorders>
            <w:gridSpan w:val="4"/>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14(a)</w:t>
            </w: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32.1</w:t>
            </w:r>
          </w:p>
        </w:tc>
        <w:tc>
          <w:tcPr>
            <w:tcW w:w="4280" w:type="dxa"/>
            <w:vAlign w:val="bottom"/>
            <w:tcBorders>
              <w:bottom w:val="single" w:sz="8" w:color="0000EE"/>
            </w:tcBorders>
            <w:gridSpan w:val="27"/>
          </w:tcPr>
          <w:p>
            <w:pPr>
              <w:spacing w:after="0" w:line="169" w:lineRule="exact"/>
              <w:rPr>
                <w:sz w:val="20"/>
                <w:szCs w:val="20"/>
                <w:color w:val="auto"/>
              </w:rPr>
            </w:pPr>
            <w:r>
              <w:rPr>
                <w:rFonts w:ascii="Times New Roman" w:cs="Times New Roman" w:eastAsia="Times New Roman" w:hAnsi="Times New Roman"/>
                <w:sz w:val="18"/>
                <w:szCs w:val="18"/>
                <w:color w:val="0000EE"/>
                <w:w w:val="98"/>
              </w:rPr>
              <w:t>Certification of Chief Executive Officer pursuant to Section</w:t>
            </w:r>
          </w:p>
        </w:tc>
        <w:tc>
          <w:tcPr>
            <w:tcW w:w="320" w:type="dxa"/>
            <w:vAlign w:val="bottom"/>
            <w:tcBorders>
              <w:right w:val="single" w:sz="8" w:color="auto"/>
            </w:tcBorders>
            <w:gridSpan w:val="7"/>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32.2</w:t>
            </w:r>
          </w:p>
        </w:tc>
        <w:tc>
          <w:tcPr>
            <w:tcW w:w="4600" w:type="dxa"/>
            <w:vAlign w:val="bottom"/>
            <w:tcBorders>
              <w:bottom w:val="single" w:sz="8" w:color="0000EE"/>
              <w:right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w:t>
            </w:r>
          </w:p>
        </w:tc>
        <w:tc>
          <w:tcPr>
            <w:tcW w:w="1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97</w:t>
            </w:r>
          </w:p>
        </w:tc>
        <w:tc>
          <w:tcPr>
            <w:tcW w:w="460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Policy Relating to Recovery of Erroneously Awarded</w:t>
              </w:r>
            </w:hyperlink>
          </w:p>
        </w:tc>
        <w:tc>
          <w:tcPr>
            <w:tcW w:w="140" w:type="dxa"/>
            <w:vAlign w:val="bottom"/>
          </w:tcPr>
          <w:p>
            <w:pPr>
              <w:spacing w:after="0"/>
              <w:rPr>
                <w:sz w:val="14"/>
                <w:szCs w:val="14"/>
                <w:color w:val="auto"/>
              </w:rPr>
            </w:pPr>
          </w:p>
        </w:tc>
        <w:tc>
          <w:tcPr>
            <w:tcW w:w="740" w:type="dxa"/>
            <w:vAlign w:val="bottom"/>
            <w:tcBorders>
              <w:right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001-36117</w:t>
            </w: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97</w:t>
            </w: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6"/>
        </w:trPr>
        <w:tc>
          <w:tcPr>
            <w:tcW w:w="1040" w:type="dxa"/>
            <w:vAlign w:val="bottom"/>
            <w:tcBorders>
              <w:right w:val="single" w:sz="8" w:color="auto"/>
            </w:tcBorders>
          </w:tcPr>
          <w:p>
            <w:pPr>
              <w:spacing w:after="0"/>
              <w:rPr>
                <w:sz w:val="17"/>
                <w:szCs w:val="17"/>
                <w:color w:val="auto"/>
              </w:rPr>
            </w:pPr>
          </w:p>
        </w:tc>
        <w:tc>
          <w:tcPr>
            <w:tcW w:w="38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Compensation</w:t>
              </w:r>
            </w:hyperlink>
          </w:p>
        </w:tc>
        <w:tc>
          <w:tcPr>
            <w:tcW w:w="800" w:type="dxa"/>
            <w:vAlign w:val="bottom"/>
            <w:tcBorders>
              <w:right w:val="single" w:sz="8" w:color="auto"/>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4600" w:type="dxa"/>
            <w:vAlign w:val="bottom"/>
            <w:tcBorders>
              <w:bottom w:val="single" w:sz="8" w:color="auto"/>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Inline XBRL Taxonomy Instance Document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0"/>
        </w:trPr>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600" w:type="dxa"/>
            <w:vAlign w:val="bottom"/>
            <w:tcBorders>
              <w:bottom w:val="single" w:sz="8" w:color="auto"/>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1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101.CAL</w:t>
            </w:r>
          </w:p>
        </w:tc>
        <w:tc>
          <w:tcPr>
            <w:tcW w:w="4600" w:type="dxa"/>
            <w:vAlign w:val="bottom"/>
            <w:tcBorders>
              <w:right w:val="single" w:sz="8" w:color="auto"/>
            </w:tcBorders>
            <w:gridSpan w:val="34"/>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4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425"/>
        </w:trPr>
        <w:tc>
          <w:tcPr>
            <w:tcW w:w="1040" w:type="dxa"/>
            <w:vAlign w:val="bottom"/>
          </w:tcPr>
          <w:p>
            <w:pPr>
              <w:spacing w:after="0"/>
              <w:rPr>
                <w:sz w:val="24"/>
                <w:szCs w:val="24"/>
                <w:color w:val="auto"/>
              </w:rPr>
            </w:pPr>
          </w:p>
        </w:tc>
        <w:tc>
          <w:tcPr>
            <w:tcW w:w="4740" w:type="dxa"/>
            <w:vAlign w:val="bottom"/>
            <w:gridSpan w:val="35"/>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40" w:type="dxa"/>
            <w:vAlign w:val="bottom"/>
            <w:tcBorders>
              <w:top w:val="single" w:sz="8" w:color="auto"/>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r>
      <w:tr>
        <w:trPr>
          <w:trHeight w:val="216"/>
        </w:trPr>
        <w:tc>
          <w:tcPr>
            <w:tcW w:w="104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4580" w:type="dxa"/>
            <w:vAlign w:val="bottom"/>
            <w:tcBorders>
              <w:bottom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74"/>
        </w:trPr>
        <w:tc>
          <w:tcPr>
            <w:tcW w:w="1040" w:type="dxa"/>
            <w:vAlign w:val="bottom"/>
            <w:tcBorders>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101.DEF</w:t>
            </w:r>
          </w:p>
        </w:tc>
        <w:tc>
          <w:tcPr>
            <w:tcW w:w="458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4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09"/>
        </w:trPr>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1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101.PRE</w:t>
            </w:r>
          </w:p>
        </w:tc>
        <w:tc>
          <w:tcPr>
            <w:tcW w:w="45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4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191"/>
        </w:trPr>
        <w:tc>
          <w:tcPr>
            <w:tcW w:w="1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104</w:t>
            </w:r>
          </w:p>
        </w:tc>
        <w:tc>
          <w:tcPr>
            <w:tcW w:w="45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(the cover page interactive</w:t>
            </w:r>
          </w:p>
        </w:tc>
        <w:tc>
          <w:tcPr>
            <w:tcW w:w="8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04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data file does not appear in Exhibit 104 because its Inline</w:t>
            </w:r>
          </w:p>
        </w:tc>
        <w:tc>
          <w:tcPr>
            <w:tcW w:w="8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4"/>
        </w:trPr>
        <w:tc>
          <w:tcPr>
            <w:tcW w:w="104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8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bl>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plan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4" w:name="page45"/>
    <w:bookmarkEnd w:id="44"/>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Richard N. Grant, Jr.</w:t>
            </w:r>
          </w:p>
        </w:tc>
        <w:tc>
          <w:tcPr>
            <w:tcW w:w="2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7"/>
              </w:rPr>
              <w:t>March 13, 2025</w:t>
            </w:r>
          </w:p>
        </w:tc>
      </w:tr>
      <w:tr>
        <w:trPr>
          <w:trHeight w:val="218"/>
        </w:trPr>
        <w:tc>
          <w:tcPr>
            <w:tcW w:w="46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N. Grant, Jr.</w:t>
            </w:r>
          </w:p>
        </w:tc>
        <w:tc>
          <w:tcPr>
            <w:tcW w:w="2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Richard N. Grant, Jr.</w:t>
            </w:r>
          </w:p>
        </w:tc>
        <w:tc>
          <w:tcPr>
            <w:tcW w:w="9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13, 2025</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18"/>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Richard N. Grant, Jr., President,</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607"/>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Duncan Gilmour.</w:t>
            </w:r>
          </w:p>
        </w:tc>
        <w:tc>
          <w:tcPr>
            <w:tcW w:w="354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March 13, 2025</w:t>
            </w:r>
          </w:p>
        </w:tc>
        <w:tc>
          <w:tcPr>
            <w:tcW w:w="4140" w:type="dxa"/>
            <w:vAlign w:val="bottom"/>
          </w:tcPr>
          <w:p>
            <w:pPr>
              <w:spacing w:after="0"/>
              <w:rPr>
                <w:sz w:val="24"/>
                <w:szCs w:val="24"/>
                <w:color w:val="auto"/>
              </w:rPr>
            </w:pPr>
          </w:p>
        </w:tc>
      </w:tr>
      <w:tr>
        <w:trPr>
          <w:trHeight w:val="218"/>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Duncan Gilmour, Chief Financial Officer, Treasurer</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Secretary</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608"/>
        </w:trPr>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Joseph W. Dews IV</w:t>
            </w:r>
          </w:p>
        </w:tc>
        <w:tc>
          <w:tcPr>
            <w:tcW w:w="3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March 13, 2025</w:t>
            </w:r>
          </w:p>
        </w:tc>
        <w:tc>
          <w:tcPr>
            <w:tcW w:w="4140" w:type="dxa"/>
            <w:vAlign w:val="bottom"/>
          </w:tcPr>
          <w:p>
            <w:pPr>
              <w:spacing w:after="0"/>
              <w:rPr>
                <w:sz w:val="24"/>
                <w:szCs w:val="24"/>
                <w:color w:val="auto"/>
              </w:rPr>
            </w:pPr>
          </w:p>
        </w:tc>
      </w:tr>
      <w:tr>
        <w:trPr>
          <w:trHeight w:val="237"/>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Joseph W. Dews IV, Chairman</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607"/>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Steven J. Abrams</w:t>
            </w:r>
          </w:p>
        </w:tc>
        <w:tc>
          <w:tcPr>
            <w:tcW w:w="9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13, 2025</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37"/>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Steven J. Abrams, Esq., Director</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608"/>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A. Beck</w:t>
            </w:r>
          </w:p>
        </w:tc>
        <w:tc>
          <w:tcPr>
            <w:tcW w:w="366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March 13, 2025</w:t>
            </w:r>
          </w:p>
        </w:tc>
        <w:tc>
          <w:tcPr>
            <w:tcW w:w="4140" w:type="dxa"/>
            <w:vAlign w:val="bottom"/>
          </w:tcPr>
          <w:p>
            <w:pPr>
              <w:spacing w:after="0"/>
              <w:rPr>
                <w:sz w:val="24"/>
                <w:szCs w:val="24"/>
                <w:color w:val="auto"/>
              </w:rPr>
            </w:pPr>
          </w:p>
        </w:tc>
      </w:tr>
      <w:tr>
        <w:trPr>
          <w:trHeight w:val="237"/>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Jeffrey A. Beck, Director</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607"/>
        </w:trPr>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Gerald J. Maginnis</w:t>
            </w:r>
          </w:p>
        </w:tc>
        <w:tc>
          <w:tcPr>
            <w:tcW w:w="33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March 13, 2025</w:t>
            </w:r>
          </w:p>
        </w:tc>
        <w:tc>
          <w:tcPr>
            <w:tcW w:w="4140" w:type="dxa"/>
            <w:vAlign w:val="bottom"/>
          </w:tcPr>
          <w:p>
            <w:pPr>
              <w:spacing w:after="0"/>
              <w:rPr>
                <w:sz w:val="24"/>
                <w:szCs w:val="24"/>
                <w:color w:val="auto"/>
              </w:rPr>
            </w:pPr>
          </w:p>
        </w:tc>
      </w:tr>
      <w:tr>
        <w:trPr>
          <w:trHeight w:val="237"/>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Gerald J. Maginnis, Director</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inTEST CORPORATION</w:t>
            </w:r>
          </w:p>
        </w:tc>
        <w:tc>
          <w:tcPr>
            <w:tcW w:w="1780" w:type="dxa"/>
            <w:vAlign w:val="bottom"/>
          </w:tcPr>
          <w:p>
            <w:pPr>
              <w:spacing w:after="0"/>
              <w:rPr>
                <w:sz w:val="20"/>
                <w:szCs w:val="20"/>
                <w:color w:val="auto"/>
              </w:rPr>
            </w:pPr>
          </w:p>
        </w:tc>
      </w:tr>
      <w:tr>
        <w:trPr>
          <w:trHeight w:val="410"/>
        </w:trPr>
        <w:tc>
          <w:tcPr>
            <w:tcW w:w="946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AND</w:t>
            </w:r>
          </w:p>
        </w:tc>
        <w:tc>
          <w:tcPr>
            <w:tcW w:w="1780" w:type="dxa"/>
            <w:vAlign w:val="bottom"/>
          </w:tcPr>
          <w:p>
            <w:pPr>
              <w:spacing w:after="0"/>
              <w:rPr>
                <w:sz w:val="24"/>
                <w:szCs w:val="24"/>
                <w:color w:val="auto"/>
              </w:rPr>
            </w:pPr>
          </w:p>
        </w:tc>
      </w:tr>
      <w:tr>
        <w:trPr>
          <w:trHeight w:val="238"/>
        </w:trPr>
        <w:tc>
          <w:tcPr>
            <w:tcW w:w="946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FINANCIAL STATEMENT SCHEDULE</w:t>
            </w:r>
          </w:p>
        </w:tc>
        <w:tc>
          <w:tcPr>
            <w:tcW w:w="1780" w:type="dxa"/>
            <w:vAlign w:val="bottom"/>
          </w:tcPr>
          <w:p>
            <w:pPr>
              <w:spacing w:after="0"/>
              <w:rPr>
                <w:sz w:val="20"/>
                <w:szCs w:val="20"/>
                <w:color w:val="auto"/>
              </w:rPr>
            </w:pPr>
          </w:p>
        </w:tc>
      </w:tr>
      <w:tr>
        <w:trPr>
          <w:trHeight w:val="432"/>
        </w:trPr>
        <w:tc>
          <w:tcPr>
            <w:tcW w:w="9460" w:type="dxa"/>
            <w:vAlign w:val="bottom"/>
          </w:tcPr>
          <w:p>
            <w:pPr>
              <w:spacing w:after="0"/>
              <w:rPr>
                <w:sz w:val="24"/>
                <w:szCs w:val="24"/>
                <w:color w:val="auto"/>
              </w:rPr>
            </w:pPr>
          </w:p>
        </w:tc>
        <w:tc>
          <w:tcPr>
            <w:tcW w:w="1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(RSM US LLP PCAOB No. 49)</w:t>
            </w:r>
          </w:p>
        </w:tc>
        <w:tc>
          <w:tcPr>
            <w:tcW w:w="178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F – 1</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780" w:type="dxa"/>
            <w:vAlign w:val="bottom"/>
            <w:shd w:val="clear" w:color="auto" w:fill="CCEEFF"/>
          </w:tcPr>
          <w:p>
            <w:pPr>
              <w:spacing w:after="0"/>
              <w:rPr>
                <w:sz w:val="18"/>
                <w:szCs w:val="18"/>
                <w:color w:val="auto"/>
              </w:rPr>
            </w:pP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178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F – 7</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tc>
        <w:tc>
          <w:tcPr>
            <w:tcW w:w="178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F – 8</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Earnings for the years ended December 31, 2024 and 2023</w:t>
            </w:r>
          </w:p>
        </w:tc>
        <w:tc>
          <w:tcPr>
            <w:tcW w:w="178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F – 9</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2024 and 2023</w:t>
            </w:r>
          </w:p>
        </w:tc>
        <w:tc>
          <w:tcPr>
            <w:tcW w:w="17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F – 10</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tc>
        <w:tc>
          <w:tcPr>
            <w:tcW w:w="17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F – 11</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7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F – 12</w:t>
            </w: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1780" w:type="dxa"/>
            <w:vAlign w:val="bottom"/>
            <w:shd w:val="clear" w:color="auto" w:fill="CCEEFF"/>
          </w:tcPr>
          <w:p>
            <w:pPr>
              <w:spacing w:after="0"/>
              <w:rPr>
                <w:sz w:val="18"/>
                <w:szCs w:val="18"/>
                <w:color w:val="auto"/>
              </w:rPr>
            </w:pP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tc>
        <w:tc>
          <w:tcPr>
            <w:tcW w:w="17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F – 37</w:t>
            </w:r>
          </w:p>
        </w:tc>
      </w:tr>
      <w:tr>
        <w:trPr>
          <w:trHeight w:val="432"/>
        </w:trPr>
        <w:tc>
          <w:tcPr>
            <w:tcW w:w="94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1780" w:type="dxa"/>
            <w:vAlign w:val="bottom"/>
          </w:tcPr>
          <w:p>
            <w:pPr>
              <w:spacing w:after="0"/>
              <w:rPr>
                <w:sz w:val="24"/>
                <w:szCs w:val="24"/>
                <w:color w:val="auto"/>
              </w:rPr>
            </w:pPr>
          </w:p>
        </w:tc>
      </w:tr>
      <w:tr>
        <w:trPr>
          <w:trHeight w:val="115"/>
        </w:trPr>
        <w:tc>
          <w:tcPr>
            <w:tcW w:w="94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46" w:name="page47"/>
    <w:bookmarkEnd w:id="4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inTEST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inTEST Corporation and its subsidiaries (the Company) as of December 31, 2024 and 2023, the related consolidated statements of operations, comprehensive earnings, stockholders' equity and cash flows for each of the two years in the period ended December 31, 2024, and the related notes to the consolidated financial statements and schedule (collectively,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13, 2025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Valuation of Acquired Intangibles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described in Notes 2 and 3 to the Company’s consolidated financial statements, the Company completed the acquisition of Alfamation S.p.A for $21.9 million on March 12, 2024. The Company accounted for this transaction under the acquisition method of accounting for business combinations. Accordingly, the purchase price was allocated to the assets acquired and liabilities assumed based on their respective fair values, including identified intangible assets of $13.3 million and resulting goodwill of $9.9 million. In order to value the identified intangible assets, which consist of trademarks, customer relationships and technology, the Company used the income approach, which is a method of using discounted cash flows. The models require management to make significant assumptions, which include, where applicable, forecast of future cash flows, forecasted revenue growth and attrition rates, royalty rates, and discount rates.</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identified the valuation of acquired intangible assets as a critical audit matter as there was a high degree of auditor judgment and increased audit effort, including the use of a valuation specialist, when performing audit procedures to evaluate the reasonableness of significant estimates and assumptions utilized in management’s intangible asset valuations.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significant estimates and assumptions, including forecasts of future cash flows, and revenue growth rates, as well as the selection of the royalty rates and discount rates, for acquired intangible assets included the following, among others:</w:t>
      </w:r>
    </w:p>
    <w:p>
      <w:pPr>
        <w:spacing w:after="0" w:line="162" w:lineRule="exact"/>
        <w:rPr>
          <w:sz w:val="20"/>
          <w:szCs w:val="20"/>
          <w:color w:val="auto"/>
        </w:rPr>
      </w:pPr>
    </w:p>
    <w:p>
      <w:pPr>
        <w:ind w:left="340" w:right="26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valuation of the intangible assets, including management’s review controls over significant estimates and assumptions, and tested such controls for design and operating effectiveness.</w:t>
      </w:r>
    </w:p>
    <w:p>
      <w:pPr>
        <w:spacing w:after="0" w:line="161"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management’s forecasts of future cash flows by comparing the projections to historical results and certain peer companies.</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tested the reasonableness of the valuation methodology, royalty rates and discount rates utilized by management by:</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royalty rates and discount rates and testing the mathematical accuracy of the calculations.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for the discount rates and comparing those to the discount rates selected by management.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valuation methods used by management and testing their mathematical accuracy.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Goodwill</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disclosed in Notes 2 and 5 to the Company’s consolidated financial statements, during 2024 the Company had three operating segments which are also its reporting units—Electronic Test, Environmental Technologies, and Process Technologies. As of December 31, 2024, the Company’s goodwill balance of approximately $30.7 million was allocated across the three reporting units as follows: $12.6 million to Electronic Test, $1.8 million to Environmental Technologies and $16.4 million to Process Technologies. The Company performed an annual goodwill impairment test as of October 1, 2024, using a quantitative evaluation for each of its reporting units. The Company determines the fair value of its reporting units using the income approach, based on a discounted cash flow valuation model. To test for goodwill impairment, the Company compares the fair value of each reporting unit to its carrying value.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ind w:right="340"/>
        <w:spacing w:after="0" w:line="261" w:lineRule="auto"/>
        <w:rPr>
          <w:sz w:val="20"/>
          <w:szCs w:val="20"/>
          <w:color w:val="auto"/>
        </w:rPr>
      </w:pPr>
      <w:r>
        <w:rPr>
          <w:rFonts w:ascii="Times New Roman" w:cs="Times New Roman" w:eastAsia="Times New Roman" w:hAnsi="Times New Roman"/>
          <w:sz w:val="18"/>
          <w:szCs w:val="18"/>
          <w:color w:val="auto"/>
        </w:rPr>
        <w:t>Given the significant estimates and assumptions management makes to determine the fair value of the reporting units, we identified management’s assumptions related to revenue growth rates, projected operating margins, control premiums and discount rates utilized in the valuation of the reporting units quantitatively tested for goodwill impairment as a critical audit matter. Auditing the reasonableness of management’s estimates and assumptions required a high degree of auditor judgment and an increased extent of effort, including the need to involve our valuation specialists.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assessment of the valuation of goodwill included, among other procedures, the following:</w:t>
      </w:r>
    </w:p>
    <w:p>
      <w:pPr>
        <w:spacing w:after="0" w:line="225" w:lineRule="exact"/>
        <w:rPr>
          <w:sz w:val="20"/>
          <w:szCs w:val="20"/>
          <w:color w:val="auto"/>
        </w:rPr>
      </w:pPr>
    </w:p>
    <w:p>
      <w:pPr>
        <w:ind w:left="340" w:right="8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valuation of the goodwill, including management’s review controls over significant estimates and assumptions, and tested such controls for design and operating effectiveness.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accuracy, and relevance of certain underlying data used in the discounted cash flow model.</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and assessed the historical accuracy of management’s estimates, including forecasted revenue streams and margins, to identify, understand, and evaluate the reasonableness of the forecasts as compared to the Company’s historical results.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 and margins by comparing the forecasts to (1) the historical results, (2) external market and industry data and (3) internal communications to management and the Board of Directors.</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reasonableness of management’s valuation methodology and significant assumptions by:</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discount rate by comparing the underlying source information to publicly available market data and verifying the accuracy of the calculations.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control premiums utilized within the reconciliation to the Company’s market capitalization.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valuation methods used by management and testing their mathematical accuracy.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Bell,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inTEST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inTEST Corporation's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issued by the Committee of Sponsoring Organizations of the Treadway Commission in 2013.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of the Company as of December 31, 2024 and 2023, and the related consolidated statements of operations, comprehensive earnings, stockholders’ equity and cash flows for each of the two years in the period ended December 31, 2024 of the Company and our report dated March 13, 2025 expressed an unqualified opinion.</w:t>
      </w:r>
    </w:p>
    <w:p>
      <w:pPr>
        <w:spacing w:after="0" w:line="1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Controls over Financial Reporting, management has excluded Alfamation S.p.A. from its assessment of internal control over financial reporting as of December 31, 2024, because it was acquired by the Company in a purchase business combination in the first quarter of 2024. We have also excluded Alfamation S.p.A. from our audit of internal control over financial reporting. Alfamation S.p.A. is a wholly owned subsidiary whose total assets and revenues represent approximately 29% and 19%, respectively, of the related consolidated financial statement amounts as of and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Bell,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1" w:name="page52"/>
    <w:bookmarkEnd w:id="5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19,830</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$423 and $474, respectively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85,778</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(7,529)</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152,288</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134,829</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7,494</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sales commission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38,548</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 shares authorized; 12,457,658 and 12,241,925 shares issued,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12,378,276 and 12,166,167 shares outstanding,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earnings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79,382 and 75,758 shares,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r>
      <w:tr>
        <w:trPr>
          <w:trHeight w:val="209"/>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2" w:name="page53"/>
    <w:bookmarkEnd w:id="5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130,690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55,424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56,978</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46,539</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2,891</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12,151,913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11,461,399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and common share equivalents outstanding – diluted</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12,239,158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11,779,912</w:t>
            </w:r>
          </w:p>
        </w:tc>
      </w:tr>
      <w:tr>
        <w:trPr>
          <w:trHeight w:val="414"/>
        </w:trPr>
        <w:tc>
          <w:tcPr>
            <w:tcW w:w="832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F-8</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3" w:name="page54"/>
    <w:bookmarkEnd w:id="5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55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2,891</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9,342</w:t>
            </w:r>
          </w:p>
        </w:tc>
      </w:tr>
      <w:tr>
        <w:trPr>
          <w:trHeight w:val="216"/>
        </w:trPr>
        <w:tc>
          <w:tcPr>
            <w:tcW w:w="3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4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Unrealized loss on interest rate swap agreement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3380" w:type="dxa"/>
            <w:vAlign w:val="bottom"/>
            <w:shd w:val="clear" w:color="auto" w:fill="CCEEFF"/>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earnings</w:t>
            </w: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33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4620" w:type="dxa"/>
            <w:vAlign w:val="bottom"/>
          </w:tcPr>
          <w:p>
            <w:pPr>
              <w:spacing w:after="0"/>
              <w:rPr>
                <w:sz w:val="18"/>
                <w:szCs w:val="18"/>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5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5580" w:type="dxa"/>
            <w:vAlign w:val="bottom"/>
            <w:gridSpan w:val="2"/>
          </w:tcPr>
          <w:p>
            <w:pPr>
              <w:jc w:val="right"/>
              <w:ind w:right="3130"/>
              <w:spacing w:after="0"/>
              <w:rPr>
                <w:sz w:val="20"/>
                <w:szCs w:val="20"/>
                <w:color w:val="auto"/>
              </w:rPr>
            </w:pPr>
            <w:r>
              <w:rPr>
                <w:rFonts w:ascii="Times New Roman" w:cs="Times New Roman" w:eastAsia="Times New Roman" w:hAnsi="Times New Roman"/>
                <w:sz w:val="18"/>
                <w:szCs w:val="18"/>
                <w:color w:val="auto"/>
              </w:rPr>
              <w:t>F-9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4" w:name="page55"/>
    <w:bookmarkEnd w:id="5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202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20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11,063,271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31,987</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32,854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64,956</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9,342</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9,342</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earnings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compensation related to stock-</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based awards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2,047</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unvested shares of restricted stock</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97,461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additional shares of restricted stock related to</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performance-based awards which vested in the period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40,557</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unvested shares of restricted stock</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(17,491)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124,550</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11,780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Shares surrendered to satisfy tax liability at vesting of</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stock-based awards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pursuant to At-the-Market Offering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921,797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19,244</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12,241,925</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54,450</w:t>
            </w:r>
          </w:p>
        </w:tc>
        <w:tc>
          <w:tcPr>
            <w:tcW w:w="140" w:type="dxa"/>
            <w:vAlign w:val="bottom"/>
          </w:tcPr>
          <w:p>
            <w:pPr>
              <w:spacing w:after="0"/>
              <w:rPr>
                <w:sz w:val="17"/>
                <w:szCs w:val="17"/>
                <w:color w:val="auto"/>
              </w:rPr>
            </w:pP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42,196</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96,281</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2,891</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2,891</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(2,551)</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compensation related to stock-</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based awards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1,857</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in connection with acquisition of</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Alfamation</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187,432</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2,086</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unvested shares of restricted stock</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138,838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unvested shares of restricted stock</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(16,174)</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30,080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16,674</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surrendered to satisfy tax liability at vesting of</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awards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(141,117)</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12,457,658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45,087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99,790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2,891</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compensation related to stock-based awards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Discount on shares sold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sale of demonstration equipment, net of gain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to contingent consideration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sales commission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(18,727)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(20,051)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(1,291)</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public offering of common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shares sold under Employee Stock Purchase Plan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employee tax liabilities in connection with treasury stock transaction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15,609</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all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(25,430)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30,684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19,830</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payments for:</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and foreign income taxes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3,072</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issued in conjunction with acquisition of business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2,086</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unvested shares of restricted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w:t>
            </w: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 of unvested shares of restricted stock</w:t>
            </w:r>
          </w:p>
        </w:tc>
        <w:tc>
          <w:tcPr>
            <w:tcW w:w="9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bl>
    <w:p>
      <w:pPr>
        <w:spacing w:after="0" w:line="1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812" w:gutter="0" w:footer="0" w:header="0"/>
        </w:sectPr>
      </w:pPr>
    </w:p>
    <w:bookmarkStart w:id="56" w:name="page57"/>
    <w:bookmarkEnd w:id="56"/>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652" w:hanging="652"/>
        <w:spacing w:after="0"/>
        <w:tabs>
          <w:tab w:leader="none" w:pos="65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5" w:lineRule="exact"/>
        <w:rPr>
          <w:rFonts w:ascii="Times New Roman" w:cs="Times New Roman" w:eastAsia="Times New Roman" w:hAnsi="Times New Roman"/>
          <w:sz w:val="18"/>
          <w:szCs w:val="18"/>
          <w:b w:val="1"/>
          <w:bCs w:val="1"/>
          <w:color w:val="auto"/>
        </w:rPr>
      </w:pPr>
    </w:p>
    <w:p>
      <w:pPr>
        <w:ind w:left="67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inTEST Corporation (“</w:t>
      </w:r>
      <w:r>
        <w:rPr>
          <w:rFonts w:ascii="Times New Roman" w:cs="Times New Roman" w:eastAsia="Times New Roman" w:hAnsi="Times New Roman"/>
          <w:sz w:val="18"/>
          <w:szCs w:val="18"/>
          <w:b w:val="1"/>
          <w:bCs w:val="1"/>
          <w:u w:val="single" w:color="auto"/>
          <w:color w:val="auto"/>
        </w:rPr>
        <w:t>inTEST,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 Delaware corporation headquartered in Mount Laurel, New Jersey, is a global supplier of innovative test and process technology solutions for use in manufacturing and testing across a wide range of markets including semiconductors, industrial, automotive, life sciences, defense/aerospace, and security. We have three operating segments which are also our reportable segments and reporting units: Electronic Test, Environmental Technologies and Process Technologies.</w:t>
      </w:r>
    </w:p>
    <w:p>
      <w:pPr>
        <w:spacing w:after="0" w:line="180" w:lineRule="exact"/>
        <w:rPr>
          <w:rFonts w:ascii="Times New Roman" w:cs="Times New Roman" w:eastAsia="Times New Roman" w:hAnsi="Times New Roman"/>
          <w:sz w:val="18"/>
          <w:szCs w:val="18"/>
          <w:b w:val="1"/>
          <w:bCs w:val="1"/>
          <w:color w:val="auto"/>
        </w:rPr>
      </w:pPr>
    </w:p>
    <w:p>
      <w:pPr>
        <w:ind w:left="672" w:right="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entity is comprised of inTEST Corporation and our wholly-owned subsidiaries. We manufacture our products in the U.S., Canada, Italy and the Netherlands. Marketing and support activities are conducted worldwide from our facilities in the U.S., Canada, Italy, Germany, Singapore, the Netherlands and the U.K. We operate our business worldwide and sell our products both domestically and internationally.</w:t>
      </w:r>
    </w:p>
    <w:p>
      <w:pPr>
        <w:spacing w:after="0" w:line="179" w:lineRule="exact"/>
        <w:rPr>
          <w:rFonts w:ascii="Times New Roman" w:cs="Times New Roman" w:eastAsia="Times New Roman" w:hAnsi="Times New Roman"/>
          <w:sz w:val="18"/>
          <w:szCs w:val="18"/>
          <w:b w:val="1"/>
          <w:bCs w:val="1"/>
          <w:color w:val="auto"/>
        </w:rPr>
      </w:pPr>
    </w:p>
    <w:p>
      <w:pPr>
        <w:ind w:left="672"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Founded in 1981, we completed our initial public offering in June 1997 and currently trade on the NYSE American exchange under the symbol “</w:t>
      </w:r>
      <w:r>
        <w:rPr>
          <w:rFonts w:ascii="Times New Roman" w:cs="Times New Roman" w:eastAsia="Times New Roman" w:hAnsi="Times New Roman"/>
          <w:sz w:val="18"/>
          <w:szCs w:val="18"/>
          <w:b w:val="1"/>
          <w:bCs w:val="1"/>
          <w:u w:val="single" w:color="auto"/>
          <w:color w:val="auto"/>
        </w:rPr>
        <w:t>INTT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672"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announced in December 2023 that we have signed a lease in Penang, Malaysia which will support applications engineering, product development and localized manufacturing for nearly all inTEST brands. This facility began engineering and supply chain operations in the third quarter of 2024 and is expected to begin manufacturing and support operations by the third quarter of 2025. In connection with this operation, we established inTEST SE Asia Sdn Bhd (“</w:t>
      </w:r>
      <w:r>
        <w:rPr>
          <w:rFonts w:ascii="Times New Roman" w:cs="Times New Roman" w:eastAsia="Times New Roman" w:hAnsi="Times New Roman"/>
          <w:sz w:val="18"/>
          <w:szCs w:val="18"/>
          <w:b w:val="1"/>
          <w:bCs w:val="1"/>
          <w:u w:val="single" w:color="auto"/>
          <w:color w:val="auto"/>
        </w:rPr>
        <w:t>inTEST SE Asia</w:t>
      </w:r>
      <w:r>
        <w:rPr>
          <w:rFonts w:ascii="Times New Roman" w:cs="Times New Roman" w:eastAsia="Times New Roman" w:hAnsi="Times New Roman"/>
          <w:sz w:val="18"/>
          <w:szCs w:val="18"/>
          <w:color w:val="auto"/>
        </w:rPr>
        <w:t>”), a private limited company incorporated in Malaysia which is a wholly-owned subsidiary of inTEST Corporation.</w:t>
      </w:r>
    </w:p>
    <w:p>
      <w:pPr>
        <w:spacing w:after="0" w:line="183" w:lineRule="exact"/>
        <w:rPr>
          <w:rFonts w:ascii="Times New Roman" w:cs="Times New Roman" w:eastAsia="Times New Roman" w:hAnsi="Times New Roman"/>
          <w:sz w:val="18"/>
          <w:szCs w:val="18"/>
          <w:b w:val="1"/>
          <w:bCs w:val="1"/>
          <w:color w:val="auto"/>
        </w:rPr>
      </w:pPr>
    </w:p>
    <w:p>
      <w:pPr>
        <w:ind w:left="672"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79" w:lineRule="exact"/>
        <w:rPr>
          <w:rFonts w:ascii="Times New Roman" w:cs="Times New Roman" w:eastAsia="Times New Roman" w:hAnsi="Times New Roman"/>
          <w:sz w:val="18"/>
          <w:szCs w:val="18"/>
          <w:b w:val="1"/>
          <w:bCs w:val="1"/>
          <w:color w:val="auto"/>
        </w:rPr>
      </w:pPr>
    </w:p>
    <w:p>
      <w:pPr>
        <w:ind w:left="67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semiconductor market (“</w:t>
      </w:r>
      <w:r>
        <w:rPr>
          <w:rFonts w:ascii="Times New Roman" w:cs="Times New Roman" w:eastAsia="Times New Roman" w:hAnsi="Times New Roman"/>
          <w:sz w:val="18"/>
          <w:szCs w:val="18"/>
          <w:b w:val="1"/>
          <w:bCs w:val="1"/>
          <w:u w:val="single" w:color="auto"/>
          <w:color w:val="auto"/>
        </w:rPr>
        <w:t>semi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semi market</w:t>
      </w:r>
      <w:r>
        <w:rPr>
          <w:rFonts w:ascii="Times New Roman" w:cs="Times New Roman" w:eastAsia="Times New Roman" w:hAnsi="Times New Roman"/>
          <w:sz w:val="18"/>
          <w:szCs w:val="18"/>
          <w:color w:val="auto"/>
        </w:rPr>
        <w:t>”) which includes both the broader semiconductor market, as well as the more specialized automated test equipment (“</w:t>
      </w:r>
      <w:r>
        <w:rPr>
          <w:rFonts w:ascii="Times New Roman" w:cs="Times New Roman" w:eastAsia="Times New Roman" w:hAnsi="Times New Roman"/>
          <w:sz w:val="18"/>
          <w:szCs w:val="18"/>
          <w:b w:val="1"/>
          <w:bCs w:val="1"/>
          <w:u w:val="single" w:color="auto"/>
          <w:color w:val="auto"/>
        </w:rPr>
        <w:t>ATE</w:t>
      </w:r>
      <w:r>
        <w:rPr>
          <w:rFonts w:ascii="Times New Roman" w:cs="Times New Roman" w:eastAsia="Times New Roman" w:hAnsi="Times New Roman"/>
          <w:sz w:val="18"/>
          <w:szCs w:val="18"/>
          <w:color w:val="auto"/>
        </w:rPr>
        <w:t>”)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86" w:lineRule="exact"/>
        <w:rPr>
          <w:rFonts w:ascii="Times New Roman" w:cs="Times New Roman" w:eastAsia="Times New Roman" w:hAnsi="Times New Roman"/>
          <w:sz w:val="18"/>
          <w:szCs w:val="18"/>
          <w:b w:val="1"/>
          <w:bCs w:val="1"/>
          <w:color w:val="auto"/>
        </w:rPr>
      </w:pPr>
    </w:p>
    <w:p>
      <w:pPr>
        <w:ind w:left="672" w:righ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Electronic Test segment sells its products to semiconductor manufacturers and third-party test and assembly houses (end user sales) and to ATE manufacturers (original equipment manufacturer (“</w:t>
      </w:r>
      <w:r>
        <w:rPr>
          <w:rFonts w:ascii="Times New Roman" w:cs="Times New Roman" w:eastAsia="Times New Roman" w:hAnsi="Times New Roman"/>
          <w:sz w:val="18"/>
          <w:szCs w:val="18"/>
          <w:b w:val="1"/>
          <w:bCs w:val="1"/>
          <w:u w:val="single" w:color="auto"/>
          <w:color w:val="auto"/>
        </w:rPr>
        <w:t>OEM</w:t>
      </w:r>
      <w:r>
        <w:rPr>
          <w:rFonts w:ascii="Times New Roman" w:cs="Times New Roman" w:eastAsia="Times New Roman" w:hAnsi="Times New Roman"/>
          <w:sz w:val="18"/>
          <w:szCs w:val="18"/>
          <w:color w:val="auto"/>
        </w:rPr>
        <w:t>”) sales), who ultimately resell our equipment with theirs to both semiconductor manufacturers and third-party test and assembly houses. These sales all fall within the ATE sector of the semi market. With the acquisition of Acculogic Inc. and its affiliates (“</w:t>
      </w:r>
      <w:r>
        <w:rPr>
          <w:rFonts w:ascii="Times New Roman" w:cs="Times New Roman" w:eastAsia="Times New Roman" w:hAnsi="Times New Roman"/>
          <w:sz w:val="18"/>
          <w:szCs w:val="18"/>
          <w:b w:val="1"/>
          <w:bCs w:val="1"/>
          <w:u w:val="single" w:color="auto"/>
          <w:color w:val="auto"/>
        </w:rPr>
        <w:t>Acculogic</w:t>
      </w:r>
      <w:r>
        <w:rPr>
          <w:rFonts w:ascii="Times New Roman" w:cs="Times New Roman" w:eastAsia="Times New Roman" w:hAnsi="Times New Roman"/>
          <w:sz w:val="18"/>
          <w:szCs w:val="18"/>
          <w:color w:val="auto"/>
        </w:rPr>
        <w:t>”)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57" w:name="page58"/>
    <w:bookmarkEnd w:id="57"/>
    <w:p>
      <w:pPr>
        <w:ind w:left="672" w:right="140"/>
        <w:spacing w:after="0" w:line="254" w:lineRule="auto"/>
        <w:rPr>
          <w:sz w:val="20"/>
          <w:szCs w:val="20"/>
          <w:color w:val="auto"/>
        </w:rPr>
      </w:pPr>
      <w:r>
        <w:rPr>
          <w:rFonts w:ascii="Times New Roman" w:cs="Times New Roman" w:eastAsia="Times New Roman" w:hAnsi="Times New Roman"/>
          <w:sz w:val="18"/>
          <w:szCs w:val="18"/>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11" w:lineRule="exact"/>
        <w:rPr>
          <w:sz w:val="20"/>
          <w:szCs w:val="20"/>
          <w:color w:val="auto"/>
        </w:rPr>
      </w:pPr>
    </w:p>
    <w:p>
      <w:pPr>
        <w:ind w:left="652" w:hanging="652"/>
        <w:spacing w:after="0"/>
        <w:tabs>
          <w:tab w:leader="none" w:pos="6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912" w:hanging="246"/>
        <w:spacing w:after="0"/>
        <w:tabs>
          <w:tab w:leader="none" w:pos="912" w:val="left"/>
        </w:tabs>
        <w:numPr>
          <w:ilvl w:val="1"/>
          <w:numId w:val="22"/>
        </w:numPr>
        <w:rPr>
          <w:rFonts w:ascii="Times New Roman" w:cs="Times New Roman" w:eastAsia="Times New Roman" w:hAnsi="Times New Roman"/>
          <w:sz w:val="18"/>
          <w:szCs w:val="18"/>
          <w:b w:val="1"/>
          <w:bCs w:val="1"/>
          <w:i w:val="1"/>
          <w:iCs w:val="1"/>
          <w:u w:val="single" w:color="auto"/>
          <w:color w:val="auto"/>
        </w:rPr>
      </w:pPr>
      <w:r>
        <w:rPr>
          <w:rFonts w:ascii="Times New Roman" w:cs="Times New Roman" w:eastAsia="Times New Roman" w:hAnsi="Times New Roman"/>
          <w:sz w:val="18"/>
          <w:szCs w:val="18"/>
          <w:b w:val="1"/>
          <w:bCs w:val="1"/>
          <w:i w:val="1"/>
          <w:iCs w:val="1"/>
          <w:u w:val="single" w:color="auto"/>
          <w:color w:val="auto"/>
        </w:rPr>
        <w:t>Basis of Presentation and Use of Estimates</w:t>
      </w:r>
    </w:p>
    <w:p>
      <w:pPr>
        <w:spacing w:after="0" w:line="229" w:lineRule="exact"/>
        <w:rPr>
          <w:sz w:val="20"/>
          <w:szCs w:val="20"/>
          <w:color w:val="auto"/>
        </w:rPr>
      </w:pPr>
    </w:p>
    <w:p>
      <w:pPr>
        <w:ind w:left="672" w:right="2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those of our wholly owned subsidiaries. All intercompany accounts and transactions have been eliminated upon consolidation. The preparation of financial statements in conformity with accounting principles generally accepted in the United States of America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85"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 Business Combinations</w:t>
      </w:r>
    </w:p>
    <w:p>
      <w:pPr>
        <w:spacing w:after="0" w:line="229" w:lineRule="exact"/>
        <w:rPr>
          <w:sz w:val="20"/>
          <w:szCs w:val="20"/>
          <w:color w:val="auto"/>
        </w:rPr>
      </w:pPr>
    </w:p>
    <w:p>
      <w:pPr>
        <w:ind w:left="672"/>
        <w:spacing w:after="0" w:line="254" w:lineRule="auto"/>
        <w:rPr>
          <w:sz w:val="20"/>
          <w:szCs w:val="20"/>
          <w:color w:val="auto"/>
        </w:rPr>
      </w:pPr>
      <w:r>
        <w:rPr>
          <w:rFonts w:ascii="Times New Roman" w:cs="Times New Roman" w:eastAsia="Times New Roman" w:hAnsi="Times New Roman"/>
          <w:sz w:val="18"/>
          <w:szCs w:val="18"/>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4"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 Restructuring and Other Charges</w:t>
      </w:r>
    </w:p>
    <w:p>
      <w:pPr>
        <w:spacing w:after="0" w:line="225" w:lineRule="exact"/>
        <w:rPr>
          <w:sz w:val="20"/>
          <w:szCs w:val="20"/>
          <w:color w:val="auto"/>
        </w:rPr>
      </w:pPr>
    </w:p>
    <w:p>
      <w:pPr>
        <w:ind w:left="672" w:right="100"/>
        <w:spacing w:after="0" w:line="254" w:lineRule="auto"/>
        <w:rPr>
          <w:sz w:val="20"/>
          <w:szCs w:val="20"/>
          <w:color w:val="auto"/>
        </w:rPr>
      </w:pPr>
      <w:r>
        <w:rPr>
          <w:rFonts w:ascii="Times New Roman" w:cs="Times New Roman" w:eastAsia="Times New Roman" w:hAnsi="Times New Roman"/>
          <w:sz w:val="18"/>
          <w:szCs w:val="18"/>
          <w:color w:val="auto"/>
        </w:rPr>
        <w:t>In accordance with the guidance in Accounting Standards Codification (“</w:t>
      </w:r>
      <w:r>
        <w:rPr>
          <w:rFonts w:ascii="Times New Roman" w:cs="Times New Roman" w:eastAsia="Times New Roman" w:hAnsi="Times New Roman"/>
          <w:sz w:val="18"/>
          <w:szCs w:val="18"/>
          <w:b w:val="1"/>
          <w:bCs w:val="1"/>
          <w:u w:val="single" w:color="auto"/>
          <w:color w:val="auto"/>
        </w:rPr>
        <w:t>ASC</w:t>
      </w:r>
      <w:r>
        <w:rPr>
          <w:rFonts w:ascii="Times New Roman" w:cs="Times New Roman" w:eastAsia="Times New Roman" w:hAnsi="Times New Roman"/>
          <w:sz w:val="18"/>
          <w:szCs w:val="18"/>
          <w:color w:val="auto"/>
        </w:rPr>
        <w:t xml:space="preserve">”) Topic 420 -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w:t>
      </w:r>
      <w:r>
        <w:rPr>
          <w:rFonts w:ascii="Times New Roman" w:cs="Times New Roman" w:eastAsia="Times New Roman" w:hAnsi="Times New Roman"/>
          <w:sz w:val="18"/>
          <w:szCs w:val="18"/>
          <w:b w:val="1"/>
          <w:bCs w:val="1"/>
          <w:u w:val="single" w:color="auto"/>
          <w:color w:val="auto"/>
        </w:rPr>
        <w:t>ROU</w:t>
      </w:r>
      <w:r>
        <w:rPr>
          <w:rFonts w:ascii="Times New Roman" w:cs="Times New Roman" w:eastAsia="Times New Roman" w:hAnsi="Times New Roman"/>
          <w:sz w:val="18"/>
          <w:szCs w:val="18"/>
          <w:color w:val="auto"/>
        </w:rPr>
        <w:t>”)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ASC 842</w:t>
      </w:r>
      <w:r>
        <w:rPr>
          <w:rFonts w:ascii="Times New Roman" w:cs="Times New Roman" w:eastAsia="Times New Roman" w:hAnsi="Times New Roman"/>
          <w:sz w:val="18"/>
          <w:szCs w:val="18"/>
          <w:color w:val="auto"/>
        </w:rPr>
        <w:t xml:space="preserve">”), ASC Topic 360 -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ASC 360</w:t>
      </w:r>
      <w:r>
        <w:rPr>
          <w:rFonts w:ascii="Times New Roman" w:cs="Times New Roman" w:eastAsia="Times New Roman" w:hAnsi="Times New Roman"/>
          <w:sz w:val="18"/>
          <w:szCs w:val="18"/>
          <w:color w:val="auto"/>
        </w:rPr>
        <w:t xml:space="preserve">”) and ASC Topic 350 -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ASC 350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 Cash, Cash Equivalents</w:t>
      </w:r>
    </w:p>
    <w:p>
      <w:pPr>
        <w:spacing w:after="0" w:line="229" w:lineRule="exact"/>
        <w:rPr>
          <w:sz w:val="20"/>
          <w:szCs w:val="20"/>
          <w:color w:val="auto"/>
        </w:rPr>
      </w:pPr>
    </w:p>
    <w:p>
      <w:pPr>
        <w:ind w:left="672" w:right="140"/>
        <w:spacing w:after="0" w:line="266" w:lineRule="auto"/>
        <w:rPr>
          <w:sz w:val="20"/>
          <w:szCs w:val="20"/>
          <w:color w:val="auto"/>
        </w:rPr>
      </w:pPr>
      <w:r>
        <w:rPr>
          <w:rFonts w:ascii="Times New Roman" w:cs="Times New Roman" w:eastAsia="Times New Roman" w:hAnsi="Times New Roman"/>
          <w:sz w:val="18"/>
          <w:szCs w:val="18"/>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72"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 Trade Accounts Receivable and Allowance for Credit Losses</w:t>
      </w:r>
    </w:p>
    <w:p>
      <w:pPr>
        <w:spacing w:after="0" w:line="229" w:lineRule="exact"/>
        <w:rPr>
          <w:sz w:val="20"/>
          <w:szCs w:val="20"/>
          <w:color w:val="auto"/>
        </w:rPr>
      </w:pPr>
    </w:p>
    <w:p>
      <w:pPr>
        <w:ind w:left="672"/>
        <w:spacing w:after="0" w:line="254" w:lineRule="auto"/>
        <w:rPr>
          <w:sz w:val="20"/>
          <w:szCs w:val="20"/>
          <w:color w:val="auto"/>
        </w:rPr>
      </w:pPr>
      <w:r>
        <w:rPr>
          <w:rFonts w:ascii="Times New Roman" w:cs="Times New Roman" w:eastAsia="Times New Roman" w:hAnsi="Times New Roman"/>
          <w:sz w:val="18"/>
          <w:szCs w:val="18"/>
          <w:color w:val="auto"/>
        </w:rPr>
        <w:t xml:space="preserve">Trade accounts receivable are recorded at the invoiced amount and do not bear interest. We grant credit to customers and generally require no collateral. To minimize our risk, we perform ongoing credit evaluations of our customers’ financial condition. We follow the guidance in ASC Topic 326 -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ASC 326</w:t>
      </w:r>
      <w:r>
        <w:rPr>
          <w:rFonts w:ascii="Times New Roman" w:cs="Times New Roman" w:eastAsia="Times New Roman" w:hAnsi="Times New Roman"/>
          <w:sz w:val="18"/>
          <w:szCs w:val="18"/>
          <w:color w:val="auto"/>
        </w:rPr>
        <w:t>”)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spacing w:after="0" w:line="1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58" w:name="page59"/>
    <w:bookmarkEnd w:id="58"/>
    <w:p>
      <w:pPr>
        <w:ind w:right="600"/>
        <w:spacing w:after="0" w:line="266" w:lineRule="auto"/>
        <w:rPr>
          <w:sz w:val="20"/>
          <w:szCs w:val="20"/>
          <w:color w:val="auto"/>
        </w:rPr>
      </w:pPr>
      <w:r>
        <w:rPr>
          <w:rFonts w:ascii="Times New Roman" w:cs="Times New Roman" w:eastAsia="Times New Roman" w:hAnsi="Times New Roman"/>
          <w:sz w:val="18"/>
          <w:szCs w:val="18"/>
          <w:color w:val="auto"/>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there were no significant changes in the amount of the allowance for credit losses. Changes to the allowance are included as a component of general and administrative expenses. We did not recover previously written off amounts during the year ended December 31, 2024. During the year ended December 31, 2023, we recovered $198 thousand which had been fully written off in a prior period or pre-acquisition, in the case of recently acquired businesses, and were no longer in our accounts receivable balance. Expected credit loss expense for items currently in our accounts receivable balance which we do not expect to collect totaled $27 thousand for the year ended December 31, 2024. There was no similar expected credit loss expense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ASC Topic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ASC 820</w:t>
      </w:r>
      <w:r>
        <w:rPr>
          <w:rFonts w:ascii="Times New Roman" w:cs="Times New Roman" w:eastAsia="Times New Roman" w:hAnsi="Times New Roman"/>
          <w:sz w:val="18"/>
          <w:szCs w:val="18"/>
          <w:color w:val="auto"/>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Level 1: Valuations based on unadjusted quoted prices in active markets for identical assets or liabilities that we have the ability to access.</w:t>
      </w:r>
    </w:p>
    <w:p>
      <w:pPr>
        <w:spacing w:after="0" w:line="225" w:lineRule="exact"/>
        <w:rPr>
          <w:sz w:val="20"/>
          <w:szCs w:val="20"/>
          <w:color w:val="auto"/>
        </w:rPr>
      </w:pPr>
    </w:p>
    <w:p>
      <w:pPr>
        <w:ind w:left="300" w:right="320"/>
        <w:spacing w:after="0" w:line="282" w:lineRule="auto"/>
        <w:rPr>
          <w:sz w:val="20"/>
          <w:szCs w:val="20"/>
          <w:color w:val="auto"/>
        </w:rPr>
      </w:pPr>
      <w:r>
        <w:rPr>
          <w:rFonts w:ascii="Times New Roman" w:cs="Times New Roman" w:eastAsia="Times New Roman" w:hAnsi="Times New Roman"/>
          <w:sz w:val="18"/>
          <w:szCs w:val="18"/>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short-term nature of those items. Our credit facility and our interest rate swap are discussed further below and in “</w:t>
      </w:r>
      <w:r>
        <w:rPr>
          <w:rFonts w:ascii="Times New Roman" w:cs="Times New Roman" w:eastAsia="Times New Roman" w:hAnsi="Times New Roman"/>
          <w:sz w:val="18"/>
          <w:szCs w:val="18"/>
          <w:b w:val="1"/>
          <w:bCs w:val="1"/>
          <w:color w:val="auto"/>
        </w:rPr>
        <w:t>Note (10) Debt.</w:t>
      </w:r>
      <w:r>
        <w:rPr>
          <w:rFonts w:ascii="Times New Roman" w:cs="Times New Roman" w:eastAsia="Times New Roman" w:hAnsi="Times New Roman"/>
          <w:sz w:val="18"/>
          <w:szCs w:val="18"/>
          <w:color w:val="auto"/>
        </w:rPr>
        <w:t>”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w:t>
      </w:r>
      <w:r>
        <w:rPr>
          <w:rFonts w:ascii="Times New Roman" w:cs="Times New Roman" w:eastAsia="Times New Roman" w:hAnsi="Times New Roman"/>
          <w:sz w:val="18"/>
          <w:szCs w:val="18"/>
          <w:b w:val="1"/>
          <w:bCs w:val="1"/>
          <w:color w:val="auto"/>
        </w:rPr>
        <w:t>Note (4) Fair Value Measurements</w:t>
      </w:r>
      <w:r>
        <w:rPr>
          <w:rFonts w:ascii="Times New Roman" w:cs="Times New Roman" w:eastAsia="Times New Roman" w:hAnsi="Times New Roman"/>
          <w:sz w:val="18"/>
          <w:szCs w:val="18"/>
          <w:color w:val="auto"/>
        </w:rPr>
        <w:t>” for further disclosures related to the fair value of our liabilities for contingent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 Goodwill, Intangible and Long-Lived Assets</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We have three reportable segments which are also our reporting units: Electronic Test, Environmental Technologies and Process Technologies.</w:t>
      </w: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1000" w:top="580" w:right="379" w:bottom="1440" w:gutter="0" w:footer="0" w:header="0"/>
        </w:sectPr>
      </w:pPr>
    </w:p>
    <w:bookmarkStart w:id="59" w:name="page60"/>
    <w:bookmarkEnd w:id="59"/>
    <w:p>
      <w:pPr>
        <w:ind w:right="20"/>
        <w:spacing w:after="0" w:line="253"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ASC 350.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 Revenue Recognition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guidance in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0"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8"/>
          <w:szCs w:val="18"/>
          <w:color w:val="auto"/>
        </w:rPr>
        <w:t>We are a global supplier of innovative test and process technology solutions for use in manufacturing and testing in targeted markets including semi, industrial, automotive, life sciences, defense/aerospace and 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 ThermoChambers, process chillers, refrigerators and freezers, which we sell under our Temptronic®, Sigma, Thermonics® and North Sciences product lines, and Ambrell Corporation’s (“</w:t>
      </w:r>
      <w:r>
        <w:rPr>
          <w:rFonts w:ascii="Times New Roman" w:cs="Times New Roman" w:eastAsia="Times New Roman" w:hAnsi="Times New Roman"/>
          <w:sz w:val="18"/>
          <w:szCs w:val="18"/>
          <w:b w:val="1"/>
          <w:bCs w:val="1"/>
          <w:u w:val="single" w:color="auto"/>
          <w:color w:val="auto"/>
        </w:rPr>
        <w:t>Ambrell</w:t>
      </w:r>
      <w:r>
        <w:rPr>
          <w:rFonts w:ascii="Times New Roman" w:cs="Times New Roman" w:eastAsia="Times New Roman" w:hAnsi="Times New Roman"/>
          <w:sz w:val="18"/>
          <w:szCs w:val="18"/>
          <w:color w:val="auto"/>
        </w:rPr>
        <w:t>®”) precision induction heating systems, including EKOHEAT® and EASYHEAT™ products. As a result of the acquisition of Videology®, we sell industrial-grade circuit board mounted video digital cameras and related devices, systems and software. We also sell many of our products to various other markets including the industrial, automotive, life sciences, defense/aerospace and security markets. We provide post-warranty service and support for the equipment we sell.</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Types of Contracts with Customers</w:t>
      </w:r>
    </w:p>
    <w:p>
      <w:pPr>
        <w:spacing w:after="0" w:line="227"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spacing w:after="0" w:line="192" w:lineRule="exact"/>
        <w:rPr>
          <w:sz w:val="20"/>
          <w:szCs w:val="20"/>
          <w:color w:val="auto"/>
        </w:rPr>
      </w:pPr>
    </w:p>
    <w:p>
      <w:pPr>
        <w:jc w:val="both"/>
        <w:ind w:left="20" w:right="260"/>
        <w:spacing w:after="0" w:line="261" w:lineRule="auto"/>
        <w:rPr>
          <w:sz w:val="20"/>
          <w:szCs w:val="20"/>
          <w:color w:val="auto"/>
        </w:rPr>
      </w:pPr>
      <w:r>
        <w:rPr>
          <w:rFonts w:ascii="Times New Roman" w:cs="Times New Roman" w:eastAsia="Times New Roman" w:hAnsi="Times New Roman"/>
          <w:sz w:val="18"/>
          <w:szCs w:val="18"/>
          <w:color w:val="auto"/>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27"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8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8" w:right="339" w:bottom="1440" w:gutter="0" w:footer="0" w:header="0"/>
        </w:sectPr>
      </w:pPr>
    </w:p>
    <w:bookmarkStart w:id="61" w:name="page62"/>
    <w:bookmarkEnd w:id="61"/>
    <w:p>
      <w:pPr>
        <w:ind w:right="240"/>
        <w:spacing w:after="0" w:line="28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color w:val="auto"/>
        </w:rPr>
        <w:t>Note (6) Revenue From Contracts With Customers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Note (17) Segment Information</w:t>
      </w:r>
      <w:r>
        <w:rPr>
          <w:rFonts w:ascii="Times New Roman" w:cs="Times New Roman" w:eastAsia="Times New Roman" w:hAnsi="Times New Roman"/>
          <w:sz w:val="18"/>
          <w:szCs w:val="18"/>
          <w:color w:val="auto"/>
        </w:rPr>
        <w:t>” for further information about our revenue from contracts with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 Inventories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$0.7 million and $0.5 million for the years ended December 31, 2024 and 2023,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(j) Property and Equipment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Machinery and equipment are stated at cost, except for machinery and equipment acquired in a business combination, which are stated at fair value at the time of acquisition. As discussed above under “</w:t>
      </w:r>
      <w:r>
        <w:rPr>
          <w:rFonts w:ascii="Times New Roman" w:cs="Times New Roman" w:eastAsia="Times New Roman" w:hAnsi="Times New Roman"/>
          <w:sz w:val="18"/>
          <w:szCs w:val="18"/>
          <w:b w:val="1"/>
          <w:bCs w:val="1"/>
          <w:color w:val="auto"/>
        </w:rPr>
        <w:t>(g) Goodwill, Intangible and Long-Lived Assets,</w:t>
      </w:r>
      <w:r>
        <w:rPr>
          <w:rFonts w:ascii="Times New Roman" w:cs="Times New Roman" w:eastAsia="Times New Roman" w:hAnsi="Times New Roman"/>
          <w:sz w:val="18"/>
          <w:szCs w:val="18"/>
          <w:color w:val="auto"/>
        </w:rPr>
        <w:t>”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$1.4 million and $1.0 million for the years ended December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 Leases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account for leases in accordance with ASC 842.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76" w:right="359" w:bottom="1440" w:gutter="0" w:footer="0" w:header="0"/>
        </w:sectPr>
      </w:pPr>
    </w:p>
    <w:bookmarkStart w:id="62" w:name="page63"/>
    <w:bookmarkEnd w:id="62"/>
    <w:p>
      <w:pPr>
        <w:ind w:right="60"/>
        <w:spacing w:after="0" w:line="266" w:lineRule="auto"/>
        <w:rPr>
          <w:sz w:val="20"/>
          <w:szCs w:val="20"/>
          <w:color w:val="auto"/>
        </w:rPr>
      </w:pPr>
      <w:r>
        <w:rPr>
          <w:rFonts w:ascii="Times New Roman" w:cs="Times New Roman" w:eastAsia="Times New Roman" w:hAnsi="Times New Roman"/>
          <w:sz w:val="18"/>
          <w:szCs w:val="18"/>
          <w:color w:val="auto"/>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color w:val="auto"/>
        </w:rPr>
        <w:t>Note (8) Leases</w:t>
      </w:r>
      <w:r>
        <w:rPr>
          <w:rFonts w:ascii="Times New Roman" w:cs="Times New Roman" w:eastAsia="Times New Roman" w:hAnsi="Times New Roman"/>
          <w:sz w:val="18"/>
          <w:szCs w:val="18"/>
          <w:color w:val="auto"/>
        </w:rPr>
        <w:t>” for further disclosures regarding our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 Interest Rate Swap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interest rate risk on our floating-rate debt. We have entered into an interest rate swap agreement to effectively convert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floating-rate debt to a fixed-rate basis for a portion of our floating rate debt, as discussed further in “</w:t>
      </w:r>
      <w:r>
        <w:rPr>
          <w:rFonts w:ascii="Times New Roman" w:cs="Times New Roman" w:eastAsia="Times New Roman" w:hAnsi="Times New Roman"/>
          <w:sz w:val="18"/>
          <w:szCs w:val="18"/>
          <w:b w:val="1"/>
          <w:bCs w:val="1"/>
          <w:color w:val="auto"/>
        </w:rPr>
        <w:t>Note (4) Fair Value Measurements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Note (10) Debt.</w:t>
      </w:r>
      <w:r>
        <w:rPr>
          <w:rFonts w:ascii="Times New Roman" w:cs="Times New Roman" w:eastAsia="Times New Roman" w:hAnsi="Times New Roman"/>
          <w:sz w:val="17"/>
          <w:szCs w:val="17"/>
          <w:color w:val="auto"/>
        </w:rPr>
        <w:t>” The principal objective of this agreement is to eliminate the variability of the cash flows for interest payments associated with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our floating-rate debt, thus reducing the impact of interest rate changes on future interest payment cash flows. We have elected to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hedge accounting rules in accordance with ASC Topic 815 -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Further, we have determined that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qualifies for the shortcut method of hedge accounting. Our interest rate swap is recorded at fair value as a component of other assets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 Changes in the fair value of interest rate swap agreements designated as cash flow hedges are recorded as a component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(loss) within stockholders’ equity and are amortized to interest expense over the term of the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We recognize the change in the fair value of the interest rate swap as a component of the change in other assets in our statements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 Contingent Liability for Repayment of State and Local Grant Funds Received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leasing a facility in Rochester, New York, which our subsidiary, Ambrell®, occupied in May 2018, we entered into agreements with the city of Rochester and the state of New York under which we received grants totaling $550 thousand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the grant agreement with the city of Rochester. The remaining proceeds which were no longer subject to repayment were reclassified to deferred grant proceeds and will be amortized to income on a straight-line basis over the current remaining lease term for the Rochester facility. Deferred grant proceeds are included in other current liabilities and other liabilities on our balance sheets and totaled $368 thousand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 Stock-Based Compensation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stock-based compensation in accordance with ASC Topic 718 -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which requires that employee share-based equity awards be accounted for under the fair value method and requires the use of an option pricing model for estimating fair value of stock options, which is then amortized to expense over the service periods. We recognize forfeitures of awards as they occur, recapturing any expense recorded for unvested awards.</w:t>
      </w:r>
    </w:p>
    <w:p>
      <w:pPr>
        <w:spacing w:after="0" w:line="18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fair value of our stock options on the date of grant is determined using the Black-Scholes option pricing model, which requires the use of certain assumptions, including the expected volatility of our stock price, the expected term of the option. the risk-free rate and the expected dividend yield.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also grant performance-based restricted stock awards where the ultimate number of shares that vest can vary and is based on the achievement of specific performance metrics. The grant date fair value of these awards is based on the quoted market price of our stock on the date of grant. Vesting for performance-based awards is generally cliff vesting at the end of the period over which the performance metrics are measured. Compensation expense for performance-based awards is recorded on a straight-line basis over the vesting period and is based on the expected final vesting percentage, which is re-assessed at the end of each reporting period and adjusted with a catch-up adjusted as needed. Our initial assumption at the grant date of these performance-based awards is that the award will vest at 100%. See further disclosures related to our stock-based compensation plans in “</w:t>
      </w:r>
      <w:r>
        <w:rPr>
          <w:rFonts w:ascii="Times New Roman" w:cs="Times New Roman" w:eastAsia="Times New Roman" w:hAnsi="Times New Roman"/>
          <w:sz w:val="18"/>
          <w:szCs w:val="18"/>
          <w:b w:val="1"/>
          <w:bCs w:val="1"/>
          <w:color w:val="auto"/>
        </w:rPr>
        <w:t>Note (13) Stock-Based Compensation Plan.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 Engineering and Product Development</w:t>
      </w:r>
    </w:p>
    <w:p>
      <w:pPr>
        <w:spacing w:after="0" w:line="229" w:lineRule="exact"/>
        <w:rPr>
          <w:sz w:val="20"/>
          <w:szCs w:val="20"/>
          <w:color w:val="auto"/>
        </w:rPr>
      </w:pPr>
    </w:p>
    <w:p>
      <w:pPr>
        <w:ind w:left="20" w:right="320"/>
        <w:spacing w:after="0" w:line="282" w:lineRule="auto"/>
        <w:rPr>
          <w:sz w:val="20"/>
          <w:szCs w:val="20"/>
          <w:color w:val="auto"/>
        </w:rPr>
      </w:pPr>
      <w:r>
        <w:rPr>
          <w:rFonts w:ascii="Times New Roman" w:cs="Times New Roman" w:eastAsia="Times New Roman" w:hAnsi="Times New Roman"/>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 Foreign Currency</w:t>
      </w:r>
    </w:p>
    <w:p>
      <w:pPr>
        <w:spacing w:after="0" w:line="229" w:lineRule="exact"/>
        <w:rPr>
          <w:sz w:val="20"/>
          <w:szCs w:val="20"/>
          <w:color w:val="auto"/>
        </w:rPr>
      </w:pPr>
    </w:p>
    <w:p>
      <w:pPr>
        <w:ind w:left="20" w:right="120"/>
        <w:spacing w:after="0" w:line="277" w:lineRule="auto"/>
        <w:rPr>
          <w:sz w:val="20"/>
          <w:szCs w:val="20"/>
          <w:color w:val="auto"/>
        </w:rPr>
      </w:pPr>
      <w:r>
        <w:rPr>
          <w:rFonts w:ascii="Times New Roman" w:cs="Times New Roman" w:eastAsia="Times New Roman" w:hAnsi="Times New Roman"/>
          <w:sz w:val="17"/>
          <w:szCs w:val="17"/>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 ended December 31, 2024, net foreign currency transaction losses were $203 thousand. For the year ended December 31, 2023, net foreign currency transaction gains were $9 thousand.</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(q) Income Taxes</w:t>
      </w:r>
    </w:p>
    <w:p>
      <w:pPr>
        <w:spacing w:after="0" w:line="225" w:lineRule="exact"/>
        <w:rPr>
          <w:sz w:val="20"/>
          <w:szCs w:val="20"/>
          <w:color w:val="auto"/>
        </w:rPr>
      </w:pPr>
    </w:p>
    <w:p>
      <w:pPr>
        <w:jc w:val="both"/>
        <w:ind w:left="20" w:right="580"/>
        <w:spacing w:after="0" w:line="274" w:lineRule="auto"/>
        <w:rPr>
          <w:sz w:val="20"/>
          <w:szCs w:val="20"/>
          <w:color w:val="auto"/>
        </w:rPr>
      </w:pPr>
      <w:r>
        <w:rPr>
          <w:rFonts w:ascii="Times New Roman" w:cs="Times New Roman" w:eastAsia="Times New Roman" w:hAnsi="Times New Roman"/>
          <w:sz w:val="17"/>
          <w:szCs w:val="17"/>
          <w:color w:val="auto"/>
        </w:rPr>
        <w:t xml:space="preserve">We account for income taxes using the asset and liability method, as described in ASC Topic 740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ASC 740</w:t>
      </w:r>
      <w:r>
        <w:rPr>
          <w:rFonts w:ascii="Times New Roman" w:cs="Times New Roman" w:eastAsia="Times New Roman" w:hAnsi="Times New Roman"/>
          <w:sz w:val="17"/>
          <w:szCs w:val="17"/>
          <w:color w:val="auto"/>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w:t>
      </w:r>
    </w:p>
    <w:p>
      <w:pPr>
        <w:spacing w:after="0" w:line="1" w:lineRule="exact"/>
        <w:rPr>
          <w:sz w:val="20"/>
          <w:szCs w:val="20"/>
          <w:color w:val="auto"/>
        </w:rPr>
      </w:pPr>
    </w:p>
    <w:p>
      <w:pPr>
        <w:ind w:left="20" w:right="180"/>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See “</w:t>
      </w:r>
      <w:r>
        <w:rPr>
          <w:rFonts w:ascii="Times New Roman" w:cs="Times New Roman" w:eastAsia="Times New Roman" w:hAnsi="Times New Roman"/>
          <w:sz w:val="18"/>
          <w:szCs w:val="18"/>
          <w:b w:val="1"/>
          <w:bCs w:val="1"/>
          <w:color w:val="auto"/>
        </w:rPr>
        <w:t>Note (11) Income Taxes</w:t>
      </w:r>
      <w:r>
        <w:rPr>
          <w:rFonts w:ascii="Times New Roman" w:cs="Times New Roman" w:eastAsia="Times New Roman" w:hAnsi="Times New Roman"/>
          <w:sz w:val="18"/>
          <w:szCs w:val="18"/>
          <w:color w:val="auto"/>
        </w:rPr>
        <w:t>” for additional information.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 Net Earnings Per Common Share</w:t>
      </w:r>
    </w:p>
    <w:p>
      <w:pPr>
        <w:spacing w:after="0" w:line="229" w:lineRule="exact"/>
        <w:rPr>
          <w:sz w:val="20"/>
          <w:szCs w:val="20"/>
          <w:color w:val="auto"/>
        </w:rPr>
      </w:pPr>
    </w:p>
    <w:p>
      <w:pPr>
        <w:ind w:left="20" w:right="220"/>
        <w:spacing w:after="0" w:line="258" w:lineRule="auto"/>
        <w:rPr>
          <w:sz w:val="20"/>
          <w:szCs w:val="20"/>
          <w:color w:val="auto"/>
        </w:rPr>
      </w:pPr>
      <w:r>
        <w:rPr>
          <w:rFonts w:ascii="Times New Roman" w:cs="Times New Roman" w:eastAsia="Times New Roman" w:hAnsi="Times New Roman"/>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3" w:lineRule="exact"/>
        <w:rPr>
          <w:sz w:val="20"/>
          <w:szCs w:val="20"/>
          <w:color w:val="auto"/>
        </w:rPr>
      </w:pPr>
    </w:p>
    <w:p>
      <w:pPr>
        <w:jc w:val="both"/>
        <w:ind w:left="20" w:right="160"/>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2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6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12,151,913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11,461,399</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Unvested shares of restricted stock and employee stock options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87,245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318,513</w:t>
            </w:r>
          </w:p>
        </w:tc>
      </w:tr>
      <w:tr>
        <w:trPr>
          <w:trHeight w:val="20"/>
        </w:trPr>
        <w:tc>
          <w:tcPr>
            <w:tcW w:w="7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and common share equivalents outstanding–diluted</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12,239,158</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11,779,912</w:t>
            </w:r>
          </w:p>
        </w:tc>
      </w:tr>
      <w:tr>
        <w:trPr>
          <w:trHeight w:val="20"/>
        </w:trPr>
        <w:tc>
          <w:tcPr>
            <w:tcW w:w="7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number of potentially dilutive securities excluded from calculation</w:t>
            </w:r>
          </w:p>
        </w:tc>
        <w:tc>
          <w:tcPr>
            <w:tcW w:w="17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612,794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140,079</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 Effect of Recently Adopted Amendments to Authoritative Accounting Guidance</w:t>
      </w:r>
    </w:p>
    <w:p>
      <w:pPr>
        <w:spacing w:after="0" w:line="225" w:lineRule="exact"/>
        <w:rPr>
          <w:sz w:val="20"/>
          <w:szCs w:val="20"/>
          <w:color w:val="auto"/>
        </w:rPr>
      </w:pPr>
    </w:p>
    <w:p>
      <w:pPr>
        <w:ind w:left="20" w:right="100"/>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w:t>
      </w:r>
      <w:r>
        <w:rPr>
          <w:rFonts w:ascii="Times New Roman" w:cs="Times New Roman" w:eastAsia="Times New Roman" w:hAnsi="Times New Roman"/>
          <w:sz w:val="18"/>
          <w:szCs w:val="18"/>
          <w:b w:val="1"/>
          <w:bCs w:val="1"/>
          <w:u w:val="single" w:color="auto"/>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u w:val="single" w:color="auto"/>
          <w:color w:val="auto"/>
        </w:rPr>
        <w:t>ASU</w:t>
      </w:r>
      <w:r>
        <w:rPr>
          <w:rFonts w:ascii="Times New Roman" w:cs="Times New Roman" w:eastAsia="Times New Roman" w:hAnsi="Times New Roman"/>
          <w:sz w:val="18"/>
          <w:szCs w:val="18"/>
          <w:color w:val="auto"/>
        </w:rPr>
        <w:t xml:space="preserve">”)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ASU 2023-07</w:t>
      </w:r>
      <w:r>
        <w:rPr>
          <w:rFonts w:ascii="Times New Roman" w:cs="Times New Roman" w:eastAsia="Times New Roman" w:hAnsi="Times New Roman"/>
          <w:sz w:val="18"/>
          <w:szCs w:val="18"/>
          <w:color w:val="auto"/>
        </w:rPr>
        <w:t>”) which amends the guidance for disclosures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segments. ASU 2023-07 introduced new requirements to disclose significant segment expenses regularly provided to the chief operating decision maker (“</w:t>
      </w:r>
      <w:r>
        <w:rPr>
          <w:rFonts w:ascii="Times New Roman" w:cs="Times New Roman" w:eastAsia="Times New Roman" w:hAnsi="Times New Roman"/>
          <w:sz w:val="18"/>
          <w:szCs w:val="18"/>
          <w:b w:val="1"/>
          <w:bCs w:val="1"/>
          <w:u w:val="single" w:color="auto"/>
          <w:color w:val="auto"/>
        </w:rPr>
        <w:t>CODM</w:t>
      </w:r>
      <w:r>
        <w:rPr>
          <w:rFonts w:ascii="Times New Roman" w:cs="Times New Roman" w:eastAsia="Times New Roman" w:hAnsi="Times New Roman"/>
          <w:sz w:val="18"/>
          <w:szCs w:val="18"/>
          <w:color w:val="auto"/>
        </w:rPr>
        <w:t xml:space="preserve">”), extends certain annual disclosures to interim periods, clarifies that single reportable segment entities must apply ASC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in its entirety, permits more than one measure of segment profit or loss to be reported under certain conditions, and requires disclosure of the title and position of the CODM. Our adoption of ASU 2023-07 had no impact on our consolidated financial statements. We have retrospectively applied the amendments to our annual footnote disclosures for the years presented and will apply the amendments to our interim footnote disclosures beginning January 1, 2025 as permitted.</w:t>
      </w:r>
    </w:p>
    <w:p>
      <w:pPr>
        <w:spacing w:after="0" w:line="18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76" w:right="259" w:bottom="1440" w:gutter="0" w:footer="0" w:header="0"/>
        </w:sectPr>
      </w:pPr>
    </w:p>
    <w:bookmarkStart w:id="64" w:name="page65"/>
    <w:bookmarkEnd w:id="64"/>
    <w:p>
      <w:pPr>
        <w:ind w:left="6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 Effect of Recently Issued Amendments to Authoritative Accounting Guidance Not Yet Adopted</w:t>
      </w:r>
    </w:p>
    <w:p>
      <w:pPr>
        <w:spacing w:after="0" w:line="227" w:lineRule="exact"/>
        <w:rPr>
          <w:sz w:val="20"/>
          <w:szCs w:val="20"/>
          <w:color w:val="auto"/>
        </w:rPr>
      </w:pPr>
    </w:p>
    <w:p>
      <w:pPr>
        <w:ind w:left="680" w:right="40"/>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Reporting Comprehensive Income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ASU 2024-03</w:t>
      </w:r>
      <w:r>
        <w:rPr>
          <w:rFonts w:ascii="Times New Roman" w:cs="Times New Roman" w:eastAsia="Times New Roman" w:hAnsi="Times New Roman"/>
          <w:sz w:val="17"/>
          <w:szCs w:val="17"/>
          <w:color w:val="auto"/>
        </w:rPr>
        <w:t>”) that requires additional disclosure of certain costs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including amounts of inventory purchases, employee compensation, and depreciation and amortization included in each income statement line item. ASU 2024-03 also requires disclosure of the total amount of selling expenses and our definition of selling expenses. This update is effective for fiscal years beginning after December 15, 2026, and for interim periods beginning after December 15, 2027, and may be adopted on a prospective basis at the effective date or retrospectively applied to all periods presented. We do not believe there will be any impact on our financial statements and are evaluating the impact of the amendments on footnote disclosures to our consolidated financial statements.</w:t>
      </w:r>
    </w:p>
    <w:p>
      <w:pPr>
        <w:spacing w:after="0" w:line="169" w:lineRule="exact"/>
        <w:rPr>
          <w:sz w:val="20"/>
          <w:szCs w:val="20"/>
          <w:color w:val="auto"/>
        </w:rPr>
      </w:pPr>
    </w:p>
    <w:p>
      <w:pPr>
        <w:ind w:left="680" w:right="60"/>
        <w:spacing w:after="0" w:line="273" w:lineRule="auto"/>
        <w:rPr>
          <w:sz w:val="20"/>
          <w:szCs w:val="20"/>
          <w:color w:val="auto"/>
        </w:rPr>
      </w:pPr>
      <w:r>
        <w:rPr>
          <w:rFonts w:ascii="Times New Roman" w:cs="Times New Roman" w:eastAsia="Times New Roman" w:hAnsi="Times New Roman"/>
          <w:sz w:val="17"/>
          <w:szCs w:val="17"/>
          <w:color w:val="auto"/>
        </w:rPr>
        <w:t>In March 2024, the Securities and Exchange Commission (“</w:t>
      </w:r>
      <w:r>
        <w:rPr>
          <w:rFonts w:ascii="Times New Roman" w:cs="Times New Roman" w:eastAsia="Times New Roman" w:hAnsi="Times New Roman"/>
          <w:sz w:val="17"/>
          <w:szCs w:val="17"/>
          <w:b w:val="1"/>
          <w:bCs w:val="1"/>
          <w:u w:val="single" w:color="auto"/>
          <w:color w:val="auto"/>
        </w:rPr>
        <w:t>SEC</w:t>
      </w:r>
      <w:r>
        <w:rPr>
          <w:rFonts w:ascii="Times New Roman" w:cs="Times New Roman" w:eastAsia="Times New Roman" w:hAnsi="Times New Roman"/>
          <w:sz w:val="17"/>
          <w:szCs w:val="17"/>
          <w:color w:val="auto"/>
        </w:rPr>
        <w:t xml:space="preserve">”) issued a new final rule in Release 33-11275, </w:t>
      </w:r>
      <w:r>
        <w:rPr>
          <w:rFonts w:ascii="Times New Roman" w:cs="Times New Roman" w:eastAsia="Times New Roman" w:hAnsi="Times New Roman"/>
          <w:sz w:val="17"/>
          <w:szCs w:val="17"/>
          <w:i w:val="1"/>
          <w:iCs w:val="1"/>
          <w:color w:val="auto"/>
        </w:rPr>
        <w:t>The Enhancement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Standardization of Climate-Related Disclosures for Investors</w:t>
      </w:r>
      <w:r>
        <w:rPr>
          <w:rFonts w:ascii="Times New Roman" w:cs="Times New Roman" w:eastAsia="Times New Roman" w:hAnsi="Times New Roman"/>
          <w:sz w:val="17"/>
          <w:szCs w:val="17"/>
          <w:color w:val="auto"/>
        </w:rPr>
        <w:t>, which requires the inclusion of climate-related information in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Therefore, the implementation dates are currently on hold. We are monitoring SEC developments and evaluating the impact of the new rule on its financial statements.</w:t>
      </w:r>
    </w:p>
    <w:p>
      <w:pPr>
        <w:spacing w:after="0" w:line="171" w:lineRule="exact"/>
        <w:rPr>
          <w:sz w:val="20"/>
          <w:szCs w:val="20"/>
          <w:color w:val="auto"/>
        </w:rPr>
      </w:pPr>
    </w:p>
    <w:p>
      <w:pPr>
        <w:ind w:left="680" w:right="18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ASU 2023-09</w:t>
      </w:r>
      <w:r>
        <w:rPr>
          <w:rFonts w:ascii="Times New Roman" w:cs="Times New Roman" w:eastAsia="Times New Roman" w:hAnsi="Times New Roman"/>
          <w:sz w:val="18"/>
          <w:szCs w:val="18"/>
          <w:color w:val="auto"/>
        </w:rPr>
        <w:t>”).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do not believe there will be any impact on our financial statements and are evaluating the impact of the amendments on footnote disclosures to our consolidated financial statements.</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 Subsequent Events</w:t>
      </w:r>
    </w:p>
    <w:p>
      <w:pPr>
        <w:spacing w:after="0" w:line="229"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We have assessed our operations and determined that there were no material subsequent events requiring adjustment to, or disclosure in, our consolidated financial statements for the year ended December 31, 2024 other than those described in “</w:t>
      </w:r>
      <w:r>
        <w:rPr>
          <w:rFonts w:ascii="Times New Roman" w:cs="Times New Roman" w:eastAsia="Times New Roman" w:hAnsi="Times New Roman"/>
          <w:sz w:val="18"/>
          <w:szCs w:val="18"/>
          <w:b w:val="1"/>
          <w:bCs w:val="1"/>
          <w:color w:val="auto"/>
        </w:rPr>
        <w:t>Note (19) Subsequent Events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5" w:lineRule="exact"/>
        <w:rPr>
          <w:rFonts w:ascii="Times New Roman" w:cs="Times New Roman" w:eastAsia="Times New Roman" w:hAnsi="Times New Roman"/>
          <w:sz w:val="18"/>
          <w:szCs w:val="18"/>
          <w:b w:val="1"/>
          <w:bCs w:val="1"/>
          <w:color w:val="auto"/>
        </w:rPr>
      </w:pPr>
    </w:p>
    <w:p>
      <w:pPr>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12, 2024, we completed the acquisition of Alfamation S.p.A., an Italian joint-stock company (“</w:t>
      </w:r>
      <w:r>
        <w:rPr>
          <w:rFonts w:ascii="Times New Roman" w:cs="Times New Roman" w:eastAsia="Times New Roman" w:hAnsi="Times New Roman"/>
          <w:sz w:val="18"/>
          <w:szCs w:val="18"/>
          <w:b w:val="1"/>
          <w:bCs w:val="1"/>
          <w:u w:val="single" w:color="auto"/>
          <w:color w:val="auto"/>
        </w:rPr>
        <w:t>Alfamation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headquartered in Milan, Italy. Alfamation™ is a leading global provider of state-of-the-art test and measurement solutions for the automotive, life sciences and specialty consumer electronics markets. Alfamation™ is included in our Electronic Test operating segment. The acquisition of Alfamation™ deepens our presence in the automotive/EV and life science markets, expands our exposure in consumer electronics, extends our geographic reach with a sizable footprint in Europe, and widens our portfolio of products and solutions. Additionally, we believe Alfamation™ brings engineering talent and a management team that culturally aligns with our mission to provide innovative, engineered solutions that address the high-value challenges of our customers. The aggregate purchase price was approximately €20 million comprised of: (i) €18 million, or $19.7 million, in cash; and (ii) 187,432 shares of our common stock, valued at $2.1 million based on the closing price of our stock on the date of acquisition. The cash portion of the purchase price was subject to customary working capital adjustments. These adjustments were finalized in June 2024 and resulted in recording an additional €129 thousand, or $141 thousand of cash purchase price for assets delivered at closing in excess of agreed upon thresholds. The liabilities assumed in connection with the acquisition included debt of approximately €10.3 million, or $11.3 million. The debt assumed is discussed further in “</w:t>
      </w:r>
      <w:r>
        <w:rPr>
          <w:rFonts w:ascii="Times New Roman" w:cs="Times New Roman" w:eastAsia="Times New Roman" w:hAnsi="Times New Roman"/>
          <w:sz w:val="18"/>
          <w:szCs w:val="18"/>
          <w:b w:val="1"/>
          <w:bCs w:val="1"/>
          <w:color w:val="auto"/>
        </w:rPr>
        <w:t>Note (10) Debt.</w:t>
      </w:r>
      <w:r>
        <w:rPr>
          <w:rFonts w:ascii="Times New Roman" w:cs="Times New Roman" w:eastAsia="Times New Roman" w:hAnsi="Times New Roman"/>
          <w:sz w:val="18"/>
          <w:szCs w:val="18"/>
          <w:color w:val="auto"/>
        </w:rPr>
        <w:t>” Total acquisition costs incurred to complete this transaction were $1.2 million. Acquisition costs were expensed as incurred and included in general and administrative expense.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spacing w:after="0" w:line="254" w:lineRule="auto"/>
        <w:rPr>
          <w:sz w:val="20"/>
          <w:szCs w:val="20"/>
          <w:color w:val="auto"/>
        </w:rPr>
      </w:pPr>
      <w:r>
        <w:rPr>
          <w:rFonts w:ascii="Times New Roman" w:cs="Times New Roman" w:eastAsia="Times New Roman" w:hAnsi="Times New Roman"/>
          <w:sz w:val="18"/>
          <w:szCs w:val="18"/>
          <w:color w:val="auto"/>
        </w:rPr>
        <w:t>This acquisition has been accounted for as a business combination using purchase accounting, and, accordingly, the results of Alfamation™ have been included in our consolidated results of operations from the date of acquisition. During the fourth quarter of 2024 we completed our allocation of the estimated fair values as of March 12, 2024, with final adjustments made primarily to inventories, identifiable intangible assets and goodwill. The “inventory step-up” of approximately $1.6 million was the most significant adjustment. Partially offsetting the decrease in customer backlog were increases to acquired technology and customer relationships. Other less significant changes affected property and equipment, other current assets, accrued expenses and deferred tax liability. 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the net assets acquired, and net liabilities assumed, has been allocated as follows: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12, 2024</w:t>
            </w:r>
          </w:p>
        </w:tc>
        <w:tc>
          <w:tcPr>
            <w:tcW w:w="100" w:type="dxa"/>
            <w:vAlign w:val="bottom"/>
          </w:tcPr>
          <w:p>
            <w:pPr>
              <w:spacing w:after="0"/>
              <w:rPr>
                <w:sz w:val="24"/>
                <w:szCs w:val="24"/>
                <w:color w:val="auto"/>
              </w:rPr>
            </w:pPr>
          </w:p>
        </w:tc>
      </w:tr>
      <w:tr>
        <w:trPr>
          <w:trHeight w:val="20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13,332</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acquired and liabilities assumed: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6,061</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13,117</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(4,669)</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(current and long-term)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(3,052)</w:t>
            </w:r>
          </w:p>
        </w:tc>
      </w:tr>
      <w:tr>
        <w:trPr>
          <w:trHeight w:val="20"/>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21,901</w:t>
            </w:r>
          </w:p>
        </w:tc>
      </w:tr>
      <w:tr>
        <w:trPr>
          <w:trHeight w:val="20"/>
        </w:trPr>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Alfamation™’s identifiable intangible assets and their estimated useful lives as of the acquisition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0" w:type="dxa"/>
            <w:vAlign w:val="bottom"/>
            <w:vMerge w:val="restart"/>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8,196</w:t>
            </w: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Technology</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11,365</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name</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13,332</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For the period from March 13, 2024, to December 31, 2024, Alfamation™ contributed $25.0 million of revenue and had a net loss of $621 thousand.</w:t>
      </w:r>
    </w:p>
    <w:p>
      <w:pPr>
        <w:spacing w:after="0" w:line="16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66" w:name="page67"/>
    <w:bookmarkEnd w:id="66"/>
    <w:p>
      <w:pPr>
        <w:ind w:left="660" w:right="26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information gives effect to the acquisition of Alfamation™ as if the acquisition occurred on January 1, 2023.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80" w:type="dxa"/>
            <w:vAlign w:val="bottom"/>
            <w:vMerge w:val="restart"/>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135,753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150,548</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2,848</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11,560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pro forma results shown above do not reflect the impact on general and administrative expense of investment advisory costs, legal costs and other costs of $1.2 million incurred by us as a direct result of the transaction.</w:t>
      </w:r>
    </w:p>
    <w:p>
      <w:pPr>
        <w:spacing w:after="0" w:line="158" w:lineRule="exact"/>
        <w:rPr>
          <w:sz w:val="20"/>
          <w:szCs w:val="20"/>
          <w:color w:val="auto"/>
        </w:rPr>
      </w:pPr>
    </w:p>
    <w:p>
      <w:pPr>
        <w:ind w:left="680"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acquisition, we entered into a lease agreement (the “</w:t>
      </w:r>
      <w:r>
        <w:rPr>
          <w:rFonts w:ascii="Times New Roman" w:cs="Times New Roman" w:eastAsia="Times New Roman" w:hAnsi="Times New Roman"/>
          <w:sz w:val="18"/>
          <w:szCs w:val="18"/>
          <w:b w:val="1"/>
          <w:bCs w:val="1"/>
          <w:u w:val="single" w:color="auto"/>
          <w:color w:val="auto"/>
        </w:rPr>
        <w:t>Lease Agreement</w:t>
      </w:r>
      <w:r>
        <w:rPr>
          <w:rFonts w:ascii="Times New Roman" w:cs="Times New Roman" w:eastAsia="Times New Roman" w:hAnsi="Times New Roman"/>
          <w:sz w:val="18"/>
          <w:szCs w:val="18"/>
          <w:color w:val="auto"/>
        </w:rPr>
        <w:t>”) with the former owner of Alfamation™ who will continue to serve as the managing director of Alfamation™ under our ownership. The Lease Agreement commenced on March 12, 2024, and will last for six years. It will be automatically renewed for the same period of time unless terminated by either party. Under the terms of the Lease Agreement, Alfamation will lease warehouse and office space totaling about 52 thousand square feet. Alfamation™ will pay a yearly lease payment of €260 thousand broken up into two equal payments. At the date of the signing of the Lease Agreement, the yearly lease payment equated to approximately $284 thousand.</w:t>
      </w:r>
    </w:p>
    <w:p>
      <w:pPr>
        <w:spacing w:after="0" w:line="209" w:lineRule="exact"/>
        <w:rPr>
          <w:sz w:val="20"/>
          <w:szCs w:val="20"/>
          <w:color w:val="auto"/>
        </w:rPr>
      </w:pPr>
    </w:p>
    <w:p>
      <w:pPr>
        <w:ind w:left="680" w:right="7920" w:hanging="672"/>
        <w:spacing w:after="0" w:line="530" w:lineRule="auto"/>
        <w:tabs>
          <w:tab w:leader="none" w:pos="662"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u w:val="single" w:color="auto"/>
          <w:color w:val="auto"/>
        </w:rPr>
        <w:t>Recurring Fair Value Measurements</w:t>
      </w:r>
    </w:p>
    <w:p>
      <w:pPr>
        <w:ind w:left="680" w:right="18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interest rate swap agreement we entered into in connection with our Term Note, as discussed further in “</w:t>
      </w:r>
      <w:r>
        <w:rPr>
          <w:rFonts w:ascii="Times New Roman" w:cs="Times New Roman" w:eastAsia="Times New Roman" w:hAnsi="Times New Roman"/>
          <w:sz w:val="18"/>
          <w:szCs w:val="18"/>
          <w:b w:val="1"/>
          <w:bCs w:val="1"/>
          <w:color w:val="auto"/>
        </w:rPr>
        <w:t>Note (2)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Accounting Policies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Note (10) Debt</w:t>
      </w:r>
      <w:r>
        <w:rPr>
          <w:rFonts w:ascii="Times New Roman" w:cs="Times New Roman" w:eastAsia="Times New Roman" w:hAnsi="Times New Roman"/>
          <w:sz w:val="18"/>
          <w:szCs w:val="18"/>
          <w:color w:val="auto"/>
        </w:rPr>
        <w:t>,”, is measured at fair value on a recurring basis using Level 2 inputs. The contingent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on our balance sheets is measured at fair value on a recurring basis using Level 3 inputs. Our contingent consideration liability is a result of our acquisition of Acculogic on December 21, 2021, and represents the estimated fair value of the additional cash consideration payable that is contingent upon sales to Electric Vehicle (“</w:t>
      </w:r>
      <w:r>
        <w:rPr>
          <w:rFonts w:ascii="Times New Roman" w:cs="Times New Roman" w:eastAsia="Times New Roman" w:hAnsi="Times New Roman"/>
          <w:sz w:val="18"/>
          <w:szCs w:val="18"/>
          <w:b w:val="1"/>
          <w:bCs w:val="1"/>
          <w:u w:val="single" w:color="auto"/>
          <w:color w:val="auto"/>
        </w:rPr>
        <w:t>EV</w:t>
      </w:r>
      <w:r>
        <w:rPr>
          <w:rFonts w:ascii="Times New Roman" w:cs="Times New Roman" w:eastAsia="Times New Roman" w:hAnsi="Times New Roman"/>
          <w:sz w:val="18"/>
          <w:szCs w:val="18"/>
          <w:color w:val="auto"/>
        </w:rPr>
        <w:t>”) or battery customers. During the years ended December 31, 2024 and 2023, we adjusted the liability down $123 thousand and $294 thousand due to a reduction in our forecast for sales to EV and battery customers in the five-year period following the acquisition. During the year ended December 31, 2024, we classified a portion of the liability as current. As of December 31, 2023, the entire liability was classified as long-term. The changes to this contingent consideration liability are included within general and administrative expenses on our statement of operations.</w:t>
      </w:r>
    </w:p>
    <w:p>
      <w:pPr>
        <w:spacing w:after="0" w:line="192" w:lineRule="exact"/>
        <w:rPr>
          <w:rFonts w:ascii="Times New Roman" w:cs="Times New Roman" w:eastAsia="Times New Roman" w:hAnsi="Times New Roman"/>
          <w:sz w:val="17"/>
          <w:szCs w:val="17"/>
          <w:b w:val="1"/>
          <w:bCs w:val="1"/>
          <w:color w:val="auto"/>
        </w:rPr>
      </w:pPr>
    </w:p>
    <w:p>
      <w:pPr>
        <w:ind w:left="6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fair value hierarchy table presents information about assets and (liabilities) measured at fair value on a recurring basis: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Amounts at</w:t>
            </w:r>
          </w:p>
        </w:tc>
        <w:tc>
          <w:tcPr>
            <w:tcW w:w="200" w:type="dxa"/>
            <w:vAlign w:val="bottom"/>
          </w:tcPr>
          <w:p>
            <w:pPr>
              <w:spacing w:after="0"/>
              <w:rPr>
                <w:sz w:val="20"/>
                <w:szCs w:val="20"/>
                <w:color w:val="auto"/>
              </w:rPr>
            </w:pPr>
          </w:p>
        </w:tc>
        <w:tc>
          <w:tcPr>
            <w:tcW w:w="382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long-term liability – Acculogic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current liability – Acculogic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Amounts at</w:t>
            </w:r>
          </w:p>
        </w:tc>
        <w:tc>
          <w:tcPr>
            <w:tcW w:w="200" w:type="dxa"/>
            <w:vAlign w:val="bottom"/>
          </w:tcPr>
          <w:p>
            <w:pPr>
              <w:spacing w:after="0"/>
              <w:rPr>
                <w:sz w:val="20"/>
                <w:szCs w:val="20"/>
                <w:color w:val="auto"/>
              </w:rPr>
            </w:pPr>
          </w:p>
        </w:tc>
        <w:tc>
          <w:tcPr>
            <w:tcW w:w="382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 – Acculogic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Changes in the fair value of our Level 3 contingent consideration liabilities for the years ended December 31,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Contingent Consideration Liability Balance - January 1, 2023</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contingent consideration liability in connection with the acquisition of Acculogic</w:t>
            </w:r>
          </w:p>
        </w:tc>
        <w:tc>
          <w:tcPr>
            <w:tcW w:w="6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6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90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Contingent Consideration Liability Balance - December 31, 2023</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contingent consideration liability in connection with the acquisition of Acculogic</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6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66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Contingent Consideration Liability Balance – December 31, 2024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9060" w:type="dxa"/>
            <w:vAlign w:val="bottom"/>
            <w:tcBorders>
              <w:top w:val="single" w:sz="8" w:color="CCEEFF"/>
            </w:tcBorders>
          </w:tcPr>
          <w:p>
            <w:pPr>
              <w:ind w:left="4800"/>
              <w:spacing w:after="0"/>
              <w:rPr>
                <w:sz w:val="20"/>
                <w:szCs w:val="20"/>
                <w:color w:val="auto"/>
              </w:rPr>
            </w:pPr>
            <w:r>
              <w:rPr>
                <w:rFonts w:ascii="Times New Roman" w:cs="Times New Roman" w:eastAsia="Times New Roman" w:hAnsi="Times New Roman"/>
                <w:sz w:val="18"/>
                <w:szCs w:val="18"/>
                <w:color w:val="auto"/>
              </w:rPr>
              <w:t>F-22</w:t>
            </w:r>
          </w:p>
        </w:tc>
        <w:tc>
          <w:tcPr>
            <w:tcW w:w="6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ectPr>
          <w:pgSz w:w="11900" w:h="16838" w:orient="portrait"/>
          <w:cols w:equalWidth="0" w:num="1">
            <w:col w:w="11320"/>
          </w:cols>
          <w:pgMar w:left="320" w:top="580" w:right="259" w:bottom="1440" w:gutter="0" w:footer="0" w:header="0"/>
        </w:sectPr>
      </w:pPr>
    </w:p>
    <w:bookmarkStart w:id="67" w:name="page68"/>
    <w:bookmarkEnd w:id="67"/>
    <w:p>
      <w:pPr>
        <w:ind w:left="652" w:hanging="652"/>
        <w:spacing w:after="0"/>
        <w:tabs>
          <w:tab w:leader="none" w:pos="6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rFonts w:ascii="Times New Roman" w:cs="Times New Roman" w:eastAsia="Times New Roman" w:hAnsi="Times New Roman"/>
          <w:sz w:val="18"/>
          <w:szCs w:val="18"/>
          <w:b w:val="1"/>
          <w:bCs w:val="1"/>
          <w:color w:val="auto"/>
        </w:rPr>
      </w:pPr>
    </w:p>
    <w:p>
      <w:pPr>
        <w:ind w:left="672"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three operating segments which are also our reporting units: Electronic Test, Environmental Technologies and Process Technologies. Goodwill and intangible assets on our balance sheets are the result of our acquisitions.</w:t>
      </w:r>
    </w:p>
    <w:p>
      <w:pPr>
        <w:spacing w:after="0" w:line="157" w:lineRule="exact"/>
        <w:rPr>
          <w:rFonts w:ascii="Times New Roman" w:cs="Times New Roman" w:eastAsia="Times New Roman" w:hAnsi="Times New Roman"/>
          <w:sz w:val="18"/>
          <w:szCs w:val="18"/>
          <w:b w:val="1"/>
          <w:bCs w:val="1"/>
          <w:color w:val="auto"/>
        </w:rPr>
      </w:pPr>
    </w:p>
    <w:p>
      <w:pPr>
        <w:ind w:left="6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6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amount of the carrying value of goodwill for the years ended December 31, 2024 and 2023 are as follows:</w:t>
      </w:r>
    </w:p>
    <w:p>
      <w:pPr>
        <w:spacing w:after="0" w:line="221" w:lineRule="exact"/>
        <w:rPr>
          <w:sz w:val="20"/>
          <w:szCs w:val="20"/>
          <w:color w:val="auto"/>
        </w:rPr>
      </w:pPr>
    </w:p>
    <w:tbl>
      <w:tblPr>
        <w:tblLayout w:type="fixed"/>
        <w:tblInd w:w="652"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Alfamation acquisition (Electronic Test segment)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 (all goodwill)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30,744</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was comprised of the following:</w:t>
            </w: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16,475</w:t>
            </w:r>
          </w:p>
        </w:tc>
        <w:tc>
          <w:tcPr>
            <w:tcW w:w="0" w:type="dxa"/>
            <w:vAlign w:val="bottom"/>
          </w:tcPr>
          <w:p>
            <w:pPr>
              <w:spacing w:after="0"/>
              <w:rPr>
                <w:sz w:val="1"/>
                <w:szCs w:val="1"/>
                <w:color w:val="auto"/>
              </w:rPr>
            </w:pP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220" w:type="dxa"/>
            <w:vAlign w:val="bottom"/>
          </w:tcPr>
          <w:p>
            <w:pPr>
              <w:spacing w:after="0"/>
              <w:rPr>
                <w:sz w:val="18"/>
                <w:szCs w:val="18"/>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Assets</w:t>
      </w:r>
    </w:p>
    <w:p>
      <w:pPr>
        <w:spacing w:after="0" w:line="229"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Changes in the amount of the carrying value of indefinite-lived intangible assets for the year ended December 31, 2024 and 2023 are as follows:</w:t>
      </w:r>
    </w:p>
    <w:p>
      <w:pPr>
        <w:sectPr>
          <w:pgSz w:w="11900" w:h="16838" w:orient="portrait"/>
          <w:cols w:equalWidth="0" w:num="1">
            <w:col w:w="11312"/>
          </w:cols>
          <w:pgMar w:left="328" w:top="819" w:right="259" w:bottom="1440" w:gutter="0" w:footer="0" w:header="0"/>
        </w:sectPr>
      </w:pPr>
    </w:p>
    <w:p>
      <w:pPr>
        <w:spacing w:after="0" w:line="2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19685</wp:posOffset>
            </wp:positionV>
            <wp:extent cx="67722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 January 1, 2023</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Impact of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21590</wp:posOffset>
            </wp:positionV>
            <wp:extent cx="67722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Alfamation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77227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7"/>
          <w:szCs w:val="17"/>
          <w:color w:val="auto"/>
        </w:rPr>
        <w:t>Impact of foreign currency translation adjustments</w:t>
      </w:r>
    </w:p>
    <w:p>
      <w:pPr>
        <w:spacing w:after="0" w:line="5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1100" w:hanging="1092"/>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8,369</w:t>
      </w:r>
    </w:p>
    <w:p>
      <w:pPr>
        <w:spacing w:after="0" w:line="2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951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8,398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1,967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(190)</w:t>
      </w:r>
    </w:p>
    <w:p>
      <w:pPr>
        <w:spacing w:after="0" w:line="9" w:lineRule="exact"/>
        <w:rPr>
          <w:sz w:val="20"/>
          <w:szCs w:val="20"/>
          <w:color w:val="auto"/>
        </w:rPr>
      </w:pPr>
    </w:p>
    <w:p>
      <w:pPr>
        <w:ind w:left="1020" w:hanging="101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51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951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92" w:space="720"/>
            <w:col w:w="1600"/>
          </w:cols>
          <w:pgMar w:left="328" w:top="819" w:right="259" w:bottom="1440" w:gutter="0" w:footer="0" w:header="0"/>
          <w:type w:val="continuous"/>
        </w:sectPr>
      </w:pPr>
    </w:p>
    <w:p>
      <w:pPr>
        <w:spacing w:after="0" w:line="25"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7"/>
          <w:szCs w:val="17"/>
          <w:color w:val="auto"/>
        </w:rPr>
        <w:t>Changes in the amount of the carrying value of finite-lived intangible assets for the years ended December 31, 2024 and 2023 are as follows:</w:t>
      </w:r>
    </w:p>
    <w:p>
      <w:pPr>
        <w:sectPr>
          <w:pgSz w:w="11900" w:h="16838" w:orient="portrait"/>
          <w:cols w:equalWidth="0" w:num="1">
            <w:col w:w="11312"/>
          </w:cols>
          <w:pgMar w:left="328" w:top="819" w:right="259" w:bottom="1440" w:gutter="0" w:footer="0" w:header="0"/>
          <w:type w:val="continuous"/>
        </w:sectPr>
      </w:pPr>
    </w:p>
    <w:p>
      <w:pPr>
        <w:spacing w:after="0" w:line="23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19685</wp:posOffset>
            </wp:positionV>
            <wp:extent cx="677227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 January 1, 2023</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77227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Amortization</w:t>
      </w:r>
    </w:p>
    <w:p>
      <w:pPr>
        <w:spacing w:after="0" w:line="2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7722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Alfamation™ acquisition</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77227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Amortization</w:t>
      </w:r>
    </w:p>
    <w:p>
      <w:pPr>
        <w:spacing w:after="0" w:line="4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25"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1020" w:hanging="101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10,190</w:t>
      </w:r>
    </w:p>
    <w:p>
      <w:pPr>
        <w:spacing w:after="0" w:line="27"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(2,094)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8,198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11,365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(817)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(2,545)</w:t>
      </w:r>
    </w:p>
    <w:p>
      <w:pPr>
        <w:spacing w:after="0" w:line="9" w:lineRule="exact"/>
        <w:rPr>
          <w:sz w:val="20"/>
          <w:szCs w:val="20"/>
          <w:color w:val="auto"/>
        </w:rPr>
      </w:pPr>
    </w:p>
    <w:p>
      <w:pPr>
        <w:ind w:left="1020" w:hanging="101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518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951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ectPr>
          <w:pgSz w:w="11900" w:h="16838" w:orient="portrait"/>
          <w:cols w:equalWidth="0" w:num="2">
            <w:col w:w="8992" w:space="720"/>
            <w:col w:w="1600"/>
          </w:cols>
          <w:pgMar w:left="328" w:top="819" w:right="259" w:bottom="1440" w:gutter="0" w:footer="0" w:header="0"/>
          <w:type w:val="continuous"/>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color w:val="auto"/>
        </w:rPr>
        <w:t>The following tables provide further detail about our intangible assets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23,912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12,416</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3,785</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10,175</w:t>
            </w: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26,376</w:t>
            </w:r>
          </w:p>
        </w:tc>
      </w:tr>
      <w:tr>
        <w:trPr>
          <w:trHeight w:val="413"/>
        </w:trPr>
        <w:tc>
          <w:tcPr>
            <w:tcW w:w="404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87"/>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16,407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8,398</w:t>
            </w: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29,199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16,596</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the estimated annual amortization expense for each of the next five years and thereafter at December 31, 2024:</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6,011</w:t>
            </w:r>
          </w:p>
        </w:tc>
      </w:tr>
      <w:tr>
        <w:trPr>
          <w:trHeight w:val="20"/>
        </w:trPr>
        <w:tc>
          <w:tcPr>
            <w:tcW w:w="6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of finite-lived intangible assets</w:t>
            </w:r>
          </w:p>
        </w:tc>
        <w:tc>
          <w:tcPr>
            <w:tcW w:w="2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16,201</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Impairment of Goodwill and Indefinite Life Intangible Assets</w:t>
      </w:r>
    </w:p>
    <w:p>
      <w:pPr>
        <w:spacing w:after="0" w:line="229" w:lineRule="exact"/>
        <w:rPr>
          <w:sz w:val="20"/>
          <w:szCs w:val="20"/>
          <w:color w:val="auto"/>
        </w:rPr>
      </w:pPr>
    </w:p>
    <w:p>
      <w:pPr>
        <w:ind w:left="20" w:right="100"/>
        <w:spacing w:after="0" w:line="270" w:lineRule="auto"/>
        <w:rPr>
          <w:sz w:val="20"/>
          <w:szCs w:val="20"/>
          <w:color w:val="auto"/>
        </w:rPr>
      </w:pPr>
      <w:r>
        <w:rPr>
          <w:rFonts w:ascii="Times New Roman" w:cs="Times New Roman" w:eastAsia="Times New Roman" w:hAnsi="Times New Roman"/>
          <w:sz w:val="17"/>
          <w:szCs w:val="17"/>
          <w:color w:val="auto"/>
        </w:rPr>
        <w:t>During October 2024 and 2023, we assessed our goodwill and indefinite life intangible asset for impairment in accordance with the requirements of ASC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 used in 2024 for the discounted cash flows ranged between 19.5% and 20.5% depending on the reporting unit. The discount rate used in 2023 for the discounted cash flows ranged between 14.5% and 16.0% depending on the reporting unit. The selection of the rates in each year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sectPr>
      </w:pPr>
    </w:p>
    <w:bookmarkStart w:id="69" w:name="page70"/>
    <w:bookmarkEnd w:id="69"/>
    <w:p>
      <w:pPr>
        <w:ind w:left="680"/>
        <w:spacing w:after="0"/>
        <w:rPr>
          <w:sz w:val="20"/>
          <w:szCs w:val="20"/>
          <w:color w:val="auto"/>
        </w:rPr>
      </w:pPr>
      <w:r>
        <w:rPr>
          <w:rFonts w:ascii="Times New Roman" w:cs="Times New Roman" w:eastAsia="Times New Roman" w:hAnsi="Times New Roman"/>
          <w:sz w:val="18"/>
          <w:szCs w:val="18"/>
          <w:color w:val="auto"/>
        </w:rPr>
        <w:t>During the goodwill impairment assessment in both 2024 and 2023, we compared the fair value of our reporting units with their carrying values.</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assessment indicated no impairment existed as the fair value of the reporting units exceeded their carrying values in both 2024 and 2023.</w:t>
      </w:r>
    </w:p>
    <w:p>
      <w:pPr>
        <w:spacing w:after="0" w:line="207" w:lineRule="exact"/>
        <w:rPr>
          <w:sz w:val="20"/>
          <w:szCs w:val="20"/>
          <w:color w:val="auto"/>
        </w:rPr>
      </w:pPr>
    </w:p>
    <w:p>
      <w:pPr>
        <w:ind w:left="680" w:right="520"/>
        <w:spacing w:after="0" w:line="266" w:lineRule="auto"/>
        <w:rPr>
          <w:sz w:val="20"/>
          <w:szCs w:val="20"/>
          <w:color w:val="auto"/>
        </w:rPr>
      </w:pPr>
      <w:r>
        <w:rPr>
          <w:rFonts w:ascii="Times New Roman" w:cs="Times New Roman" w:eastAsia="Times New Roman" w:hAnsi="Times New Roman"/>
          <w:sz w:val="18"/>
          <w:szCs w:val="18"/>
          <w:color w:val="auto"/>
        </w:rPr>
        <w:t>During the indefinite life intangible asset impairment assessment in both 2024 and 2023, we compared the fair value of our indefinite life intangible assets with their carrying values. This assessment indicated no impairment existed as the fair value of the indefinite life intangible assets exceeded their carrying values in both 2024 and 2023.</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Impairment of Long-Lived Assets and Finite-lived Intangible Assets</w:t>
      </w:r>
    </w:p>
    <w:p>
      <w:pPr>
        <w:spacing w:after="0" w:line="229" w:lineRule="exact"/>
        <w:rPr>
          <w:sz w:val="20"/>
          <w:szCs w:val="20"/>
          <w:color w:val="auto"/>
        </w:rPr>
      </w:pPr>
    </w:p>
    <w:p>
      <w:pPr>
        <w:ind w:left="680" w:right="1100"/>
        <w:spacing w:after="0" w:line="282" w:lineRule="auto"/>
        <w:rPr>
          <w:sz w:val="20"/>
          <w:szCs w:val="20"/>
          <w:color w:val="auto"/>
        </w:rPr>
      </w:pPr>
      <w:r>
        <w:rPr>
          <w:rFonts w:ascii="Times New Roman" w:cs="Times New Roman" w:eastAsia="Times New Roman" w:hAnsi="Times New Roman"/>
          <w:sz w:val="18"/>
          <w:szCs w:val="18"/>
          <w:color w:val="auto"/>
        </w:rPr>
        <w:t>During 2024 and 2023, we did not review any of our long-lived assets for impairment as there were no events or changes in business circumstances that would indicate an impairment might exist.</w:t>
      </w:r>
    </w:p>
    <w:p>
      <w:pPr>
        <w:spacing w:after="0" w:line="18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rFonts w:ascii="Times New Roman" w:cs="Times New Roman" w:eastAsia="Times New Roman" w:hAnsi="Times New Roman"/>
          <w:sz w:val="18"/>
          <w:szCs w:val="18"/>
          <w:b w:val="1"/>
          <w:bCs w:val="1"/>
          <w:color w:val="auto"/>
        </w:rPr>
      </w:pPr>
    </w:p>
    <w:p>
      <w:pPr>
        <w:ind w:left="6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additional information about our revenue from contracts with customers, including revenue by customer and product type and revenue by market. See also “</w:t>
      </w:r>
      <w:r>
        <w:rPr>
          <w:rFonts w:ascii="Times New Roman" w:cs="Times New Roman" w:eastAsia="Times New Roman" w:hAnsi="Times New Roman"/>
          <w:sz w:val="18"/>
          <w:szCs w:val="18"/>
          <w:b w:val="1"/>
          <w:bCs w:val="1"/>
          <w:color w:val="auto"/>
        </w:rPr>
        <w:t>Note (17) Segment Information</w:t>
      </w:r>
      <w:r>
        <w:rPr>
          <w:rFonts w:ascii="Times New Roman" w:cs="Times New Roman" w:eastAsia="Times New Roman" w:hAnsi="Times New Roman"/>
          <w:sz w:val="18"/>
          <w:szCs w:val="18"/>
          <w:color w:val="auto"/>
        </w:rPr>
        <w:t>” for information about revenue by operating segment and geographic region.</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customer type: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End user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105,955</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85,397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OEM/Integrator/Distributor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37,905</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123,302</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Revenue by product type: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Thermal test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21,344</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process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44,914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 test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30,235</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imaging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Flying probe and in-circuit testers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6,981</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Alfamation™ products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Service/other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10,742</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123,302</w:t>
            </w:r>
          </w:p>
        </w:tc>
      </w:tr>
      <w:tr>
        <w:trPr>
          <w:trHeight w:val="196"/>
        </w:trPr>
        <w:tc>
          <w:tcPr>
            <w:tcW w:w="73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Revenue by market:</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48,708</w:t>
            </w: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65,735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(including Electric Vehicles)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12,537</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3,688</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12,281</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123,302</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Major Customers</w:t>
      </w:r>
    </w:p>
    <w:p>
      <w:pPr>
        <w:spacing w:after="0" w:line="229" w:lineRule="exact"/>
        <w:rPr>
          <w:sz w:val="20"/>
          <w:szCs w:val="20"/>
          <w:color w:val="auto"/>
        </w:rPr>
      </w:pPr>
    </w:p>
    <w:p>
      <w:pPr>
        <w:jc w:val="both"/>
        <w:ind w:left="680" w:right="26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2024, one customer accounted for 13% of our consolidated revenue. This revenue was primarily generated by our Electronic Test segment. During the year ended December 31, 2023, this same customer accounted for 13% of our consolidated revenue.</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70" w:name="page71"/>
    <w:bookmarkEnd w:id="70"/>
    <w:p>
      <w:pPr>
        <w:ind w:left="652" w:hanging="652"/>
        <w:spacing w:after="0"/>
        <w:tabs>
          <w:tab w:leader="none" w:pos="65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6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Inventories held at December 31 were comprised of the following:</w:t>
      </w:r>
    </w:p>
    <w:p>
      <w:pPr>
        <w:spacing w:after="0" w:line="246" w:lineRule="exact"/>
        <w:rPr>
          <w:rFonts w:ascii="Times New Roman" w:cs="Times New Roman" w:eastAsia="Times New Roman" w:hAnsi="Times New Roman"/>
          <w:sz w:val="18"/>
          <w:szCs w:val="18"/>
          <w:b w:val="1"/>
          <w:bCs w:val="1"/>
          <w:color w:val="auto"/>
        </w:rPr>
      </w:pPr>
    </w:p>
    <w:p>
      <w:pPr>
        <w:ind w:left="652" w:right="450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 thousands) </w:t>
      </w:r>
      <w:r>
        <w:rPr>
          <w:rFonts w:ascii="Times New Roman" w:cs="Times New Roman" w:eastAsia="Times New Roman" w:hAnsi="Times New Roman"/>
          <w:sz w:val="18"/>
          <w:szCs w:val="18"/>
          <w:color w:val="auto"/>
        </w:rPr>
        <w:t>Raw materials Work in process Inventory consigned to others Finished goods</w:t>
      </w:r>
    </w:p>
    <w:p>
      <w:pPr>
        <w:spacing w:after="0" w:line="223"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inventories</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-1128395</wp:posOffset>
            </wp:positionV>
            <wp:extent cx="67722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-854075</wp:posOffset>
            </wp:positionV>
            <wp:extent cx="67722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-570865</wp:posOffset>
            </wp:positionV>
            <wp:extent cx="677227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16,109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15,948</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w:t>
            </w:r>
          </w:p>
        </w:tc>
      </w:tr>
      <w:tr>
        <w:trPr>
          <w:trHeight w:val="216"/>
        </w:trPr>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3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26,837</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3" w:lineRule="exact"/>
        <w:rPr>
          <w:sz w:val="20"/>
          <w:szCs w:val="20"/>
          <w:color w:val="auto"/>
        </w:rPr>
      </w:pPr>
    </w:p>
    <w:p>
      <w:pPr>
        <w:sectPr>
          <w:pgSz w:w="11900" w:h="16838" w:orient="portrait"/>
          <w:cols w:equalWidth="0" w:num="2">
            <w:col w:w="7292" w:space="720"/>
            <w:col w:w="3220"/>
          </w:cols>
          <w:pgMar w:left="328" w:top="819" w:right="339" w:bottom="1440" w:gutter="0" w:footer="0" w:header="0"/>
        </w:sectPr>
      </w:pPr>
    </w:p>
    <w:p>
      <w:pPr>
        <w:spacing w:after="0" w:line="25"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b w:val="1"/>
          <w:bCs w:val="1"/>
          <w:color w:val="auto"/>
        </w:rPr>
        <w:t>Note (2) Summary of Significant Accounting Policies; (k) Leases</w:t>
      </w:r>
      <w:r>
        <w:rPr>
          <w:rFonts w:ascii="Times New Roman" w:cs="Times New Roman" w:eastAsia="Times New Roman" w:hAnsi="Times New Roman"/>
          <w:sz w:val="18"/>
          <w:szCs w:val="18"/>
          <w:color w:val="auto"/>
        </w:rPr>
        <w:t>,” we account for our leases in accordance with ASC 842.</w:t>
      </w:r>
    </w:p>
    <w:p>
      <w:pPr>
        <w:spacing w:after="0" w:line="31"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We lease our offices, warehouse facilities and certain equipment under non-cancellable operating leases that expire at various dates through 2032.</w:t>
      </w:r>
    </w:p>
    <w:p>
      <w:pPr>
        <w:spacing w:after="0" w:line="9"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Total operating lease and short-term lease costs for the years ended December 31, 2024 and 2023, respectively, were as follows:</w:t>
      </w:r>
    </w:p>
    <w:p>
      <w:pPr>
        <w:spacing w:after="0" w:line="203" w:lineRule="exact"/>
        <w:rPr>
          <w:sz w:val="20"/>
          <w:szCs w:val="20"/>
          <w:color w:val="auto"/>
        </w:rPr>
      </w:pPr>
    </w:p>
    <w:tbl>
      <w:tblPr>
        <w:tblLayout w:type="fixed"/>
        <w:tblInd w:w="672"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w:t>
            </w:r>
          </w:p>
        </w:tc>
      </w:tr>
      <w:tr>
        <w:trPr>
          <w:trHeight w:val="234"/>
        </w:trPr>
        <w:tc>
          <w:tcPr>
            <w:tcW w:w="4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additional information about our leases: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remaining lease terms (in years)</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  to</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  to</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at December 31, 2024 were as follows: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13,011</w:t>
            </w: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(2,001)</w:t>
            </w:r>
          </w:p>
        </w:tc>
      </w:tr>
      <w:tr>
        <w:trPr>
          <w:trHeight w:val="20"/>
        </w:trPr>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 w:type="dxa"/>
            <w:vAlign w:val="bottom"/>
          </w:tcPr>
          <w:p>
            <w:pPr>
              <w:spacing w:after="0"/>
              <w:rPr>
                <w:sz w:val="19"/>
                <w:szCs w:val="19"/>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11,010</w:t>
            </w:r>
          </w:p>
        </w:tc>
      </w:tr>
      <w:tr>
        <w:trPr>
          <w:trHeight w:val="20"/>
        </w:trPr>
        <w:tc>
          <w:tcPr>
            <w:tcW w:w="46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Information</w:t>
      </w:r>
    </w:p>
    <w:p>
      <w:pPr>
        <w:spacing w:after="0" w:line="229"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Total amortization of ROU assets for the years ended December 31, 2024 and 2023 was $1.5 million and $1.6 million, respectively.</w:t>
      </w:r>
    </w:p>
    <w:p>
      <w:pPr>
        <w:spacing w:after="0" w:line="223"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i w:val="1"/>
          <w:iCs w:val="1"/>
          <w:color w:val="auto"/>
        </w:rPr>
        <w:t>Lease Modifications and Additions</w:t>
      </w:r>
    </w:p>
    <w:p>
      <w:pPr>
        <w:spacing w:after="0" w:line="227" w:lineRule="exact"/>
        <w:rPr>
          <w:sz w:val="20"/>
          <w:szCs w:val="20"/>
          <w:color w:val="auto"/>
        </w:rPr>
      </w:pPr>
    </w:p>
    <w:p>
      <w:pPr>
        <w:ind w:left="672" w:right="200"/>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(non-cash increases to operating lease liabilities and ROU assets) was $5.7 million and $0.8 million for the years ended December 31, 2024 and 2023, respectively.</w:t>
      </w:r>
    </w:p>
    <w:p>
      <w:pPr>
        <w:spacing w:after="0" w:line="158" w:lineRule="exact"/>
        <w:rPr>
          <w:sz w:val="20"/>
          <w:szCs w:val="20"/>
          <w:color w:val="auto"/>
        </w:rPr>
      </w:pPr>
    </w:p>
    <w:p>
      <w:pPr>
        <w:ind w:left="672" w:right="20"/>
        <w:spacing w:after="0" w:line="262" w:lineRule="auto"/>
        <w:rPr>
          <w:sz w:val="20"/>
          <w:szCs w:val="20"/>
          <w:color w:val="auto"/>
        </w:rPr>
      </w:pPr>
      <w:r>
        <w:rPr>
          <w:rFonts w:ascii="Times New Roman" w:cs="Times New Roman" w:eastAsia="Times New Roman" w:hAnsi="Times New Roman"/>
          <w:sz w:val="18"/>
          <w:szCs w:val="18"/>
          <w:color w:val="auto"/>
        </w:rPr>
        <w:t>As disclosed in “</w:t>
      </w:r>
      <w:r>
        <w:rPr>
          <w:rFonts w:ascii="Times New Roman" w:cs="Times New Roman" w:eastAsia="Times New Roman" w:hAnsi="Times New Roman"/>
          <w:sz w:val="18"/>
          <w:szCs w:val="18"/>
          <w:b w:val="1"/>
          <w:bCs w:val="1"/>
          <w:color w:val="auto"/>
        </w:rPr>
        <w:t>Note (3) Acquisition</w:t>
      </w:r>
      <w:r>
        <w:rPr>
          <w:rFonts w:ascii="Times New Roman" w:cs="Times New Roman" w:eastAsia="Times New Roman" w:hAnsi="Times New Roman"/>
          <w:sz w:val="18"/>
          <w:szCs w:val="18"/>
          <w:color w:val="auto"/>
        </w:rPr>
        <w:t>,” on March 12, 2024, we acquired the stock of Alfamation™, and as such, we assumed several leases. In addition, we also entered into the Lease Agreement for the seller-owned facility where Alfamation™ has its principal operations. The leased premises include warehouse and office space totaling approximately 52 thousand square feet. The impact of the assumption and execution of these leases was a non-cash increase in our ROU assets and operating lease liabilities of approximately $1.7 million at the date of the acquisition.</w:t>
      </w:r>
    </w:p>
    <w:p>
      <w:pPr>
        <w:spacing w:after="0" w:line="180" w:lineRule="exact"/>
        <w:rPr>
          <w:sz w:val="20"/>
          <w:szCs w:val="20"/>
          <w:color w:val="auto"/>
        </w:rPr>
      </w:pPr>
    </w:p>
    <w:p>
      <w:pPr>
        <w:ind w:left="672" w:right="80"/>
        <w:spacing w:after="0" w:line="266" w:lineRule="auto"/>
        <w:rPr>
          <w:sz w:val="20"/>
          <w:szCs w:val="20"/>
          <w:color w:val="auto"/>
        </w:rPr>
      </w:pPr>
      <w:r>
        <w:rPr>
          <w:rFonts w:ascii="Times New Roman" w:cs="Times New Roman" w:eastAsia="Times New Roman" w:hAnsi="Times New Roman"/>
          <w:sz w:val="18"/>
          <w:szCs w:val="18"/>
          <w:color w:val="auto"/>
        </w:rPr>
        <w:t>Separately, during the year ended December 31, 2024, we also extended several building leases for certain of our facilities located in the U.S., the Netherlands and Singapore. At the effective dates of these extensions, we recorded non-cash increases in our ROU assets and operating lease liabilities totaling approximately $5.7 million.</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19" w:right="339" w:bottom="1440" w:gutter="0" w:footer="0" w:header="0"/>
          <w:type w:val="continuous"/>
        </w:sectPr>
      </w:pPr>
    </w:p>
    <w:bookmarkStart w:id="71" w:name="page72"/>
    <w:bookmarkEnd w:id="71"/>
    <w:p>
      <w:pPr>
        <w:ind w:left="680" w:right="1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primary non-cash increases were due to the addition of a new lease in Singapore and the extension of a lease in the Netherlands.</w:t>
      </w:r>
    </w:p>
    <w:p>
      <w:pPr>
        <w:spacing w:after="0" w:line="18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LIABILITIES</w:t>
      </w:r>
    </w:p>
    <w:p>
      <w:pPr>
        <w:spacing w:after="0" w:line="229"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liabilities at December 31 were comprised of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deferred grant proceeds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9" w:lineRule="exact"/>
        <w:rPr>
          <w:rFonts w:ascii="Times New Roman" w:cs="Times New Roman" w:eastAsia="Times New Roman" w:hAnsi="Times New Roman"/>
          <w:sz w:val="18"/>
          <w:szCs w:val="18"/>
          <w:b w:val="1"/>
          <w:bCs w:val="1"/>
          <w:color w:val="auto"/>
        </w:rPr>
      </w:pPr>
    </w:p>
    <w:p>
      <w:pPr>
        <w:ind w:left="68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issued letters of credit as the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 Our outstanding letters of credit at December 31, 2024 and December 31, 2023 consisted of the following:</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Letters of Credit</w:t>
            </w: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L/C</w:t>
            </w:r>
          </w:p>
        </w:tc>
        <w:tc>
          <w:tcPr>
            <w:tcW w:w="16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8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187"/>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Original L/C</w:t>
            </w:r>
          </w:p>
        </w:tc>
        <w:tc>
          <w:tcPr>
            <w:tcW w:w="140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38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6"/>
                <w:szCs w:val="16"/>
                <w:color w:val="auto"/>
              </w:rPr>
            </w:pPr>
          </w:p>
        </w:tc>
      </w:tr>
      <w:tr>
        <w:trPr>
          <w:trHeight w:val="238"/>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3/29/2010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4/30/2025</w:t>
            </w:r>
          </w:p>
        </w:tc>
        <w:tc>
          <w:tcPr>
            <w:tcW w:w="16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4/30/2031 $</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10/27/2010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12/31/2025</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2/29/2032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Facility</w:t>
      </w:r>
    </w:p>
    <w:p>
      <w:pPr>
        <w:spacing w:after="0" w:line="225" w:lineRule="exact"/>
        <w:rPr>
          <w:sz w:val="20"/>
          <w:szCs w:val="20"/>
          <w:color w:val="auto"/>
        </w:rPr>
      </w:pPr>
    </w:p>
    <w:p>
      <w:pPr>
        <w:ind w:left="660" w:right="120"/>
        <w:spacing w:after="0" w:line="262" w:lineRule="auto"/>
        <w:rPr>
          <w:sz w:val="20"/>
          <w:szCs w:val="20"/>
          <w:color w:val="auto"/>
        </w:rPr>
      </w:pPr>
      <w:r>
        <w:rPr>
          <w:rFonts w:ascii="Times New Roman" w:cs="Times New Roman" w:eastAsia="Times New Roman" w:hAnsi="Times New Roman"/>
          <w:sz w:val="18"/>
          <w:szCs w:val="18"/>
          <w:color w:val="auto"/>
        </w:rPr>
        <w:t>On October 15, 2021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we entered into an Amended and Restated Loan and Security Agreement with M&amp;T Bank (“</w:t>
      </w:r>
      <w:r>
        <w:rPr>
          <w:rFonts w:ascii="Times New Roman" w:cs="Times New Roman" w:eastAsia="Times New Roman" w:hAnsi="Times New Roman"/>
          <w:sz w:val="18"/>
          <w:szCs w:val="18"/>
          <w:b w:val="1"/>
          <w:bCs w:val="1"/>
          <w:u w:val="single" w:color="auto"/>
          <w:color w:val="auto"/>
        </w:rPr>
        <w:t>M&amp;T</w:t>
      </w:r>
      <w:r>
        <w:rPr>
          <w:rFonts w:ascii="Times New Roman" w:cs="Times New Roman" w:eastAsia="Times New Roman" w:hAnsi="Times New Roman"/>
          <w:sz w:val="18"/>
          <w:szCs w:val="18"/>
          <w:color w:val="auto"/>
        </w:rPr>
        <w:t>”) which, on October 28, 2021, was amended by the Joinder and Amendment to Amended and Restated Loan and Security Agreement and which, on December 30, 2021, was further amended by the Joinder and Second Amendment to Amended and Restated Loan and Security Agreement (as amended, the “</w:t>
      </w:r>
      <w:r>
        <w:rPr>
          <w:rFonts w:ascii="Times New Roman" w:cs="Times New Roman" w:eastAsia="Times New Roman" w:hAnsi="Times New Roman"/>
          <w:sz w:val="18"/>
          <w:szCs w:val="18"/>
          <w:b w:val="1"/>
          <w:bCs w:val="1"/>
          <w:u w:val="single" w:color="auto"/>
          <w:color w:val="auto"/>
        </w:rPr>
        <w:t>Loan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Agreement included a $25 million non-revolving delayed draw term note (the “</w:t>
      </w:r>
      <w:r>
        <w:rPr>
          <w:rFonts w:ascii="Times New Roman" w:cs="Times New Roman" w:eastAsia="Times New Roman" w:hAnsi="Times New Roman"/>
          <w:sz w:val="18"/>
          <w:szCs w:val="18"/>
          <w:b w:val="1"/>
          <w:bCs w:val="1"/>
          <w:u w:val="single" w:color="auto"/>
          <w:color w:val="auto"/>
        </w:rPr>
        <w:t>Term Note</w:t>
      </w:r>
      <w:r>
        <w:rPr>
          <w:rFonts w:ascii="Times New Roman" w:cs="Times New Roman" w:eastAsia="Times New Roman" w:hAnsi="Times New Roman"/>
          <w:sz w:val="18"/>
          <w:szCs w:val="18"/>
          <w:color w:val="auto"/>
        </w:rPr>
        <w:t>”) and a $10 million revolving credit facility</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Revolving Facility</w:t>
      </w:r>
      <w:r>
        <w:rPr>
          <w:rFonts w:ascii="Times New Roman" w:cs="Times New Roman" w:eastAsia="Times New Roman" w:hAnsi="Times New Roman"/>
          <w:sz w:val="18"/>
          <w:szCs w:val="18"/>
          <w:color w:val="auto"/>
        </w:rPr>
        <w:t>” and together with the Term Note, the “</w:t>
      </w:r>
      <w:r>
        <w:rPr>
          <w:rFonts w:ascii="Times New Roman" w:cs="Times New Roman" w:eastAsia="Times New Roman" w:hAnsi="Times New Roman"/>
          <w:sz w:val="18"/>
          <w:szCs w:val="18"/>
          <w:b w:val="1"/>
          <w:bCs w:val="1"/>
          <w:u w:val="single" w:color="auto"/>
          <w:color w:val="auto"/>
        </w:rPr>
        <w:t>Credit Facility</w:t>
      </w:r>
      <w:r>
        <w:rPr>
          <w:rFonts w:ascii="Times New Roman" w:cs="Times New Roman" w:eastAsia="Times New Roman" w:hAnsi="Times New Roman"/>
          <w:sz w:val="18"/>
          <w:szCs w:val="18"/>
          <w:color w:val="auto"/>
        </w:rPr>
        <w:t>”). The Credit Facility had a five-year contract period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 Period</w:t>
      </w:r>
      <w:r>
        <w:rPr>
          <w:rFonts w:ascii="Times New Roman" w:cs="Times New Roman" w:eastAsia="Times New Roman" w:hAnsi="Times New Roman"/>
          <w:sz w:val="18"/>
          <w:szCs w:val="18"/>
          <w:color w:val="auto"/>
        </w:rPr>
        <w:t>”) that began on the Closing Date and expired on October 15, 2026, and draws under the Term Note were permissible for two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On September 20, 2022, we further amended the Loan Agreement by entering into a Third Amendment to Amended and Restated Loan and Security Agreement (the Loan Agreement, as amended by the Third Amendment, the “</w:t>
      </w:r>
      <w:r>
        <w:rPr>
          <w:rFonts w:ascii="Times New Roman" w:cs="Times New Roman" w:eastAsia="Times New Roman" w:hAnsi="Times New Roman"/>
          <w:sz w:val="18"/>
          <w:szCs w:val="18"/>
          <w:b w:val="1"/>
          <w:bCs w:val="1"/>
          <w:u w:val="single" w:color="auto"/>
          <w:color w:val="auto"/>
        </w:rPr>
        <w:t>Amended Loan Agreement</w:t>
      </w:r>
      <w:r>
        <w:rPr>
          <w:rFonts w:ascii="Times New Roman" w:cs="Times New Roman" w:eastAsia="Times New Roman" w:hAnsi="Times New Roman"/>
          <w:sz w:val="18"/>
          <w:szCs w:val="18"/>
          <w:color w:val="auto"/>
        </w:rPr>
        <w:t>”) and the Third Amended and Restated Delayed Draw Term Note. Under the Amended Loan Agreement, the maximum loan amount that we may borrow under the Term Note increased from $25 million to $50.5 million. Under the Amended Loan Agreement, the maturity date of the Term Note and Revolving Facility were also extended to September 19, 2027.</w:t>
      </w:r>
    </w:p>
    <w:p>
      <w:pPr>
        <w:spacing w:after="0" w:line="179" w:lineRule="exact"/>
        <w:rPr>
          <w:sz w:val="20"/>
          <w:szCs w:val="20"/>
          <w:color w:val="auto"/>
        </w:rPr>
      </w:pPr>
    </w:p>
    <w:p>
      <w:pPr>
        <w:ind w:left="660" w:right="160"/>
        <w:spacing w:after="0" w:line="268" w:lineRule="auto"/>
        <w:rPr>
          <w:sz w:val="20"/>
          <w:szCs w:val="20"/>
          <w:color w:val="auto"/>
        </w:rPr>
      </w:pPr>
      <w:r>
        <w:rPr>
          <w:rFonts w:ascii="Times New Roman" w:cs="Times New Roman" w:eastAsia="Times New Roman" w:hAnsi="Times New Roman"/>
          <w:sz w:val="18"/>
          <w:szCs w:val="18"/>
          <w:color w:val="auto"/>
        </w:rPr>
        <w:t>On May 2, 2024, we entered into a Fourth Amendment to the Amended and Restated Loan and Security Agreement (the “</w:t>
      </w:r>
      <w:r>
        <w:rPr>
          <w:rFonts w:ascii="Times New Roman" w:cs="Times New Roman" w:eastAsia="Times New Roman" w:hAnsi="Times New Roman"/>
          <w:sz w:val="18"/>
          <w:szCs w:val="18"/>
          <w:b w:val="1"/>
          <w:bCs w:val="1"/>
          <w:u w:val="single" w:color="auto"/>
          <w:color w:val="auto"/>
        </w:rPr>
        <w:t>Fourth Amendment</w:t>
      </w:r>
      <w:r>
        <w:rPr>
          <w:rFonts w:ascii="Times New Roman" w:cs="Times New Roman" w:eastAsia="Times New Roman" w:hAnsi="Times New Roman"/>
          <w:sz w:val="18"/>
          <w:szCs w:val="18"/>
          <w:color w:val="auto"/>
        </w:rPr>
        <w:t>”), which extended the period during which we may request advances under the Term Note until May 2, 2026, and the maturity date for the Term Note and Revolving Facility was extended from September 19, 2027 to May 2, 2031.</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72" w:name="page73"/>
    <w:bookmarkEnd w:id="72"/>
    <w:p>
      <w:pPr>
        <w:ind w:right="240"/>
        <w:spacing w:after="0" w:line="268" w:lineRule="auto"/>
        <w:rPr>
          <w:sz w:val="20"/>
          <w:szCs w:val="20"/>
          <w:color w:val="auto"/>
        </w:rPr>
      </w:pPr>
      <w:r>
        <w:rPr>
          <w:rFonts w:ascii="Times New Roman" w:cs="Times New Roman" w:eastAsia="Times New Roman" w:hAnsi="Times New Roman"/>
          <w:sz w:val="18"/>
          <w:szCs w:val="18"/>
          <w:color w:val="auto"/>
        </w:rPr>
        <w:t>On December 18, 2024, we entered into a Joinder and Fifth Amendment to Amended and Restated Loan and Security Agreement (the “</w:t>
      </w:r>
      <w:r>
        <w:rPr>
          <w:rFonts w:ascii="Times New Roman" w:cs="Times New Roman" w:eastAsia="Times New Roman" w:hAnsi="Times New Roman"/>
          <w:sz w:val="18"/>
          <w:szCs w:val="18"/>
          <w:b w:val="1"/>
          <w:bCs w:val="1"/>
          <w:u w:val="single" w:color="auto"/>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and related agreements (collectively, together with Loan Agreement, the Amended Loan Agreement, the Fourth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color w:val="auto"/>
        </w:rPr>
        <w:t>”) with M&amp;T Bank to add our subsidiary, inTEST Italy, Inc., as a subsidiary guarantor under the Credit Agreement.</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2024, we had not borrowed any amounts under the $10 million Revolving Facility and based on our leverage, our unused facility fee was 0.15%. Our borrowings under the Term Note are discussed below and occurred prior to entering into the Amended Loan Agreement. Our available funding under the Term Note at December 31, 2024 was $30 million.</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principal balance of the Revolving Facility and the principal balance of any amount drawn under the Term Note accrues interest based on the secured overnight financing rate for U.S. government securities (“</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default provisions, including but not limited to the failure by us to repay obligations when due, violation of provisions or representations provided in the Credit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Credit Agreement includes customary affirmative, negative and financial covenants, including a maximum ratio of consolidated funded debt to consolidated EBITDA of not more than 3.0 to 1.0 and a fixed charge coverage ratio of not less than 1.25 to 1.0. Our obligations under the Credit Agreement are secured by liens on substantially all of our tangible and intangible assets that are owned as of the Closing Date or acquired thereafter. At December 31, 2024, we were in compliance with all of the covenants included in the Credit Facility including the debt covenants of the Credit Agreement.</w:t>
      </w:r>
    </w:p>
    <w:p>
      <w:pPr>
        <w:spacing w:after="0" w:line="19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On October 28, 2021, we drew $12 million under the Term Note to finance the acquisition of Videology® and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2024, it was approximately 6.6% based on current leverage. Effective March 1, 2024, this rate was approximately 6.4%.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remaining maturities of our Term Note:</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r>
      <w:tr>
        <w:trPr>
          <w:trHeight w:val="20"/>
        </w:trPr>
        <w:tc>
          <w:tcPr>
            <w:tcW w:w="9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remaining maturities of our Term Note</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Alfamation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u w:val="single" w:color="auto"/>
          <w:color w:val="auto"/>
        </w:rPr>
        <w:t xml:space="preserve"> Debt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our acquisition of Alfamation™ as discussed in “</w:t>
      </w:r>
      <w:r>
        <w:rPr>
          <w:rFonts w:ascii="Times New Roman" w:cs="Times New Roman" w:eastAsia="Times New Roman" w:hAnsi="Times New Roman"/>
          <w:sz w:val="18"/>
          <w:szCs w:val="18"/>
          <w:b w:val="1"/>
          <w:bCs w:val="1"/>
          <w:color w:val="auto"/>
        </w:rPr>
        <w:t>Note (3) Acquisition</w:t>
      </w:r>
      <w:r>
        <w:rPr>
          <w:rFonts w:ascii="Times New Roman" w:cs="Times New Roman" w:eastAsia="Times New Roman" w:hAnsi="Times New Roman"/>
          <w:sz w:val="18"/>
          <w:szCs w:val="18"/>
          <w:color w:val="auto"/>
        </w:rPr>
        <w:t>,” we assumed debt which totaled $11.3 million as of the acquisition date (the “</w:t>
      </w:r>
      <w:r>
        <w:rPr>
          <w:rFonts w:ascii="Times New Roman" w:cs="Times New Roman" w:eastAsia="Times New Roman" w:hAnsi="Times New Roman"/>
          <w:sz w:val="18"/>
          <w:szCs w:val="18"/>
          <w:b w:val="1"/>
          <w:bCs w:val="1"/>
          <w:u w:val="single" w:color="auto"/>
          <w:color w:val="auto"/>
        </w:rPr>
        <w:t>Alfamation Debt</w:t>
      </w:r>
      <w:r>
        <w:rPr>
          <w:rFonts w:ascii="Times New Roman" w:cs="Times New Roman" w:eastAsia="Times New Roman" w:hAnsi="Times New Roman"/>
          <w:sz w:val="18"/>
          <w:szCs w:val="18"/>
          <w:color w:val="auto"/>
        </w:rPr>
        <w:t>”). As of December 31, 2024, the Alfamation Debt is comprised of $4.1 million of both fixed and variable rate bank issued term loans spread across several different institutions with monthly, quarterly or half-year repayment schedules and maturity dates running through December 7, 2028, as well as $3.0 million of short-term variable rate financing backed by Alfamation™’s accounts receivable, with a quarterly repayment schedule. The short-term financing variable rate at December 31, 2024 was 3.9%. At December 31, 2024, the weighted average interest rate payable on the bank issued term loans was 1.18% for fixed rate debt, 4.35% for variable rate debt, and the overall weighted average interest rate for the bank issued term loans was 3.47%.</w:t>
      </w:r>
    </w:p>
    <w:p>
      <w:pPr>
        <w:spacing w:after="0" w:line="18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76" w:right="25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The following table sets for the remaining maturities for our Alfamation Debt: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7227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7227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remaining maturities of our Alfamation Debt</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68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subject to Federal and certain state income taxes. In addition, we are taxed in certain foreign countries. Earnings (loss) before income taxes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20" w:hanging="1092"/>
        <w:spacing w:after="0"/>
        <w:tabs>
          <w:tab w:leader="none" w:pos="17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3,394</w:t>
      </w:r>
    </w:p>
    <w:p>
      <w:pPr>
        <w:spacing w:after="0" w:line="38" w:lineRule="exact"/>
        <w:rPr>
          <w:rFonts w:ascii="Times New Roman" w:cs="Times New Roman" w:eastAsia="Times New Roman" w:hAnsi="Times New Roman"/>
          <w:sz w:val="17"/>
          <w:szCs w:val="17"/>
          <w:color w:val="auto"/>
        </w:rPr>
      </w:pPr>
    </w:p>
    <w:p>
      <w:pPr>
        <w:ind w:left="1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929</w:t>
      </w:r>
    </w:p>
    <w:p>
      <w:pPr>
        <w:spacing w:after="0" w:line="20" w:lineRule="exact"/>
        <w:rPr>
          <w:rFonts w:ascii="Times New Roman" w:cs="Times New Roman" w:eastAsia="Times New Roman" w:hAnsi="Times New Roman"/>
          <w:sz w:val="17"/>
          <w:szCs w:val="17"/>
          <w:color w:val="auto"/>
        </w:rPr>
      </w:pPr>
    </w:p>
    <w:p>
      <w:pPr>
        <w:ind w:left="1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515</w:t>
      </w:r>
    </w:p>
    <w:p>
      <w:pPr>
        <w:spacing w:after="0" w:line="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5715</wp:posOffset>
            </wp:positionV>
            <wp:extent cx="951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ind w:left="1720" w:hanging="1092"/>
        <w:spacing w:after="0"/>
        <w:tabs>
          <w:tab w:leader="none" w:pos="17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sectPr>
          <w:pgSz w:w="11900" w:h="16838" w:orient="portrait"/>
          <w:cols w:equalWidth="0" w:num="2">
            <w:col w:w="8600" w:space="500"/>
            <w:col w:w="2220"/>
          </w:cols>
          <w:pgMar w:left="320" w:top="580" w:right="259" w:bottom="1440" w:gutter="0" w:footer="0" w:header="0"/>
        </w:sect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4,889</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3,454</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 was as follows:</w:t>
            </w:r>
          </w:p>
        </w:tc>
        <w:tc>
          <w:tcPr>
            <w:tcW w:w="33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Domestic – Federal</w:t>
            </w:r>
          </w:p>
        </w:tc>
        <w:tc>
          <w:tcPr>
            <w:tcW w:w="3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Domestic – state</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3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Domestic – Federal</w:t>
            </w:r>
          </w:p>
        </w:tc>
        <w:tc>
          <w:tcPr>
            <w:tcW w:w="3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6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Domestic – state</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6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r>
      <w:tr>
        <w:trPr>
          <w:trHeight w:val="20"/>
        </w:trPr>
        <w:tc>
          <w:tcPr>
            <w:tcW w:w="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563</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F-29</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ectPr>
          <w:pgSz w:w="11900" w:h="16838" w:orient="portrait"/>
          <w:cols w:equalWidth="0" w:num="1">
            <w:col w:w="11320"/>
          </w:cols>
          <w:pgMar w:left="320" w:top="580" w:right="259" w:bottom="1440" w:gutter="0" w:footer="0" w:header="0"/>
          <w:type w:val="continuous"/>
        </w:sectPr>
      </w:pPr>
    </w:p>
    <w:bookmarkStart w:id="74" w:name="page75"/>
    <w:bookmarkEnd w:id="74"/>
    <w:p>
      <w:pPr>
        <w:ind w:left="20" w:right="4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at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3,272</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vacation pay and stock-based compensation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intangible assets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 (state and foreign)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warranty</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r>
      <w:tr>
        <w:trPr>
          <w:trHeight w:val="210"/>
        </w:trPr>
        <w:tc>
          <w:tcPr>
            <w:tcW w:w="73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0660"/>
          </w:cols>
          <w:pgMar w:left="980" w:top="580" w:right="2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Depreciation of property and equipment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216"/>
        </w:trPr>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(4,673)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4"/>
        </w:trPr>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(1,821)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-273685</wp:posOffset>
            </wp:positionV>
            <wp:extent cx="67722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0</wp:posOffset>
            </wp:positionV>
            <wp:extent cx="677227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2880" w:hanging="1704"/>
        <w:spacing w:after="0"/>
        <w:tabs>
          <w:tab w:leader="none" w:pos="28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(404)</w:t>
      </w:r>
    </w:p>
    <w:p>
      <w:pPr>
        <w:spacing w:after="0" w:line="20"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(6,828)</w:t>
      </w:r>
      <w:r>
        <w:rPr>
          <w:rFonts w:ascii="Times New Roman" w:cs="Times New Roman" w:eastAsia="Times New Roman" w:hAnsi="Times New Roman"/>
          <w:sz w:val="17"/>
          <w:szCs w:val="17"/>
          <w:color w:val="auto"/>
        </w:rPr>
        <w:t>(3,115)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0320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tabs>
          <w:tab w:leader="none" w:pos="1300" w:val="left"/>
          <w:tab w:leader="none" w:pos="1700" w:val="left"/>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67</w:t>
        <w:tab/>
        <w:t>$</w:t>
      </w:r>
      <w:r>
        <w:rPr>
          <w:sz w:val="20"/>
          <w:szCs w:val="20"/>
          <w:color w:val="auto"/>
        </w:rPr>
        <w:tab/>
      </w:r>
      <w:r>
        <w:rPr>
          <w:rFonts w:ascii="Times New Roman" w:cs="Times New Roman" w:eastAsia="Times New Roman" w:hAnsi="Times New Roman"/>
          <w:sz w:val="17"/>
          <w:szCs w:val="17"/>
          <w:color w:val="auto"/>
        </w:rPr>
        <w:t>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-121920</wp:posOffset>
            </wp:positionV>
            <wp:extent cx="67722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640" w:space="720"/>
            <w:col w:w="3300"/>
          </w:cols>
          <w:pgMar w:left="980" w:top="580" w:right="259" w:bottom="1440" w:gutter="0" w:footer="0" w:header="0"/>
          <w:type w:val="continuous"/>
        </w:sectPr>
      </w:pPr>
    </w:p>
    <w:p>
      <w:pPr>
        <w:spacing w:after="0" w:line="25" w:lineRule="exact"/>
        <w:rPr>
          <w:sz w:val="20"/>
          <w:szCs w:val="20"/>
          <w:color w:val="auto"/>
        </w:rPr>
      </w:pPr>
    </w:p>
    <w:p>
      <w:pPr>
        <w:ind w:left="20" w:right="140"/>
        <w:spacing w:after="0" w:line="255" w:lineRule="auto"/>
        <w:rPr>
          <w:sz w:val="20"/>
          <w:szCs w:val="20"/>
          <w:color w:val="auto"/>
        </w:rPr>
      </w:pPr>
      <w:r>
        <w:rPr>
          <w:rFonts w:ascii="Times New Roman" w:cs="Times New Roman" w:eastAsia="Times New Roman" w:hAnsi="Times New Roman"/>
          <w:sz w:val="18"/>
          <w:szCs w:val="18"/>
          <w:color w:val="auto"/>
        </w:rPr>
        <w:t>The net change in the valuation allowance for the years ended December 31, 2024 and 2023 was an increase of $16 thousand and $18 thousand,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2044.</w:t>
      </w:r>
    </w:p>
    <w:p>
      <w:pPr>
        <w:spacing w:after="0" w:line="189"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An analysis of the effective tax rate for the years ended December 31, 2024 and 2023 and a reconciliation from the expected statutory rate of 21%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expense at U.S.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 from:</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Subpart F income from foreign subsidiaries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NOL carryforwards utilized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Global intangible low taxed income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Nondeductible expenses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year tax credits (foreign and research)</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Domestic tax benefit, net of Federal benefit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income tax rate differences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250 foreign derived intangible income deduction</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563</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2024 and 2023, we did not have an accrual for uncertain tax positions.</w:t>
      </w:r>
    </w:p>
    <w:p>
      <w:pPr>
        <w:spacing w:after="0" w:line="225"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We file U.S. income tax returns and multiple state and foreign income tax returns. With few exceptions, the U.S. and state income tax returns filed for the tax years ended December 31, 2021 and thereafter are subject to examination by the relevant taxing authorities. As of December 31, 2024, we have federal net operating losses of $430 thousand of which $287 thousand can be carried forward indefinitely. The remaining federal net operating losses will begin to expire in 2032, if not utilized.</w:t>
      </w:r>
    </w:p>
    <w:p>
      <w:pPr>
        <w:spacing w:after="0" w:line="18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type w:val="continuous"/>
        </w:sectPr>
      </w:pPr>
    </w:p>
    <w:bookmarkStart w:id="75" w:name="page76"/>
    <w:bookmarkEnd w:id="75"/>
    <w:p>
      <w:pPr>
        <w:ind w:left="652" w:hanging="652"/>
        <w:spacing w:after="0"/>
        <w:tabs>
          <w:tab w:leader="none" w:pos="65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w:t>
      </w:r>
    </w:p>
    <w:p>
      <w:pPr>
        <w:spacing w:after="0" w:line="229" w:lineRule="exact"/>
        <w:rPr>
          <w:rFonts w:ascii="Times New Roman" w:cs="Times New Roman" w:eastAsia="Times New Roman" w:hAnsi="Times New Roman"/>
          <w:sz w:val="18"/>
          <w:szCs w:val="18"/>
          <w:b w:val="1"/>
          <w:bCs w:val="1"/>
          <w:color w:val="auto"/>
        </w:rPr>
      </w:pPr>
    </w:p>
    <w:p>
      <w:pPr>
        <w:jc w:val="both"/>
        <w:ind w:left="672"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 We record accruals for such contingencies to the extent that we conclude it is probable that a liability has been incurred and the amount of the loss can be estimated.</w:t>
      </w:r>
    </w:p>
    <w:p>
      <w:pPr>
        <w:spacing w:after="0" w:line="202"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w:t>
      </w:r>
    </w:p>
    <w:p>
      <w:pPr>
        <w:spacing w:after="0" w:line="229" w:lineRule="exact"/>
        <w:rPr>
          <w:rFonts w:ascii="Times New Roman" w:cs="Times New Roman" w:eastAsia="Times New Roman" w:hAnsi="Times New Roman"/>
          <w:sz w:val="18"/>
          <w:szCs w:val="18"/>
          <w:b w:val="1"/>
          <w:bCs w:val="1"/>
          <w:color w:val="auto"/>
        </w:rPr>
      </w:pPr>
    </w:p>
    <w:p>
      <w:pPr>
        <w:ind w:left="672"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we had unvested restricted stock awards and stock options granted under stock-based compensation plans. On June 21, 2023, our stockholders approved the inTEST Corporation 2023 Stock Incentive Plan (the “</w:t>
      </w:r>
      <w:r>
        <w:rPr>
          <w:rFonts w:ascii="Times New Roman" w:cs="Times New Roman" w:eastAsia="Times New Roman" w:hAnsi="Times New Roman"/>
          <w:sz w:val="18"/>
          <w:szCs w:val="18"/>
          <w:b w:val="1"/>
          <w:bCs w:val="1"/>
          <w:u w:val="single" w:color="auto"/>
          <w:color w:val="auto"/>
        </w:rPr>
        <w:t>2023 Plan</w:t>
      </w:r>
      <w:r>
        <w:rPr>
          <w:rFonts w:ascii="Times New Roman" w:cs="Times New Roman" w:eastAsia="Times New Roman" w:hAnsi="Times New Roman"/>
          <w:sz w:val="18"/>
          <w:szCs w:val="18"/>
          <w:color w:val="auto"/>
        </w:rPr>
        <w:t>”) which replaced the Fourth Amended and Restated 2014 Stock Plan (the “</w:t>
      </w:r>
      <w:r>
        <w:rPr>
          <w:rFonts w:ascii="Times New Roman" w:cs="Times New Roman" w:eastAsia="Times New Roman" w:hAnsi="Times New Roman"/>
          <w:sz w:val="18"/>
          <w:szCs w:val="18"/>
          <w:b w:val="1"/>
          <w:bCs w:val="1"/>
          <w:u w:val="single" w:color="auto"/>
          <w:color w:val="auto"/>
        </w:rPr>
        <w:t>2014 Plan</w:t>
      </w:r>
      <w:r>
        <w:rPr>
          <w:rFonts w:ascii="Times New Roman" w:cs="Times New Roman" w:eastAsia="Times New Roman" w:hAnsi="Times New Roman"/>
          <w:sz w:val="18"/>
          <w:szCs w:val="18"/>
          <w:color w:val="auto"/>
        </w:rPr>
        <w:t>”).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date of its approval was 1,117,942. Consistent with prior years’ performance-based awards, we reserve additional shares in the event that the performance achieves maximum levels. In aggregate, as of December 31, 2024, we have 45,618 shares reserved for performance in excess of target. As of December 31, 2024, the remaining authorization for issue under the 2023 Plan was 877,810.</w:t>
      </w:r>
    </w:p>
    <w:p>
      <w:pPr>
        <w:spacing w:after="0" w:line="194" w:lineRule="exact"/>
        <w:rPr>
          <w:rFonts w:ascii="Times New Roman" w:cs="Times New Roman" w:eastAsia="Times New Roman" w:hAnsi="Times New Roman"/>
          <w:sz w:val="18"/>
          <w:szCs w:val="18"/>
          <w:b w:val="1"/>
          <w:bCs w:val="1"/>
          <w:color w:val="auto"/>
        </w:rPr>
      </w:pPr>
    </w:p>
    <w:p>
      <w:pPr>
        <w:ind w:left="672"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compensation expense we recorded during 2024 and 2023 related to unvested shares of restricted stock, performance-based restricted stock awards and stock options:</w:t>
      </w:r>
    </w:p>
    <w:p>
      <w:pPr>
        <w:sectPr>
          <w:pgSz w:w="11900" w:h="16838" w:orient="portrait"/>
          <w:cols w:equalWidth="0" w:num="1">
            <w:col w:w="11312"/>
          </w:cols>
          <w:pgMar w:left="328" w:top="81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19685</wp:posOffset>
            </wp:positionV>
            <wp:extent cx="677227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Selling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77227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Engineering and product development expense</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677227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3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1,857</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92" w:space="720"/>
            <w:col w:w="3300"/>
          </w:cols>
          <w:pgMar w:left="328" w:top="819" w:right="259" w:bottom="1440" w:gutter="0" w:footer="0" w:header="0"/>
          <w:type w:val="continuous"/>
        </w:sectPr>
      </w:pPr>
    </w:p>
    <w:p>
      <w:pPr>
        <w:ind w:left="672" w:right="340"/>
        <w:spacing w:after="0" w:line="282" w:lineRule="auto"/>
        <w:rPr>
          <w:sz w:val="20"/>
          <w:szCs w:val="20"/>
          <w:color w:val="auto"/>
        </w:rPr>
      </w:pPr>
      <w:r>
        <w:rPr>
          <w:rFonts w:ascii="Times New Roman" w:cs="Times New Roman" w:eastAsia="Times New Roman" w:hAnsi="Times New Roman"/>
          <w:sz w:val="18"/>
          <w:szCs w:val="18"/>
          <w:color w:val="auto"/>
        </w:rPr>
        <w:t>At December 31, 2024, total compensation expense to be recognized in future periods is $3.0 million. The weighted average period over which this expense is expected to be recognized is 2.1 years. There was no compensation expense capitalized in 2024 or 2023.</w:t>
      </w:r>
    </w:p>
    <w:p>
      <w:pPr>
        <w:spacing w:after="0" w:line="158"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jc w:val="both"/>
        <w:ind w:left="672" w:right="38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during 2024 and 2023 was estimated at the date of grant using the Black-Scholes option pricing model with the following weighted average assumptions:</w:t>
      </w:r>
    </w:p>
    <w:p>
      <w:pPr>
        <w:spacing w:after="0" w:line="158" w:lineRule="exact"/>
        <w:rPr>
          <w:sz w:val="20"/>
          <w:szCs w:val="20"/>
          <w:color w:val="auto"/>
        </w:rPr>
      </w:pPr>
    </w:p>
    <w:p>
      <w:pPr>
        <w:ind w:left="9072"/>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032"/>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652"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common stock market price volatility factor</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of stock options (years)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jc w:val="both"/>
        <w:ind w:left="672" w:right="360"/>
        <w:spacing w:after="0" w:line="266"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granted during the years ended December 31, 2024 and 2023 was $6.55 and $9.43, respectively. The aggregate intrinsic value of stock options exercised during the years ended December 31, 2024, and 2023 was $189 thousand and $1.5 million, respectively.</w:t>
      </w:r>
    </w:p>
    <w:p>
      <w:pPr>
        <w:spacing w:after="0" w:line="176"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2"/>
          </w:cols>
          <w:pgMar w:left="328" w:top="819" w:right="259" w:bottom="1440" w:gutter="0" w:footer="0" w:header="0"/>
          <w:type w:val="continuous"/>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(yrs)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165,364</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(30,080)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(37,697)</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1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Pr>
          <w:p>
            <w:pPr>
              <w:spacing w:after="0"/>
              <w:rPr>
                <w:sz w:val="17"/>
                <w:szCs w:val="17"/>
                <w:color w:val="auto"/>
              </w:rPr>
            </w:pPr>
          </w:p>
        </w:tc>
        <w:tc>
          <w:tcPr>
            <w:tcW w:w="1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260,853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217</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Expected to vest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341,740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11.69</w:t>
            </w:r>
          </w:p>
        </w:tc>
        <w:tc>
          <w:tcPr>
            <w:tcW w:w="12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unvested restricted stock awards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736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73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January 1,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189,784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(103,666)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December 31,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208,782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0" w:right="540"/>
        <w:spacing w:after="0" w:line="282" w:lineRule="auto"/>
        <w:rPr>
          <w:sz w:val="20"/>
          <w:szCs w:val="20"/>
          <w:color w:val="auto"/>
        </w:rPr>
      </w:pPr>
      <w:r>
        <w:rPr>
          <w:rFonts w:ascii="Times New Roman" w:cs="Times New Roman" w:eastAsia="Times New Roman" w:hAnsi="Times New Roman"/>
          <w:sz w:val="18"/>
          <w:szCs w:val="18"/>
          <w:color w:val="auto"/>
        </w:rPr>
        <w:t>The total fair value of the restricted stock awards that vested during the years ended December 31, 2024 and 2023 was $0.8 million and $3.1 million, respectively, as of the vesting dates of these awards.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Performance-Based Awards</w:t>
      </w:r>
    </w:p>
    <w:p>
      <w:pPr>
        <w:spacing w:after="0" w:line="225" w:lineRule="exact"/>
        <w:rPr>
          <w:sz w:val="20"/>
          <w:szCs w:val="20"/>
          <w:color w:val="auto"/>
        </w:rPr>
      </w:pPr>
    </w:p>
    <w:p>
      <w:pPr>
        <w:ind w:left="20" w:right="160"/>
        <w:spacing w:after="0" w:line="254" w:lineRule="auto"/>
        <w:rPr>
          <w:sz w:val="20"/>
          <w:szCs w:val="20"/>
          <w:color w:val="auto"/>
        </w:rPr>
      </w:pPr>
      <w:r>
        <w:rPr>
          <w:rFonts w:ascii="Times New Roman" w:cs="Times New Roman" w:eastAsia="Times New Roman" w:hAnsi="Times New Roman"/>
          <w:sz w:val="18"/>
          <w:szCs w:val="18"/>
          <w:color w:val="auto"/>
        </w:rPr>
        <w:t>On August 24, 2020, our new President and Chief Executive Officer (“</w:t>
      </w:r>
      <w:r>
        <w:rPr>
          <w:rFonts w:ascii="Times New Roman" w:cs="Times New Roman" w:eastAsia="Times New Roman" w:hAnsi="Times New Roman"/>
          <w:sz w:val="18"/>
          <w:szCs w:val="18"/>
          <w:b w:val="1"/>
          <w:bCs w:val="1"/>
          <w:u w:val="single" w:color="auto"/>
          <w:color w:val="auto"/>
        </w:rPr>
        <w:t>CEO</w:t>
      </w:r>
      <w:r>
        <w:rPr>
          <w:rFonts w:ascii="Times New Roman" w:cs="Times New Roman" w:eastAsia="Times New Roman" w:hAnsi="Times New Roman"/>
          <w:sz w:val="18"/>
          <w:szCs w:val="18"/>
          <w:color w:val="auto"/>
        </w:rPr>
        <w:t>”) received a performance-based restricted stock award totaling 75,162 shares with a vesting date of August 24, 2023. These shares were valued at $345 thousand as of the date of grant. Per the terms of the award, the final vesting percentage could range from 0% to 150% of the number of shares awarded on August 24, 2020. On June 14, 2021, our new Chief Financial Officer (“</w:t>
      </w:r>
      <w:r>
        <w:rPr>
          <w:rFonts w:ascii="Times New Roman" w:cs="Times New Roman" w:eastAsia="Times New Roman" w:hAnsi="Times New Roman"/>
          <w:sz w:val="18"/>
          <w:szCs w:val="18"/>
          <w:b w:val="1"/>
          <w:bCs w:val="1"/>
          <w:u w:val="single" w:color="auto"/>
          <w:color w:val="auto"/>
        </w:rPr>
        <w:t>CFO</w:t>
      </w:r>
      <w:r>
        <w:rPr>
          <w:rFonts w:ascii="Times New Roman" w:cs="Times New Roman" w:eastAsia="Times New Roman" w:hAnsi="Times New Roman"/>
          <w:sz w:val="18"/>
          <w:szCs w:val="18"/>
          <w:color w:val="auto"/>
        </w:rPr>
        <w:t>”) received a performance-based restricted stock award totaling 5,953 shares. These shares were valued at $100 thousand as of the date of grant. The vesting provisions of this award are the same as the performance-based award granted to our CEO on August 24, 2020. The final vesting percentage is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2022, we had estimated that these awards would vest at 150% of the original amount based on our assessment of the probable achievement against the relevant performance metrics. These awards vested at the 150% level on August 24, 2023. As a result, 40,557 additional shares of common stock were issued. At the original grant dates of these awards, shares totaling 100% of the respective awards were issued. These additional shares issued on August 24, 2023 represented the additional 50% that vested.</w:t>
      </w:r>
    </w:p>
    <w:p>
      <w:pPr>
        <w:spacing w:after="0" w:line="186"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auto"/>
        </w:rPr>
        <w:t>On March 10, 2021, we issued performance-based restricted stock awards totaling 18,000 shares to members of the senior management within our operating segments. These shares were valued at $191 thousand as of the date of grant. During the first quarter of 2023, 6,000 of these shares were forfeited when the individual to whom they had been granted resigned from his position with us. The remaining 12,000 shares vested on the third anniversary of the grant date at vesting percentages of 75% for 6,000 of the shares and 100% for the remaining 6,000 shares. The final vesting percentages were based on the achievement of certain performance metrics related to the operating results of the business units for which these members of management are responsible.</w:t>
      </w:r>
    </w:p>
    <w:p>
      <w:pPr>
        <w:spacing w:after="0" w:line="187" w:lineRule="exact"/>
        <w:rPr>
          <w:sz w:val="20"/>
          <w:szCs w:val="20"/>
          <w:color w:val="auto"/>
        </w:rPr>
      </w:pPr>
    </w:p>
    <w:p>
      <w:pPr>
        <w:ind w:left="20" w:right="140"/>
        <w:spacing w:after="0" w:line="272" w:lineRule="auto"/>
        <w:rPr>
          <w:sz w:val="20"/>
          <w:szCs w:val="20"/>
          <w:color w:val="auto"/>
        </w:rPr>
      </w:pPr>
      <w:r>
        <w:rPr>
          <w:rFonts w:ascii="Times New Roman" w:cs="Times New Roman" w:eastAsia="Times New Roman" w:hAnsi="Times New Roman"/>
          <w:sz w:val="17"/>
          <w:szCs w:val="17"/>
          <w:color w:val="auto"/>
        </w:rPr>
        <w:t>On October 1, 2021, we issued performance-based restricted stock awards totaling 5,000 shares to a member of senior management. These shares were valued at $59 thousand as of the date of grant. These shares will vest on January 1, 2025 at a vesting percentage that could range from 0% to 150% of the number of shares awarded on October 1, 2021. The final vesting percentage will be based on the achievement of certain performance metrics, including revenue compound annual growth rate and diluted earnings per share excluding amortization of intangibles, for specified time periods. During the fourth quarter of 2023, we reduced the expected final vesting percentage for these shares from 100% to 50% based on our current projection for the performance metrics for the relevant measurement period. At September 30, 2024, this estimate was further reduced to 0% based on our current assessment of the probable achievement against the relevant performance metrics. These adjustments were recorded in general and administrative expense in our statements of operations. At December 31, 2024 our estimate for this award remained at 0%.</w:t>
      </w:r>
    </w:p>
    <w:p>
      <w:pPr>
        <w:spacing w:after="0" w:line="17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sectPr>
      </w:pPr>
    </w:p>
    <w:bookmarkStart w:id="77" w:name="page78"/>
    <w:bookmarkEnd w:id="77"/>
    <w:p>
      <w:pPr>
        <w:ind w:left="680"/>
        <w:spacing w:after="0"/>
        <w:rPr>
          <w:sz w:val="20"/>
          <w:szCs w:val="20"/>
          <w:color w:val="auto"/>
        </w:rPr>
      </w:pPr>
      <w:r>
        <w:rPr>
          <w:rFonts w:ascii="Times New Roman" w:cs="Times New Roman" w:eastAsia="Times New Roman" w:hAnsi="Times New Roman"/>
          <w:sz w:val="18"/>
          <w:szCs w:val="18"/>
          <w:color w:val="auto"/>
        </w:rPr>
        <w:t>On March 9, 2022, our CEO and CFO received performance-based restricted stock awards totaling 20,493 shares. These shares were valued at</w:t>
      </w:r>
    </w:p>
    <w:p>
      <w:pPr>
        <w:spacing w:after="0" w:line="27" w:lineRule="exact"/>
        <w:rPr>
          <w:sz w:val="20"/>
          <w:szCs w:val="20"/>
          <w:color w:val="auto"/>
        </w:rPr>
      </w:pPr>
    </w:p>
    <w:p>
      <w:pPr>
        <w:ind w:left="680"/>
        <w:spacing w:after="0" w:line="251" w:lineRule="auto"/>
        <w:rPr>
          <w:sz w:val="20"/>
          <w:szCs w:val="20"/>
          <w:color w:val="auto"/>
        </w:rPr>
      </w:pPr>
      <w:r>
        <w:rPr>
          <w:rFonts w:ascii="Times New Roman" w:cs="Times New Roman" w:eastAsia="Times New Roman" w:hAnsi="Times New Roman"/>
          <w:sz w:val="18"/>
          <w:szCs w:val="18"/>
          <w:color w:val="auto"/>
        </w:rPr>
        <w:t>$200 thousand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for specified time periods as determined by the Compensation Committee of our Board of Directors. During the fourth quarter of 2023, we reduced the expected final vesting percentage for these shares from 100% to 50% based on our current projection for the performance metrics for the relevant measurement period. At September 30, 2024, this estimate was further reduced to 0% based on our current assessment of the probable achievement against the relevant performance metrics. These adjustments were recorded in general and administrative expense in our statements of operations. At December 31, 2024 our estimate for this award remained at 0%.</w:t>
      </w:r>
    </w:p>
    <w:p>
      <w:pPr>
        <w:spacing w:after="0" w:line="194" w:lineRule="exact"/>
        <w:rPr>
          <w:sz w:val="20"/>
          <w:szCs w:val="20"/>
          <w:color w:val="auto"/>
        </w:rPr>
      </w:pPr>
    </w:p>
    <w:p>
      <w:pPr>
        <w:ind w:left="680" w:right="60"/>
        <w:spacing w:after="0" w:line="255" w:lineRule="auto"/>
        <w:rPr>
          <w:sz w:val="20"/>
          <w:szCs w:val="20"/>
          <w:color w:val="auto"/>
        </w:rPr>
      </w:pPr>
      <w:r>
        <w:rPr>
          <w:rFonts w:ascii="Times New Roman" w:cs="Times New Roman" w:eastAsia="Times New Roman" w:hAnsi="Times New Roman"/>
          <w:sz w:val="18"/>
          <w:szCs w:val="18"/>
          <w:color w:val="auto"/>
        </w:rPr>
        <w:t>On March 8, 2023, our CEO, CFO and certain other members of our senior management received performance-based restricted stock awards totaling 18,888 shares valued at $303 thousand as of the date of grant. These shares vest on the third anniversary of the grant date at a vesting percentage that could range from 0% to 150% of the number of shares of restricted stock awarded on March 8, 2023. The final vesting percentage will be based on the achievement of certain performance metrics related to consolidated revenue for specified time periods as determined by the Compensation Committee of our Board of Directors. During the fourth quarter of 2024, we reduced this estimate from 100% to 50% based on our current projections for the performance metrics for the relevant measurement period. The adjustment for this award was recorded in general and administrative expense in our statements of operations.</w:t>
      </w:r>
    </w:p>
    <w:p>
      <w:pPr>
        <w:spacing w:after="0" w:line="189" w:lineRule="exact"/>
        <w:rPr>
          <w:sz w:val="20"/>
          <w:szCs w:val="20"/>
          <w:color w:val="auto"/>
        </w:rPr>
      </w:pPr>
    </w:p>
    <w:p>
      <w:pPr>
        <w:ind w:left="680" w:right="20"/>
        <w:spacing w:after="0" w:line="274" w:lineRule="auto"/>
        <w:rPr>
          <w:sz w:val="20"/>
          <w:szCs w:val="20"/>
          <w:color w:val="auto"/>
        </w:rPr>
      </w:pPr>
      <w:r>
        <w:rPr>
          <w:rFonts w:ascii="Times New Roman" w:cs="Times New Roman" w:eastAsia="Times New Roman" w:hAnsi="Times New Roman"/>
          <w:sz w:val="17"/>
          <w:szCs w:val="17"/>
          <w:color w:val="auto"/>
        </w:rPr>
        <w:t>On May 8, 2023 the newly appointed president of our Environmental Technologies segment received performance-based restricted stock awards totaling 5,081 shares valued at $108 thousand as of the date of grant. These shares vest on the third anniversary of the grant date at a vesting percentage that could range from 0% to 150% of the number of shares of restricted stock awarded on May 8, 2023. The final vesting percentage will be based on the achievement of certain performance metrics including revenue and income from operations for specified time periods. During the fourth quarter of 2024, we reduced this estimate from 100% to 50% based on our current projections for the performance metrics for the relevant measurement period. The adjustment for this award was recorded in general and administrative expense in our statements of operations.</w:t>
      </w:r>
    </w:p>
    <w:p>
      <w:pPr>
        <w:spacing w:after="0" w:line="173" w:lineRule="exact"/>
        <w:rPr>
          <w:sz w:val="20"/>
          <w:szCs w:val="20"/>
          <w:color w:val="auto"/>
        </w:rPr>
      </w:pPr>
    </w:p>
    <w:p>
      <w:pPr>
        <w:ind w:left="680" w:right="240"/>
        <w:spacing w:after="0" w:line="256" w:lineRule="auto"/>
        <w:rPr>
          <w:sz w:val="20"/>
          <w:szCs w:val="20"/>
          <w:color w:val="auto"/>
        </w:rPr>
      </w:pPr>
      <w:r>
        <w:rPr>
          <w:rFonts w:ascii="Times New Roman" w:cs="Times New Roman" w:eastAsia="Times New Roman" w:hAnsi="Times New Roman"/>
          <w:sz w:val="18"/>
          <w:szCs w:val="18"/>
          <w:color w:val="auto"/>
        </w:rPr>
        <w:t>On January 16, 2024 the newly appointed president of our Process Technologies segment received performance-based restricted stock awards totaling 8,231 shares valued at $100 thousand as of the date of grant. These shares vest on the third 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As of December 31, 2024, we have estimated that these shares will vest at 100% of the original amount based on our assessment of the probable achievement against the relevant performance metrics.</w:t>
      </w:r>
    </w:p>
    <w:p>
      <w:pPr>
        <w:spacing w:after="0" w:line="187"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8"/>
          <w:szCs w:val="18"/>
          <w:color w:val="auto"/>
        </w:rPr>
        <w:t>On March 6, 2024, our CEO, CFO and the Division Presidents of our three operating segments received restricted stock awards totaling 33,539 shares valued at $380 thousand as of the date of grant.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December 31, 2024, we have estimated that these shares will vest at 100% of the original amount based on our assessment of the probable achievement against the relevant performance metrics.</w:t>
      </w:r>
    </w:p>
    <w:p>
      <w:pPr>
        <w:spacing w:after="0" w:line="210"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5" w:lineRule="exact"/>
        <w:rPr>
          <w:rFonts w:ascii="Times New Roman" w:cs="Times New Roman" w:eastAsia="Times New Roman" w:hAnsi="Times New Roman"/>
          <w:sz w:val="18"/>
          <w:szCs w:val="18"/>
          <w:b w:val="1"/>
          <w:bCs w:val="1"/>
          <w:color w:val="auto"/>
        </w:rPr>
      </w:pPr>
    </w:p>
    <w:p>
      <w:pPr>
        <w:ind w:left="6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20, 2023, our Board of Directors authorized a share repurchase plan (the “</w:t>
      </w:r>
      <w:r>
        <w:rPr>
          <w:rFonts w:ascii="Times New Roman" w:cs="Times New Roman" w:eastAsia="Times New Roman" w:hAnsi="Times New Roman"/>
          <w:sz w:val="18"/>
          <w:szCs w:val="18"/>
          <w:b w:val="1"/>
          <w:bCs w:val="1"/>
          <w:u w:val="single" w:color="auto"/>
          <w:color w:val="auto"/>
        </w:rPr>
        <w:t>Repurchase Plan</w:t>
      </w:r>
      <w:r>
        <w:rPr>
          <w:rFonts w:ascii="Times New Roman" w:cs="Times New Roman" w:eastAsia="Times New Roman" w:hAnsi="Times New Roman"/>
          <w:sz w:val="18"/>
          <w:szCs w:val="18"/>
          <w:color w:val="auto"/>
        </w:rPr>
        <w:t>”) whereby we could repurchase shares of our common stock on the open market with a total aggregate repurchase amount of up to $10 million until November 17, 2024. We repurchased 141,117 shares with a fair value of $1.0 million through the expiration date of the Repurchase Plan. Those repurchased shares were retired as of December 31, 2024, and no new authorization has been issued.</w:t>
      </w:r>
    </w:p>
    <w:p>
      <w:pPr>
        <w:spacing w:after="0" w:line="176"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color w:val="auto"/>
        </w:rPr>
        <w:t>On May 11, 2023, we entered into an At-the-Market Issuance Sales Agreement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pursuant to which we issued and sold 921,797 shares of our common stock having an aggregate offering price of $20 million between May 11, 2023, and May 31, 2023. We received net proceeds from the sale of these shares of $19.2 million after payment of commissions of 3.0% of the gross proceeds and other fees related to the sale of these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ind w:left="652" w:hanging="652"/>
        <w:spacing w:after="0"/>
        <w:tabs>
          <w:tab w:leader="none" w:pos="65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5" w:lineRule="exact"/>
        <w:rPr>
          <w:rFonts w:ascii="Times New Roman" w:cs="Times New Roman" w:eastAsia="Times New Roman" w:hAnsi="Times New Roman"/>
          <w:sz w:val="18"/>
          <w:szCs w:val="18"/>
          <w:b w:val="1"/>
          <w:bCs w:val="1"/>
          <w:color w:val="auto"/>
        </w:rPr>
      </w:pPr>
    </w:p>
    <w:p>
      <w:pPr>
        <w:ind w:left="67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inTEST Corporation Employee Stock Purchase Plan (the “</w:t>
      </w:r>
      <w:r>
        <w:rPr>
          <w:rFonts w:ascii="Times New Roman" w:cs="Times New Roman" w:eastAsia="Times New Roman" w:hAnsi="Times New Roman"/>
          <w:sz w:val="18"/>
          <w:szCs w:val="18"/>
          <w:b w:val="1"/>
          <w:bCs w:val="1"/>
          <w:u w:val="single" w:color="auto"/>
          <w:color w:val="auto"/>
        </w:rPr>
        <w:t>ESPP</w:t>
      </w:r>
      <w:r>
        <w:rPr>
          <w:rFonts w:ascii="Times New Roman" w:cs="Times New Roman" w:eastAsia="Times New Roman" w:hAnsi="Times New Roman"/>
          <w:sz w:val="18"/>
          <w:szCs w:val="18"/>
          <w:color w:val="auto"/>
        </w:rPr>
        <w:t>”) was adopted by our Board of Directors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0" w:lineRule="exact"/>
        <w:rPr>
          <w:rFonts w:ascii="Times New Roman" w:cs="Times New Roman" w:eastAsia="Times New Roman" w:hAnsi="Times New Roman"/>
          <w:sz w:val="18"/>
          <w:szCs w:val="18"/>
          <w:b w:val="1"/>
          <w:bCs w:val="1"/>
          <w:color w:val="auto"/>
        </w:rPr>
      </w:pPr>
    </w:p>
    <w:p>
      <w:pPr>
        <w:ind w:left="67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 Purchases are made at the end of each calendar quarter at 85% of the fair market value on the purchase date. Eligible participants are limited to purchasing $25 thousand of grant date fair value in a calendar year in accordance with Section 423 of the Internal Revenue Code of 1986, as amended. At December 31, 2024, 190,393 shares remain available for purchase under the ESPP.</w:t>
      </w:r>
    </w:p>
    <w:p>
      <w:pPr>
        <w:spacing w:after="0" w:line="183" w:lineRule="exact"/>
        <w:rPr>
          <w:rFonts w:ascii="Times New Roman" w:cs="Times New Roman" w:eastAsia="Times New Roman" w:hAnsi="Times New Roman"/>
          <w:sz w:val="18"/>
          <w:szCs w:val="18"/>
          <w:b w:val="1"/>
          <w:bCs w:val="1"/>
          <w:color w:val="auto"/>
        </w:rPr>
      </w:pPr>
    </w:p>
    <w:p>
      <w:pPr>
        <w:ind w:left="672"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employees purchased 16,674 shares of our stock through the ESPP at a cost of $140 thousand. The closing market price on the dates of purchase were $13.25, $9.88, $7.30 and $8.59, respectively. The prices paid by employees were $11.26, $8.40, $6.20 and $7.30, respectively, which represented a 15% discount. The total amount of the discount of $24 was recorded as employee compensation expense, a component of general and administrative expense, in our consolidated statements of operations.</w:t>
      </w:r>
    </w:p>
    <w:p>
      <w:pPr>
        <w:spacing w:after="0" w:line="179" w:lineRule="exact"/>
        <w:rPr>
          <w:rFonts w:ascii="Times New Roman" w:cs="Times New Roman" w:eastAsia="Times New Roman" w:hAnsi="Times New Roman"/>
          <w:sz w:val="18"/>
          <w:szCs w:val="18"/>
          <w:b w:val="1"/>
          <w:bCs w:val="1"/>
          <w:color w:val="auto"/>
        </w:rPr>
      </w:pPr>
    </w:p>
    <w:p>
      <w:pPr>
        <w:ind w:left="672"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employees purchased 11,780 shares of our stock through the ESPP at a cost of $174. The closing market price on the dates of purchase were $20.74, $26.26, $15.17 and $13.60, respectively. The prices paid by employees were $17.63, $22.32, $12.89 and $11.56, respectively, which represented a 15% discount. The total amount of the discount of $31 was recorded as employee compensation expense, a component of general and administrative expense, in our consolidated statements of operations.</w:t>
      </w:r>
    </w:p>
    <w:p>
      <w:pPr>
        <w:spacing w:after="0" w:line="202"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rFonts w:ascii="Times New Roman" w:cs="Times New Roman" w:eastAsia="Times New Roman" w:hAnsi="Times New Roman"/>
          <w:sz w:val="18"/>
          <w:szCs w:val="18"/>
          <w:b w:val="1"/>
          <w:bCs w:val="1"/>
          <w:color w:val="auto"/>
        </w:rPr>
      </w:pPr>
    </w:p>
    <w:p>
      <w:pPr>
        <w:ind w:left="67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defined contribution 401(k) plans for our employees who work in the U.S. These plans include the inTEST Corporation Incentive Savings Plan (the “</w:t>
      </w:r>
      <w:r>
        <w:rPr>
          <w:rFonts w:ascii="Times New Roman" w:cs="Times New Roman" w:eastAsia="Times New Roman" w:hAnsi="Times New Roman"/>
          <w:sz w:val="18"/>
          <w:szCs w:val="18"/>
          <w:b w:val="1"/>
          <w:bCs w:val="1"/>
          <w:u w:val="single" w:color="auto"/>
          <w:color w:val="auto"/>
        </w:rPr>
        <w:t>inTEST Plan</w:t>
      </w:r>
      <w:r>
        <w:rPr>
          <w:rFonts w:ascii="Times New Roman" w:cs="Times New Roman" w:eastAsia="Times New Roman" w:hAnsi="Times New Roman"/>
          <w:sz w:val="18"/>
          <w:szCs w:val="18"/>
          <w:color w:val="auto"/>
        </w:rPr>
        <w:t>”) and the Ambrell Corporation Savings &amp; Profit Sharing Plan (the “</w:t>
      </w:r>
      <w:r>
        <w:rPr>
          <w:rFonts w:ascii="Times New Roman" w:cs="Times New Roman" w:eastAsia="Times New Roman" w:hAnsi="Times New Roman"/>
          <w:sz w:val="18"/>
          <w:szCs w:val="18"/>
          <w:b w:val="1"/>
          <w:bCs w:val="1"/>
          <w:u w:val="single" w:color="auto"/>
          <w:color w:val="auto"/>
        </w:rPr>
        <w:t>Ambrell Plan</w:t>
      </w:r>
      <w:r>
        <w:rPr>
          <w:rFonts w:ascii="Times New Roman" w:cs="Times New Roman" w:eastAsia="Times New Roman" w:hAnsi="Times New Roman"/>
          <w:sz w:val="18"/>
          <w:szCs w:val="18"/>
          <w:color w:val="auto"/>
        </w:rPr>
        <w:t>”). During the quarter ended September 30, 2023, the Ambrell Plan, which is discussed further below, was merged into the inTEST Plan.</w:t>
      </w:r>
    </w:p>
    <w:p>
      <w:pPr>
        <w:spacing w:after="0" w:line="175" w:lineRule="exact"/>
        <w:rPr>
          <w:rFonts w:ascii="Times New Roman" w:cs="Times New Roman" w:eastAsia="Times New Roman" w:hAnsi="Times New Roman"/>
          <w:sz w:val="18"/>
          <w:szCs w:val="18"/>
          <w:b w:val="1"/>
          <w:bCs w:val="1"/>
          <w:color w:val="auto"/>
        </w:rPr>
      </w:pPr>
    </w:p>
    <w:p>
      <w:pPr>
        <w:ind w:left="672"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all permanent employees of Acculogic Ltd, Ambrell®, inTEST Corporation, inTEST EMS LLC, Temptronic Corporation and Videology®, who are at least 18 years of age, are eligible to participate in the inTEST Plan. We match employee contributions dollar for dollar up to 10% of the employee’s annual compensation, with a maximum limit of $5 thousand. Employer contributions vest ratably over four years. Matching contributions are discretionary.</w:t>
      </w:r>
    </w:p>
    <w:p>
      <w:pPr>
        <w:spacing w:after="0" w:line="179" w:lineRule="exact"/>
        <w:rPr>
          <w:rFonts w:ascii="Times New Roman" w:cs="Times New Roman" w:eastAsia="Times New Roman" w:hAnsi="Times New Roman"/>
          <w:sz w:val="18"/>
          <w:szCs w:val="18"/>
          <w:b w:val="1"/>
          <w:bCs w:val="1"/>
          <w:color w:val="auto"/>
        </w:rPr>
      </w:pPr>
    </w:p>
    <w:p>
      <w:pPr>
        <w:ind w:left="672"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merger with the inTEST Plan, all permanent employees of Ambrell® were immediately eligible to participate in the Ambrell Plan upon employment and were eligible for employer matching contributions after completing six months of service, as defined in the Ambrell Plan. The Ambrell Plan allowed eligible employees to make voluntary contributions up to 100% of compensation, up to the federal government contribution limits. We made a matching contribution of 50% of each employee’s contributions up to a maximum of 10% of the employee’s deferral with a maximum limit of $5 thousand.</w:t>
      </w:r>
    </w:p>
    <w:p>
      <w:pPr>
        <w:spacing w:after="0" w:line="179" w:lineRule="exact"/>
        <w:rPr>
          <w:rFonts w:ascii="Times New Roman" w:cs="Times New Roman" w:eastAsia="Times New Roman" w:hAnsi="Times New Roman"/>
          <w:sz w:val="18"/>
          <w:szCs w:val="18"/>
          <w:b w:val="1"/>
          <w:bCs w:val="1"/>
          <w:color w:val="auto"/>
        </w:rPr>
      </w:pPr>
    </w:p>
    <w:p>
      <w:pPr>
        <w:ind w:left="672"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Alfamation™ in Italy are entitled to Trattamento di Fine Rapporto (“</w:t>
      </w:r>
      <w:r>
        <w:rPr>
          <w:rFonts w:ascii="Times New Roman" w:cs="Times New Roman" w:eastAsia="Times New Roman" w:hAnsi="Times New Roman"/>
          <w:sz w:val="18"/>
          <w:szCs w:val="18"/>
          <w:b w:val="1"/>
          <w:bCs w:val="1"/>
          <w:u w:val="single" w:color="auto"/>
          <w:color w:val="auto"/>
        </w:rPr>
        <w:t>TFR</w:t>
      </w:r>
      <w:r>
        <w:rPr>
          <w:rFonts w:ascii="Times New Roman" w:cs="Times New Roman" w:eastAsia="Times New Roman" w:hAnsi="Times New Roman"/>
          <w:sz w:val="18"/>
          <w:szCs w:val="18"/>
          <w:color w:val="auto"/>
        </w:rPr>
        <w:t>”),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in personnel costs in our consolidated statements of operations and the required accrual is included in Other Liabilities on our consolidated balance sheets. At December 31, 2024, the amount recorded in Other Liabilities for TFR was $1.4 million.</w:t>
      </w:r>
    </w:p>
    <w:p>
      <w:pPr>
        <w:spacing w:after="0" w:line="183" w:lineRule="exact"/>
        <w:rPr>
          <w:sz w:val="20"/>
          <w:szCs w:val="20"/>
          <w:color w:val="auto"/>
        </w:rPr>
      </w:pPr>
    </w:p>
    <w:p>
      <w:pPr>
        <w:ind w:left="672" w:right="3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recorded expense for matching contributions to both plans of $776 thousand and $767 thousand, respectively.</w:t>
      </w:r>
    </w:p>
    <w:p>
      <w:pPr>
        <w:spacing w:after="0" w:line="1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819" w:right="399" w:bottom="1440" w:gutter="0" w:footer="0" w:header="0"/>
        </w:sectPr>
      </w:pPr>
    </w:p>
    <w:bookmarkStart w:id="79" w:name="page80"/>
    <w:bookmarkEnd w:id="79"/>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740" w:right="100"/>
        <w:spacing w:after="0" w:line="256" w:lineRule="auto"/>
        <w:rPr>
          <w:sz w:val="20"/>
          <w:szCs w:val="20"/>
          <w:color w:val="auto"/>
        </w:rPr>
      </w:pPr>
      <w:r>
        <w:rPr>
          <w:rFonts w:ascii="Times New Roman" w:cs="Times New Roman" w:eastAsia="Times New Roman" w:hAnsi="Times New Roman"/>
          <w:sz w:val="18"/>
          <w:szCs w:val="18"/>
          <w:color w:val="auto"/>
        </w:rPr>
        <w:t>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industrial, automotive, life sciences, defense/aerospace, security and other markets.</w:t>
      </w:r>
    </w:p>
    <w:p>
      <w:pPr>
        <w:spacing w:after="0" w:line="187" w:lineRule="exact"/>
        <w:rPr>
          <w:sz w:val="20"/>
          <w:szCs w:val="20"/>
          <w:color w:val="auto"/>
        </w:rPr>
      </w:pPr>
    </w:p>
    <w:p>
      <w:pPr>
        <w:ind w:left="740" w:right="160"/>
        <w:spacing w:after="0" w:line="258" w:lineRule="auto"/>
        <w:rPr>
          <w:sz w:val="20"/>
          <w:szCs w:val="20"/>
          <w:color w:val="auto"/>
        </w:rPr>
      </w:pPr>
      <w:r>
        <w:rPr>
          <w:rFonts w:ascii="Times New Roman" w:cs="Times New Roman" w:eastAsia="Times New Roman" w:hAnsi="Times New Roman"/>
          <w:sz w:val="18"/>
          <w:szCs w:val="18"/>
          <w:color w:val="auto"/>
        </w:rPr>
        <w:t>Our management team, including our CEO who is also our CODM as defined under U.S. GAAP, evaluates the performance of our operating segments primarily on income from divisional operations which represents divisional revenue, less associated costs of revenue and other divisional costs, and excludes interest expense, other income (expense), corporate expenses and acquired intangible amortization. Other divisional costs represent engineering and product development costs, selling expenses, general and administrative expenses directly attributable to the division.</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60" w:type="dxa"/>
            <w:vAlign w:val="bottom"/>
            <w:tcBorders>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3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Environmental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180"/>
              <w:spacing w:after="0" w:line="190" w:lineRule="exact"/>
              <w:rPr>
                <w:sz w:val="20"/>
                <w:szCs w:val="20"/>
                <w:color w:val="auto"/>
              </w:rPr>
            </w:pPr>
            <w:r>
              <w:rPr>
                <w:rFonts w:ascii="Times New Roman" w:cs="Times New Roman" w:eastAsia="Times New Roman" w:hAnsi="Times New Roman"/>
                <w:sz w:val="18"/>
                <w:szCs w:val="18"/>
                <w:b w:val="1"/>
                <w:bCs w:val="1"/>
                <w:color w:val="auto"/>
                <w:w w:val="99"/>
              </w:rPr>
              <w:t>Process</w:t>
            </w:r>
          </w:p>
        </w:tc>
        <w:tc>
          <w:tcPr>
            <w:tcW w:w="120" w:type="dxa"/>
            <w:vAlign w:val="bottom"/>
          </w:tcPr>
          <w:p>
            <w:pPr>
              <w:spacing w:after="0"/>
              <w:rPr>
                <w:sz w:val="16"/>
                <w:szCs w:val="16"/>
                <w:color w:val="auto"/>
              </w:rPr>
            </w:pPr>
          </w:p>
        </w:tc>
        <w:tc>
          <w:tcPr>
            <w:tcW w:w="1340" w:type="dxa"/>
            <w:vAlign w:val="bottom"/>
            <w:gridSpan w:val="3"/>
          </w:tcPr>
          <w:p>
            <w:pPr>
              <w:jc w:val="right"/>
              <w:ind w:right="260"/>
              <w:spacing w:after="0" w:line="190"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Electronic Test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38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63,878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37,914</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75,266</w:t>
            </w:r>
          </w:p>
        </w:tc>
        <w:tc>
          <w:tcPr>
            <w:tcW w:w="100" w:type="dxa"/>
            <w:vAlign w:val="bottom"/>
          </w:tcPr>
          <w:p>
            <w:pPr>
              <w:spacing w:after="0"/>
              <w:rPr>
                <w:sz w:val="18"/>
                <w:szCs w:val="18"/>
                <w:color w:val="auto"/>
              </w:rPr>
            </w:pPr>
          </w:p>
        </w:tc>
      </w:tr>
      <w:tr>
        <w:trPr>
          <w:trHeight w:val="216"/>
        </w:trPr>
        <w:tc>
          <w:tcPr>
            <w:tcW w:w="38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divisional costs</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Division operating income</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Pr>
          <w:p>
            <w:pPr>
              <w:spacing w:after="0"/>
              <w:rPr>
                <w:sz w:val="18"/>
                <w:szCs w:val="18"/>
                <w:color w:val="auto"/>
              </w:rPr>
            </w:pPr>
          </w:p>
        </w:tc>
      </w:tr>
      <w:tr>
        <w:trPr>
          <w:trHeight w:val="209"/>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amortization</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2,545</w:t>
            </w: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00" w:type="dxa"/>
            <w:vAlign w:val="bottom"/>
          </w:tcPr>
          <w:p>
            <w:pPr>
              <w:spacing w:after="0"/>
              <w:rPr>
                <w:sz w:val="18"/>
                <w:szCs w:val="18"/>
                <w:color w:val="auto"/>
              </w:rPr>
            </w:pPr>
          </w:p>
        </w:tc>
      </w:tr>
      <w:tr>
        <w:trPr>
          <w:trHeight w:val="210"/>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(12,426)</w:t>
            </w: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shd w:val="clear" w:color="auto" w:fill="CCEEFF"/>
          </w:tcPr>
          <w:p>
            <w:pPr>
              <w:spacing w:after="0"/>
              <w:rPr>
                <w:sz w:val="18"/>
                <w:szCs w:val="18"/>
                <w:color w:val="auto"/>
              </w:rPr>
            </w:pPr>
          </w:p>
        </w:tc>
      </w:tr>
      <w:tr>
        <w:trPr>
          <w:trHeight w:val="20"/>
        </w:trPr>
        <w:tc>
          <w:tcPr>
            <w:tcW w:w="38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38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Divisional Disclosures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8"/>
                <w:szCs w:val="18"/>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4,533</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152,288</w:t>
            </w:r>
          </w:p>
        </w:tc>
        <w:tc>
          <w:tcPr>
            <w:tcW w:w="100" w:type="dxa"/>
            <w:vAlign w:val="bottom"/>
          </w:tcPr>
          <w:p>
            <w:pPr>
              <w:spacing w:after="0"/>
              <w:rPr>
                <w:sz w:val="20"/>
                <w:szCs w:val="20"/>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860" w:type="dxa"/>
            <w:vAlign w:val="bottom"/>
            <w:tcBorders>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Environmental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180"/>
              <w:spacing w:after="0" w:line="190" w:lineRule="exact"/>
              <w:rPr>
                <w:sz w:val="20"/>
                <w:szCs w:val="20"/>
                <w:color w:val="auto"/>
              </w:rPr>
            </w:pPr>
            <w:r>
              <w:rPr>
                <w:rFonts w:ascii="Times New Roman" w:cs="Times New Roman" w:eastAsia="Times New Roman" w:hAnsi="Times New Roman"/>
                <w:sz w:val="18"/>
                <w:szCs w:val="18"/>
                <w:b w:val="1"/>
                <w:bCs w:val="1"/>
                <w:color w:val="auto"/>
                <w:w w:val="99"/>
              </w:rPr>
              <w:t>Process</w:t>
            </w:r>
          </w:p>
        </w:tc>
        <w:tc>
          <w:tcPr>
            <w:tcW w:w="120" w:type="dxa"/>
            <w:vAlign w:val="bottom"/>
          </w:tcPr>
          <w:p>
            <w:pPr>
              <w:spacing w:after="0"/>
              <w:rPr>
                <w:sz w:val="16"/>
                <w:szCs w:val="16"/>
                <w:color w:val="auto"/>
              </w:rPr>
            </w:pPr>
          </w:p>
        </w:tc>
        <w:tc>
          <w:tcPr>
            <w:tcW w:w="1340" w:type="dxa"/>
            <w:vAlign w:val="bottom"/>
            <w:gridSpan w:val="3"/>
          </w:tcPr>
          <w:p>
            <w:pPr>
              <w:jc w:val="right"/>
              <w:ind w:right="260"/>
              <w:spacing w:after="0" w:line="190"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Electronic Test</w:t>
            </w:r>
          </w:p>
        </w:tc>
        <w:tc>
          <w:tcPr>
            <w:tcW w:w="10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51,485</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divisional costs</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Division operating income</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amortization</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2,094</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(12,367)</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660" w:type="dxa"/>
            <w:vAlign w:val="bottom"/>
          </w:tcPr>
          <w:p>
            <w:pPr>
              <w:spacing w:after="0"/>
              <w:rPr>
                <w:sz w:val="18"/>
                <w:szCs w:val="18"/>
                <w:color w:val="auto"/>
              </w:rPr>
            </w:pPr>
          </w:p>
        </w:tc>
        <w:tc>
          <w:tcPr>
            <w:tcW w:w="38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8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Divisional Disclosures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CEEFF"/>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32,505</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28,710</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134,829</w:t>
            </w: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F-35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819" w:right="259" w:bottom="1440" w:gutter="0" w:footer="0" w:header="0"/>
        </w:sectPr>
      </w:pPr>
    </w:p>
    <w:bookmarkStart w:id="80" w:name="page81"/>
    <w:bookmarkEnd w:id="80"/>
    <w:p>
      <w:pPr>
        <w:ind w:left="680" w:right="6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Revenue is based on the location to which the goods are shipped.</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53,712</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45,222</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78,080</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123,302</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3"/>
              </w:rPr>
              <w:t>2,280</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2,177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3"/>
              </w:rPr>
              <w:t>4,457</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CONSOLIDATED FINANCIAL DATA (Unaudited)</w:t>
      </w:r>
    </w:p>
    <w:p>
      <w:pPr>
        <w:spacing w:after="0" w:line="229" w:lineRule="exact"/>
        <w:rPr>
          <w:rFonts w:ascii="Times New Roman" w:cs="Times New Roman" w:eastAsia="Times New Roman" w:hAnsi="Times New Roman"/>
          <w:sz w:val="18"/>
          <w:szCs w:val="18"/>
          <w:b w:val="1"/>
          <w:bCs w:val="1"/>
          <w:color w:val="auto"/>
        </w:rPr>
      </w:pPr>
    </w:p>
    <w:p>
      <w:pPr>
        <w:ind w:left="68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certain unaudited consolidated quarterly financial information for each of the eight quarters ended December 31, 2024.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79" w:lineRule="exact"/>
        <w:rPr>
          <w:rFonts w:ascii="Times New Roman" w:cs="Times New Roman" w:eastAsia="Times New Roman" w:hAnsi="Times New Roman"/>
          <w:sz w:val="18"/>
          <w:szCs w:val="18"/>
          <w:b w:val="1"/>
          <w:bCs w:val="1"/>
          <w:color w:val="auto"/>
        </w:rPr>
      </w:pPr>
    </w:p>
    <w:p>
      <w:pPr>
        <w:jc w:val="both"/>
        <w:ind w:left="680" w:righ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Year-over-year quarterly comparisons of our results of operations may not be as meaningful as the sequential quarterly comparisons set forth below that tend to reflect the cyclical and seasonal activity of the semi market. Quarterly fluctuations in expenses are related directly to sales activity and volume and may also reflect the timing of operating expenses incurred throughout the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29,824</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33,991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130,690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55,424</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common share – basic</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12,026,361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12,234,599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12,189,761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12,156,931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12,151,913</w:t>
            </w:r>
          </w:p>
        </w:tc>
        <w:tc>
          <w:tcPr>
            <w:tcW w:w="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common share – diluted</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12,158,297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12,330,280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12,251,712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12,216,344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12,239,158</w:t>
            </w: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31,919</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123,302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56,978</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common share – basic</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shd w:val="clear" w:color="auto" w:fill="CCEEFF"/>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10,755,729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11,241,183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11,886,005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11,962,679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11,461,399</w:t>
            </w:r>
          </w:p>
        </w:tc>
        <w:tc>
          <w:tcPr>
            <w:tcW w:w="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common share – diluted</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shd w:val="clear" w:color="auto" w:fill="CCEEFF"/>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11,088,664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11,696,569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12,212,317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12,122,099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11,779,912</w:t>
            </w: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F-36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80" w:right="259" w:bottom="1440" w:gutter="0" w:footer="0" w:header="0"/>
        </w:sectPr>
      </w:pPr>
    </w:p>
    <w:bookmarkStart w:id="81" w:name="page82"/>
    <w:bookmarkEnd w:id="81"/>
    <w:p>
      <w:pPr>
        <w:ind w:left="652" w:hanging="652"/>
        <w:spacing w:after="0"/>
        <w:tabs>
          <w:tab w:leader="none" w:pos="6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7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25, 2025, we notified employees of our wholly-owned subsidiary, Videology Imaging Corporation, of our intention to consolidate all operations in the Netherlands into our facility located in Mansfield, Massachusetts. This plan would result in the closure of the Netherlands facility and the termination of certain employees at that location. The consolidation of the Netherlands operations is being undertaken to increase efficiencies and lower operating costs associated with the current operation of Videology®. The consolidation is expected to be substantially completed by the end of 2025 at which point we intend to fully vacate the Netherlands facility.</w:t>
      </w:r>
    </w:p>
    <w:p>
      <w:pPr>
        <w:spacing w:after="0" w:line="183" w:lineRule="exact"/>
        <w:rPr>
          <w:rFonts w:ascii="Times New Roman" w:cs="Times New Roman" w:eastAsia="Times New Roman" w:hAnsi="Times New Roman"/>
          <w:sz w:val="18"/>
          <w:szCs w:val="18"/>
          <w:b w:val="1"/>
          <w:bCs w:val="1"/>
          <w:color w:val="auto"/>
        </w:rPr>
      </w:pPr>
    </w:p>
    <w:p>
      <w:pPr>
        <w:ind w:left="67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this action, we expect to incur cash charges for severance and other one-time termination benefits of $350 thousand. In addition, we expect to incur cash charges for other costs related to the facility consolidation, including moving costs, costs associated with the termination of the Netherlands facility lease and other consolidation costs, ranging from $200 thousand to $300 thousand.</w:t>
      </w:r>
    </w:p>
    <w:p>
      <w:pPr>
        <w:spacing w:after="0" w:line="175" w:lineRule="exact"/>
        <w:rPr>
          <w:rFonts w:ascii="Times New Roman" w:cs="Times New Roman" w:eastAsia="Times New Roman" w:hAnsi="Times New Roman"/>
          <w:sz w:val="18"/>
          <w:szCs w:val="18"/>
          <w:b w:val="1"/>
          <w:bCs w:val="1"/>
          <w:color w:val="auto"/>
        </w:rPr>
      </w:pPr>
    </w:p>
    <w:p>
      <w:pPr>
        <w:ind w:left="67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5, 2025, the Board of Directors authorized the renewal of the Repurchase Plan without a fixed expiration date. As of the renewal date, the Company had approximately $9.0 million available for repurchases under the renewed Repurchase Plan. The Company is not obligated to purchase any common stock under the Repurchase Plan. Further, the Repurchase Plan may be suspended or discontinued at any time without prior notice.</w:t>
      </w:r>
    </w:p>
    <w:p>
      <w:pPr>
        <w:spacing w:after="0" w:line="1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19" w:right="359" w:bottom="1440" w:gutter="0" w:footer="0" w:header="0"/>
        </w:sectPr>
      </w:pPr>
    </w:p>
    <w:bookmarkStart w:id="82" w:name="page83"/>
    <w:bookmarkEnd w:id="8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360" w:type="dxa"/>
            <w:vAlign w:val="bottom"/>
            <w:gridSpan w:val="3"/>
          </w:tcPr>
          <w:p>
            <w:pPr>
              <w:jc w:val="right"/>
              <w:ind w:right="28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(Recovery) </w:t>
            </w:r>
            <w:r>
              <w:rPr>
                <w:rFonts w:ascii="Times New Roman" w:cs="Times New Roman" w:eastAsia="Times New Roman" w:hAnsi="Times New Roman"/>
                <w:sz w:val="27"/>
                <w:szCs w:val="27"/>
                <w:b w:val="1"/>
                <w:bCs w:val="1"/>
                <w:color w:val="auto"/>
                <w:vertAlign w:val="superscript"/>
              </w:rPr>
              <w:t>(1)</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Combinations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09"/>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r>
    </w:tbl>
    <w:p>
      <w:pPr>
        <w:spacing w:after="0" w:line="198" w:lineRule="exact"/>
        <w:rPr>
          <w:sz w:val="20"/>
          <w:szCs w:val="20"/>
          <w:color w:val="auto"/>
        </w:rPr>
      </w:pPr>
    </w:p>
    <w:p>
      <w:pPr>
        <w:ind w:left="380" w:right="80" w:hanging="372"/>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Bad debt recoveries in the table above do not include $198 for the year ended December 31, 2023 that relate to receivables acquired in 2021 that were valued at $0 at the time of acquisition but were subsequently recovered.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819"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federal securities laws, it is unlawful for any director, officer or other employee of inTEST Corporation or its subsidiaries (collectively, the “Corporation”) and any other persons who possess material, nonpublic information about the Corporation, to buy, sell or otherwise make trades in the Corporation’s securities (“insider trading”) or to pass such information to others (“tipping”) who may make trades in the Corporation’s securities on the basis of such information. The penalties for insider trading and tipping can be severe, not only to the person or persons engaged in such illegal activity, but also, under certain circumstances, to the Corporation and persons who supervise such offenders.</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all worked hard over the years to establish our reputation for integrity and ethical conduct and we cannot afford to have it damaged. Consequently, we have adopted this Insider Trading Policy to prevent such illegal trading and tipping and the appearance of improper conduct on the part of anyone employed by, or associated with,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consequences of insider trading violations can be staggering.</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For individuals</w:t>
      </w:r>
      <w:r>
        <w:rPr>
          <w:rFonts w:ascii="Times New Roman" w:cs="Times New Roman" w:eastAsia="Times New Roman" w:hAnsi="Times New Roman"/>
          <w:sz w:val="18"/>
          <w:szCs w:val="18"/>
          <w:color w:val="auto"/>
        </w:rPr>
        <w:t xml:space="preserve"> who trade on inside information (or tip information to others), or who supervise a person who trades on inside information (or tips information to others) and who know or disregard the fact that such person is likely to engage in such illegal activity and fails to take appropriate steps to prevent such activity, consequences may include:</w:t>
      </w:r>
    </w:p>
    <w:p>
      <w:pPr>
        <w:spacing w:after="0" w:line="176"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times the profit gained, or loss avoided.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(no matter how small the profit) of up to $5,000,000.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jail term of up to twenty years;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against serving as an officer or director of a public company in the future.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 the Corporation</w:t>
      </w:r>
      <w:r>
        <w:rPr>
          <w:rFonts w:ascii="Times New Roman" w:cs="Times New Roman" w:eastAsia="Times New Roman" w:hAnsi="Times New Roman"/>
          <w:sz w:val="18"/>
          <w:szCs w:val="18"/>
          <w:color w:val="auto"/>
        </w:rPr>
        <w:t>, if it fails to take appropriate steps to prevent such activity, consequences may include:</w:t>
      </w:r>
    </w:p>
    <w:p>
      <w:pPr>
        <w:spacing w:after="0" w:line="225" w:lineRule="exact"/>
        <w:rPr>
          <w:sz w:val="20"/>
          <w:szCs w:val="20"/>
          <w:color w:val="auto"/>
        </w:rPr>
      </w:pPr>
    </w:p>
    <w:p>
      <w:pPr>
        <w:ind w:left="1300" w:right="28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the greater of $1,000,000 or three times the profit gained, or loss avoided because of the employee’s violation;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$25,000,000.</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any employee of the Corporation who violates this Insider Trading Policy may be subject to dismissal for cause or other sanction. Any of the above consequences, even an investigation by the Securities and Exchange Commission (the “SEC”) that does not result in prosecution, can tarnish one’s reputation and irreparably damage a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Enforcement</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Both the SEC and the Financial Industry Regulatory Authority (“FINRA”) investigate, and are very effective at detecting, insider trading. The SEC and the U.S. Attorneys pursue insider trading violations vigorously.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Policy Regarding Trading</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a director, officer or other employee of the Corporation has material, nonpublic information relating to the Corporation, it is our policy that neither that person nor any person related to him or her, nor any person living within the same household (either related or unrelated to him or her) may directly or indirectly buy or sell securities of the Corporation or engage in any other action to take advantage of that information or to pass that information on to others.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This policy also applies to trading securities of any company with whom the Corporation has a business relationship, including any of our suppliers or customers and companies with whom we may be negotiating a transaction. Thus, if you acquire material, nonpublic information about any of these companies in the course of your employment or service to the Corporation, you may not buy or sell any stock or other securities of such other company or pass that information on to others.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policy applies to all purchases and sales of securities, regardless of whether they are necessary for independent reasons (such as the need to raise money for an emergency expenditure). Even the appearance of an improper transaction must be avoided to preserve our reputation for adhering to the highest standards of ethical conduct. From time to time, this policy may apply to consultants and contractors who have access to material nonpublic information at the Corporation’s election.</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Event-Specific Blackout Period</w:t>
      </w:r>
      <w:r>
        <w:rPr>
          <w:rFonts w:ascii="Times New Roman" w:cs="Times New Roman" w:eastAsia="Times New Roman" w:hAnsi="Times New Roman"/>
          <w:sz w:val="18"/>
          <w:szCs w:val="18"/>
          <w:color w:val="auto"/>
        </w:rPr>
        <w:t>. We may also suspend trading in the Corporation’s securities at other times by some or all our directors, officers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employees because of events or developments (an “Event-Specific Blackout Period”) known to management but not yet disclosed to the public. Such Event-Specific Blackout Period will be announced by the Chief Executive Officer or the Chief Financial Officer. In such event, the persons subject to an Event-Specific Blackout Period would be prohibited from buying or selling the Corporation’s securities and from disclosing to others the fact of such Event-Specific Blackout Period. The failure to designate you as a person subject to an Event-Specific Blackout Period does not relieve you of the obligation not to trade while aware of material nonpublic information.</w:t>
      </w:r>
    </w:p>
    <w:p>
      <w:pPr>
        <w:spacing w:after="0" w:line="182"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color w:val="auto"/>
        </w:rPr>
        <w:t>. Material information is any information that could reasonably be expected to affect the price of a company’s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 reasonable investor would consider important in deciding whether to buy, sell or retain the securities.</w:t>
      </w:r>
    </w:p>
    <w:p>
      <w:pPr>
        <w:spacing w:after="0" w:line="16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While it is not possible to identify every type of information that could be deemed material, common examples of information that may be regarded as material information include the following:</w:t>
      </w:r>
    </w:p>
    <w:p>
      <w:pPr>
        <w:spacing w:after="0" w:line="162"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quarterly or annual operating results.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85" w:name="page86"/>
    <w:bookmarkEnd w:id="85"/>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performance or liquidity.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changes to previously announced earnings guidance.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accounting methods or policies.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management.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patents or developments.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 or supplier.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of a significant contract.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deterioration in the credit quality of a significant customer.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significant sale of assets or the disposition of a subsidiary.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 major joint venture.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the declaration of a stock split or the offering of additional securities.</w:t>
      </w:r>
    </w:p>
    <w:p>
      <w:pPr>
        <w:spacing w:after="0" w:line="252" w:lineRule="exact"/>
        <w:rPr>
          <w:rFonts w:ascii="Times New Roman" w:cs="Times New Roman" w:eastAsia="Times New Roman" w:hAnsi="Times New Roman"/>
          <w:sz w:val="18"/>
          <w:szCs w:val="18"/>
          <w:color w:val="auto"/>
        </w:rPr>
      </w:pPr>
    </w:p>
    <w:p>
      <w:pPr>
        <w:ind w:left="1300" w:right="40" w:hanging="644"/>
        <w:spacing w:after="0" w:line="312" w:lineRule="auto"/>
        <w:tabs>
          <w:tab w:leader="none" w:pos="1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cybersecurity incident, such as a data breach, or any other significant disruption in a company’s operations or loss, potential loss, breach or unauthorized access of its property or assets, whether at its facilities or through its information technology infrastructure.</w:t>
      </w:r>
    </w:p>
    <w:p>
      <w:pPr>
        <w:spacing w:after="0" w:line="13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securities.</w:t>
      </w:r>
    </w:p>
    <w:p>
      <w:pPr>
        <w:spacing w:after="0" w:line="200" w:lineRule="exact"/>
        <w:rPr>
          <w:sz w:val="20"/>
          <w:szCs w:val="20"/>
          <w:color w:val="auto"/>
        </w:rPr>
      </w:pPr>
    </w:p>
    <w:p>
      <w:pPr>
        <w:spacing w:after="0" w:line="266"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Both positive and negative information may be material</w:t>
      </w:r>
      <w:r>
        <w:rPr>
          <w:rFonts w:ascii="Times New Roman" w:cs="Times New Roman" w:eastAsia="Times New Roman" w:hAnsi="Times New Roman"/>
          <w:sz w:val="18"/>
          <w:szCs w:val="18"/>
          <w:color w:val="auto"/>
        </w:rPr>
        <w:t>. If you are unsure whether information is material, you should consult with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Duncan Gilmour. You may reach his office by calling [REDACTED] or by emailing [REDACTED].</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Twenty-Twenty Hindsight</w:t>
      </w:r>
      <w:r>
        <w:rPr>
          <w:rFonts w:ascii="Times New Roman" w:cs="Times New Roman" w:eastAsia="Times New Roman" w:hAnsi="Times New Roman"/>
          <w:sz w:val="18"/>
          <w:szCs w:val="18"/>
          <w:color w:val="auto"/>
        </w:rPr>
        <w:t>. Remember, if your securities transaction becomes the subject of scrutiny, it will be viewed after-the-fact with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hindsight. As a result, before engaging in any transaction you should carefully consider how regulators and others might view your transaction in hindsight.</w:t>
      </w:r>
    </w:p>
    <w:p>
      <w:pPr>
        <w:spacing w:after="0" w:line="17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Transactions By Family Members and Others</w:t>
      </w:r>
      <w:r>
        <w:rPr>
          <w:rFonts w:ascii="Times New Roman" w:cs="Times New Roman" w:eastAsia="Times New Roman" w:hAnsi="Times New Roman"/>
          <w:sz w:val="18"/>
          <w:szCs w:val="18"/>
          <w:color w:val="auto"/>
        </w:rPr>
        <w:t>. The restrictions set forth in this policy also apply to your spouse, children, other family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persons living in your household, as well as to family members and others who do not live in your household, but whose transactions you direct, control or otherwise influence (including transactions by persons who consult with you before they trade in securities). Directors, officers, and other employees are expected to be responsible for compliance with this policy by their family members, members of their household, and persons who consult with them. In short, if you cannot buy or sell the securities pursuant to this policy, then neither can your spouse, other family members, others in your household or other persons whose trades are directed, controlled, or influenced by you.</w:t>
      </w:r>
    </w:p>
    <w:p>
      <w:pPr>
        <w:spacing w:after="0" w:line="182"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Tipping Information to Others</w:t>
      </w:r>
      <w:r>
        <w:rPr>
          <w:rFonts w:ascii="Times New Roman" w:cs="Times New Roman" w:eastAsia="Times New Roman" w:hAnsi="Times New Roman"/>
          <w:sz w:val="18"/>
          <w:szCs w:val="18"/>
          <w:color w:val="auto"/>
        </w:rPr>
        <w:t>. No material, nonpublic information should be told to persons outside of the Corporation unless such disclosure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in accordance with the provisions described below under the heading “Disclosure of Information” by the Chief Financial Officer, as coordinator of this policy. The penalties described above may apply whether or not you derive any benefit from another’s actions.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When Information is Public</w:t>
      </w:r>
      <w:r>
        <w:rPr>
          <w:rFonts w:ascii="Times New Roman" w:cs="Times New Roman" w:eastAsia="Times New Roman" w:hAnsi="Times New Roman"/>
          <w:sz w:val="18"/>
          <w:szCs w:val="18"/>
          <w:color w:val="auto"/>
        </w:rPr>
        <w:t>. The Corporation’s stockholders and the investing public should be afforded sufficient time to absorb and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after the Corporation has made a public announcement of material information, including earnings releases. </w:t>
      </w:r>
      <w:r>
        <w:rPr>
          <w:rFonts w:ascii="Times New Roman" w:cs="Times New Roman" w:eastAsia="Times New Roman" w:hAnsi="Times New Roman"/>
          <w:sz w:val="18"/>
          <w:szCs w:val="18"/>
          <w:b w:val="1"/>
          <w:bCs w:val="1"/>
          <w:color w:val="auto"/>
        </w:rPr>
        <w:t>Therefore, as a general rule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should not engage in any transactions until after the first full trading day following the announcement of material information. </w:t>
      </w:r>
      <w:r>
        <w:rPr>
          <w:rFonts w:ascii="Times New Roman" w:cs="Times New Roman" w:eastAsia="Times New Roman" w:hAnsi="Times New Roman"/>
          <w:sz w:val="18"/>
          <w:szCs w:val="18"/>
          <w:color w:val="auto"/>
        </w:rPr>
        <w:t>Thus, if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announcement is made on a Monday, Wednesday would be the first day on which you may trade. If an announcement is made on a Friday, Tuesday would be the first day. Of course, this presumes you do not know other material, nonpublic information about the Corporation at the time you enter into your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Trading Restrictions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Because we believe it is improper and inappropriate for any director, officer or other employee to engage in short-term or speculative transactions involving the Corporation’s securities, it is our policy that directors, officers and other employees may not engage in certain activities, as described below, with respect to securities of the Corporation:</w:t>
      </w:r>
    </w:p>
    <w:p>
      <w:pPr>
        <w:spacing w:after="0" w:line="174" w:lineRule="exact"/>
        <w:rPr>
          <w:sz w:val="20"/>
          <w:szCs w:val="20"/>
          <w:color w:val="auto"/>
        </w:rPr>
      </w:pPr>
    </w:p>
    <w:p>
      <w:pPr>
        <w:ind w:left="1300" w:right="20" w:firstLine="4"/>
        <w:spacing w:after="0" w:line="255" w:lineRule="auto"/>
        <w:tabs>
          <w:tab w:leader="none" w:pos="1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Trading Corporation securities for short-term profit</w:t>
      </w:r>
      <w:r>
        <w:rPr>
          <w:rFonts w:ascii="Times New Roman" w:cs="Times New Roman" w:eastAsia="Times New Roman" w:hAnsi="Times New Roman"/>
          <w:sz w:val="18"/>
          <w:szCs w:val="18"/>
          <w:color w:val="auto"/>
        </w:rPr>
        <w:t>. Any securities purchased in the open market by a director or officer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purchased for investment and held for a minimum of six months and ideally longer. </w:t>
      </w:r>
      <w:r>
        <w:rPr>
          <w:rFonts w:ascii="Times New Roman" w:cs="Times New Roman" w:eastAsia="Times New Roman" w:hAnsi="Times New Roman"/>
          <w:sz w:val="18"/>
          <w:szCs w:val="18"/>
          <w:b w:val="1"/>
          <w:bCs w:val="1"/>
          <w:i w:val="1"/>
          <w:iCs w:val="1"/>
          <w:color w:val="auto"/>
        </w:rPr>
        <w:t>Consequently, directors and officers may not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sell equity securities of the Corporation sooner than six months after last acquiring equity securities of the Corporation in the open market or (b) buy equity securities of the Corporation in the open market sooner than six months after last selling equity securities of the Corporation. </w:t>
      </w:r>
      <w:r>
        <w:rPr>
          <w:rFonts w:ascii="Times New Roman" w:cs="Times New Roman" w:eastAsia="Times New Roman" w:hAnsi="Times New Roman"/>
          <w:sz w:val="18"/>
          <w:szCs w:val="18"/>
          <w:color w:val="auto"/>
        </w:rPr>
        <w:t>For the avoidance of doubt, this prohibition applies only to purchases in the open market and does not apply to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exercises or other employee benefit plan transactions, including purchases through the ESPP (as defined below). (Note that the SEC’s short-swing profit recovery rule already prevents certain officers and directors from keeping any profit from the purchase or sale of the Corporation’s securities within six months of an opposite transaction.)</w:t>
      </w:r>
    </w:p>
    <w:p>
      <w:pPr>
        <w:spacing w:after="0" w:line="184" w:lineRule="exact"/>
        <w:rPr>
          <w:rFonts w:ascii="Times New Roman" w:cs="Times New Roman" w:eastAsia="Times New Roman" w:hAnsi="Times New Roman"/>
          <w:sz w:val="18"/>
          <w:szCs w:val="18"/>
          <w:color w:val="auto"/>
        </w:rPr>
      </w:pPr>
    </w:p>
    <w:p>
      <w:pPr>
        <w:ind w:left="1300" w:firstLine="4"/>
        <w:spacing w:after="0" w:line="261" w:lineRule="auto"/>
        <w:tabs>
          <w:tab w:leader="none" w:pos="1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Purchases of the Corporation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 securities on margin or pledging of securities</w:t>
      </w:r>
      <w:r>
        <w:rPr>
          <w:rFonts w:ascii="Times New Roman" w:cs="Times New Roman" w:eastAsia="Times New Roman" w:hAnsi="Times New Roman"/>
          <w:sz w:val="18"/>
          <w:szCs w:val="18"/>
          <w:color w:val="auto"/>
        </w:rPr>
        <w:t>. We believe that any purchases of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on margin or pledging of the Corporation’s securities as collateral for a loan may give the appearance of improper conduct, even if not so intended. </w:t>
      </w:r>
      <w:r>
        <w:rPr>
          <w:rFonts w:ascii="Times New Roman" w:cs="Times New Roman" w:eastAsia="Times New Roman" w:hAnsi="Times New Roman"/>
          <w:sz w:val="18"/>
          <w:szCs w:val="18"/>
          <w:b w:val="1"/>
          <w:bCs w:val="1"/>
          <w:i w:val="1"/>
          <w:iCs w:val="1"/>
          <w:color w:val="auto"/>
        </w:rPr>
        <w:t>Consequently, directors, officers and all other employees may not purchase securities of the Corporation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margin or pledge securities as collateral for a loan.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87" w:name="page88"/>
    <w:bookmarkEnd w:id="87"/>
    <w:p>
      <w:pPr>
        <w:ind w:left="180" w:right="100" w:firstLine="4"/>
        <w:spacing w:after="0" w:line="261"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Short sales of the Corporation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 securities</w:t>
      </w:r>
      <w:r>
        <w:rPr>
          <w:rFonts w:ascii="Times New Roman" w:cs="Times New Roman" w:eastAsia="Times New Roman" w:hAnsi="Times New Roman"/>
          <w:sz w:val="18"/>
          <w:szCs w:val="18"/>
          <w:color w:val="auto"/>
        </w:rPr>
        <w:t>. It is unlawful for a director or officer to sell any securities of the Corporation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owning such securities at the time of sale. The Corporation believes that such practice of “short-sales” when executed by any director, officer or other employee gives the appearance of improper conduct. </w:t>
      </w:r>
      <w:r>
        <w:rPr>
          <w:rFonts w:ascii="Times New Roman" w:cs="Times New Roman" w:eastAsia="Times New Roman" w:hAnsi="Times New Roman"/>
          <w:sz w:val="18"/>
          <w:szCs w:val="18"/>
          <w:b w:val="1"/>
          <w:bCs w:val="1"/>
          <w:i w:val="1"/>
          <w:iCs w:val="1"/>
          <w:color w:val="auto"/>
        </w:rPr>
        <w:t>Consequently, directors, officers and all other employees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sell securities of the Corporation without owning such securities.</w:t>
      </w:r>
    </w:p>
    <w:p>
      <w:pPr>
        <w:spacing w:after="0" w:line="179" w:lineRule="exact"/>
        <w:rPr>
          <w:rFonts w:ascii="Times New Roman" w:cs="Times New Roman" w:eastAsia="Times New Roman" w:hAnsi="Times New Roman"/>
          <w:sz w:val="18"/>
          <w:szCs w:val="18"/>
          <w:color w:val="auto"/>
        </w:rPr>
      </w:pPr>
    </w:p>
    <w:p>
      <w:pPr>
        <w:ind w:left="180" w:right="80" w:firstLine="4"/>
        <w:spacing w:after="0" w:line="267"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Buying or selling put options or call options</w:t>
      </w:r>
      <w:r>
        <w:rPr>
          <w:rFonts w:ascii="Times New Roman" w:cs="Times New Roman" w:eastAsia="Times New Roman" w:hAnsi="Times New Roman"/>
          <w:sz w:val="18"/>
          <w:szCs w:val="18"/>
          <w:color w:val="auto"/>
        </w:rPr>
        <w:t>. Option contracts may give the appearance of improper conduct by “betting”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price of our securities may go up or down and transferring the risk of that outcome to other parties. C</w:t>
      </w:r>
      <w:r>
        <w:rPr>
          <w:rFonts w:ascii="Times New Roman" w:cs="Times New Roman" w:eastAsia="Times New Roman" w:hAnsi="Times New Roman"/>
          <w:sz w:val="18"/>
          <w:szCs w:val="18"/>
          <w:b w:val="1"/>
          <w:bCs w:val="1"/>
          <w:i w:val="1"/>
          <w:iCs w:val="1"/>
          <w:color w:val="auto"/>
        </w:rPr>
        <w:t>onsequently,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officers and all other employees may not enter into option contracts involving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securities.</w:t>
      </w:r>
    </w:p>
    <w:p>
      <w:pPr>
        <w:spacing w:after="0" w:line="173" w:lineRule="exact"/>
        <w:rPr>
          <w:rFonts w:ascii="Times New Roman" w:cs="Times New Roman" w:eastAsia="Times New Roman" w:hAnsi="Times New Roman"/>
          <w:sz w:val="18"/>
          <w:szCs w:val="18"/>
          <w:color w:val="auto"/>
        </w:rPr>
      </w:pPr>
    </w:p>
    <w:p>
      <w:pPr>
        <w:ind w:left="180" w:right="300" w:firstLine="4"/>
        <w:spacing w:after="0" w:line="290" w:lineRule="auto"/>
        <w:tabs>
          <w:tab w:leader="none" w:pos="7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Hedging Transactions</w:t>
      </w:r>
      <w:r>
        <w:rPr>
          <w:rFonts w:ascii="Times New Roman" w:cs="Times New Roman" w:eastAsia="Times New Roman" w:hAnsi="Times New Roman"/>
          <w:sz w:val="17"/>
          <w:szCs w:val="17"/>
          <w:color w:val="auto"/>
        </w:rPr>
        <w:t>. Certain forms of hedging or monetization transactions, such as zero-cost collars and forward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contracts, involve the establishment of a short position in the Corporation’s securities. </w:t>
      </w:r>
      <w:r>
        <w:rPr>
          <w:rFonts w:ascii="Times New Roman" w:cs="Times New Roman" w:eastAsia="Times New Roman" w:hAnsi="Times New Roman"/>
          <w:sz w:val="17"/>
          <w:szCs w:val="17"/>
          <w:b w:val="1"/>
          <w:bCs w:val="1"/>
          <w:i w:val="1"/>
          <w:iCs w:val="1"/>
          <w:color w:val="auto"/>
        </w:rPr>
        <w:t>Consequently, directors, officers and all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employees are prohibited from engaging in any hedging or monetization transactions involving the Corporation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securities.</w:t>
      </w:r>
    </w:p>
    <w:p>
      <w:pPr>
        <w:spacing w:after="0" w:line="155" w:lineRule="exact"/>
        <w:rPr>
          <w:rFonts w:ascii="Times New Roman" w:cs="Times New Roman" w:eastAsia="Times New Roman" w:hAnsi="Times New Roman"/>
          <w:sz w:val="17"/>
          <w:szCs w:val="17"/>
          <w:color w:val="auto"/>
        </w:rPr>
      </w:pPr>
    </w:p>
    <w:p>
      <w:pPr>
        <w:ind w:left="180" w:firstLine="4"/>
        <w:spacing w:after="0" w:line="275" w:lineRule="auto"/>
        <w:tabs>
          <w:tab w:leader="none" w:pos="7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Trades by Directors, Officers and Certain Employees</w:t>
      </w:r>
      <w:r>
        <w:rPr>
          <w:rFonts w:ascii="Times New Roman" w:cs="Times New Roman" w:eastAsia="Times New Roman" w:hAnsi="Times New Roman"/>
          <w:sz w:val="17"/>
          <w:szCs w:val="17"/>
          <w:color w:val="auto"/>
        </w:rPr>
        <w:t>. To limit the appearance of and actual improper trading by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certain employees who may be in a position to be aware of information regarding the Corporation’s earnings or other material, nonpublic information before it is announced to the public (such employees are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to this policy or as may be designated, and thereafter informed, by the Corporation from time to time), </w:t>
      </w:r>
      <w:r>
        <w:rPr>
          <w:rFonts w:ascii="Times New Roman" w:cs="Times New Roman" w:eastAsia="Times New Roman" w:hAnsi="Times New Roman"/>
          <w:sz w:val="17"/>
          <w:szCs w:val="17"/>
          <w:b w:val="1"/>
          <w:bCs w:val="1"/>
          <w:i w:val="1"/>
          <w:iCs w:val="1"/>
          <w:color w:val="auto"/>
        </w:rPr>
        <w:t>such persons and their family and household members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others whose trades they influence may purchase or sell securities of the Corporation only during the periods set forth below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Open Window Periods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PROVIDED there is no material information about the Corporation which has not been publicly disclosed.</w:t>
      </w:r>
    </w:p>
    <w:p>
      <w:pPr>
        <w:spacing w:after="0" w:line="170" w:lineRule="exact"/>
        <w:rPr>
          <w:rFonts w:ascii="Times New Roman" w:cs="Times New Roman" w:eastAsia="Times New Roman" w:hAnsi="Times New Roman"/>
          <w:sz w:val="17"/>
          <w:szCs w:val="17"/>
          <w:color w:val="auto"/>
        </w:rPr>
      </w:pPr>
    </w:p>
    <w:p>
      <w:pPr>
        <w:ind w:left="840" w:right="160" w:hanging="332"/>
        <w:spacing w:after="0" w:line="282" w:lineRule="auto"/>
        <w:tabs>
          <w:tab w:leader="none" w:pos="8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after the first full trading day following the public release of earnings for the prior quarter or year and ending fourteen calendar days prior to the end of that fiscal quarter.</w:t>
      </w:r>
    </w:p>
    <w:p>
      <w:pPr>
        <w:spacing w:after="0" w:line="161" w:lineRule="exact"/>
        <w:rPr>
          <w:rFonts w:ascii="Times New Roman" w:cs="Times New Roman" w:eastAsia="Times New Roman" w:hAnsi="Times New Roman"/>
          <w:sz w:val="18"/>
          <w:szCs w:val="18"/>
          <w:color w:val="auto"/>
        </w:rPr>
      </w:pPr>
    </w:p>
    <w:p>
      <w:pPr>
        <w:ind w:left="840" w:right="40" w:hanging="332"/>
        <w:spacing w:after="0" w:line="255" w:lineRule="auto"/>
        <w:tabs>
          <w:tab w:leader="none" w:pos="8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Generally, the Corporation makes public announcement of its quarterly results about the first week of the second month following such quarter, except that the public announcement of quarterly results for any quarter ended December 31 is made about the second week of March. Therefore, </w:t>
      </w:r>
      <w:r>
        <w:rPr>
          <w:rFonts w:ascii="Times New Roman" w:cs="Times New Roman" w:eastAsia="Times New Roman" w:hAnsi="Times New Roman"/>
          <w:sz w:val="18"/>
          <w:szCs w:val="18"/>
          <w:b w:val="1"/>
          <w:bCs w:val="1"/>
          <w:i w:val="1"/>
          <w:iCs w:val="1"/>
          <w:color w:val="auto"/>
        </w:rPr>
        <w:t>by way of example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third quarter of any year, trades may be made only during parts of August and September. The window would start in August after the first full trading day after public announcement of the Corporation’s earnings for the June 30 quarter and end no later than September 16. During the first quarter of any year, however, trades may not be made unless the Corporation makes a public announcement of its annual results on or before March 15.</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7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Assistance</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person who has any questions about specific transactions may obtain additional guidance by calling the office of the Chief Financial Officer of the Corporation, Duncan Gilmour, who will act as coordinator of this policy. You may reach his office by calling [REDACTED] or by emailing [REDACTED]. </w:t>
      </w:r>
      <w:r>
        <w:rPr>
          <w:rFonts w:ascii="Times New Roman" w:cs="Times New Roman" w:eastAsia="Times New Roman" w:hAnsi="Times New Roman"/>
          <w:sz w:val="18"/>
          <w:szCs w:val="18"/>
          <w:b w:val="1"/>
          <w:bCs w:val="1"/>
          <w:color w:val="auto"/>
        </w:rPr>
        <w:t>Remember, however, the ultimate responsibility for adhering to this Insider Trading Policy and avoiding improper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rests with you. In this regard, it is imperative that you use your best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Pre-Clearance Of Trades</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To provide assistance in preventing inadvertent violations and avoiding even the appearance of an improper transaction (which could result, for example, where an officer or director engages in a trade while unaware of a pending major development) all directors, officers and those certain employees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must obtain clearance from the Chief Financial Officer or his/her designee prior to initiating any transaction involving the Corporation’s securities. This applies to all purchases, sales, transfers (by gift or otherwise) of the Corporation’s securities, sales of shares acquired through the vesting of restricted stock awards, exercise of options, or held in the 401(k) Plan (as defined below) and sales of shares purchased pursuant to the ESPP (as defined below) but does not apply to transactions made in accordance with 10b5-1 Plans (as defined below) approved by the Corporation as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Except as established in accordance with 10b5-1 Plans (as defined below) approved by the Corporation as described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trading prohibitions and restrictions of this policy apply to all sales of shares acquired through the vesting of restricted stock granted by the Corporation, including, for example, any sale of such shares for the purpose of satisfying any tax withholding requirements upon the vesting of such restricted stock. This policy, however, does not apply to the exercise of a tax withholding right pursuant to which the Corporation withholds shares of stock to satisfy tax withholding requirements upon the vesting of any restricted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Exercises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This policy does not apply to the exercise of a stock option acquired pursuant to the Corporation’s plans, or to the exercise of a tax withholding right pursuant to which the Corporation withholds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inTEST Thermal Solutions Employees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401(k)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This policy applies to certain elections you may make regarding shares of the Corporation’s stock held for your account in the inTEST Corporation Incentive Savings Plan (the “401(k) Plan”). In particular, the following elections could result in the sale of shares held by the 401(k) Plan for your account, including: (a) an election to transfer some or all of an existing account balance out of the Corporation stock fund and into another investment fund under the 401(k) Plan; (b) an election to borrow money against your 401(k) Plan account; and (c) any election to receive a distribution that would be funded from your Corporation stock fund account under the 401(k) Plan. Any of these elections are deemed to be sales by you and are subject to this policy.</w:t>
      </w:r>
    </w:p>
    <w:p>
      <w:pPr>
        <w:spacing w:after="0" w:line="18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 regarding 401(k) Plan elections by officers of the Corporation: Transactions that could result in the sale of Corporation stock by the 401(k) Plan for the account of an officer of the Corporation pursuant to any of the foregoing elections must also comply with Rule 144 (except for the holding period requirement) and Section 16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inTEST Corporation Employee Stock Purchase Plan</w:t>
      </w:r>
    </w:p>
    <w:p>
      <w:pPr>
        <w:spacing w:after="0" w:line="229"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 xml:space="preserve">This policy applies to enrollment in and elections you may make regarding purchases of shares of the Corporation’s stock pursuant to the inTEST Corporation Employee Stock Purchase Plan (the “ESPP”). The initial investment decision and/or changes in elections by officers of the Corporation and those certain employees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should be made if at all possible, during Open Window Periods, provided that the Chief Financial Officer has the authority under this policy to permit initial contributions or changes in elections to occur outside of Open Window Periods in his reasonable judgment. This policy does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xml:space="preserve"> apply to purchases of shares of the Corporation’s stock through the ESPP resulting from periodic contributions of money to the ESPP pursuant to the election made by you. This policy does apply, however, to your sales of shares of the Corporation’s stock purchased pursuant to the ESPP.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Plans</w:t>
      </w:r>
    </w:p>
    <w:p>
      <w:pPr>
        <w:spacing w:after="0" w:line="22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Directors, officers and other employees who are not aware of any material information regarding the Corporation or its securities before it is announced to the public may enter into contracts, plans or other agreements to buy or sell the Corporation’s stock designed to comply with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under the Exchange Act (each such contract, plan or other agreement, a “10b5-1 Plan”), provided that the Corporation has pre-approved the agreement, the 10b5-1 Plan is entered into during Open Window Periods and the person desiring to enter into the 10b5-1 Plan is not otherwise subject to an Event-Specific Blackout Period. (Note that once the 10b5-1 Plan is approved, the actual transactions effected pursuant to the 10b5-1 Plan will not be subject to the Corporation’s preclearance procedures.) As part of the approval process, the Corporation will review a copy of the 10b5-1 Plan, which must be satisfactory to the Corporation. In addition, there must not be any material information about the Corporation that has not been publicly disclosed. If there is undisclosed information (even if the insider is not aware of it), the 10b5-1 Plan should not be signed until after the first full trading day following the announcement of such information to the public. The insider’s broker must agree that any sales made pursuant to the 10b5-1 Plan will be made in compliance with Rule 144, if applicable. Any amendments, revisions or early terminations of a 10b5-1 Plan must also be pre-approved by the Corporation as set forth in this paragraph.</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0" w:name="page91"/>
    <w:bookmarkEnd w:id="90"/>
    <w:p>
      <w:pPr>
        <w:spacing w:after="0" w:line="284" w:lineRule="auto"/>
        <w:rPr>
          <w:sz w:val="20"/>
          <w:szCs w:val="20"/>
          <w:color w:val="auto"/>
        </w:rPr>
      </w:pPr>
      <w:r>
        <w:rPr>
          <w:rFonts w:ascii="Times New Roman" w:cs="Times New Roman" w:eastAsia="Times New Roman" w:hAnsi="Times New Roman"/>
          <w:sz w:val="18"/>
          <w:szCs w:val="18"/>
          <w:i w:val="1"/>
          <w:iCs w:val="1"/>
          <w:color w:val="auto"/>
        </w:rPr>
        <w:t>Note: The provisions regarding 10b5-1 Plans do not apply to agreements involving the buying or selling of put or call options involving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securities which will continue to be prohibited.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Information</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federal securities laws also impose restrictions on the disclosure of material, nonpublic information to persons outside of the Corporation, including stockholders, financial analysts, institutional investors and media personnel.</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order to comply with these restrictions, it is our policy that the only personnel that are authorized to communicate with persons outside of the Corporation about matters concerning the Corporation are the Chief Executive Officer and the Chief Financial Officer. All other personnel are prohibited from discussing nonpublic information with any person outside of the Corporation or otherwise disclosing nonpublic information outside of the Corporation, except as expressly authorized by the Chief Executive Officer or the Chief Financial Officer.</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Even within the Corporation, disclosure of and access to nonpublic information must be strictly limited to those who have a need to know the information in order to perform their assigned responsibilities.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you receive an inquiry from an actual or potential stockholder, a financial reporter, an investment analyst or another member of the financial community, you should decline comment and refer the inquiry to the Chief Executive Officer or the Chief Financial Officer.</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all personnel are prohibited from participating in any discussion about the Corporation, or responding to any comment made, in any Internet chat room or other forum.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All persons covered by this policy will be required to certify their understanding of and intent to comply with this Insider Trading Policy upon commencement of their employment arrangement or service to the Company and at such other times as the management of the Corporation deems necessary or appropriate. Such certification may require disclosure of such person’s holdings of the securities of the Corporation or of a company with whom the Corporation has a business relationship. Officers and directors and other key employees may be required to certify compliance on an annual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Post-termination Transactions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If you are aware of material nonpublic information when you terminate employment or services to the Corporation, you may not trade in the Corporation’s securities until that information has become public or is no longer material.</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8"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APPROVED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 2/28/24</w:t>
      </w:r>
    </w:p>
    <w:p>
      <w:pPr>
        <w:spacing w:after="0" w:line="22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92" w:name="page93"/>
    <w:bookmarkEnd w:id="9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8"/>
          <w:szCs w:val="18"/>
          <w:b w:val="1"/>
          <w:bCs w:val="1"/>
          <w:color w:val="auto"/>
        </w:rPr>
        <w:t>Other Designated Individuals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ectPr>
          <w:pgSz w:w="11900" w:h="16838" w:orient="portrait"/>
          <w:cols w:equalWidth="0" w:num="1">
            <w:col w:w="10139"/>
          </w:cols>
          <w:pgMar w:left="320" w:top="603"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6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9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1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Acculogic Ltd</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Ambrell Corporation</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inTEST EMS LLC (a)</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inTEST Italy</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inTEST Silicon Valley Corporation (a)</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Temptronic Corporation (b)</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Videology Imaging Corporation</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Acculogic Inc.</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Ontario</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Acculogic GmbH</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Ambrell B.V.</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Ambrell Limited</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inTEST PTE, Ltd.</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inTEST SE Asia Sdn Bhd</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inTEST Thermal Solutions GmbH</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Alfamation S.p.A.</w:t>
            </w:r>
          </w:p>
        </w:tc>
        <w:tc>
          <w:tcPr>
            <w:tcW w:w="23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Alfa Testing Equipment Co. Ltd.</w:t>
            </w:r>
          </w:p>
        </w:tc>
        <w:tc>
          <w:tcPr>
            <w:tcW w:w="23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as inTEST EMS.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as inTEST Thermal Solutions Corp.</w:t>
      </w:r>
    </w:p>
    <w:p>
      <w:pPr>
        <w:sectPr>
          <w:pgSz w:w="11900" w:h="16838" w:orient="portrait"/>
          <w:cols w:equalWidth="0" w:num="1">
            <w:col w:w="11240"/>
          </w:cols>
          <w:pgMar w:left="320" w:top="33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333-145176, 333-197858, 333-226815, 333-233297, 333-258791, 333-266834, and 333-273886) on Form S-8 and the Registration Statement (No. 333-275451) on Form S-3 of inTEST Corporation of our reports dated March 13, 2025, relating to the consolidated financial statements and the financial statement schedule and the effectiveness of internal control over financial reporting (on which our report expresses an adverse opinion on the effectiveness of the Company’s internal control over financial reporting because of material weakness) of inTEST Corporation, appearing in this Annual Report on Form 10-K of inTEST Corporation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Bell,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240"/>
          </w:cols>
          <w:pgMar w:left="320" w:top="33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12, 2024, inTEST Corporation acquired Alfamation S.p.A. Management has excluded this acquisition from its assessment of internal control over financial reporting for the year ended December 31, 2024.</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Richard N. Grant, Jr., certify that:</w:t>
      </w:r>
    </w:p>
    <w:p>
      <w:pPr>
        <w:spacing w:after="0" w:line="225" w:lineRule="exact"/>
        <w:rPr>
          <w:sz w:val="20"/>
          <w:szCs w:val="20"/>
          <w:color w:val="auto"/>
        </w:rPr>
      </w:pPr>
    </w:p>
    <w:p>
      <w:pPr>
        <w:ind w:left="800" w:hanging="324"/>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inTEST Corporation;</w:t>
      </w:r>
    </w:p>
    <w:p>
      <w:pPr>
        <w:spacing w:after="0" w:line="225" w:lineRule="exact"/>
        <w:rPr>
          <w:rFonts w:ascii="Times New Roman" w:cs="Times New Roman" w:eastAsia="Times New Roman" w:hAnsi="Times New Roman"/>
          <w:sz w:val="18"/>
          <w:szCs w:val="18"/>
          <w:color w:val="auto"/>
        </w:rPr>
      </w:pPr>
    </w:p>
    <w:p>
      <w:pPr>
        <w:ind w:right="240" w:firstLine="476"/>
        <w:spacing w:after="0" w:line="266" w:lineRule="auto"/>
        <w:tabs>
          <w:tab w:leader="none" w:pos="7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20" w:firstLine="476"/>
        <w:spacing w:after="0" w:line="282" w:lineRule="auto"/>
        <w:tabs>
          <w:tab w:leader="none" w:pos="7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76"/>
        <w:spacing w:after="0" w:line="266" w:lineRule="auto"/>
        <w:tabs>
          <w:tab w:leader="none" w:pos="7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60" w:firstLine="254"/>
        <w:spacing w:after="0" w:line="266" w:lineRule="auto"/>
        <w:tabs>
          <w:tab w:leader="none" w:pos="105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right="300" w:firstLine="254"/>
        <w:spacing w:after="0" w:line="266" w:lineRule="auto"/>
        <w:tabs>
          <w:tab w:leader="none" w:pos="106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right="500" w:firstLine="254"/>
        <w:spacing w:after="0" w:line="282" w:lineRule="auto"/>
        <w:tabs>
          <w:tab w:leader="none" w:pos="105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20" w:right="480" w:firstLine="254"/>
        <w:spacing w:after="0" w:line="266" w:lineRule="auto"/>
        <w:tabs>
          <w:tab w:leader="none" w:pos="106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476"/>
        <w:spacing w:after="0" w:line="282" w:lineRule="auto"/>
        <w:tabs>
          <w:tab w:leader="none" w:pos="7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20" w:right="720" w:firstLine="254"/>
        <w:spacing w:after="0" w:line="282" w:lineRule="auto"/>
        <w:tabs>
          <w:tab w:leader="none" w:pos="104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right="420" w:firstLine="254"/>
        <w:spacing w:after="0" w:line="282" w:lineRule="auto"/>
        <w:tabs>
          <w:tab w:leader="none" w:pos="105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13, 2025</w:t>
            </w:r>
          </w:p>
        </w:tc>
        <w:tc>
          <w:tcPr>
            <w:tcW w:w="4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/s/Richard N. Grant, Jr.</w:t>
            </w:r>
          </w:p>
        </w:tc>
      </w:tr>
      <w:tr>
        <w:trPr>
          <w:trHeight w:val="191"/>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N. Grant, Jr.</w:t>
            </w:r>
          </w:p>
        </w:tc>
      </w:t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12, 2024, inTEST Corporation acquired Alfamation S.p.A. Management has excluded this acquisition from its assessment of internal control over financial reporting for the year ended December 31, 2024.</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Duncan Gilmour, certify that:</w:t>
      </w:r>
    </w:p>
    <w:p>
      <w:pPr>
        <w:spacing w:after="0" w:line="225" w:lineRule="exact"/>
        <w:rPr>
          <w:sz w:val="20"/>
          <w:szCs w:val="20"/>
          <w:color w:val="auto"/>
        </w:rPr>
      </w:pPr>
    </w:p>
    <w:p>
      <w:pPr>
        <w:ind w:left="800" w:hanging="324"/>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inTEST Corporation;</w:t>
      </w:r>
    </w:p>
    <w:p>
      <w:pPr>
        <w:spacing w:after="0" w:line="225" w:lineRule="exact"/>
        <w:rPr>
          <w:rFonts w:ascii="Times New Roman" w:cs="Times New Roman" w:eastAsia="Times New Roman" w:hAnsi="Times New Roman"/>
          <w:sz w:val="18"/>
          <w:szCs w:val="18"/>
          <w:color w:val="auto"/>
        </w:rPr>
      </w:pPr>
    </w:p>
    <w:p>
      <w:pPr>
        <w:ind w:right="240" w:firstLine="476"/>
        <w:spacing w:after="0" w:line="266" w:lineRule="auto"/>
        <w:tabs>
          <w:tab w:leader="none" w:pos="7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20" w:firstLine="476"/>
        <w:spacing w:after="0" w:line="282" w:lineRule="auto"/>
        <w:tabs>
          <w:tab w:leader="none" w:pos="7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76"/>
        <w:spacing w:after="0" w:line="266" w:lineRule="auto"/>
        <w:tabs>
          <w:tab w:leader="none" w:pos="7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60" w:firstLine="254"/>
        <w:spacing w:after="0" w:line="266" w:lineRule="auto"/>
        <w:tabs>
          <w:tab w:leader="none" w:pos="10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right="300" w:firstLine="254"/>
        <w:spacing w:after="0" w:line="266" w:lineRule="auto"/>
        <w:tabs>
          <w:tab w:leader="none" w:pos="106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right="500" w:firstLine="254"/>
        <w:spacing w:after="0" w:line="282" w:lineRule="auto"/>
        <w:tabs>
          <w:tab w:leader="none" w:pos="10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20" w:right="480" w:firstLine="254"/>
        <w:spacing w:after="0" w:line="266" w:lineRule="auto"/>
        <w:tabs>
          <w:tab w:leader="none" w:pos="106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476"/>
        <w:spacing w:after="0" w:line="282" w:lineRule="auto"/>
        <w:tabs>
          <w:tab w:leader="none" w:pos="7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20" w:right="720" w:firstLine="254"/>
        <w:spacing w:after="0" w:line="282" w:lineRule="auto"/>
        <w:tabs>
          <w:tab w:leader="none" w:pos="104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right="420" w:firstLine="254"/>
        <w:spacing w:after="0" w:line="282" w:lineRule="auto"/>
        <w:tabs>
          <w:tab w:leader="none" w:pos="10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5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 Duncan Gilmour</w:t>
            </w:r>
          </w:p>
        </w:tc>
      </w:tr>
      <w:tr>
        <w:trPr>
          <w:trHeight w:val="191"/>
        </w:trPr>
        <w:tc>
          <w:tcPr>
            <w:tcW w:w="68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Duncan Gilmour</w:t>
            </w:r>
          </w:p>
        </w:tc>
      </w:tr>
      <w:tr>
        <w:trPr>
          <w:trHeight w:val="234"/>
        </w:trPr>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bl>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inTEST Corporation (the “Company”) on Form 10-K for the year ended December 31, 2024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13, 2025</w:t>
            </w:r>
          </w:p>
        </w:tc>
        <w:tc>
          <w:tcPr>
            <w:tcW w:w="56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/s/ Richard N. Grant, Jr.</w:t>
            </w:r>
          </w:p>
        </w:tc>
      </w:tr>
      <w:tr>
        <w:trPr>
          <w:trHeight w:val="191"/>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N. Grant, Jr.</w:t>
            </w:r>
          </w:p>
        </w:tc>
      </w:t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inTEST Corporation (the “Company”) on Form 10-K for the year ended December 31, 2024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76"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5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 Duncan Gilmour</w:t>
            </w:r>
          </w:p>
        </w:tc>
      </w:tr>
      <w:tr>
        <w:trPr>
          <w:trHeight w:val="191"/>
        </w:trPr>
        <w:tc>
          <w:tcPr>
            <w:tcW w:w="66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Duncan Gilmour</w:t>
            </w:r>
          </w:p>
        </w:tc>
      </w:tr>
      <w:tr>
        <w:trPr>
          <w:trHeight w:val="234"/>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lowerLetter"/>
      <w:start w:val="1"/>
    </w:lvl>
    <w:lvl w:ilvl="1">
      <w:lvlJc w:val="left"/>
      <w:lvlText w:val="(%2)"/>
      <w:numFmt w:val="lowerRoman"/>
      <w:start w:val="1"/>
    </w:lvl>
  </w:abstractNum>
  <w:abstractNum w:abstractNumId="15">
    <w:nsid w:val="440BADFC"/>
    <w:multiLevelType w:val="hybridMultilevel"/>
    <w:lvl w:ilvl="0">
      <w:lvlJc w:val="left"/>
      <w:lvlText w:val="%1"/>
      <w:numFmt w:val="lowerLetter"/>
      <w:start w:val="1"/>
    </w:lvl>
    <w:lvl w:ilvl="1">
      <w:lvlJc w:val="left"/>
      <w:lvlText w:val="(%2)"/>
      <w:numFmt w:val="lowerLetter"/>
      <w:start w:val="61"/>
    </w:lvl>
  </w:abstractNum>
  <w:abstractNum w:abstractNumId="16">
    <w:nsid w:val="5072367"/>
    <w:multiLevelType w:val="hybridMultilevel"/>
    <w:lvl w:ilvl="0">
      <w:lvlJc w:val="left"/>
      <w:lvlText w:val="(%1)"/>
      <w:numFmt w:val="lowerLetter"/>
      <w:start w:val="2"/>
    </w:lvl>
    <w:lvl w:ilvl="1">
      <w:lvlJc w:val="left"/>
      <w:lvlText w:val="%2"/>
      <w:numFmt w:val="lowerLetter"/>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lvl w:ilvl="1">
      <w:lvlJc w:val="left"/>
      <w:lvlText w:val="-"/>
      <w:numFmt w:val="bullet"/>
      <w:start w:val="1"/>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2"/>
    </w:lvl>
    <w:lvl w:ilvl="1">
      <w:lvlJc w:val="left"/>
      <w:lvlText w:val="(%2)"/>
      <w:numFmt w:val="lowerLetter"/>
      <w:start w:val="1"/>
    </w:lvl>
  </w:abstractNum>
  <w:abstractNum w:abstractNumId="22">
    <w:nsid w:val="5E884ADC"/>
    <w:multiLevelType w:val="hybridMultilevel"/>
    <w:lvl w:ilvl="0">
      <w:lvlJc w:val="left"/>
      <w:lvlText w:val="(%1)"/>
      <w:numFmt w:val="decimal"/>
      <w:start w:val="3"/>
    </w:lvl>
  </w:abstractNum>
  <w:abstractNum w:abstractNumId="23">
    <w:nsid w:val="51EAD36B"/>
    <w:multiLevelType w:val="hybridMultilevel"/>
    <w:lvl w:ilvl="0">
      <w:lvlJc w:val="left"/>
      <w:lvlText w:val="(%1)"/>
      <w:numFmt w:val="decimal"/>
      <w:start w:val="4"/>
    </w:lvl>
  </w:abstractNum>
  <w:abstractNum w:abstractNumId="24">
    <w:nsid w:val="2D517796"/>
    <w:multiLevelType w:val="hybridMultilevel"/>
    <w:lvl w:ilvl="0">
      <w:lvlJc w:val="left"/>
      <w:lvlText w:val="(%1)"/>
      <w:numFmt w:val="decimal"/>
      <w:start w:val="5"/>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6"/>
    </w:lvl>
  </w:abstractNum>
  <w:abstractNum w:abstractNumId="30">
    <w:nsid w:val="2A487CB0"/>
    <w:multiLevelType w:val="hybridMultilevel"/>
    <w:lvl w:ilvl="0">
      <w:lvlJc w:val="left"/>
      <w:lvlText w:val="(%1)"/>
      <w:numFmt w:val="decimal"/>
      <w:start w:val="7"/>
    </w:lvl>
  </w:abstractNum>
  <w:abstractNum w:abstractNumId="31">
    <w:nsid w:val="1D4ED43B"/>
    <w:multiLevelType w:val="hybridMultilevel"/>
    <w:lvl w:ilvl="0">
      <w:lvlJc w:val="left"/>
      <w:lvlText w:val="(%1)"/>
      <w:numFmt w:val="decimal"/>
      <w:start w:val="9"/>
    </w:lvl>
  </w:abstractNum>
  <w:abstractNum w:abstractNumId="32">
    <w:nsid w:val="725A06FB"/>
    <w:multiLevelType w:val="hybridMultilevel"/>
    <w:lvl w:ilvl="0">
      <w:lvlJc w:val="left"/>
      <w:lvlText w:val="(%1)"/>
      <w:numFmt w:val="decimal"/>
      <w:start w:val="10"/>
    </w:lvl>
  </w:abstractNum>
  <w:abstractNum w:abstractNumId="33">
    <w:nsid w:val="2CD89A32"/>
    <w:multiLevelType w:val="hybridMultilevel"/>
    <w:lvl w:ilvl="0">
      <w:lvlJc w:val="left"/>
      <w:lvlText w:val="(%1)"/>
      <w:numFmt w:val="decimal"/>
      <w:start w:val="1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334"/>
    </w:lvl>
  </w:abstractNum>
  <w:abstractNum w:abstractNumId="37">
    <w:nsid w:val="542289EC"/>
    <w:multiLevelType w:val="hybridMultilevel"/>
    <w:lvl w:ilvl="0">
      <w:lvlJc w:val="left"/>
      <w:lvlText w:val="(%1)"/>
      <w:numFmt w:val="decimal"/>
      <w:start w:val="12"/>
    </w:lvl>
  </w:abstractNum>
  <w:abstractNum w:abstractNumId="38">
    <w:nsid w:val="6DE91B18"/>
    <w:multiLevelType w:val="hybridMultilevel"/>
    <w:lvl w:ilvl="0">
      <w:lvlJc w:val="left"/>
      <w:lvlText w:val="(%1)"/>
      <w:numFmt w:val="decimal"/>
      <w:start w:val="14"/>
    </w:lvl>
  </w:abstractNum>
  <w:abstractNum w:abstractNumId="39">
    <w:nsid w:val="38437FDB"/>
    <w:multiLevelType w:val="hybridMultilevel"/>
    <w:lvl w:ilvl="0">
      <w:lvlJc w:val="left"/>
      <w:lvlText w:val="(%1)"/>
      <w:numFmt w:val="decimal"/>
      <w:start w:val="15"/>
    </w:lvl>
  </w:abstractNum>
  <w:abstractNum w:abstractNumId="40">
    <w:nsid w:val="7644A45C"/>
    <w:multiLevelType w:val="hybridMultilevel"/>
    <w:lvl w:ilvl="0">
      <w:lvlJc w:val="left"/>
      <w:lvlText w:val="(%1)"/>
      <w:numFmt w:val="decimal"/>
      <w:start w:val="17"/>
    </w:lvl>
  </w:abstractNum>
  <w:abstractNum w:abstractNumId="41">
    <w:nsid w:val="32FFF902"/>
    <w:multiLevelType w:val="hybridMultilevel"/>
    <w:lvl w:ilvl="0">
      <w:lvlJc w:val="left"/>
      <w:lvlText w:val="(%1)"/>
      <w:numFmt w:val="decimal"/>
      <w:start w:val="18"/>
    </w:lvl>
  </w:abstractNum>
  <w:abstractNum w:abstractNumId="42">
    <w:nsid w:val="684A481A"/>
    <w:multiLevelType w:val="hybridMultilevel"/>
    <w:lvl w:ilvl="0">
      <w:lvlJc w:val="left"/>
      <w:lvlText w:val="(%1)"/>
      <w:numFmt w:val="decimal"/>
      <w:start w:val="19"/>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3"/>
    </w:lvl>
    <w:lvl w:ilvl="1">
      <w:lvlJc w:val="left"/>
      <w:lvlText w:val="●"/>
      <w:numFmt w:val="bullet"/>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87" Type="http://schemas.openxmlformats.org/officeDocument/2006/relationships/image" Target="media/image42.png"/><Relationship Id="rId101" Type="http://schemas.openxmlformats.org/officeDocument/2006/relationships/image" Target="media/image43.png"/><Relationship Id="rId102" Type="http://schemas.openxmlformats.org/officeDocument/2006/relationships/image" Target="media/image44.png"/><Relationship Id="rId103" Type="http://schemas.openxmlformats.org/officeDocument/2006/relationships/image" Target="media/image45.png"/><Relationship Id="rId104" Type="http://schemas.openxmlformats.org/officeDocument/2006/relationships/image" Target="media/image46.png"/><Relationship Id="rId105" Type="http://schemas.openxmlformats.org/officeDocument/2006/relationships/image" Target="media/image47.png"/><Relationship Id="rId106" Type="http://schemas.openxmlformats.org/officeDocument/2006/relationships/image" Target="media/image48.png"/><Relationship Id="rId107" Type="http://schemas.openxmlformats.org/officeDocument/2006/relationships/image" Target="media/image49.png"/><Relationship Id="rId108" Type="http://schemas.openxmlformats.org/officeDocument/2006/relationships/image" Target="media/image50.png"/><Relationship Id="rId109" Type="http://schemas.openxmlformats.org/officeDocument/2006/relationships/image" Target="media/image51.png"/><Relationship Id="rId110" Type="http://schemas.openxmlformats.org/officeDocument/2006/relationships/image" Target="media/image52.png"/><Relationship Id="rId111" Type="http://schemas.openxmlformats.org/officeDocument/2006/relationships/image" Target="media/image53.png"/><Relationship Id="rId112" Type="http://schemas.openxmlformats.org/officeDocument/2006/relationships/image" Target="media/image54.png"/><Relationship Id="rId113" Type="http://schemas.openxmlformats.org/officeDocument/2006/relationships/image" Target="media/image55.png"/><Relationship Id="rId114" Type="http://schemas.openxmlformats.org/officeDocument/2006/relationships/image" Target="media/image56.png"/><Relationship Id="rId115" Type="http://schemas.openxmlformats.org/officeDocument/2006/relationships/image" Target="media/image57.png"/><Relationship Id="rId116" Type="http://schemas.openxmlformats.org/officeDocument/2006/relationships/image" Target="media/image58.png"/><Relationship Id="rId117" Type="http://schemas.openxmlformats.org/officeDocument/2006/relationships/image" Target="media/image59.png"/><Relationship Id="rId118" Type="http://schemas.openxmlformats.org/officeDocument/2006/relationships/image" Target="media/image60.png"/><Relationship Id="rId119" Type="http://schemas.openxmlformats.org/officeDocument/2006/relationships/image" Target="media/image61.png"/><Relationship Id="rId120" Type="http://schemas.openxmlformats.org/officeDocument/2006/relationships/image" Target="media/image62.png"/><Relationship Id="rId121" Type="http://schemas.openxmlformats.org/officeDocument/2006/relationships/image" Target="media/image63.png"/><Relationship Id="rId122" Type="http://schemas.openxmlformats.org/officeDocument/2006/relationships/image" Target="media/image64.png"/><Relationship Id="rId123" Type="http://schemas.openxmlformats.org/officeDocument/2006/relationships/image" Target="media/image65.png"/><Relationship Id="rId124" Type="http://schemas.openxmlformats.org/officeDocument/2006/relationships/image" Target="media/image66.png"/><Relationship Id="rId125" Type="http://schemas.openxmlformats.org/officeDocument/2006/relationships/image" Target="media/image67.png"/><Relationship Id="rId126" Type="http://schemas.openxmlformats.org/officeDocument/2006/relationships/image" Target="media/image68.png"/><Relationship Id="rId127" Type="http://schemas.openxmlformats.org/officeDocument/2006/relationships/image" Target="media/image69.png"/><Relationship Id="rId128" Type="http://schemas.openxmlformats.org/officeDocument/2006/relationships/image" Target="media/image70.png"/><Relationship Id="rId129" Type="http://schemas.openxmlformats.org/officeDocument/2006/relationships/image" Target="media/image71.png"/><Relationship Id="rId130" Type="http://schemas.openxmlformats.org/officeDocument/2006/relationships/image" Target="media/image72.png"/><Relationship Id="rId131" Type="http://schemas.openxmlformats.org/officeDocument/2006/relationships/image" Target="media/image73.png"/><Relationship Id="rId132"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49" Type="http://schemas.openxmlformats.org/officeDocument/2006/relationships/hyperlink" Target="http://www.sec.gov/Archives/edgar/data/1036262/000143774920005921/ex_177250.htm" TargetMode="External"/><Relationship Id="rId50" Type="http://schemas.openxmlformats.org/officeDocument/2006/relationships/hyperlink" Target="http://www.sec.gov/Archives/edgar/data/1036262/000143774918007703/ex_111081.htm" TargetMode="External"/><Relationship Id="rId51" Type="http://schemas.openxmlformats.org/officeDocument/2006/relationships/hyperlink" Target="http://www.sec.gov/Archives/edgar/data/1036262/000143774920005921/ex_177251.htm" TargetMode="External"/><Relationship Id="rId52" Type="http://schemas.openxmlformats.org/officeDocument/2006/relationships/hyperlink" Target="http://www.sec.gov/Archives/edgar/data/1036262/000103626210000025/ex101-8k051010.htm" TargetMode="External"/><Relationship Id="rId53" Type="http://schemas.openxmlformats.org/officeDocument/2006/relationships/hyperlink" Target="http://www.sec.gov/Archives/edgar/data/1036262/000143774920020176/ex_204864.htm" TargetMode="External"/><Relationship Id="rId54" Type="http://schemas.openxmlformats.org/officeDocument/2006/relationships/hyperlink" Target="http://www.sec.gov/Archives/edgar/data/1036262/000143774921008828/ex_240270.htm" TargetMode="External"/><Relationship Id="rId55" Type="http://schemas.openxmlformats.org/officeDocument/2006/relationships/hyperlink" Target="http://www.sec.gov/Archives/edgar/data/1036262/000103626210000043/ex101-8k102710.htm" TargetMode="External"/><Relationship Id="rId56" Type="http://schemas.openxmlformats.org/officeDocument/2006/relationships/hyperlink" Target="http://www.sec.gov/Archives/edgar/data/1036262/000103626212000022/ex101-10q033112.htm" TargetMode="External"/><Relationship Id="rId57" Type="http://schemas.openxmlformats.org/officeDocument/2006/relationships/hyperlink" Target="http://www.sec.gov/Archives/edgar/data/1036262/000103626216000065/exh101-f8k111816.htm" TargetMode="External"/><Relationship Id="rId58" Type="http://schemas.openxmlformats.org/officeDocument/2006/relationships/hyperlink" Target="http://www.sec.gov/Archives/edgar/data/1036262/000143774920001297/ex_170460.htm" TargetMode="External"/><Relationship Id="rId59" Type="http://schemas.openxmlformats.org/officeDocument/2006/relationships/hyperlink" Target="http://www.sec.gov/Archives/edgar/data/1036262/000103626212000022/ex102-10q033112.htm" TargetMode="External"/><Relationship Id="rId60" Type="http://schemas.openxmlformats.org/officeDocument/2006/relationships/hyperlink" Target="http://www.sec.gov/Archives/edgar/data/1036262/000143774917021126/ex_102407.htm" TargetMode="External"/><Relationship Id="rId61" Type="http://schemas.openxmlformats.org/officeDocument/2006/relationships/hyperlink" Target="http://www.sec.gov/Archives/edgar/data/1036262/000143774917021126/ex_102408.htm" TargetMode="External"/><Relationship Id="rId62" Type="http://schemas.openxmlformats.org/officeDocument/2006/relationships/hyperlink" Target="http://www.sec.gov/Archives/edgar/data/1036262/000143774922028501/ex_452797.htm" TargetMode="External"/><Relationship Id="rId63" Type="http://schemas.openxmlformats.org/officeDocument/2006/relationships/hyperlink" Target="http://www.sec.gov/Archives/edgar/data/1036262/000143774921023970/ex_292653.htm" TargetMode="External"/><Relationship Id="rId64" Type="http://schemas.openxmlformats.org/officeDocument/2006/relationships/hyperlink" Target="http://www.sec.gov/Archives/edgar/data/1036262/000143774922000553/ex_321680.htm" TargetMode="External"/><Relationship Id="rId65" Type="http://schemas.openxmlformats.org/officeDocument/2006/relationships/hyperlink" Target="http://www.sec.gov/Archives/edgar/data/1036262/000143774922023063/ex_426417.htm" TargetMode="External"/><Relationship Id="rId66" Type="http://schemas.openxmlformats.org/officeDocument/2006/relationships/hyperlink" Target="http://www.sec.gov/Archives/edgar/data/1036262/000143774922023063/ex_426418.htm" TargetMode="External"/><Relationship Id="rId67" Type="http://schemas.openxmlformats.org/officeDocument/2006/relationships/hyperlink" Target="http://www.sec.gov/Archives/edgar/data/1036262/000143774922000553/ex_321684.htm" TargetMode="External"/><Relationship Id="rId68" Type="http://schemas.openxmlformats.org/officeDocument/2006/relationships/hyperlink" Target="http://www.sec.gov/Archives/edgar/data/1036262/000143774922000553/ex_321685.htm" TargetMode="External"/><Relationship Id="rId69" Type="http://schemas.openxmlformats.org/officeDocument/2006/relationships/hyperlink" Target="http://www.sec.gov/Archives/edgar/data/1036262/000143774922000553/ex_321686.htm" TargetMode="External"/><Relationship Id="rId70" Type="http://schemas.openxmlformats.org/officeDocument/2006/relationships/hyperlink" Target="http://www.sec.gov/Archives/edgar/data/1036262/000143774922000553/ex_321687.htm" TargetMode="External"/><Relationship Id="rId71" Type="http://schemas.openxmlformats.org/officeDocument/2006/relationships/hyperlink" Target="http://www.sec.gov/Archives/edgar/data/1036262/000143774921023970/ex_292655.htm" TargetMode="External"/><Relationship Id="rId72" Type="http://schemas.openxmlformats.org/officeDocument/2006/relationships/hyperlink" Target="http://www.sec.gov/Archives/edgar/data/1036262/000143774920014043/ex_191785.htm" TargetMode="External"/><Relationship Id="rId73" Type="http://schemas.openxmlformats.org/officeDocument/2006/relationships/hyperlink" Target="http://www.sec.gov/Archives/edgar/data/1036262/000143774922015993/ex_390299.htm" TargetMode="External"/><Relationship Id="rId74" Type="http://schemas.openxmlformats.org/officeDocument/2006/relationships/hyperlink" Target="http://www.sec.gov/Archives/edgar/data/1036262/000143774921019703/ex_272464.htm" TargetMode="External"/><Relationship Id="rId75" Type="http://schemas.openxmlformats.org/officeDocument/2006/relationships/hyperlink" Target="http://www.sec.gov/Archives/edgar/data/1036262/000143774920017523/ex_198825.htm" TargetMode="External"/><Relationship Id="rId76" Type="http://schemas.openxmlformats.org/officeDocument/2006/relationships/hyperlink" Target="http://www.sec.gov/Archives/edgar/data/1036262/000143774921014664/ex_256878.htm" TargetMode="External"/><Relationship Id="rId77" Type="http://schemas.openxmlformats.org/officeDocument/2006/relationships/hyperlink" Target="http://www.sec.gov/Archives/edgar/data/1036262/000143774920023648/ex_212630.htm" TargetMode="External"/><Relationship Id="rId78" Type="http://schemas.openxmlformats.org/officeDocument/2006/relationships/hyperlink" Target="http://www.sec.gov/Archives/edgar/data/1036262/000143774922006956/ex_348726.htm" TargetMode="External"/><Relationship Id="rId79" Type="http://schemas.openxmlformats.org/officeDocument/2006/relationships/hyperlink" Target="http://www.sec.gov/Archives/edgar/data/1036262/000143774924009626/ex_641549.htm" TargetMode="External"/><Relationship Id="rId80" Type="http://schemas.openxmlformats.org/officeDocument/2006/relationships/hyperlink" Target="http://www.sec.gov/Archives/edgar/data/1036262/000143774924009626/ex_641550.htm" TargetMode="External"/><Relationship Id="rId81" Type="http://schemas.openxmlformats.org/officeDocument/2006/relationships/hyperlink" Target="http://www.sec.gov/Archives/edgar/data/1036262/000119312523122353/d483836ddef14a.htm#toc483836_18" TargetMode="External"/><Relationship Id="rId82" Type="http://schemas.openxmlformats.org/officeDocument/2006/relationships/hyperlink" Target="http://www.sec.gov/Archives/edgar/data/1036262/000143774923013753/ex_518648.htm" TargetMode="External"/><Relationship Id="rId83" Type="http://schemas.openxmlformats.org/officeDocument/2006/relationships/hyperlink" Target="http://www.sec.gov/Archives/edgar/data/1036262/000143774923033729/ex_603180.htm" TargetMode="External"/><Relationship Id="rId84" Type="http://schemas.openxmlformats.org/officeDocument/2006/relationships/hyperlink" Target="http://www.sec.gov/Archives/edgar/data/1036262/000143774924007466/ex_637848.htm" TargetMode="External"/><Relationship Id="rId85" Type="http://schemas.openxmlformats.org/officeDocument/2006/relationships/hyperlink" Target="http://www.sec.gov/Archives/edgar/data/1036262/000143774924007466/ex_638061.htm" TargetMode="External"/><Relationship Id="rId86" Type="http://schemas.openxmlformats.org/officeDocument/2006/relationships/hyperlink" Target="http://www.sec.gov/Archives/edgar/data/1036262/000143774924014481/ex_666599.htm" TargetMode="External"/><Relationship Id="rId88" Type="http://schemas.openxmlformats.org/officeDocument/2006/relationships/hyperlink" Target="http://www.sec.gov/Archives/edgar/data/1036262/000143774924003390/ex_623568.htm" TargetMode="External"/><Relationship Id="rId89" Type="http://schemas.openxmlformats.org/officeDocument/2006/relationships/hyperlink" Target="http://www.sec.gov/Archives/edgar/data/1036262/000143774924018544/ex_680448.htm" TargetMode="External"/><Relationship Id="rId90" Type="http://schemas.openxmlformats.org/officeDocument/2006/relationships/hyperlink" Target="http://www.sec.gov/Archives/edgar/data/1036262/000143774924033626/ex_743031.htm" TargetMode="External"/><Relationship Id="rId91" Type="http://schemas.openxmlformats.org/officeDocument/2006/relationships/hyperlink" Target="http://www.sec.gov/Archives/edgar/data/1036262/000143774924033626/ex_743032.htm" TargetMode="External"/><Relationship Id="rId92" Type="http://schemas.openxmlformats.org/officeDocument/2006/relationships/hyperlink" Target="http://www.sec.gov/Archives/edgar/data/1036262/000143774924033626/ex_743033.htm" TargetMode="External"/><Relationship Id="rId93" Type="http://schemas.openxmlformats.org/officeDocument/2006/relationships/hyperlink" Target="http://www.sec.gov/Archives/edgar/data/1036262/000143774924033626/ex_743034.htm" TargetMode="External"/><Relationship Id="rId94" Type="http://schemas.openxmlformats.org/officeDocument/2006/relationships/hyperlink" Target="http://www.sec.gov/Archives/edgar/data/1036262/000143774924033626/ex_743035.htm" TargetMode="External"/><Relationship Id="rId95" Type="http://schemas.openxmlformats.org/officeDocument/2006/relationships/hyperlink" Target="http://www.sec.gov/Archives/edgar/data/1036262/000143774924033626/ex_743036.htm" TargetMode="External"/><Relationship Id="rId96" Type="http://schemas.openxmlformats.org/officeDocument/2006/relationships/hyperlink" Target="http://www.sec.gov/Archives/edgar/data/1036262/000143774924037961/ex_759366.htm" TargetMode="External"/><Relationship Id="rId97" Type="http://schemas.openxmlformats.org/officeDocument/2006/relationships/hyperlink" Target="http://www.sec.gov/Archives/edgar/data/1036262/000143774924037961/ex_759367.htm" TargetMode="External"/><Relationship Id="rId98" Type="http://schemas.openxmlformats.org/officeDocument/2006/relationships/hyperlink" Target="http://www.sec.gov/Archives/edgar/data/1036262/000143774924037961/ex_759368.htm" TargetMode="External"/><Relationship Id="rId99" Type="http://schemas.openxmlformats.org/officeDocument/2006/relationships/hyperlink" Target="http://www.sec.gov/Archives/edgar/data/1036262/000143774924037961/ex_759369.htm" TargetMode="External"/><Relationship Id="rId100" Type="http://schemas.openxmlformats.org/officeDocument/2006/relationships/hyperlink" Target="http://www.sec.gov/Archives/edgar/data/1036262/000143774924009626/ex_6415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2025-03-13T15:36:33Z</dcterms:created>
  <dcterms:modified xsi:type="dcterms:W3CDTF">2025-03-13T15:36:33Z</dcterms:modified>
</cp:coreProperties>
</file>