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intt20240331_10q.htm"/>
      <w:bookmarkStart w:id="1" w:name="ksintt20240331_10q"/>
      <w:bookmarkEnd w:id="0"/>
      <w:bookmarkEnd w:id="1"/>
      <w:r>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(Mark One)</w:t>
      </w:r>
    </w:p>
    <w:tbl>
      <w:tblPr>
        <w:tblW w:w="10105" w:type="dxa"/>
        <w:jc w:val="left"/>
        <w:tblInd w:w="0" w:type="dxa"/>
        <w:tblLayout w:type="fixed"/>
        <w:tblCellMar>
          <w:top w:w="0" w:type="dxa"/>
          <w:left w:w="0" w:type="dxa"/>
          <w:bottom w:w="0" w:type="dxa"/>
          <w:right w:w="0" w:type="dxa"/>
        </w:tblCellMar>
      </w:tblPr>
      <w:tblGrid>
        <w:gridCol w:w="230"/>
        <w:gridCol w:w="98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QUARTERLY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For the quarterly period ended </w:t>
      </w:r>
      <w:r>
        <w:rPr>
          <w:rFonts w:ascii="Times New Roman" w:hAnsi="Times New Roman"/>
          <w:caps w:val="false"/>
          <w:smallCaps w:val="false"/>
          <w:sz w:val="20"/>
          <w:u w:val="single"/>
        </w:rPr>
        <w:t>March 31, 2024</w:t>
      </w:r>
      <w:r>
        <w:rPr>
          <w:rFonts w:ascii="Times New Roman" w:hAnsi="Times New Roman"/>
          <w:caps w:val="false"/>
          <w:smallCaps w:val="false"/>
          <w:sz w:val="20"/>
        </w:rPr>
        <w:t xml:space="preserve"> or</w:t>
      </w:r>
    </w:p>
    <w:p>
      <w:pPr>
        <w:pStyle w:val="TextBody"/>
        <w:bidi w:val="0"/>
        <w:spacing w:before="0" w:after="0"/>
        <w:ind w:left="0" w:right="0" w:hanging="0"/>
        <w:jc w:val="center"/>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TRANSITION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transition period from </w:t>
      </w:r>
      <w:r>
        <w:rPr>
          <w:rFonts w:ascii="Times New Roman" w:hAnsi="Times New Roman"/>
          <w:caps w:val="false"/>
          <w:smallCaps w:val="false"/>
          <w:sz w:val="20"/>
          <w:u w:val="single"/>
        </w:rPr>
        <w:t>                                     </w:t>
      </w:r>
      <w:r>
        <w:rPr>
          <w:rFonts w:ascii="Times New Roman" w:hAnsi="Times New Roman"/>
          <w:caps w:val="false"/>
          <w:smallCaps w:val="false"/>
          <w:sz w:val="20"/>
        </w:rPr>
        <w:t> to </w:t>
      </w:r>
      <w:r>
        <w:rPr>
          <w:rFonts w:ascii="Times New Roman" w:hAnsi="Times New Roman"/>
          <w:caps w:val="false"/>
          <w:smallCaps w:val="false"/>
          <w:sz w:val="20"/>
          <w:u w:val="singl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Commission File Number </w:t>
      </w:r>
      <w:r>
        <w:rPr>
          <w:rFonts w:ascii="Times New Roman" w:hAnsi="Times New Roman"/>
          <w:caps w:val="false"/>
          <w:smallCaps w:val="false"/>
          <w:sz w:val="20"/>
          <w:u w:val="single"/>
        </w:rPr>
        <w:t>1-36117</w:t>
      </w:r>
      <w:r>
        <w:rPr>
          <w:rFonts w:ascii="Times New Roman" w:hAnsi="Times New Roman"/>
          <w:caps w:val="false"/>
          <w:smallCaps w:val="false"/>
          <w:sz w:val="20"/>
        </w:rPr>
        <w:br/>
        <w:br/>
      </w:r>
      <w:r>
        <w:rPr>
          <w:rFonts w:ascii="Times New Roman" w:hAnsi="Times New Roman"/>
          <w:b/>
          <w:caps w:val="false"/>
          <w:smallCaps w:val="false"/>
          <w:sz w:val="20"/>
          <w:u w:val="single"/>
        </w:rPr>
        <w:t>inTEST Corporation</w:t>
      </w:r>
      <w:r>
        <w:rPr>
          <w:rFonts w:ascii="Times New Roman" w:hAnsi="Times New Roman"/>
          <w:caps w:val="false"/>
          <w:smallCaps w:val="false"/>
          <w:sz w:val="20"/>
        </w:rPr>
        <w:b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8125" w:type="dxa"/>
        <w:jc w:val="left"/>
        <w:tblInd w:w="0" w:type="dxa"/>
        <w:tblLayout w:type="fixed"/>
        <w:tblCellMar>
          <w:top w:w="0" w:type="dxa"/>
          <w:left w:w="0" w:type="dxa"/>
          <w:bottom w:w="0" w:type="dxa"/>
          <w:right w:w="0" w:type="dxa"/>
        </w:tblCellMar>
      </w:tblPr>
      <w:tblGrid>
        <w:gridCol w:w="4865"/>
        <w:gridCol w:w="3260"/>
      </w:tblGrid>
      <w:tr>
        <w:trPr/>
        <w:tc>
          <w:tcPr>
            <w:tcW w:w="486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Delaware</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 or organization)</w:t>
            </w:r>
          </w:p>
        </w:tc>
        <w:tc>
          <w:tcPr>
            <w:tcW w:w="326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22-2370659</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804 East Gate Drive, Suite 200</w:t>
      </w:r>
      <w:r>
        <w:rPr>
          <w:rFonts w:ascii="Times New Roman" w:hAnsi="Times New Roman"/>
          <w:caps w:val="false"/>
          <w:smallCaps w:val="false"/>
          <w:sz w:val="20"/>
        </w:rPr>
        <w:br/>
      </w:r>
      <w:r>
        <w:rPr>
          <w:rFonts w:ascii="Times New Roman" w:hAnsi="Times New Roman"/>
          <w:b/>
          <w:caps w:val="false"/>
          <w:smallCaps w:val="false"/>
          <w:sz w:val="20"/>
          <w:u w:val="single"/>
        </w:rPr>
        <w:t>Mt. Laurel, New Jersey 08054</w:t>
      </w:r>
      <w:r>
        <w:rPr>
          <w:rFonts w:ascii="Times New Roman" w:hAnsi="Times New Roman"/>
          <w:caps w:val="false"/>
          <w:smallCaps w:val="false"/>
          <w:sz w:val="20"/>
        </w:rPr>
        <w:br/>
        <w:t>(Address of principal executive offices, including zip code)</w:t>
        <w:br/>
        <w:br/>
      </w:r>
      <w:r>
        <w:rPr>
          <w:rFonts w:ascii="Times New Roman" w:hAnsi="Times New Roman"/>
          <w:b/>
          <w:caps w:val="false"/>
          <w:smallCaps w:val="false"/>
          <w:sz w:val="20"/>
          <w:u w:val="single"/>
        </w:rPr>
        <w:t>(856) 505-8800</w:t>
      </w:r>
      <w:r>
        <w:rPr>
          <w:rFonts w:ascii="Times New Roman" w:hAnsi="Times New Roman"/>
          <w:caps w:val="false"/>
          <w:smallCaps w:val="false"/>
          <w:sz w:val="20"/>
        </w:rPr>
        <w:b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ind w:left="0" w:right="0" w:hanging="0"/>
        <w:jc w:val="left"/>
        <w:rPr/>
      </w:pPr>
      <w:r>
        <w:rPr/>
        <w:t> </w:t>
      </w:r>
    </w:p>
    <w:tbl>
      <w:tblPr>
        <w:tblW w:w="8700" w:type="dxa"/>
        <w:jc w:val="left"/>
        <w:tblInd w:w="0" w:type="dxa"/>
        <w:tblLayout w:type="fixed"/>
        <w:tblCellMar>
          <w:top w:w="0" w:type="dxa"/>
          <w:left w:w="0" w:type="dxa"/>
          <w:bottom w:w="0" w:type="dxa"/>
          <w:right w:w="0" w:type="dxa"/>
        </w:tblCellMar>
      </w:tblPr>
      <w:tblGrid>
        <w:gridCol w:w="3395"/>
        <w:gridCol w:w="1415"/>
        <w:gridCol w:w="3890"/>
      </w:tblGrid>
      <w:tr>
        <w:trPr/>
        <w:tc>
          <w:tcPr>
            <w:tcW w:w="339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Title of Each Class</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$0.01 per share</w:t>
            </w:r>
          </w:p>
        </w:tc>
        <w:tc>
          <w:tcPr>
            <w:tcW w:w="141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Trading Symbol</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INTT</w:t>
            </w:r>
          </w:p>
        </w:tc>
        <w:tc>
          <w:tcPr>
            <w:tcW w:w="389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Name of Each Exchange on Which Registered</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NYSE American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br/>
        <w:t>Yes ☒      No ☐</w:t>
        <w:br/>
        <w:b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b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2510"/>
        <w:gridCol w:w="2510"/>
      </w:tblGrid>
      <w:tr>
        <w:trPr/>
        <w:tc>
          <w:tcPr>
            <w:tcW w:w="25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Large accelerated filer  ☐</w:t>
            </w:r>
          </w:p>
        </w:tc>
        <w:tc>
          <w:tcPr>
            <w:tcW w:w="25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Accelerated filer  ☒</w:t>
            </w:r>
          </w:p>
        </w:tc>
      </w:tr>
      <w:tr>
        <w:trPr/>
        <w:tc>
          <w:tcPr>
            <w:tcW w:w="25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Non-accelerated filer  ☐</w:t>
            </w:r>
          </w:p>
        </w:tc>
        <w:tc>
          <w:tcPr>
            <w:tcW w:w="25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Smaller reporting company  ☐</w:t>
            </w:r>
          </w:p>
        </w:tc>
      </w:tr>
      <w:tr>
        <w:trPr/>
        <w:tc>
          <w:tcPr>
            <w:tcW w:w="25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Emerging growth company  ☐</w:t>
            </w:r>
          </w:p>
        </w:tc>
        <w:tc>
          <w:tcPr>
            <w:tcW w:w="25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br/>
        <w:br/>
        <w:t>Indicate by check mark whether the registrant is a shell company (as defined in Rule 12b-2 of the Exchange Act).</w:t>
        <w:b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Number of shares of Common Stock, $0.01 par value, outstanding as of the close of business on May 1, 2024:   12,489,642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inTEST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7"/>
        <w:gridCol w:w="8997"/>
        <w:gridCol w:w="441"/>
      </w:tblGrid>
      <w:tr>
        <w:trPr/>
        <w:tc>
          <w:tcPr>
            <w:tcW w:w="9764" w:type="dxa"/>
            <w:gridSpan w:val="2"/>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Page</w:t>
            </w:r>
          </w:p>
        </w:tc>
      </w:tr>
      <w:tr>
        <w:trPr/>
        <w:tc>
          <w:tcPr>
            <w:tcW w:w="767"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w:t>
            </w:r>
          </w:p>
        </w:tc>
        <w:tc>
          <w:tcPr>
            <w:tcW w:w="8997"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INFORMATION</w:t>
            </w:r>
          </w:p>
        </w:tc>
        <w:tc>
          <w:tcPr>
            <w:tcW w:w="441" w:type="dxa"/>
            <w:tcBorders/>
            <w:shd w:fill="CCEEFF" w:val="clear"/>
            <w:vAlign w:val="center"/>
          </w:tcPr>
          <w:p>
            <w:pPr>
              <w:pStyle w:val="TableContents"/>
              <w:bidi w:val="0"/>
              <w:spacing w:before="0" w:after="283"/>
              <w:jc w:val="right"/>
              <w:rPr/>
            </w:pPr>
            <w:r>
              <w:rPr/>
              <w:t> </w:t>
            </w:r>
          </w:p>
        </w:tc>
      </w:tr>
      <w:tr>
        <w:trPr/>
        <w:tc>
          <w:tcPr>
            <w:tcW w:w="767" w:type="dxa"/>
            <w:tcBorders/>
            <w:shd w:fill="FFFFFF" w:val="clear"/>
            <w:vAlign w:val="center"/>
          </w:tcPr>
          <w:p>
            <w:pPr>
              <w:pStyle w:val="TableContents"/>
              <w:bidi w:val="0"/>
              <w:spacing w:before="0" w:after="283"/>
              <w:jc w:val="left"/>
              <w:rPr/>
            </w:pPr>
            <w:r>
              <w:rPr/>
              <w:t> </w:t>
            </w:r>
          </w:p>
        </w:tc>
        <w:tc>
          <w:tcPr>
            <w:tcW w:w="8997"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pPr>
            <w:r>
              <w:rPr/>
              <w:t> </w:t>
            </w:r>
          </w:p>
        </w:tc>
      </w:tr>
      <w:tr>
        <w:trPr/>
        <w:tc>
          <w:tcPr>
            <w:tcW w:w="767" w:type="dxa"/>
            <w:tcBorders/>
            <w:shd w:fill="CCEE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Item 1.</w:t>
            </w:r>
          </w:p>
        </w:tc>
        <w:tc>
          <w:tcPr>
            <w:tcW w:w="8997" w:type="dxa"/>
            <w:tcBorders/>
            <w:shd w:fill="CCEE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Financial Statements</w:t>
            </w:r>
          </w:p>
        </w:tc>
        <w:tc>
          <w:tcPr>
            <w:tcW w:w="441" w:type="dxa"/>
            <w:tcBorders/>
            <w:shd w:fill="CCEEFF" w:val="clear"/>
            <w:vAlign w:val="center"/>
          </w:tcPr>
          <w:p>
            <w:pPr>
              <w:pStyle w:val="TableContents"/>
              <w:bidi w:val="0"/>
              <w:spacing w:before="0" w:after="283"/>
              <w:jc w:val="right"/>
              <w:rPr/>
            </w:pPr>
            <w:r>
              <w:rPr/>
              <w:t>1</w:t>
            </w:r>
          </w:p>
        </w:tc>
      </w:tr>
      <w:tr>
        <w:trPr/>
        <w:tc>
          <w:tcPr>
            <w:tcW w:w="767" w:type="dxa"/>
            <w:tcBorders/>
            <w:shd w:fill="FFFFFF" w:val="clear"/>
            <w:vAlign w:val="center"/>
          </w:tcPr>
          <w:p>
            <w:pPr>
              <w:pStyle w:val="TableContents"/>
              <w:bidi w:val="0"/>
              <w:spacing w:before="0" w:after="283"/>
              <w:jc w:val="left"/>
              <w:rPr/>
            </w:pPr>
            <w:r>
              <w:rPr/>
              <w:t> </w:t>
            </w:r>
          </w:p>
        </w:tc>
        <w:tc>
          <w:tcPr>
            <w:tcW w:w="8997"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pPr>
            <w:r>
              <w:rPr/>
              <w:t> </w:t>
            </w:r>
          </w:p>
        </w:tc>
      </w:tr>
      <w:tr>
        <w:trPr/>
        <w:tc>
          <w:tcPr>
            <w:tcW w:w="767" w:type="dxa"/>
            <w:tcBorders/>
            <w:shd w:fill="CCEEFF" w:val="clear"/>
            <w:vAlign w:val="center"/>
          </w:tcPr>
          <w:p>
            <w:pPr>
              <w:pStyle w:val="TableContents"/>
              <w:bidi w:val="0"/>
              <w:spacing w:before="0" w:after="283"/>
              <w:jc w:val="left"/>
              <w:rPr/>
            </w:pPr>
            <w:r>
              <w:rPr/>
              <w:t> </w:t>
            </w:r>
          </w:p>
        </w:tc>
        <w:tc>
          <w:tcPr>
            <w:tcW w:w="899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Consolidated Balance Sheets as of March 31, 2024 (Unaudited) and December 31, 2023</w:t>
            </w:r>
          </w:p>
        </w:tc>
        <w:tc>
          <w:tcPr>
            <w:tcW w:w="441" w:type="dxa"/>
            <w:tcBorders/>
            <w:shd w:fill="CCEEFF" w:val="clear"/>
            <w:vAlign w:val="center"/>
          </w:tcPr>
          <w:p>
            <w:pPr>
              <w:pStyle w:val="TableContents"/>
              <w:bidi w:val="0"/>
              <w:spacing w:before="0" w:after="283"/>
              <w:jc w:val="right"/>
              <w:rPr/>
            </w:pPr>
            <w:r>
              <w:rPr/>
              <w:t>1</w:t>
            </w:r>
          </w:p>
        </w:tc>
      </w:tr>
      <w:tr>
        <w:trPr/>
        <w:tc>
          <w:tcPr>
            <w:tcW w:w="767" w:type="dxa"/>
            <w:tcBorders/>
            <w:shd w:fill="FFFFFF" w:val="clear"/>
            <w:vAlign w:val="center"/>
          </w:tcPr>
          <w:p>
            <w:pPr>
              <w:pStyle w:val="TableContents"/>
              <w:bidi w:val="0"/>
              <w:spacing w:before="0" w:after="283"/>
              <w:jc w:val="left"/>
              <w:rPr/>
            </w:pPr>
            <w:r>
              <w:rPr/>
              <w:t> </w:t>
            </w:r>
          </w:p>
        </w:tc>
        <w:tc>
          <w:tcPr>
            <w:tcW w:w="899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Unaudited Consolidated Statements of Operations for the three months ended March 31, 2024 and 2023</w:t>
            </w:r>
          </w:p>
        </w:tc>
        <w:tc>
          <w:tcPr>
            <w:tcW w:w="441" w:type="dxa"/>
            <w:tcBorders/>
            <w:shd w:fill="FFFFFF" w:val="clear"/>
            <w:vAlign w:val="center"/>
          </w:tcPr>
          <w:p>
            <w:pPr>
              <w:pStyle w:val="TableContents"/>
              <w:bidi w:val="0"/>
              <w:spacing w:before="0" w:after="283"/>
              <w:jc w:val="right"/>
              <w:rPr/>
            </w:pPr>
            <w:r>
              <w:rPr/>
              <w:t>2</w:t>
            </w:r>
          </w:p>
        </w:tc>
      </w:tr>
      <w:tr>
        <w:trPr/>
        <w:tc>
          <w:tcPr>
            <w:tcW w:w="767" w:type="dxa"/>
            <w:tcBorders/>
            <w:shd w:fill="CCEEFF" w:val="clear"/>
            <w:vAlign w:val="center"/>
          </w:tcPr>
          <w:p>
            <w:pPr>
              <w:pStyle w:val="TableContents"/>
              <w:bidi w:val="0"/>
              <w:spacing w:before="0" w:after="283"/>
              <w:jc w:val="left"/>
              <w:rPr/>
            </w:pPr>
            <w:r>
              <w:rPr/>
              <w:t> </w:t>
            </w:r>
          </w:p>
        </w:tc>
        <w:tc>
          <w:tcPr>
            <w:tcW w:w="899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Unaudited Consolidated Statements of Comprehensive Earnings for the three months ended March 31, 2024 and 2023</w:t>
            </w:r>
          </w:p>
        </w:tc>
        <w:tc>
          <w:tcPr>
            <w:tcW w:w="441" w:type="dxa"/>
            <w:tcBorders/>
            <w:shd w:fill="CCEEFF" w:val="clear"/>
            <w:vAlign w:val="center"/>
          </w:tcPr>
          <w:p>
            <w:pPr>
              <w:pStyle w:val="TableContents"/>
              <w:bidi w:val="0"/>
              <w:spacing w:before="0" w:after="283"/>
              <w:jc w:val="right"/>
              <w:rPr/>
            </w:pPr>
            <w:r>
              <w:rPr/>
              <w:t>3</w:t>
            </w:r>
          </w:p>
        </w:tc>
      </w:tr>
      <w:tr>
        <w:trPr/>
        <w:tc>
          <w:tcPr>
            <w:tcW w:w="767" w:type="dxa"/>
            <w:tcBorders/>
            <w:shd w:fill="FFFFFF" w:val="clear"/>
            <w:vAlign w:val="center"/>
          </w:tcPr>
          <w:p>
            <w:pPr>
              <w:pStyle w:val="TableContents"/>
              <w:bidi w:val="0"/>
              <w:spacing w:before="0" w:after="283"/>
              <w:jc w:val="left"/>
              <w:rPr/>
            </w:pPr>
            <w:r>
              <w:rPr/>
              <w:t> </w:t>
            </w:r>
          </w:p>
        </w:tc>
        <w:tc>
          <w:tcPr>
            <w:tcW w:w="899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Unaudited Consolidated Statements of Stockholders' Equity for the three months ended March 31, 2024 and 2023</w:t>
            </w:r>
          </w:p>
        </w:tc>
        <w:tc>
          <w:tcPr>
            <w:tcW w:w="441" w:type="dxa"/>
            <w:tcBorders/>
            <w:shd w:fill="FFFFFF" w:val="clear"/>
            <w:vAlign w:val="center"/>
          </w:tcPr>
          <w:p>
            <w:pPr>
              <w:pStyle w:val="TableContents"/>
              <w:bidi w:val="0"/>
              <w:spacing w:before="0" w:after="283"/>
              <w:jc w:val="right"/>
              <w:rPr/>
            </w:pPr>
            <w:r>
              <w:rPr/>
              <w:t>4</w:t>
            </w:r>
          </w:p>
        </w:tc>
      </w:tr>
      <w:tr>
        <w:trPr/>
        <w:tc>
          <w:tcPr>
            <w:tcW w:w="767" w:type="dxa"/>
            <w:tcBorders/>
            <w:shd w:fill="CCEEFF" w:val="clear"/>
            <w:vAlign w:val="center"/>
          </w:tcPr>
          <w:p>
            <w:pPr>
              <w:pStyle w:val="TableContents"/>
              <w:bidi w:val="0"/>
              <w:spacing w:before="0" w:after="283"/>
              <w:jc w:val="left"/>
              <w:rPr/>
            </w:pPr>
            <w:r>
              <w:rPr/>
              <w:t> </w:t>
            </w:r>
          </w:p>
        </w:tc>
        <w:tc>
          <w:tcPr>
            <w:tcW w:w="899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Unaudited Consolidated Statements of Cash Flows for the three months ended March 31, 2024 and 2023</w:t>
            </w:r>
          </w:p>
        </w:tc>
        <w:tc>
          <w:tcPr>
            <w:tcW w:w="441" w:type="dxa"/>
            <w:tcBorders/>
            <w:shd w:fill="CCEEFF" w:val="clear"/>
            <w:vAlign w:val="center"/>
          </w:tcPr>
          <w:p>
            <w:pPr>
              <w:pStyle w:val="TableContents"/>
              <w:bidi w:val="0"/>
              <w:spacing w:before="0" w:after="283"/>
              <w:jc w:val="right"/>
              <w:rPr/>
            </w:pPr>
            <w:r>
              <w:rPr/>
              <w:t>5</w:t>
            </w:r>
          </w:p>
        </w:tc>
      </w:tr>
      <w:tr>
        <w:trPr/>
        <w:tc>
          <w:tcPr>
            <w:tcW w:w="767" w:type="dxa"/>
            <w:tcBorders/>
            <w:shd w:fill="FFFFFF" w:val="clear"/>
            <w:vAlign w:val="center"/>
          </w:tcPr>
          <w:p>
            <w:pPr>
              <w:pStyle w:val="TableContents"/>
              <w:bidi w:val="0"/>
              <w:spacing w:before="0" w:after="283"/>
              <w:jc w:val="left"/>
              <w:rPr/>
            </w:pPr>
            <w:r>
              <w:rPr/>
              <w:t> </w:t>
            </w:r>
          </w:p>
        </w:tc>
        <w:tc>
          <w:tcPr>
            <w:tcW w:w="899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Notes to Consolidated Financial Statements</w:t>
            </w:r>
          </w:p>
        </w:tc>
        <w:tc>
          <w:tcPr>
            <w:tcW w:w="441" w:type="dxa"/>
            <w:tcBorders/>
            <w:shd w:fill="FFFFFF" w:val="clear"/>
            <w:vAlign w:val="center"/>
          </w:tcPr>
          <w:p>
            <w:pPr>
              <w:pStyle w:val="TableContents"/>
              <w:bidi w:val="0"/>
              <w:spacing w:before="0" w:after="283"/>
              <w:jc w:val="right"/>
              <w:rPr/>
            </w:pPr>
            <w:r>
              <w:rPr/>
              <w:t>6</w:t>
            </w:r>
          </w:p>
        </w:tc>
      </w:tr>
      <w:tr>
        <w:trPr/>
        <w:tc>
          <w:tcPr>
            <w:tcW w:w="767" w:type="dxa"/>
            <w:tcBorders/>
            <w:shd w:fill="CCEEFF" w:val="clear"/>
            <w:vAlign w:val="center"/>
          </w:tcPr>
          <w:p>
            <w:pPr>
              <w:pStyle w:val="TableContents"/>
              <w:bidi w:val="0"/>
              <w:spacing w:before="0" w:after="283"/>
              <w:jc w:val="left"/>
              <w:rPr/>
            </w:pPr>
            <w:r>
              <w:rPr/>
              <w:t> </w:t>
            </w:r>
          </w:p>
        </w:tc>
        <w:tc>
          <w:tcPr>
            <w:tcW w:w="8997"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 </w:t>
            </w:r>
          </w:p>
        </w:tc>
      </w:tr>
      <w:tr>
        <w:trPr/>
        <w:tc>
          <w:tcPr>
            <w:tcW w:w="767"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Item 2.</w:t>
            </w:r>
          </w:p>
        </w:tc>
        <w:tc>
          <w:tcPr>
            <w:tcW w:w="8997"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Management's Discussion and Analysis of Financial Condition and Results of Operations</w:t>
            </w:r>
          </w:p>
        </w:tc>
        <w:tc>
          <w:tcPr>
            <w:tcW w:w="441" w:type="dxa"/>
            <w:tcBorders/>
            <w:shd w:fill="FFFFFF" w:val="clear"/>
            <w:vAlign w:val="center"/>
          </w:tcPr>
          <w:p>
            <w:pPr>
              <w:pStyle w:val="TableContents"/>
              <w:bidi w:val="0"/>
              <w:spacing w:before="0" w:after="283"/>
              <w:jc w:val="right"/>
              <w:rPr/>
            </w:pPr>
            <w:r>
              <w:rPr/>
              <w:t>24</w:t>
            </w:r>
          </w:p>
        </w:tc>
      </w:tr>
      <w:tr>
        <w:trPr/>
        <w:tc>
          <w:tcPr>
            <w:tcW w:w="767" w:type="dxa"/>
            <w:tcBorders/>
            <w:shd w:fill="CCEEFF" w:val="clear"/>
            <w:vAlign w:val="center"/>
          </w:tcPr>
          <w:p>
            <w:pPr>
              <w:pStyle w:val="TableContents"/>
              <w:bidi w:val="0"/>
              <w:spacing w:before="0" w:after="283"/>
              <w:jc w:val="left"/>
              <w:rPr/>
            </w:pPr>
            <w:r>
              <w:rPr/>
              <w:t> </w:t>
            </w:r>
          </w:p>
        </w:tc>
        <w:tc>
          <w:tcPr>
            <w:tcW w:w="8997"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 </w:t>
            </w:r>
          </w:p>
        </w:tc>
      </w:tr>
      <w:tr>
        <w:trPr/>
        <w:tc>
          <w:tcPr>
            <w:tcW w:w="767"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Item 3.</w:t>
            </w:r>
          </w:p>
        </w:tc>
        <w:tc>
          <w:tcPr>
            <w:tcW w:w="8997"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Quantitative and Qualitative Disclosures About Market Risk</w:t>
            </w:r>
          </w:p>
        </w:tc>
        <w:tc>
          <w:tcPr>
            <w:tcW w:w="441" w:type="dxa"/>
            <w:tcBorders/>
            <w:shd w:fill="FFFFFF" w:val="clear"/>
            <w:vAlign w:val="center"/>
          </w:tcPr>
          <w:p>
            <w:pPr>
              <w:pStyle w:val="TableContents"/>
              <w:bidi w:val="0"/>
              <w:spacing w:before="0" w:after="283"/>
              <w:jc w:val="right"/>
              <w:rPr/>
            </w:pPr>
            <w:r>
              <w:rPr/>
              <w:t>31</w:t>
            </w:r>
          </w:p>
        </w:tc>
      </w:tr>
      <w:tr>
        <w:trPr/>
        <w:tc>
          <w:tcPr>
            <w:tcW w:w="767" w:type="dxa"/>
            <w:tcBorders/>
            <w:shd w:fill="CCEEFF" w:val="clear"/>
            <w:vAlign w:val="center"/>
          </w:tcPr>
          <w:p>
            <w:pPr>
              <w:pStyle w:val="TableContents"/>
              <w:bidi w:val="0"/>
              <w:spacing w:before="0" w:after="283"/>
              <w:jc w:val="left"/>
              <w:rPr/>
            </w:pPr>
            <w:r>
              <w:rPr/>
              <w:t> </w:t>
            </w:r>
          </w:p>
        </w:tc>
        <w:tc>
          <w:tcPr>
            <w:tcW w:w="8997"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 </w:t>
            </w:r>
          </w:p>
        </w:tc>
      </w:tr>
      <w:tr>
        <w:trPr/>
        <w:tc>
          <w:tcPr>
            <w:tcW w:w="767"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Item 4.</w:t>
            </w:r>
          </w:p>
        </w:tc>
        <w:tc>
          <w:tcPr>
            <w:tcW w:w="8997"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Controls and Procedures</w:t>
            </w:r>
          </w:p>
        </w:tc>
        <w:tc>
          <w:tcPr>
            <w:tcW w:w="441" w:type="dxa"/>
            <w:tcBorders/>
            <w:shd w:fill="FFFFFF" w:val="clear"/>
            <w:vAlign w:val="center"/>
          </w:tcPr>
          <w:p>
            <w:pPr>
              <w:pStyle w:val="TableContents"/>
              <w:bidi w:val="0"/>
              <w:spacing w:before="0" w:after="283"/>
              <w:jc w:val="right"/>
              <w:rPr/>
            </w:pPr>
            <w:r>
              <w:rPr/>
              <w:t>32</w:t>
            </w:r>
          </w:p>
        </w:tc>
      </w:tr>
      <w:tr>
        <w:trPr/>
        <w:tc>
          <w:tcPr>
            <w:tcW w:w="767" w:type="dxa"/>
            <w:tcBorders/>
            <w:shd w:fill="CCEEFF" w:val="clear"/>
            <w:vAlign w:val="center"/>
          </w:tcPr>
          <w:p>
            <w:pPr>
              <w:pStyle w:val="TableContents"/>
              <w:bidi w:val="0"/>
              <w:spacing w:before="0" w:after="283"/>
              <w:jc w:val="left"/>
              <w:rPr/>
            </w:pPr>
            <w:r>
              <w:rPr/>
              <w:t> </w:t>
            </w:r>
          </w:p>
        </w:tc>
        <w:tc>
          <w:tcPr>
            <w:tcW w:w="8997"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 </w:t>
            </w:r>
          </w:p>
        </w:tc>
      </w:tr>
      <w:tr>
        <w:trPr/>
        <w:tc>
          <w:tcPr>
            <w:tcW w:w="767"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II.</w:t>
            </w:r>
          </w:p>
        </w:tc>
        <w:tc>
          <w:tcPr>
            <w:tcW w:w="8997"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INFORMATION</w:t>
            </w:r>
          </w:p>
        </w:tc>
        <w:tc>
          <w:tcPr>
            <w:tcW w:w="441" w:type="dxa"/>
            <w:tcBorders/>
            <w:shd w:fill="FFFFFF" w:val="clear"/>
            <w:vAlign w:val="center"/>
          </w:tcPr>
          <w:p>
            <w:pPr>
              <w:pStyle w:val="TableContents"/>
              <w:bidi w:val="0"/>
              <w:spacing w:before="0" w:after="283"/>
              <w:jc w:val="right"/>
              <w:rPr/>
            </w:pPr>
            <w:r>
              <w:rPr/>
              <w:t>33</w:t>
            </w:r>
          </w:p>
        </w:tc>
      </w:tr>
      <w:tr>
        <w:trPr/>
        <w:tc>
          <w:tcPr>
            <w:tcW w:w="767" w:type="dxa"/>
            <w:tcBorders/>
            <w:shd w:fill="CCEEFF" w:val="clear"/>
            <w:vAlign w:val="center"/>
          </w:tcPr>
          <w:p>
            <w:pPr>
              <w:pStyle w:val="TableContents"/>
              <w:bidi w:val="0"/>
              <w:spacing w:before="0" w:after="283"/>
              <w:jc w:val="left"/>
              <w:rPr/>
            </w:pPr>
            <w:r>
              <w:rPr/>
              <w:t> </w:t>
            </w:r>
          </w:p>
        </w:tc>
        <w:tc>
          <w:tcPr>
            <w:tcW w:w="8997"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 </w:t>
            </w:r>
          </w:p>
        </w:tc>
      </w:tr>
      <w:tr>
        <w:trPr/>
        <w:tc>
          <w:tcPr>
            <w:tcW w:w="767"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Item 1.</w:t>
            </w:r>
          </w:p>
        </w:tc>
        <w:tc>
          <w:tcPr>
            <w:tcW w:w="8997"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Legal Proceedings</w:t>
            </w:r>
          </w:p>
        </w:tc>
        <w:tc>
          <w:tcPr>
            <w:tcW w:w="441" w:type="dxa"/>
            <w:tcBorders/>
            <w:shd w:fill="FFFFFF" w:val="clear"/>
            <w:vAlign w:val="center"/>
          </w:tcPr>
          <w:p>
            <w:pPr>
              <w:pStyle w:val="TableContents"/>
              <w:bidi w:val="0"/>
              <w:spacing w:before="0" w:after="283"/>
              <w:jc w:val="right"/>
              <w:rPr/>
            </w:pPr>
            <w:r>
              <w:rPr/>
              <w:t>33</w:t>
            </w:r>
          </w:p>
        </w:tc>
      </w:tr>
      <w:tr>
        <w:trPr/>
        <w:tc>
          <w:tcPr>
            <w:tcW w:w="767" w:type="dxa"/>
            <w:tcBorders/>
            <w:shd w:fill="CCEEFF" w:val="clear"/>
            <w:vAlign w:val="center"/>
          </w:tcPr>
          <w:p>
            <w:pPr>
              <w:pStyle w:val="TableContents"/>
              <w:bidi w:val="0"/>
              <w:spacing w:before="0" w:after="283"/>
              <w:jc w:val="left"/>
              <w:rPr/>
            </w:pPr>
            <w:r>
              <w:rPr/>
              <w:t> </w:t>
            </w:r>
          </w:p>
        </w:tc>
        <w:tc>
          <w:tcPr>
            <w:tcW w:w="8997"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 </w:t>
            </w:r>
          </w:p>
        </w:tc>
      </w:tr>
      <w:tr>
        <w:trPr/>
        <w:tc>
          <w:tcPr>
            <w:tcW w:w="767"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Item 1A.</w:t>
            </w:r>
          </w:p>
        </w:tc>
        <w:tc>
          <w:tcPr>
            <w:tcW w:w="8997"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Risk Factors</w:t>
            </w:r>
          </w:p>
        </w:tc>
        <w:tc>
          <w:tcPr>
            <w:tcW w:w="441" w:type="dxa"/>
            <w:tcBorders/>
            <w:shd w:fill="FFFFFF" w:val="clear"/>
            <w:vAlign w:val="center"/>
          </w:tcPr>
          <w:p>
            <w:pPr>
              <w:pStyle w:val="TableContents"/>
              <w:bidi w:val="0"/>
              <w:spacing w:before="0" w:after="283"/>
              <w:jc w:val="right"/>
              <w:rPr/>
            </w:pPr>
            <w:r>
              <w:rPr/>
              <w:t>33</w:t>
            </w:r>
          </w:p>
        </w:tc>
      </w:tr>
      <w:tr>
        <w:trPr/>
        <w:tc>
          <w:tcPr>
            <w:tcW w:w="767" w:type="dxa"/>
            <w:tcBorders/>
            <w:shd w:fill="CCEEFF" w:val="clear"/>
            <w:vAlign w:val="center"/>
          </w:tcPr>
          <w:p>
            <w:pPr>
              <w:pStyle w:val="TableContents"/>
              <w:bidi w:val="0"/>
              <w:spacing w:before="0" w:after="283"/>
              <w:jc w:val="left"/>
              <w:rPr/>
            </w:pPr>
            <w:r>
              <w:rPr/>
              <w:t> </w:t>
            </w:r>
          </w:p>
        </w:tc>
        <w:tc>
          <w:tcPr>
            <w:tcW w:w="8997"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 </w:t>
            </w:r>
          </w:p>
        </w:tc>
      </w:tr>
      <w:tr>
        <w:trPr/>
        <w:tc>
          <w:tcPr>
            <w:tcW w:w="767"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Item 2.</w:t>
            </w:r>
          </w:p>
        </w:tc>
        <w:tc>
          <w:tcPr>
            <w:tcW w:w="8997"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Unregistered Sales of Equity Securities and Use of Proceeds</w:t>
            </w:r>
          </w:p>
        </w:tc>
        <w:tc>
          <w:tcPr>
            <w:tcW w:w="441" w:type="dxa"/>
            <w:tcBorders/>
            <w:shd w:fill="FFFFFF" w:val="clear"/>
            <w:vAlign w:val="center"/>
          </w:tcPr>
          <w:p>
            <w:pPr>
              <w:pStyle w:val="TableContents"/>
              <w:bidi w:val="0"/>
              <w:spacing w:before="0" w:after="283"/>
              <w:jc w:val="right"/>
              <w:rPr/>
            </w:pPr>
            <w:r>
              <w:rPr/>
              <w:t>33</w:t>
            </w:r>
          </w:p>
        </w:tc>
      </w:tr>
      <w:tr>
        <w:trPr/>
        <w:tc>
          <w:tcPr>
            <w:tcW w:w="767" w:type="dxa"/>
            <w:tcBorders/>
            <w:shd w:fill="CCEEFF" w:val="clear"/>
            <w:vAlign w:val="center"/>
          </w:tcPr>
          <w:p>
            <w:pPr>
              <w:pStyle w:val="TableContents"/>
              <w:bidi w:val="0"/>
              <w:spacing w:before="0" w:after="283"/>
              <w:jc w:val="left"/>
              <w:rPr/>
            </w:pPr>
            <w:r>
              <w:rPr/>
              <w:t> </w:t>
            </w:r>
          </w:p>
        </w:tc>
        <w:tc>
          <w:tcPr>
            <w:tcW w:w="8997"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 </w:t>
            </w:r>
          </w:p>
        </w:tc>
      </w:tr>
      <w:tr>
        <w:trPr/>
        <w:tc>
          <w:tcPr>
            <w:tcW w:w="767"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Item 3.</w:t>
            </w:r>
          </w:p>
        </w:tc>
        <w:tc>
          <w:tcPr>
            <w:tcW w:w="8997"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Defaults Upon Senior Securities</w:t>
            </w:r>
          </w:p>
        </w:tc>
        <w:tc>
          <w:tcPr>
            <w:tcW w:w="441" w:type="dxa"/>
            <w:tcBorders/>
            <w:shd w:fill="FFFFFF" w:val="clear"/>
            <w:vAlign w:val="center"/>
          </w:tcPr>
          <w:p>
            <w:pPr>
              <w:pStyle w:val="TableContents"/>
              <w:bidi w:val="0"/>
              <w:spacing w:before="0" w:after="283"/>
              <w:jc w:val="right"/>
              <w:rPr/>
            </w:pPr>
            <w:r>
              <w:rPr/>
              <w:t>33</w:t>
            </w:r>
          </w:p>
        </w:tc>
      </w:tr>
      <w:tr>
        <w:trPr/>
        <w:tc>
          <w:tcPr>
            <w:tcW w:w="767" w:type="dxa"/>
            <w:tcBorders/>
            <w:shd w:fill="CCEEFF" w:val="clear"/>
            <w:vAlign w:val="center"/>
          </w:tcPr>
          <w:p>
            <w:pPr>
              <w:pStyle w:val="TableContents"/>
              <w:bidi w:val="0"/>
              <w:spacing w:before="0" w:after="283"/>
              <w:jc w:val="left"/>
              <w:rPr/>
            </w:pPr>
            <w:r>
              <w:rPr/>
              <w:t> </w:t>
            </w:r>
          </w:p>
        </w:tc>
        <w:tc>
          <w:tcPr>
            <w:tcW w:w="8997"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 </w:t>
            </w:r>
          </w:p>
        </w:tc>
      </w:tr>
      <w:tr>
        <w:trPr/>
        <w:tc>
          <w:tcPr>
            <w:tcW w:w="767"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Item 4.</w:t>
            </w:r>
          </w:p>
        </w:tc>
        <w:tc>
          <w:tcPr>
            <w:tcW w:w="8997"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Mine Safety Disclosures</w:t>
            </w:r>
          </w:p>
        </w:tc>
        <w:tc>
          <w:tcPr>
            <w:tcW w:w="441" w:type="dxa"/>
            <w:tcBorders/>
            <w:shd w:fill="FFFFFF" w:val="clear"/>
            <w:vAlign w:val="center"/>
          </w:tcPr>
          <w:p>
            <w:pPr>
              <w:pStyle w:val="TableContents"/>
              <w:bidi w:val="0"/>
              <w:spacing w:before="0" w:after="283"/>
              <w:jc w:val="right"/>
              <w:rPr/>
            </w:pPr>
            <w:r>
              <w:rPr/>
              <w:t>33</w:t>
            </w:r>
          </w:p>
        </w:tc>
      </w:tr>
      <w:tr>
        <w:trPr/>
        <w:tc>
          <w:tcPr>
            <w:tcW w:w="767" w:type="dxa"/>
            <w:tcBorders/>
            <w:shd w:fill="CCEEFF" w:val="clear"/>
            <w:vAlign w:val="center"/>
          </w:tcPr>
          <w:p>
            <w:pPr>
              <w:pStyle w:val="TableContents"/>
              <w:bidi w:val="0"/>
              <w:spacing w:before="0" w:after="283"/>
              <w:jc w:val="left"/>
              <w:rPr/>
            </w:pPr>
            <w:r>
              <w:rPr/>
              <w:t> </w:t>
            </w:r>
          </w:p>
        </w:tc>
        <w:tc>
          <w:tcPr>
            <w:tcW w:w="8997"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 </w:t>
            </w:r>
          </w:p>
        </w:tc>
      </w:tr>
      <w:tr>
        <w:trPr/>
        <w:tc>
          <w:tcPr>
            <w:tcW w:w="767"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Item 5.</w:t>
            </w:r>
          </w:p>
        </w:tc>
        <w:tc>
          <w:tcPr>
            <w:tcW w:w="8997"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Other Information</w:t>
            </w:r>
          </w:p>
        </w:tc>
        <w:tc>
          <w:tcPr>
            <w:tcW w:w="441" w:type="dxa"/>
            <w:tcBorders/>
            <w:shd w:fill="FFFFFF" w:val="clear"/>
            <w:vAlign w:val="center"/>
          </w:tcPr>
          <w:p>
            <w:pPr>
              <w:pStyle w:val="TableContents"/>
              <w:bidi w:val="0"/>
              <w:spacing w:before="0" w:after="283"/>
              <w:jc w:val="right"/>
              <w:rPr/>
            </w:pPr>
            <w:r>
              <w:rPr/>
              <w:t>34</w:t>
            </w:r>
          </w:p>
        </w:tc>
      </w:tr>
      <w:tr>
        <w:trPr/>
        <w:tc>
          <w:tcPr>
            <w:tcW w:w="767" w:type="dxa"/>
            <w:tcBorders/>
            <w:shd w:fill="CCEEFF" w:val="clear"/>
            <w:vAlign w:val="center"/>
          </w:tcPr>
          <w:p>
            <w:pPr>
              <w:pStyle w:val="TableContents"/>
              <w:bidi w:val="0"/>
              <w:spacing w:before="0" w:after="283"/>
              <w:jc w:val="left"/>
              <w:rPr/>
            </w:pPr>
            <w:r>
              <w:rPr/>
              <w:t> </w:t>
            </w:r>
          </w:p>
        </w:tc>
        <w:tc>
          <w:tcPr>
            <w:tcW w:w="8997"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 </w:t>
            </w:r>
          </w:p>
        </w:tc>
      </w:tr>
      <w:tr>
        <w:trPr/>
        <w:tc>
          <w:tcPr>
            <w:tcW w:w="767"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Item 6.</w:t>
            </w:r>
          </w:p>
        </w:tc>
        <w:tc>
          <w:tcPr>
            <w:tcW w:w="8997" w:type="dxa"/>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Exhibits </w:t>
            </w:r>
          </w:p>
        </w:tc>
        <w:tc>
          <w:tcPr>
            <w:tcW w:w="441" w:type="dxa"/>
            <w:tcBorders/>
            <w:shd w:fill="FFFFFF" w:val="clear"/>
            <w:vAlign w:val="center"/>
          </w:tcPr>
          <w:p>
            <w:pPr>
              <w:pStyle w:val="TableContents"/>
              <w:bidi w:val="0"/>
              <w:spacing w:before="0" w:after="283"/>
              <w:jc w:val="right"/>
              <w:rPr/>
            </w:pPr>
            <w:r>
              <w:rPr/>
              <w:t>34</w:t>
            </w:r>
          </w:p>
        </w:tc>
      </w:tr>
      <w:tr>
        <w:trPr/>
        <w:tc>
          <w:tcPr>
            <w:tcW w:w="9764" w:type="dxa"/>
            <w:gridSpan w:val="2"/>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pPr>
            <w:r>
              <w:rPr/>
              <w:t> </w:t>
            </w:r>
          </w:p>
        </w:tc>
      </w:tr>
      <w:tr>
        <w:trPr/>
        <w:tc>
          <w:tcPr>
            <w:tcW w:w="9764" w:type="dxa"/>
            <w:gridSpan w:val="2"/>
            <w:tcBorders/>
            <w:shd w:fill="FFFFFF" w:val="cle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SIGNATURES</w:t>
            </w:r>
          </w:p>
        </w:tc>
        <w:tc>
          <w:tcPr>
            <w:tcW w:w="441" w:type="dxa"/>
            <w:tcBorders/>
            <w:shd w:fill="FFFFFF" w:val="clear"/>
            <w:vAlign w:val="center"/>
          </w:tcPr>
          <w:p>
            <w:pPr>
              <w:pStyle w:val="TableContents"/>
              <w:bidi w:val="0"/>
              <w:spacing w:before="0" w:after="283"/>
              <w:jc w:val="right"/>
              <w:rPr/>
            </w:pPr>
            <w:r>
              <w:rPr/>
              <w:t>35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 FINANCIAL INFORMATION</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 FINANCIAL STATEMENTS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inTEST CORPORATION</w:t>
      </w:r>
      <w:r>
        <w:rPr>
          <w:rFonts w:ascii="Times New Roman" w:hAnsi="Times New Roman"/>
          <w:caps w:val="false"/>
          <w:smallCaps w:val="false"/>
          <w:sz w:val="20"/>
        </w:rPr>
        <w:br/>
      </w:r>
      <w:r>
        <w:rPr>
          <w:rFonts w:ascii="Times New Roman" w:hAnsi="Times New Roman"/>
          <w:b/>
          <w:caps w:val="false"/>
          <w:smallCaps w:val="false"/>
          <w:sz w:val="20"/>
        </w:rPr>
        <w:t>CONSOLIDATED BALANCE SHEETS</w:t>
      </w:r>
      <w:r>
        <w:rPr>
          <w:rFonts w:ascii="Times New Roman" w:hAnsi="Times New Roman"/>
          <w:caps w:val="false"/>
          <w:smallCaps w:val="false"/>
          <w:sz w:val="20"/>
        </w:rPr>
        <w:br/>
        <w:t>(In thousands, except share and per share data)</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7836"/>
        <w:gridCol w:w="60"/>
        <w:gridCol w:w="149"/>
        <w:gridCol w:w="831"/>
        <w:gridCol w:w="80"/>
        <w:gridCol w:w="60"/>
        <w:gridCol w:w="168"/>
        <w:gridCol w:w="939"/>
        <w:gridCol w:w="82"/>
      </w:tblGrid>
      <w:tr>
        <w:trPr/>
        <w:tc>
          <w:tcPr>
            <w:tcW w:w="78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2" w:type="dxa"/>
            <w:tcBorders/>
            <w:vAlign w:val="center"/>
          </w:tcPr>
          <w:p>
            <w:pPr>
              <w:pStyle w:val="TableContents"/>
              <w:bidi w:val="0"/>
              <w:spacing w:before="0" w:after="283"/>
              <w:jc w:val="left"/>
              <w:rPr/>
            </w:pPr>
            <w:r>
              <w:rPr/>
              <w:t> </w:t>
            </w:r>
          </w:p>
        </w:tc>
      </w:tr>
      <w:tr>
        <w:trPr/>
        <w:tc>
          <w:tcPr>
            <w:tcW w:w="78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2" w:type="dxa"/>
            <w:tcBorders/>
            <w:vAlign w:val="center"/>
          </w:tcPr>
          <w:p>
            <w:pPr>
              <w:pStyle w:val="TableContents"/>
              <w:bidi w:val="0"/>
              <w:spacing w:before="0" w:after="283"/>
              <w:jc w:val="left"/>
              <w:rPr/>
            </w:pPr>
            <w:r>
              <w:rPr/>
              <w:t> </w:t>
            </w:r>
          </w:p>
        </w:tc>
      </w:tr>
      <w:tr>
        <w:trPr/>
        <w:tc>
          <w:tcPr>
            <w:tcW w:w="78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jc w:val="left"/>
              <w:rPr/>
            </w:pPr>
            <w:r>
              <w:rPr/>
              <w:t> </w:t>
            </w:r>
          </w:p>
        </w:tc>
      </w:tr>
      <w:tr>
        <w:trPr/>
        <w:tc>
          <w:tcPr>
            <w:tcW w:w="783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3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45,260</w:t>
            </w:r>
          </w:p>
        </w:tc>
        <w:tc>
          <w:tcPr>
            <w:tcW w:w="82" w:type="dxa"/>
            <w:tcBorders/>
            <w:shd w:fill="CCEEFF" w:val="cle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accounts receivable, net of allowance for credit losses of $426 and $474, respectively</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8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18,175</w:t>
            </w:r>
          </w:p>
        </w:tc>
        <w:tc>
          <w:tcPr>
            <w:tcW w:w="82" w:type="dxa"/>
            <w:tcBorders/>
            <w:shd w:fill="FFFFFF" w:val="clear"/>
            <w:vAlign w:val="center"/>
          </w:tcPr>
          <w:p>
            <w:pPr>
              <w:pStyle w:val="TableContents"/>
              <w:bidi w:val="0"/>
              <w:spacing w:before="0" w:after="283"/>
              <w:jc w:val="left"/>
              <w:rPr/>
            </w:pPr>
            <w:r>
              <w:rPr/>
              <w:t> </w:t>
            </w:r>
          </w:p>
        </w:tc>
      </w:tr>
      <w:tr>
        <w:trPr/>
        <w:tc>
          <w:tcPr>
            <w:tcW w:w="783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8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20,089</w:t>
            </w:r>
          </w:p>
        </w:tc>
        <w:tc>
          <w:tcPr>
            <w:tcW w:w="82" w:type="dxa"/>
            <w:tcBorders/>
            <w:shd w:fill="CCEEFF" w:val="cle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2,254</w:t>
            </w:r>
          </w:p>
        </w:tc>
        <w:tc>
          <w:tcPr>
            <w:tcW w:w="82" w:type="dxa"/>
            <w:tcBorders/>
            <w:shd w:fill="FFFFFF" w:val="clear"/>
            <w:vAlign w:val="center"/>
          </w:tcPr>
          <w:p>
            <w:pPr>
              <w:pStyle w:val="TableContents"/>
              <w:bidi w:val="0"/>
              <w:spacing w:before="0" w:after="283"/>
              <w:jc w:val="left"/>
              <w:rPr/>
            </w:pPr>
            <w:r>
              <w:rPr/>
              <w:t> </w:t>
            </w:r>
          </w:p>
        </w:tc>
      </w:tr>
      <w:tr>
        <w:trPr/>
        <w:tc>
          <w:tcPr>
            <w:tcW w:w="783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85,778</w:t>
            </w:r>
          </w:p>
        </w:tc>
        <w:tc>
          <w:tcPr>
            <w:tcW w:w="82" w:type="dxa"/>
            <w:tcBorders/>
            <w:shd w:fill="CCEEFF" w:val="cle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3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8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7,118</w:t>
            </w:r>
          </w:p>
        </w:tc>
        <w:tc>
          <w:tcPr>
            <w:tcW w:w="82" w:type="dxa"/>
            <w:tcBorders/>
            <w:shd w:fill="CCEEFF" w:val="cle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Leasehold improvements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3,601</w:t>
            </w:r>
          </w:p>
        </w:tc>
        <w:tc>
          <w:tcPr>
            <w:tcW w:w="82" w:type="dxa"/>
            <w:tcBorders/>
            <w:shd w:fill="FFFFFF" w:val="clear"/>
            <w:vAlign w:val="center"/>
          </w:tcPr>
          <w:p>
            <w:pPr>
              <w:pStyle w:val="TableContents"/>
              <w:bidi w:val="0"/>
              <w:spacing w:before="0" w:after="283"/>
              <w:jc w:val="left"/>
              <w:rPr/>
            </w:pPr>
            <w:r>
              <w:rPr/>
              <w:t> </w:t>
            </w:r>
          </w:p>
        </w:tc>
      </w:tr>
      <w:tr>
        <w:trPr/>
        <w:tc>
          <w:tcPr>
            <w:tcW w:w="783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property and equipment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8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10,719</w:t>
            </w:r>
          </w:p>
        </w:tc>
        <w:tc>
          <w:tcPr>
            <w:tcW w:w="82" w:type="dxa"/>
            <w:tcBorders/>
            <w:shd w:fill="CCEEFF" w:val="cle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(7,529</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3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property and equipment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3,190</w:t>
            </w:r>
          </w:p>
        </w:tc>
        <w:tc>
          <w:tcPr>
            <w:tcW w:w="82" w:type="dxa"/>
            <w:tcBorders/>
            <w:shd w:fill="CCEEFF" w:val="cle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 net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8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4,987</w:t>
            </w:r>
          </w:p>
        </w:tc>
        <w:tc>
          <w:tcPr>
            <w:tcW w:w="82" w:type="dxa"/>
            <w:tcBorders/>
            <w:shd w:fill="FFFFFF" w:val="clear"/>
            <w:vAlign w:val="center"/>
          </w:tcPr>
          <w:p>
            <w:pPr>
              <w:pStyle w:val="TableContents"/>
              <w:bidi w:val="0"/>
              <w:spacing w:before="0" w:after="283"/>
              <w:jc w:val="left"/>
              <w:rPr/>
            </w:pPr>
            <w:r>
              <w:rPr/>
              <w:t> </w:t>
            </w:r>
          </w:p>
        </w:tc>
      </w:tr>
      <w:tr>
        <w:trPr/>
        <w:tc>
          <w:tcPr>
            <w:tcW w:w="783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8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21,728</w:t>
            </w:r>
          </w:p>
        </w:tc>
        <w:tc>
          <w:tcPr>
            <w:tcW w:w="82" w:type="dxa"/>
            <w:tcBorders/>
            <w:shd w:fill="CCEEFF" w:val="cle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8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16,596</w:t>
            </w:r>
          </w:p>
        </w:tc>
        <w:tc>
          <w:tcPr>
            <w:tcW w:w="82" w:type="dxa"/>
            <w:tcBorders/>
            <w:shd w:fill="FFFFFF" w:val="clear"/>
            <w:vAlign w:val="center"/>
          </w:tcPr>
          <w:p>
            <w:pPr>
              <w:pStyle w:val="TableContents"/>
              <w:bidi w:val="0"/>
              <w:spacing w:before="0" w:after="283"/>
              <w:jc w:val="left"/>
              <w:rPr/>
            </w:pPr>
            <w:r>
              <w:rPr/>
              <w:t> </w:t>
            </w:r>
          </w:p>
        </w:tc>
      </w:tr>
      <w:tr>
        <w:trPr/>
        <w:tc>
          <w:tcPr>
            <w:tcW w:w="783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8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1,437</w:t>
            </w:r>
          </w:p>
        </w:tc>
        <w:tc>
          <w:tcPr>
            <w:tcW w:w="82" w:type="dxa"/>
            <w:tcBorders/>
            <w:shd w:fill="CCEEFF" w:val="cle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certificates of deposit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8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82" w:type="dxa"/>
            <w:tcBorders/>
            <w:shd w:fill="FFFFFF" w:val="clear"/>
            <w:vAlign w:val="center"/>
          </w:tcPr>
          <w:p>
            <w:pPr>
              <w:pStyle w:val="TableContents"/>
              <w:bidi w:val="0"/>
              <w:spacing w:before="0" w:after="283"/>
              <w:jc w:val="left"/>
              <w:rPr/>
            </w:pPr>
            <w:r>
              <w:rPr/>
              <w:t> </w:t>
            </w:r>
          </w:p>
        </w:tc>
      </w:tr>
      <w:tr>
        <w:trPr/>
        <w:tc>
          <w:tcPr>
            <w:tcW w:w="783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1,013</w:t>
            </w:r>
          </w:p>
        </w:tc>
        <w:tc>
          <w:tcPr>
            <w:tcW w:w="82" w:type="dxa"/>
            <w:tcBorders/>
            <w:shd w:fill="CCEEFF" w:val="cle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159,527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134,829</w:t>
            </w:r>
          </w:p>
        </w:tc>
        <w:tc>
          <w:tcPr>
            <w:tcW w:w="82" w:type="dxa"/>
            <w:tcBorders/>
            <w:shd w:fill="FFFFFF" w:val="clear"/>
            <w:vAlign w:val="center"/>
          </w:tcPr>
          <w:p>
            <w:pPr>
              <w:pStyle w:val="TableContents"/>
              <w:bidi w:val="0"/>
              <w:spacing w:before="0" w:after="283"/>
              <w:jc w:val="left"/>
              <w:rPr/>
            </w:pPr>
            <w:r>
              <w:rPr/>
              <w:t> </w:t>
            </w:r>
          </w:p>
        </w:tc>
      </w:tr>
      <w:tr>
        <w:trPr/>
        <w:tc>
          <w:tcPr>
            <w:tcW w:w="78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3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Term Note and other long-term debt</w:t>
            </w:r>
          </w:p>
        </w:tc>
        <w:tc>
          <w:tcPr>
            <w:tcW w:w="60" w:type="dxa"/>
            <w:tcBorders/>
            <w:shd w:fill="FFFFFF" w:val="clear"/>
            <w:vAlign w:val="center"/>
          </w:tcPr>
          <w:p>
            <w:pPr>
              <w:pStyle w:val="TableContents"/>
              <w:bidi w:val="0"/>
              <w:spacing w:before="0" w:after="283"/>
              <w:ind w:left="0" w:right="0" w:hanging="0"/>
              <w:jc w:val="left"/>
              <w:rPr/>
            </w:pPr>
            <w:r>
              <w:rPr/>
              <w:t> </w:t>
            </w:r>
          </w:p>
        </w:tc>
        <w:tc>
          <w:tcPr>
            <w:tcW w:w="1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4,100</w:t>
            </w:r>
          </w:p>
        </w:tc>
        <w:tc>
          <w:tcPr>
            <w:tcW w:w="82" w:type="dxa"/>
            <w:tcBorders/>
            <w:shd w:fill="FFFFFF" w:val="clear"/>
            <w:vAlign w:val="center"/>
          </w:tcPr>
          <w:p>
            <w:pPr>
              <w:pStyle w:val="TableContents"/>
              <w:bidi w:val="0"/>
              <w:spacing w:before="0" w:after="283"/>
              <w:jc w:val="left"/>
              <w:rPr/>
            </w:pPr>
            <w:r>
              <w:rPr/>
              <w:t> </w:t>
            </w:r>
          </w:p>
        </w:tc>
      </w:tr>
      <w:tr>
        <w:trPr/>
        <w:tc>
          <w:tcPr>
            <w:tcW w:w="783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operating lease liabilities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8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1,923</w:t>
            </w:r>
          </w:p>
        </w:tc>
        <w:tc>
          <w:tcPr>
            <w:tcW w:w="82" w:type="dxa"/>
            <w:tcBorders/>
            <w:shd w:fill="CCEEFF" w:val="cle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8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5,521</w:t>
            </w:r>
          </w:p>
        </w:tc>
        <w:tc>
          <w:tcPr>
            <w:tcW w:w="82" w:type="dxa"/>
            <w:tcBorders/>
            <w:shd w:fill="FFFFFF" w:val="clear"/>
            <w:vAlign w:val="center"/>
          </w:tcPr>
          <w:p>
            <w:pPr>
              <w:pStyle w:val="TableContents"/>
              <w:bidi w:val="0"/>
              <w:spacing w:before="0" w:after="283"/>
              <w:jc w:val="left"/>
              <w:rPr/>
            </w:pPr>
            <w:r>
              <w:rPr/>
              <w:t> </w:t>
            </w:r>
          </w:p>
        </w:tc>
      </w:tr>
      <w:tr>
        <w:trPr/>
        <w:tc>
          <w:tcPr>
            <w:tcW w:w="783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wages and benefits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8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4,156</w:t>
            </w:r>
          </w:p>
        </w:tc>
        <w:tc>
          <w:tcPr>
            <w:tcW w:w="82" w:type="dxa"/>
            <w:tcBorders/>
            <w:shd w:fill="CCEEFF" w:val="cle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professional fees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8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1,228</w:t>
            </w:r>
          </w:p>
        </w:tc>
        <w:tc>
          <w:tcPr>
            <w:tcW w:w="82" w:type="dxa"/>
            <w:tcBorders/>
            <w:shd w:fill="FFFFFF" w:val="clear"/>
            <w:vAlign w:val="center"/>
          </w:tcPr>
          <w:p>
            <w:pPr>
              <w:pStyle w:val="TableContents"/>
              <w:bidi w:val="0"/>
              <w:spacing w:before="0" w:after="283"/>
              <w:jc w:val="left"/>
              <w:rPr/>
            </w:pPr>
            <w:r>
              <w:rPr/>
              <w:t> </w:t>
            </w:r>
          </w:p>
        </w:tc>
      </w:tr>
      <w:tr>
        <w:trPr/>
        <w:tc>
          <w:tcPr>
            <w:tcW w:w="783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deposits and deferred revenue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8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3,797</w:t>
            </w:r>
          </w:p>
        </w:tc>
        <w:tc>
          <w:tcPr>
            <w:tcW w:w="82" w:type="dxa"/>
            <w:tcBorders/>
            <w:shd w:fill="CCEEFF" w:val="cle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sales commissions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8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1,055</w:t>
            </w:r>
          </w:p>
        </w:tc>
        <w:tc>
          <w:tcPr>
            <w:tcW w:w="82" w:type="dxa"/>
            <w:tcBorders/>
            <w:shd w:fill="FFFFFF" w:val="clear"/>
            <w:vAlign w:val="center"/>
          </w:tcPr>
          <w:p>
            <w:pPr>
              <w:pStyle w:val="TableContents"/>
              <w:bidi w:val="0"/>
              <w:spacing w:before="0" w:after="283"/>
              <w:jc w:val="left"/>
              <w:rPr/>
            </w:pPr>
            <w:r>
              <w:rPr/>
              <w:t> </w:t>
            </w:r>
          </w:p>
        </w:tc>
      </w:tr>
      <w:tr>
        <w:trPr/>
        <w:tc>
          <w:tcPr>
            <w:tcW w:w="783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Domestic and foreign income taxes payable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8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1,038</w:t>
            </w:r>
          </w:p>
        </w:tc>
        <w:tc>
          <w:tcPr>
            <w:tcW w:w="82" w:type="dxa"/>
            <w:tcBorders/>
            <w:shd w:fill="CCEEFF" w:val="cle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1,481</w:t>
            </w:r>
          </w:p>
        </w:tc>
        <w:tc>
          <w:tcPr>
            <w:tcW w:w="82" w:type="dxa"/>
            <w:tcBorders/>
            <w:shd w:fill="FFFFFF" w:val="clear"/>
            <w:vAlign w:val="center"/>
          </w:tcPr>
          <w:p>
            <w:pPr>
              <w:pStyle w:val="TableContents"/>
              <w:bidi w:val="0"/>
              <w:spacing w:before="0" w:after="283"/>
              <w:jc w:val="left"/>
              <w:rPr/>
            </w:pPr>
            <w:r>
              <w:rPr/>
              <w:t> </w:t>
            </w:r>
          </w:p>
        </w:tc>
      </w:tr>
      <w:tr>
        <w:trPr/>
        <w:tc>
          <w:tcPr>
            <w:tcW w:w="783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24,299</w:t>
            </w:r>
          </w:p>
        </w:tc>
        <w:tc>
          <w:tcPr>
            <w:tcW w:w="82" w:type="dxa"/>
            <w:tcBorders/>
            <w:shd w:fill="CCEEFF" w:val="cle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net of current portion</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8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3,499</w:t>
            </w:r>
          </w:p>
        </w:tc>
        <w:tc>
          <w:tcPr>
            <w:tcW w:w="82" w:type="dxa"/>
            <w:tcBorders/>
            <w:shd w:fill="FFFFFF" w:val="clear"/>
            <w:vAlign w:val="center"/>
          </w:tcPr>
          <w:p>
            <w:pPr>
              <w:pStyle w:val="TableContents"/>
              <w:bidi w:val="0"/>
              <w:spacing w:before="0" w:after="283"/>
              <w:jc w:val="left"/>
              <w:rPr/>
            </w:pPr>
            <w:r>
              <w:rPr/>
              <w:t> </w:t>
            </w:r>
          </w:p>
        </w:tc>
      </w:tr>
      <w:tr>
        <w:trPr/>
        <w:tc>
          <w:tcPr>
            <w:tcW w:w="783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 Note and other long-term debt, net of current portion</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8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7,942</w:t>
            </w:r>
          </w:p>
        </w:tc>
        <w:tc>
          <w:tcPr>
            <w:tcW w:w="82" w:type="dxa"/>
            <w:tcBorders/>
            <w:shd w:fill="CCEEFF" w:val="cle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Contingent consideration</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8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w:t>
            </w:r>
          </w:p>
        </w:tc>
        <w:tc>
          <w:tcPr>
            <w:tcW w:w="82" w:type="dxa"/>
            <w:tcBorders/>
            <w:shd w:fill="FFFFFF" w:val="clear"/>
            <w:vAlign w:val="center"/>
          </w:tcPr>
          <w:p>
            <w:pPr>
              <w:pStyle w:val="TableContents"/>
              <w:bidi w:val="0"/>
              <w:spacing w:before="0" w:after="283"/>
              <w:jc w:val="left"/>
              <w:rPr/>
            </w:pPr>
            <w:r>
              <w:rPr/>
              <w:t> </w:t>
            </w:r>
          </w:p>
        </w:tc>
      </w:tr>
      <w:tr>
        <w:trPr/>
        <w:tc>
          <w:tcPr>
            <w:tcW w:w="783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 net of current portion</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8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1,331</w:t>
            </w:r>
          </w:p>
        </w:tc>
        <w:tc>
          <w:tcPr>
            <w:tcW w:w="82" w:type="dxa"/>
            <w:tcBorders/>
            <w:shd w:fill="CCEEFF" w:val="cle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8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r>
      <w:tr>
        <w:trPr/>
        <w:tc>
          <w:tcPr>
            <w:tcW w:w="783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liabilities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w:t>
            </w:r>
          </w:p>
        </w:tc>
        <w:tc>
          <w:tcPr>
            <w:tcW w:w="82" w:type="dxa"/>
            <w:tcBorders/>
            <w:shd w:fill="CCEEFF" w:val="cle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38,548</w:t>
            </w:r>
          </w:p>
        </w:tc>
        <w:tc>
          <w:tcPr>
            <w:tcW w:w="82" w:type="dxa"/>
            <w:tcBorders/>
            <w:shd w:fill="FFFFFF" w:val="clear"/>
            <w:vAlign w:val="center"/>
          </w:tcPr>
          <w:p>
            <w:pPr>
              <w:pStyle w:val="TableContents"/>
              <w:bidi w:val="0"/>
              <w:spacing w:before="0" w:after="283"/>
              <w:jc w:val="left"/>
              <w:rPr/>
            </w:pPr>
            <w:r>
              <w:rPr/>
              <w:t> </w:t>
            </w:r>
          </w:p>
        </w:tc>
      </w:tr>
      <w:tr>
        <w:trPr/>
        <w:tc>
          <w:tcPr>
            <w:tcW w:w="783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3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$0.01 par value; 5,000,000 shares authorized; no shares issued or outstanding</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8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$0.01 par value; 20,000,000 shares authorized; 12,566,024 and 12,241,925 shares issued, respectively</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8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w:t>
            </w:r>
          </w:p>
        </w:tc>
        <w:tc>
          <w:tcPr>
            <w:tcW w:w="82" w:type="dxa"/>
            <w:tcBorders/>
            <w:shd w:fill="FFFFFF" w:val="clear"/>
            <w:vAlign w:val="center"/>
          </w:tcPr>
          <w:p>
            <w:pPr>
              <w:pStyle w:val="TableContents"/>
              <w:bidi w:val="0"/>
              <w:spacing w:before="0" w:after="283"/>
              <w:jc w:val="left"/>
              <w:rPr/>
            </w:pPr>
            <w:r>
              <w:rPr/>
              <w:t> </w:t>
            </w:r>
          </w:p>
        </w:tc>
      </w:tr>
      <w:tr>
        <w:trPr/>
        <w:tc>
          <w:tcPr>
            <w:tcW w:w="783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8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54,450</w:t>
            </w:r>
          </w:p>
        </w:tc>
        <w:tc>
          <w:tcPr>
            <w:tcW w:w="82" w:type="dxa"/>
            <w:tcBorders/>
            <w:shd w:fill="CCEEFF" w:val="cle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8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42,196</w:t>
            </w:r>
          </w:p>
        </w:tc>
        <w:tc>
          <w:tcPr>
            <w:tcW w:w="82" w:type="dxa"/>
            <w:tcBorders/>
            <w:shd w:fill="FFFFFF" w:val="clear"/>
            <w:vAlign w:val="center"/>
          </w:tcPr>
          <w:p>
            <w:pPr>
              <w:pStyle w:val="TableContents"/>
              <w:bidi w:val="0"/>
              <w:spacing w:before="0" w:after="283"/>
              <w:jc w:val="left"/>
              <w:rPr/>
            </w:pPr>
            <w:r>
              <w:rPr/>
              <w:t> </w:t>
            </w:r>
          </w:p>
        </w:tc>
      </w:tr>
      <w:tr>
        <w:trPr/>
        <w:tc>
          <w:tcPr>
            <w:tcW w:w="783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earnings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8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p>
        </w:tc>
        <w:tc>
          <w:tcPr>
            <w:tcW w:w="82" w:type="dxa"/>
            <w:tcBorders/>
            <w:shd w:fill="CCEEFF" w:val="cle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stock, at cost; 78,515 and 75,758 shares, respectively</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(901</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3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99,317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96,281</w:t>
            </w:r>
          </w:p>
        </w:tc>
        <w:tc>
          <w:tcPr>
            <w:tcW w:w="82" w:type="dxa"/>
            <w:tcBorders/>
            <w:shd w:fill="CCEEFF" w:val="cle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159,527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134,829</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Consolidated Financial Statements.</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inTEST CORPORATION</w:t>
      </w:r>
      <w:r>
        <w:rPr>
          <w:rFonts w:ascii="Times New Roman" w:hAnsi="Times New Roman"/>
          <w:caps w:val="false"/>
          <w:smallCaps w:val="false"/>
          <w:sz w:val="20"/>
        </w:rPr>
        <w:br/>
      </w:r>
      <w:r>
        <w:rPr>
          <w:rFonts w:ascii="Times New Roman" w:hAnsi="Times New Roman"/>
          <w:b/>
          <w:caps w:val="false"/>
          <w:smallCaps w:val="false"/>
          <w:sz w:val="20"/>
        </w:rPr>
        <w:t>CONSOLIDATED STATEMENTS OF OPERATIONS</w:t>
      </w:r>
      <w:r>
        <w:rPr>
          <w:rFonts w:ascii="Times New Roman" w:hAnsi="Times New Roman"/>
          <w:caps w:val="false"/>
          <w:smallCaps w:val="false"/>
          <w:sz w:val="20"/>
        </w:rPr>
        <w:br/>
        <w:t>(In thousands, except share and per share data)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jc w:val="left"/>
        <w:rPr/>
      </w:pPr>
      <w:r>
        <w:rPr/>
        <w:t xml:space="preserve">  </w:t>
      </w:r>
    </w:p>
    <w:tbl>
      <w:tblPr>
        <w:tblW w:w="9560" w:type="dxa"/>
        <w:jc w:val="left"/>
        <w:tblInd w:w="0" w:type="dxa"/>
        <w:tblLayout w:type="fixed"/>
        <w:tblCellMar>
          <w:top w:w="0" w:type="dxa"/>
          <w:left w:w="0" w:type="dxa"/>
          <w:bottom w:w="0" w:type="dxa"/>
          <w:right w:w="0" w:type="dxa"/>
        </w:tblCellMar>
      </w:tblPr>
      <w:tblGrid>
        <w:gridCol w:w="7130"/>
        <w:gridCol w:w="60"/>
        <w:gridCol w:w="125"/>
        <w:gridCol w:w="950"/>
        <w:gridCol w:w="80"/>
        <w:gridCol w:w="60"/>
        <w:gridCol w:w="125"/>
        <w:gridCol w:w="950"/>
        <w:gridCol w:w="80"/>
      </w:tblGrid>
      <w:tr>
        <w:trPr/>
        <w:tc>
          <w:tcPr>
            <w:tcW w:w="7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80" w:type="dxa"/>
            <w:tcBorders/>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31,919</w:t>
            </w:r>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16,867</w:t>
            </w:r>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15,052</w:t>
            </w:r>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4,455</w:t>
            </w:r>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Engineering and product development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1,904</w:t>
            </w:r>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5,175</w:t>
            </w:r>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11,534</w:t>
            </w:r>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3,518</w:t>
            </w:r>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before income tax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3,394</w:t>
            </w:r>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w:t>
            </w:r>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2,817</w:t>
            </w:r>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per common share – basic</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0.26</w:t>
            </w:r>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outstanding – basic</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12,026,361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10,755,729</w:t>
            </w:r>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per common share – 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0.25</w:t>
            </w:r>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and common share equivalents outstanding – diluted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12,158,297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11,088,664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inTEST CORPORATION</w:t>
      </w:r>
      <w:r>
        <w:rPr>
          <w:rFonts w:ascii="Times New Roman" w:hAnsi="Times New Roman"/>
          <w:caps w:val="false"/>
          <w:smallCaps w:val="false"/>
          <w:sz w:val="20"/>
        </w:rPr>
        <w:br/>
      </w:r>
      <w:r>
        <w:rPr>
          <w:rFonts w:ascii="Times New Roman" w:hAnsi="Times New Roman"/>
          <w:b/>
          <w:caps w:val="false"/>
          <w:smallCaps w:val="false"/>
          <w:sz w:val="20"/>
        </w:rPr>
        <w:t xml:space="preserve">CONSOLIDATED STATEMENTS OF COMPREHENSIVE EARNINGS </w:t>
      </w:r>
      <w:r>
        <w:rPr>
          <w:rFonts w:ascii="Times New Roman" w:hAnsi="Times New Roman"/>
          <w:caps w:val="false"/>
          <w:smallCaps w:val="false"/>
          <w:sz w:val="20"/>
        </w:rPr>
        <w:br/>
        <w:t>(In thousands)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jc w:val="left"/>
        <w:rPr/>
      </w:pPr>
      <w:r>
        <w:rPr/>
        <w:t xml:space="preserve">  </w:t>
      </w:r>
    </w:p>
    <w:tbl>
      <w:tblPr>
        <w:tblW w:w="5771" w:type="dxa"/>
        <w:jc w:val="left"/>
        <w:tblInd w:w="0" w:type="dxa"/>
        <w:tblLayout w:type="fixed"/>
        <w:tblCellMar>
          <w:top w:w="0" w:type="dxa"/>
          <w:left w:w="0" w:type="dxa"/>
          <w:bottom w:w="0" w:type="dxa"/>
          <w:right w:w="0" w:type="dxa"/>
        </w:tblCellMar>
      </w:tblPr>
      <w:tblGrid>
        <w:gridCol w:w="3845"/>
        <w:gridCol w:w="60"/>
        <w:gridCol w:w="184"/>
        <w:gridCol w:w="495"/>
        <w:gridCol w:w="118"/>
        <w:gridCol w:w="88"/>
        <w:gridCol w:w="184"/>
        <w:gridCol w:w="717"/>
        <w:gridCol w:w="80"/>
      </w:tblGrid>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80"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1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w:t>
            </w:r>
          </w:p>
        </w:tc>
        <w:tc>
          <w:tcPr>
            <w:tcW w:w="11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2,817</w:t>
            </w:r>
          </w:p>
        </w:tc>
        <w:tc>
          <w:tcPr>
            <w:tcW w:w="8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loss on interest rate swap agreement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1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w:t>
            </w:r>
          </w:p>
        </w:tc>
        <w:tc>
          <w:tcPr>
            <w:tcW w:w="8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inTEST CORPORATION</w:t>
      </w:r>
      <w:r>
        <w:rPr>
          <w:rFonts w:ascii="Times New Roman" w:hAnsi="Times New Roman"/>
          <w:caps w:val="false"/>
          <w:smallCaps w:val="false"/>
          <w:sz w:val="20"/>
        </w:rPr>
        <w:br/>
      </w:r>
      <w:r>
        <w:rPr>
          <w:rFonts w:ascii="Times New Roman" w:hAnsi="Times New Roman"/>
          <w:b/>
          <w:caps w:val="false"/>
          <w:smallCaps w:val="false"/>
          <w:sz w:val="20"/>
        </w:rPr>
        <w:t>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r>
        <w:rPr>
          <w:rFonts w:ascii="Times New Roman" w:hAnsi="Times New Roman"/>
          <w:caps w:val="false"/>
          <w:smallCaps w:val="false"/>
          <w:sz w:val="20"/>
        </w:rPr>
        <w:br/>
        <w:t>(In thousands, except share data)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2701"/>
        <w:gridCol w:w="60"/>
        <w:gridCol w:w="60"/>
        <w:gridCol w:w="950"/>
        <w:gridCol w:w="80"/>
        <w:gridCol w:w="60"/>
        <w:gridCol w:w="184"/>
        <w:gridCol w:w="496"/>
        <w:gridCol w:w="60"/>
        <w:gridCol w:w="60"/>
        <w:gridCol w:w="160"/>
        <w:gridCol w:w="760"/>
        <w:gridCol w:w="80"/>
        <w:gridCol w:w="60"/>
        <w:gridCol w:w="136"/>
        <w:gridCol w:w="649"/>
        <w:gridCol w:w="60"/>
        <w:gridCol w:w="60"/>
        <w:gridCol w:w="311"/>
        <w:gridCol w:w="984"/>
        <w:gridCol w:w="80"/>
        <w:gridCol w:w="60"/>
        <w:gridCol w:w="181"/>
        <w:gridCol w:w="574"/>
        <w:gridCol w:w="80"/>
        <w:gridCol w:w="60"/>
        <w:gridCol w:w="195"/>
        <w:gridCol w:w="923"/>
        <w:gridCol w:w="81"/>
      </w:tblGrid>
      <w:tr>
        <w:trPr/>
        <w:tc>
          <w:tcPr>
            <w:tcW w:w="27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363"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 2024</w:t>
            </w:r>
          </w:p>
        </w:tc>
        <w:tc>
          <w:tcPr>
            <w:tcW w:w="81" w:type="dxa"/>
            <w:tcBorders/>
            <w:vAlign w:val="center"/>
          </w:tcPr>
          <w:p>
            <w:pPr>
              <w:pStyle w:val="TableContents"/>
              <w:bidi w:val="0"/>
              <w:spacing w:before="0" w:after="283"/>
              <w:jc w:val="left"/>
              <w:rPr/>
            </w:pPr>
            <w:r>
              <w:rPr/>
              <w:t> </w:t>
            </w:r>
          </w:p>
        </w:tc>
      </w:tr>
      <w:tr>
        <w:trPr/>
        <w:tc>
          <w:tcPr>
            <w:tcW w:w="27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57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r>
      <w:tr>
        <w:trPr/>
        <w:tc>
          <w:tcPr>
            <w:tcW w:w="27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center"/>
              <w:rPr/>
            </w:pPr>
            <w:r>
              <w:rPr>
                <w:rStyle w:val="Emphasis"/>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center"/>
              <w:rPr/>
            </w:pPr>
            <w:r>
              <w:rPr>
                <w:rStyle w:val="Emphasis"/>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574"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center"/>
              <w:rPr/>
            </w:pPr>
            <w:r>
              <w:rPr>
                <w:rStyle w:val="Emphasis"/>
              </w:rPr>
              <w:t> </w:t>
            </w:r>
          </w:p>
        </w:tc>
        <w:tc>
          <w:tcPr>
            <w:tcW w:w="81" w:type="dxa"/>
            <w:tcBorders/>
            <w:vAlign w:val="center"/>
          </w:tcPr>
          <w:p>
            <w:pPr>
              <w:pStyle w:val="TableContents"/>
              <w:bidi w:val="0"/>
              <w:spacing w:before="0" w:after="283"/>
              <w:jc w:val="left"/>
              <w:rPr/>
            </w:pPr>
            <w:r>
              <w:rPr/>
              <w:t> </w:t>
            </w:r>
          </w:p>
        </w:tc>
      </w:tr>
      <w:tr>
        <w:trPr/>
        <w:tc>
          <w:tcPr>
            <w:tcW w:w="27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center"/>
              <w:rPr/>
            </w:pPr>
            <w:r>
              <w:rPr>
                <w:rStyle w:val="Emphasis"/>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center"/>
              <w:rPr/>
            </w:pPr>
            <w:r>
              <w:rPr>
                <w:rStyle w:val="Emphasis"/>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574"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8"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1" w:type="dxa"/>
            <w:tcBorders/>
            <w:vAlign w:val="center"/>
          </w:tcPr>
          <w:p>
            <w:pPr>
              <w:pStyle w:val="TableContents"/>
              <w:bidi w:val="0"/>
              <w:spacing w:before="0" w:after="283"/>
              <w:jc w:val="left"/>
              <w:rPr/>
            </w:pPr>
            <w:r>
              <w:rPr/>
              <w:t> </w:t>
            </w:r>
          </w:p>
        </w:tc>
      </w:tr>
      <w:tr>
        <w:trPr/>
        <w:tc>
          <w:tcPr>
            <w:tcW w:w="27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0"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Retained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Treasury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8"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Stockholders'</w:t>
            </w:r>
          </w:p>
        </w:tc>
        <w:tc>
          <w:tcPr>
            <w:tcW w:w="81" w:type="dxa"/>
            <w:tcBorders/>
            <w:vAlign w:val="center"/>
          </w:tcPr>
          <w:p>
            <w:pPr>
              <w:pStyle w:val="TableContents"/>
              <w:bidi w:val="0"/>
              <w:spacing w:before="0" w:after="283"/>
              <w:jc w:val="left"/>
              <w:rPr/>
            </w:pPr>
            <w:r>
              <w:rPr/>
              <w:t> </w:t>
            </w:r>
          </w:p>
        </w:tc>
      </w:tr>
      <w:tr>
        <w:trPr/>
        <w:tc>
          <w:tcPr>
            <w:tcW w:w="27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Earnings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8"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81" w:type="dxa"/>
            <w:tcBorders/>
            <w:vAlign w:val="center"/>
          </w:tcPr>
          <w:p>
            <w:pPr>
              <w:pStyle w:val="TableContents"/>
              <w:bidi w:val="0"/>
              <w:spacing w:before="0" w:after="283"/>
              <w:jc w:val="left"/>
              <w:rPr/>
            </w:pPr>
            <w:r>
              <w:rPr/>
              <w:t> </w:t>
            </w:r>
          </w:p>
        </w:tc>
      </w:tr>
      <w:tr>
        <w:trPr/>
        <w:tc>
          <w:tcPr>
            <w:tcW w:w="27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57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January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12,241,925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96,281</w:t>
            </w:r>
          </w:p>
        </w:tc>
        <w:tc>
          <w:tcPr>
            <w:tcW w:w="81" w:type="dxa"/>
            <w:tcBorders/>
            <w:shd w:fill="CCEEFF"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w:t>
            </w:r>
          </w:p>
        </w:tc>
        <w:tc>
          <w:tcPr>
            <w:tcW w:w="81" w:type="dxa"/>
            <w:tcBorders/>
            <w:shd w:fill="CCEEFF"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01"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deferred compensation related to stock-based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w:t>
            </w:r>
          </w:p>
        </w:tc>
        <w:tc>
          <w:tcPr>
            <w:tcW w:w="81" w:type="dxa"/>
            <w:tcBorders/>
            <w:shd w:fill="CCEEFF"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in connection with acquisition of Alfamation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187,432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2,086</w:t>
            </w:r>
          </w:p>
        </w:tc>
        <w:tc>
          <w:tcPr>
            <w:tcW w:w="81" w:type="dxa"/>
            <w:tcBorders/>
            <w:shd w:fill="FFFFFF" w:val="clear"/>
            <w:vAlign w:val="center"/>
          </w:tcPr>
          <w:p>
            <w:pPr>
              <w:pStyle w:val="TableContents"/>
              <w:bidi w:val="0"/>
              <w:spacing w:before="0" w:after="283"/>
              <w:jc w:val="left"/>
              <w:rPr/>
            </w:pPr>
            <w:r>
              <w:rPr/>
              <w:t> </w:t>
            </w:r>
          </w:p>
        </w:tc>
      </w:tr>
      <w:tr>
        <w:trPr/>
        <w:tc>
          <w:tcPr>
            <w:tcW w:w="2701"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unvested shares of 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138,838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Forfeiture of unvested shares of restricted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 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1" w:type="dxa"/>
            <w:tcBorders/>
            <w:shd w:fill="CCEEFF"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issued under Employee Stock Purchase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81" w:type="dxa"/>
            <w:tcBorders/>
            <w:shd w:fill="FFFFFF" w:val="clear"/>
            <w:vAlign w:val="center"/>
          </w:tcPr>
          <w:p>
            <w:pPr>
              <w:pStyle w:val="TableContents"/>
              <w:bidi w:val="0"/>
              <w:spacing w:before="0" w:after="283"/>
              <w:jc w:val="left"/>
              <w:rPr/>
            </w:pPr>
            <w:r>
              <w:rPr/>
              <w:t> </w:t>
            </w:r>
          </w:p>
        </w:tc>
      </w:tr>
      <w:tr>
        <w:trPr/>
        <w:tc>
          <w:tcPr>
            <w:tcW w:w="2701"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surrendered to satisfy tax liability at vesting of stock-based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49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7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March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12,566,024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99,317</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21"/>
        <w:gridCol w:w="60"/>
        <w:gridCol w:w="60"/>
        <w:gridCol w:w="950"/>
        <w:gridCol w:w="80"/>
        <w:gridCol w:w="60"/>
        <w:gridCol w:w="184"/>
        <w:gridCol w:w="496"/>
        <w:gridCol w:w="60"/>
        <w:gridCol w:w="60"/>
        <w:gridCol w:w="160"/>
        <w:gridCol w:w="760"/>
        <w:gridCol w:w="80"/>
        <w:gridCol w:w="60"/>
        <w:gridCol w:w="136"/>
        <w:gridCol w:w="649"/>
        <w:gridCol w:w="60"/>
        <w:gridCol w:w="60"/>
        <w:gridCol w:w="350"/>
        <w:gridCol w:w="945"/>
        <w:gridCol w:w="60"/>
        <w:gridCol w:w="60"/>
        <w:gridCol w:w="181"/>
        <w:gridCol w:w="574"/>
        <w:gridCol w:w="80"/>
        <w:gridCol w:w="60"/>
        <w:gridCol w:w="195"/>
        <w:gridCol w:w="923"/>
        <w:gridCol w:w="81"/>
      </w:tblGrid>
      <w:tr>
        <w:trPr/>
        <w:tc>
          <w:tcPr>
            <w:tcW w:w="27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343"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 2023</w:t>
            </w:r>
          </w:p>
        </w:tc>
        <w:tc>
          <w:tcPr>
            <w:tcW w:w="81" w:type="dxa"/>
            <w:tcBorders/>
            <w:vAlign w:val="center"/>
          </w:tcPr>
          <w:p>
            <w:pPr>
              <w:pStyle w:val="TableContents"/>
              <w:bidi w:val="0"/>
              <w:spacing w:before="0" w:after="283"/>
              <w:jc w:val="left"/>
              <w:rPr/>
            </w:pPr>
            <w:r>
              <w:rPr/>
              <w:t> </w:t>
            </w:r>
          </w:p>
        </w:tc>
      </w:tr>
      <w:tr>
        <w:trPr/>
        <w:tc>
          <w:tcPr>
            <w:tcW w:w="27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57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r>
      <w:tr>
        <w:trPr/>
        <w:tc>
          <w:tcPr>
            <w:tcW w:w="27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center"/>
              <w:rPr/>
            </w:pPr>
            <w:r>
              <w:rPr>
                <w:rStyle w:val="Emphasis"/>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center"/>
              <w:rPr/>
            </w:pPr>
            <w:r>
              <w:rPr>
                <w:rStyle w:val="Emphasis"/>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574"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center"/>
              <w:rPr/>
            </w:pPr>
            <w:r>
              <w:rPr>
                <w:rStyle w:val="Emphasis"/>
              </w:rPr>
              <w:t> </w:t>
            </w:r>
          </w:p>
        </w:tc>
        <w:tc>
          <w:tcPr>
            <w:tcW w:w="81" w:type="dxa"/>
            <w:tcBorders/>
            <w:vAlign w:val="center"/>
          </w:tcPr>
          <w:p>
            <w:pPr>
              <w:pStyle w:val="TableContents"/>
              <w:bidi w:val="0"/>
              <w:spacing w:before="0" w:after="283"/>
              <w:jc w:val="left"/>
              <w:rPr/>
            </w:pPr>
            <w:r>
              <w:rPr/>
              <w:t> </w:t>
            </w:r>
          </w:p>
        </w:tc>
      </w:tr>
      <w:tr>
        <w:trPr/>
        <w:tc>
          <w:tcPr>
            <w:tcW w:w="27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center"/>
              <w:rPr/>
            </w:pPr>
            <w:r>
              <w:rPr>
                <w:rStyle w:val="Emphasis"/>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center"/>
              <w:rPr/>
            </w:pPr>
            <w:r>
              <w:rPr>
                <w:rStyle w:val="Emphasis"/>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574"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8"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1" w:type="dxa"/>
            <w:tcBorders/>
            <w:vAlign w:val="center"/>
          </w:tcPr>
          <w:p>
            <w:pPr>
              <w:pStyle w:val="TableContents"/>
              <w:bidi w:val="0"/>
              <w:spacing w:before="0" w:after="283"/>
              <w:jc w:val="left"/>
              <w:rPr/>
            </w:pPr>
            <w:r>
              <w:rPr/>
              <w:t> </w:t>
            </w:r>
          </w:p>
        </w:tc>
      </w:tr>
      <w:tr>
        <w:trPr/>
        <w:tc>
          <w:tcPr>
            <w:tcW w:w="27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0"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Retained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Comprehensive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Treasury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8"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Stockholders'</w:t>
            </w:r>
          </w:p>
        </w:tc>
        <w:tc>
          <w:tcPr>
            <w:tcW w:w="81" w:type="dxa"/>
            <w:tcBorders/>
            <w:vAlign w:val="center"/>
          </w:tcPr>
          <w:p>
            <w:pPr>
              <w:pStyle w:val="TableContents"/>
              <w:bidi w:val="0"/>
              <w:spacing w:before="0" w:after="283"/>
              <w:jc w:val="left"/>
              <w:rPr/>
            </w:pPr>
            <w:r>
              <w:rPr/>
              <w:t> </w:t>
            </w:r>
          </w:p>
        </w:tc>
      </w:tr>
      <w:tr>
        <w:trPr/>
        <w:tc>
          <w:tcPr>
            <w:tcW w:w="27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Earnings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Earnings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8"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81" w:type="dxa"/>
            <w:tcBorders/>
            <w:vAlign w:val="center"/>
          </w:tcPr>
          <w:p>
            <w:pPr>
              <w:pStyle w:val="TableContents"/>
              <w:bidi w:val="0"/>
              <w:spacing w:before="0" w:after="283"/>
              <w:jc w:val="left"/>
              <w:rPr/>
            </w:pPr>
            <w:r>
              <w:rPr/>
              <w:t> </w:t>
            </w:r>
          </w:p>
        </w:tc>
      </w:tr>
      <w:tr>
        <w:trPr/>
        <w:tc>
          <w:tcPr>
            <w:tcW w:w="27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57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r>
      <w:tr>
        <w:trPr/>
        <w:tc>
          <w:tcPr>
            <w:tcW w:w="272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11,063,271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64,956</w:t>
            </w:r>
          </w:p>
        </w:tc>
        <w:tc>
          <w:tcPr>
            <w:tcW w:w="81" w:type="dxa"/>
            <w:tcBorders/>
            <w:shd w:fill="CCEEFF" w:val="clear"/>
            <w:vAlign w:val="center"/>
          </w:tcPr>
          <w:p>
            <w:pPr>
              <w:pStyle w:val="TableContents"/>
              <w:bidi w:val="0"/>
              <w:spacing w:before="0" w:after="283"/>
              <w:jc w:val="left"/>
              <w:rPr/>
            </w:pPr>
            <w:r>
              <w:rPr/>
              <w:t> </w:t>
            </w:r>
          </w:p>
        </w:tc>
      </w:tr>
      <w:tr>
        <w:trPr/>
        <w:tc>
          <w:tcPr>
            <w:tcW w:w="27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272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2,817</w:t>
            </w:r>
          </w:p>
        </w:tc>
        <w:tc>
          <w:tcPr>
            <w:tcW w:w="81" w:type="dxa"/>
            <w:tcBorders/>
            <w:shd w:fill="CCEEFF" w:val="clear"/>
            <w:vAlign w:val="center"/>
          </w:tcPr>
          <w:p>
            <w:pPr>
              <w:pStyle w:val="TableContents"/>
              <w:bidi w:val="0"/>
              <w:spacing w:before="0" w:after="283"/>
              <w:jc w:val="left"/>
              <w:rPr/>
            </w:pPr>
            <w:r>
              <w:rPr/>
              <w:t> </w:t>
            </w:r>
          </w:p>
        </w:tc>
      </w:tr>
      <w:tr>
        <w:trPr/>
        <w:tc>
          <w:tcPr>
            <w:tcW w:w="272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earnings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81" w:type="dxa"/>
            <w:tcBorders/>
            <w:shd w:fill="FFFFFF" w:val="clear"/>
            <w:vAlign w:val="center"/>
          </w:tcPr>
          <w:p>
            <w:pPr>
              <w:pStyle w:val="TableContents"/>
              <w:bidi w:val="0"/>
              <w:spacing w:before="0" w:after="283"/>
              <w:jc w:val="left"/>
              <w:rPr/>
            </w:pPr>
            <w:r>
              <w:rPr/>
              <w:t> </w:t>
            </w:r>
          </w:p>
        </w:tc>
      </w:tr>
      <w:tr>
        <w:trPr/>
        <w:tc>
          <w:tcPr>
            <w:tcW w:w="2721"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deferred compensation related to stock-based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w:t>
            </w:r>
          </w:p>
        </w:tc>
        <w:tc>
          <w:tcPr>
            <w:tcW w:w="81" w:type="dxa"/>
            <w:tcBorders/>
            <w:shd w:fill="CCEEFF" w:val="clear"/>
            <w:vAlign w:val="center"/>
          </w:tcPr>
          <w:p>
            <w:pPr>
              <w:pStyle w:val="TableContents"/>
              <w:bidi w:val="0"/>
              <w:spacing w:before="0" w:after="283"/>
              <w:jc w:val="left"/>
              <w:rPr/>
            </w:pPr>
            <w:r>
              <w:rPr/>
              <w:t> </w:t>
            </w:r>
          </w:p>
        </w:tc>
      </w:tr>
      <w:tr>
        <w:trPr/>
        <w:tc>
          <w:tcPr>
            <w:tcW w:w="2721"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unvested shares of restricted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r>
      <w:tr>
        <w:trPr/>
        <w:tc>
          <w:tcPr>
            <w:tcW w:w="2721"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Forfeiture of unvested shares of 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r>
      <w:tr>
        <w:trPr/>
        <w:tc>
          <w:tcPr>
            <w:tcW w:w="272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 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81" w:type="dxa"/>
            <w:tcBorders/>
            <w:shd w:fill="FFFFFF" w:val="clear"/>
            <w:vAlign w:val="center"/>
          </w:tcPr>
          <w:p>
            <w:pPr>
              <w:pStyle w:val="TableContents"/>
              <w:bidi w:val="0"/>
              <w:spacing w:before="0" w:after="283"/>
              <w:jc w:val="left"/>
              <w:rPr/>
            </w:pPr>
            <w:r>
              <w:rPr/>
              <w:t> </w:t>
            </w:r>
          </w:p>
        </w:tc>
      </w:tr>
      <w:tr>
        <w:trPr/>
        <w:tc>
          <w:tcPr>
            <w:tcW w:w="2721"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issued under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5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81" w:type="dxa"/>
            <w:tcBorders/>
            <w:shd w:fill="CCEEFF" w:val="clear"/>
            <w:vAlign w:val="center"/>
          </w:tcPr>
          <w:p>
            <w:pPr>
              <w:pStyle w:val="TableContents"/>
              <w:bidi w:val="0"/>
              <w:spacing w:before="0" w:after="283"/>
              <w:jc w:val="left"/>
              <w:rPr/>
            </w:pPr>
            <w:r>
              <w:rPr/>
              <w:t> </w:t>
            </w:r>
          </w:p>
        </w:tc>
      </w:tr>
      <w:tr>
        <w:trPr/>
        <w:tc>
          <w:tcPr>
            <w:tcW w:w="2721"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surrendered to satisfy tax liability at vesting of stock-based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5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49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4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7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2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272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March 31, 2023</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11,168,080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68,498</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inTEST CORPORATION</w:t>
      </w:r>
      <w:r>
        <w:rPr>
          <w:rFonts w:ascii="Times New Roman" w:hAnsi="Times New Roman"/>
          <w:caps w:val="false"/>
          <w:smallCaps w:val="false"/>
          <w:sz w:val="20"/>
        </w:rPr>
        <w:br/>
      </w:r>
      <w:r>
        <w:rPr>
          <w:rFonts w:ascii="Times New Roman" w:hAnsi="Times New Roman"/>
          <w:b/>
          <w:caps w:val="false"/>
          <w:smallCaps w:val="false"/>
          <w:sz w:val="20"/>
        </w:rPr>
        <w:t>CONSOLIDATED STATEMENTS OF CASH FLOWS</w:t>
      </w:r>
      <w:r>
        <w:rPr>
          <w:rFonts w:ascii="Times New Roman" w:hAnsi="Times New Roman"/>
          <w:caps w:val="false"/>
          <w:smallCaps w:val="false"/>
          <w:sz w:val="20"/>
        </w:rPr>
        <w:br/>
        <w:t>(In thousands)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jc w:val="left"/>
        <w:rPr/>
      </w:pPr>
      <w:r>
        <w:rPr/>
        <w:t xml:space="preserve">  </w:t>
      </w:r>
    </w:p>
    <w:tbl>
      <w:tblPr>
        <w:tblW w:w="8681" w:type="dxa"/>
        <w:jc w:val="left"/>
        <w:tblInd w:w="0" w:type="dxa"/>
        <w:tblLayout w:type="fixed"/>
        <w:tblCellMar>
          <w:top w:w="0" w:type="dxa"/>
          <w:left w:w="0" w:type="dxa"/>
          <w:bottom w:w="0" w:type="dxa"/>
          <w:right w:w="0" w:type="dxa"/>
        </w:tblCellMar>
      </w:tblPr>
      <w:tblGrid>
        <w:gridCol w:w="6755"/>
        <w:gridCol w:w="60"/>
        <w:gridCol w:w="137"/>
        <w:gridCol w:w="713"/>
        <w:gridCol w:w="87"/>
        <w:gridCol w:w="65"/>
        <w:gridCol w:w="137"/>
        <w:gridCol w:w="647"/>
        <w:gridCol w:w="80"/>
      </w:tblGrid>
      <w:tr>
        <w:trPr/>
        <w:tc>
          <w:tcPr>
            <w:tcW w:w="6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80" w:type="dxa"/>
            <w:tcBorders/>
            <w:vAlign w:val="center"/>
          </w:tcPr>
          <w:p>
            <w:pPr>
              <w:pStyle w:val="TableContents"/>
              <w:bidi w:val="0"/>
              <w:spacing w:before="0" w:after="283"/>
              <w:jc w:val="left"/>
              <w:rPr/>
            </w:pPr>
            <w:r>
              <w:rPr/>
              <w:t> </w:t>
            </w:r>
          </w:p>
        </w:tc>
      </w:tr>
      <w:tr>
        <w:trPr/>
        <w:tc>
          <w:tcPr>
            <w:tcW w:w="6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7"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0" w:right="0" w:hanging="0"/>
              <w:jc w:val="left"/>
              <w:rPr/>
            </w:pPr>
            <w:r>
              <w:rPr/>
              <w:t> </w:t>
            </w:r>
          </w:p>
        </w:tc>
        <w:tc>
          <w:tcPr>
            <w:tcW w:w="7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r>
      <w:tr>
        <w:trPr/>
        <w:tc>
          <w:tcPr>
            <w:tcW w:w="6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7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2,817</w:t>
            </w:r>
          </w:p>
        </w:tc>
        <w:tc>
          <w:tcPr>
            <w:tcW w:w="80" w:type="dxa"/>
            <w:tcBorders/>
            <w:shd w:fill="FFFFFF" w:val="clear"/>
            <w:vAlign w:val="center"/>
          </w:tcPr>
          <w:p>
            <w:pPr>
              <w:pStyle w:val="TableContents"/>
              <w:bidi w:val="0"/>
              <w:spacing w:before="0" w:after="283"/>
              <w:jc w:val="left"/>
              <w:rPr/>
            </w:pPr>
            <w:r>
              <w:rPr/>
              <w:t> </w:t>
            </w:r>
          </w:p>
        </w:tc>
      </w:tr>
      <w:tr>
        <w:trPr/>
        <w:tc>
          <w:tcPr>
            <w:tcW w:w="67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earnings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75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1,282</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1,176</w:t>
            </w:r>
          </w:p>
        </w:tc>
        <w:tc>
          <w:tcPr>
            <w:tcW w:w="80" w:type="dxa"/>
            <w:tcBorders/>
            <w:shd w:fill="FFFFFF" w:val="clear"/>
            <w:vAlign w:val="center"/>
          </w:tcPr>
          <w:p>
            <w:pPr>
              <w:pStyle w:val="TableContents"/>
              <w:bidi w:val="0"/>
              <w:spacing w:before="0" w:after="283"/>
              <w:jc w:val="left"/>
              <w:rPr/>
            </w:pPr>
            <w:r>
              <w:rPr/>
              <w:t> </w:t>
            </w:r>
          </w:p>
        </w:tc>
      </w:tr>
      <w:tr>
        <w:trPr/>
        <w:tc>
          <w:tcPr>
            <w:tcW w:w="675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excess and obsolete inventory</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w:t>
            </w:r>
          </w:p>
        </w:tc>
        <w:tc>
          <w:tcPr>
            <w:tcW w:w="80" w:type="dxa"/>
            <w:tcBorders/>
            <w:shd w:fill="CCEEFF" w:val="clear"/>
            <w:vAlign w:val="center"/>
          </w:tcPr>
          <w:p>
            <w:pPr>
              <w:pStyle w:val="TableContents"/>
              <w:bidi w:val="0"/>
              <w:spacing w:before="0" w:after="283"/>
              <w:jc w:val="left"/>
              <w:rPr/>
            </w:pPr>
            <w:r>
              <w:rPr/>
              <w:t> </w:t>
            </w:r>
          </w:p>
        </w:tc>
      </w:tr>
      <w:tr>
        <w:trPr/>
        <w:tc>
          <w:tcPr>
            <w:tcW w:w="675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gain</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5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deferred compensation related to stock-based awards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w:t>
            </w:r>
          </w:p>
        </w:tc>
        <w:tc>
          <w:tcPr>
            <w:tcW w:w="80" w:type="dxa"/>
            <w:tcBorders/>
            <w:shd w:fill="CCEEFF" w:val="clear"/>
            <w:vAlign w:val="center"/>
          </w:tcPr>
          <w:p>
            <w:pPr>
              <w:pStyle w:val="TableContents"/>
              <w:bidi w:val="0"/>
              <w:spacing w:before="0" w:after="283"/>
              <w:jc w:val="left"/>
              <w:rPr/>
            </w:pPr>
            <w:r>
              <w:rPr/>
              <w:t> </w:t>
            </w:r>
          </w:p>
        </w:tc>
      </w:tr>
      <w:tr>
        <w:trPr/>
        <w:tc>
          <w:tcPr>
            <w:tcW w:w="675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Discount on shares sold under Employee Stock Purchase Plan</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FFFFFF" w:val="clear"/>
            <w:vAlign w:val="center"/>
          </w:tcPr>
          <w:p>
            <w:pPr>
              <w:pStyle w:val="TableContents"/>
              <w:bidi w:val="0"/>
              <w:spacing w:before="0" w:after="283"/>
              <w:jc w:val="left"/>
              <w:rPr/>
            </w:pPr>
            <w:r>
              <w:rPr/>
              <w:t> </w:t>
            </w:r>
          </w:p>
        </w:tc>
      </w:tr>
      <w:tr>
        <w:trPr/>
        <w:tc>
          <w:tcPr>
            <w:tcW w:w="675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 of demonstration equipment, net of gain</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CCEEFF" w:val="clear"/>
            <w:vAlign w:val="center"/>
          </w:tcPr>
          <w:p>
            <w:pPr>
              <w:pStyle w:val="TableContents"/>
              <w:bidi w:val="0"/>
              <w:spacing w:before="0" w:after="283"/>
              <w:jc w:val="left"/>
              <w:rPr/>
            </w:pPr>
            <w:r>
              <w:rPr/>
              <w:t> </w:t>
            </w:r>
          </w:p>
        </w:tc>
      </w:tr>
      <w:tr>
        <w:trPr/>
        <w:tc>
          <w:tcPr>
            <w:tcW w:w="675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 expense (benefit)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5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75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accounts receivable</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(982</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w:t>
            </w:r>
          </w:p>
        </w:tc>
        <w:tc>
          <w:tcPr>
            <w:tcW w:w="80" w:type="dxa"/>
            <w:tcBorders/>
            <w:shd w:fill="FFFFFF" w:val="clear"/>
            <w:vAlign w:val="center"/>
          </w:tcPr>
          <w:p>
            <w:pPr>
              <w:pStyle w:val="TableContents"/>
              <w:bidi w:val="0"/>
              <w:spacing w:before="0" w:after="283"/>
              <w:jc w:val="left"/>
              <w:rPr/>
            </w:pPr>
            <w:r>
              <w:rPr/>
              <w:t> </w:t>
            </w:r>
          </w:p>
        </w:tc>
      </w:tr>
      <w:tr>
        <w:trPr/>
        <w:tc>
          <w:tcPr>
            <w:tcW w:w="675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5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5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pPr>
            <w:r>
              <w:rPr/>
              <w:t> </w:t>
            </w:r>
          </w:p>
        </w:tc>
      </w:tr>
      <w:tr>
        <w:trPr/>
        <w:tc>
          <w:tcPr>
            <w:tcW w:w="675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5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1,311</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w:t>
            </w:r>
          </w:p>
        </w:tc>
        <w:tc>
          <w:tcPr>
            <w:tcW w:w="80" w:type="dxa"/>
            <w:tcBorders/>
            <w:shd w:fill="CCEEFF" w:val="clear"/>
            <w:vAlign w:val="center"/>
          </w:tcPr>
          <w:p>
            <w:pPr>
              <w:pStyle w:val="TableContents"/>
              <w:bidi w:val="0"/>
              <w:spacing w:before="0" w:after="283"/>
              <w:jc w:val="left"/>
              <w:rPr/>
            </w:pPr>
            <w:r>
              <w:rPr/>
              <w:t> </w:t>
            </w:r>
          </w:p>
        </w:tc>
      </w:tr>
      <w:tr>
        <w:trPr/>
        <w:tc>
          <w:tcPr>
            <w:tcW w:w="675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wages and benefits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939</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5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professional fees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5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deposits and deferred revenue</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(782</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921</w:t>
            </w:r>
          </w:p>
        </w:tc>
        <w:tc>
          <w:tcPr>
            <w:tcW w:w="80" w:type="dxa"/>
            <w:tcBorders/>
            <w:shd w:fill="FFFFFF" w:val="clear"/>
            <w:vAlign w:val="center"/>
          </w:tcPr>
          <w:p>
            <w:pPr>
              <w:pStyle w:val="TableContents"/>
              <w:bidi w:val="0"/>
              <w:spacing w:before="0" w:after="283"/>
              <w:jc w:val="left"/>
              <w:rPr/>
            </w:pPr>
            <w:r>
              <w:rPr/>
              <w:t> </w:t>
            </w:r>
          </w:p>
        </w:tc>
      </w:tr>
      <w:tr>
        <w:trPr/>
        <w:tc>
          <w:tcPr>
            <w:tcW w:w="675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sales commissions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5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Domestic and foreign income taxes payable</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w:t>
            </w:r>
          </w:p>
        </w:tc>
        <w:tc>
          <w:tcPr>
            <w:tcW w:w="80" w:type="dxa"/>
            <w:tcBorders/>
            <w:shd w:fill="FFFFFF" w:val="clear"/>
            <w:vAlign w:val="center"/>
          </w:tcPr>
          <w:p>
            <w:pPr>
              <w:pStyle w:val="TableContents"/>
              <w:bidi w:val="0"/>
              <w:spacing w:before="0" w:after="283"/>
              <w:jc w:val="left"/>
              <w:rPr/>
            </w:pPr>
            <w:r>
              <w:rPr/>
              <w:t> </w:t>
            </w:r>
          </w:p>
        </w:tc>
      </w:tr>
      <w:tr>
        <w:trPr/>
        <w:tc>
          <w:tcPr>
            <w:tcW w:w="675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80" w:type="dxa"/>
            <w:tcBorders/>
            <w:shd w:fill="CCEEFF" w:val="clear"/>
            <w:vAlign w:val="center"/>
          </w:tcPr>
          <w:p>
            <w:pPr>
              <w:pStyle w:val="TableContents"/>
              <w:bidi w:val="0"/>
              <w:spacing w:before="0" w:after="283"/>
              <w:jc w:val="left"/>
              <w:rPr/>
            </w:pPr>
            <w:r>
              <w:rPr/>
              <w:t> </w:t>
            </w:r>
          </w:p>
        </w:tc>
      </w:tr>
      <w:tr>
        <w:trPr/>
        <w:tc>
          <w:tcPr>
            <w:tcW w:w="675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 net of current portion</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675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liabilities</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2,075</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2,484</w:t>
            </w:r>
          </w:p>
        </w:tc>
        <w:tc>
          <w:tcPr>
            <w:tcW w:w="80" w:type="dxa"/>
            <w:tcBorders/>
            <w:shd w:fill="FFFFFF" w:val="clear"/>
            <w:vAlign w:val="center"/>
          </w:tcPr>
          <w:p>
            <w:pPr>
              <w:pStyle w:val="TableContents"/>
              <w:bidi w:val="0"/>
              <w:spacing w:before="0" w:after="283"/>
              <w:jc w:val="left"/>
              <w:rPr/>
            </w:pPr>
            <w:r>
              <w:rPr/>
              <w:t> </w:t>
            </w:r>
          </w:p>
        </w:tc>
      </w:tr>
      <w:tr>
        <w:trPr/>
        <w:tc>
          <w:tcPr>
            <w:tcW w:w="67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7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7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of business, net of cash acquired</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(18,904</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67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(19,244</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7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short-term borrowings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67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Repayments of long-term borrowings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(1,181</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shares sold under Employee Stock Purchase Plan</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80" w:type="dxa"/>
            <w:tcBorders/>
            <w:shd w:fill="FFFFFF" w:val="clear"/>
            <w:vAlign w:val="center"/>
          </w:tcPr>
          <w:p>
            <w:pPr>
              <w:pStyle w:val="TableContents"/>
              <w:bidi w:val="0"/>
              <w:spacing w:before="0" w:after="283"/>
              <w:jc w:val="left"/>
              <w:rPr/>
            </w:pPr>
            <w:r>
              <w:rPr/>
              <w:t> </w:t>
            </w:r>
          </w:p>
        </w:tc>
      </w:tr>
      <w:tr>
        <w:trPr/>
        <w:tc>
          <w:tcPr>
            <w:tcW w:w="67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stock options exercised</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80" w:type="dxa"/>
            <w:tcBorders/>
            <w:shd w:fill="CCEEFF" w:val="clear"/>
            <w:vAlign w:val="center"/>
          </w:tcPr>
          <w:p>
            <w:pPr>
              <w:pStyle w:val="TableContents"/>
              <w:bidi w:val="0"/>
              <w:spacing w:before="0" w:after="283"/>
              <w:jc w:val="left"/>
              <w:rPr/>
            </w:pPr>
            <w:r>
              <w:rPr/>
              <w:t> </w:t>
            </w:r>
          </w:p>
        </w:tc>
      </w:tr>
      <w:tr>
        <w:trPr/>
        <w:tc>
          <w:tcPr>
            <w:tcW w:w="67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Settlement of employee tax liabilities in connection with treasury stock transaction</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(874</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Effects of exchange rates on cash</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80" w:type="dxa"/>
            <w:tcBorders/>
            <w:shd w:fill="CCEEFF" w:val="clear"/>
            <w:vAlign w:val="center"/>
          </w:tcPr>
          <w:p>
            <w:pPr>
              <w:pStyle w:val="TableContents"/>
              <w:bidi w:val="0"/>
              <w:spacing w:before="0" w:after="283"/>
              <w:jc w:val="left"/>
              <w:rPr/>
            </w:pPr>
            <w:r>
              <w:rPr/>
              <w:t> </w:t>
            </w:r>
          </w:p>
        </w:tc>
      </w:tr>
      <w:tr>
        <w:trPr/>
        <w:tc>
          <w:tcPr>
            <w:tcW w:w="6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all activities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(17,929</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1,368</w:t>
            </w:r>
          </w:p>
        </w:tc>
        <w:tc>
          <w:tcPr>
            <w:tcW w:w="80" w:type="dxa"/>
            <w:tcBorders/>
            <w:shd w:fill="CCEEFF" w:val="clear"/>
            <w:vAlign w:val="center"/>
          </w:tcPr>
          <w:p>
            <w:pPr>
              <w:pStyle w:val="TableContents"/>
              <w:bidi w:val="0"/>
              <w:spacing w:before="0" w:after="283"/>
              <w:jc w:val="left"/>
              <w:rPr/>
            </w:pPr>
            <w:r>
              <w:rPr/>
              <w:t> </w:t>
            </w:r>
          </w:p>
        </w:tc>
      </w:tr>
      <w:tr>
        <w:trPr/>
        <w:tc>
          <w:tcPr>
            <w:tcW w:w="67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 at beginning of period</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45,260</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14,576</w:t>
            </w:r>
          </w:p>
        </w:tc>
        <w:tc>
          <w:tcPr>
            <w:tcW w:w="80" w:type="dxa"/>
            <w:tcBorders/>
            <w:shd w:fill="FFFFFF" w:val="clear"/>
            <w:vAlign w:val="center"/>
          </w:tcPr>
          <w:p>
            <w:pPr>
              <w:pStyle w:val="TableContents"/>
              <w:bidi w:val="0"/>
              <w:spacing w:before="0" w:after="283"/>
              <w:jc w:val="left"/>
              <w:rPr/>
            </w:pPr>
            <w:r>
              <w:rPr/>
              <w:t> </w:t>
            </w:r>
          </w:p>
        </w:tc>
      </w:tr>
      <w:tr>
        <w:trPr/>
        <w:tc>
          <w:tcPr>
            <w:tcW w:w="6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27,331</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15,944</w:t>
            </w:r>
          </w:p>
        </w:tc>
        <w:tc>
          <w:tcPr>
            <w:tcW w:w="80" w:type="dxa"/>
            <w:tcBorders/>
            <w:shd w:fill="CCEEFF" w:val="clear"/>
            <w:vAlign w:val="center"/>
          </w:tcPr>
          <w:p>
            <w:pPr>
              <w:pStyle w:val="TableContents"/>
              <w:bidi w:val="0"/>
              <w:spacing w:before="0" w:after="283"/>
              <w:jc w:val="left"/>
              <w:rPr/>
            </w:pPr>
            <w:r>
              <w:rPr/>
              <w:t> </w:t>
            </w:r>
          </w:p>
        </w:tc>
      </w:tr>
      <w:tr>
        <w:trPr/>
        <w:tc>
          <w:tcPr>
            <w:tcW w:w="6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payments for:</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7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Domestic and foreign income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80" w:type="dxa"/>
            <w:tcBorders/>
            <w:shd w:fill="FFFFFF" w:val="clear"/>
            <w:vAlign w:val="center"/>
          </w:tcPr>
          <w:p>
            <w:pPr>
              <w:pStyle w:val="TableContents"/>
              <w:bidi w:val="0"/>
              <w:spacing w:before="0" w:after="283"/>
              <w:jc w:val="left"/>
              <w:rPr/>
            </w:pPr>
            <w:r>
              <w:rPr/>
              <w:t> </w:t>
            </w:r>
          </w:p>
        </w:tc>
      </w:tr>
      <w:tr>
        <w:trPr/>
        <w:tc>
          <w:tcPr>
            <w:tcW w:w="67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7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Details of acquisition:</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7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 assets acquired, net of cash</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33,750</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r>
      <w:tr>
        <w:trPr/>
        <w:tc>
          <w:tcPr>
            <w:tcW w:w="67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 assumed</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(24,004</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67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issued</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(2,086</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r>
      <w:tr>
        <w:trPr/>
        <w:tc>
          <w:tcPr>
            <w:tcW w:w="67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holdback pending final working capital adjustment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67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 resulting from acquisition</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11,796</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r>
      <w:tr>
        <w:trPr/>
        <w:tc>
          <w:tcPr>
            <w:tcW w:w="67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paid for acquisition</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18,904</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inTEST CORPORATION</w:t>
      </w:r>
      <w:r>
        <w:rPr>
          <w:rFonts w:ascii="Times New Roman" w:hAnsi="Times New Roman"/>
          <w:caps w:val="false"/>
          <w:smallCaps w:val="false"/>
          <w:sz w:val="20"/>
        </w:rPr>
        <w:br/>
      </w:r>
      <w:r>
        <w:rPr>
          <w:rFonts w:ascii="Times New Roman" w:hAnsi="Times New Roman"/>
          <w:b/>
          <w:caps w:val="false"/>
          <w:smallCaps w:val="false"/>
          <w:sz w:val="20"/>
        </w:rPr>
        <w:t>NOTES TO CONSOLIDATED FINANCIAL STATEMENTS</w:t>
      </w:r>
      <w:r>
        <w:rPr>
          <w:rFonts w:ascii="Times New Roman" w:hAnsi="Times New Roman"/>
          <w:caps w:val="false"/>
          <w:smallCaps w:val="false"/>
          <w:sz w:val="20"/>
        </w:rPr>
        <w:b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290"/>
        <w:gridCol w:w="2465"/>
      </w:tblGrid>
      <w:tr>
        <w:trPr/>
        <w:tc>
          <w:tcPr>
            <w:tcW w:w="290" w:type="dxa"/>
            <w:tcBorders/>
            <w:vAlign w:val="center"/>
          </w:tcPr>
          <w:p>
            <w:pPr>
              <w:pStyle w:val="TableContents"/>
              <w:bidi w:val="0"/>
              <w:spacing w:before="0" w:after="0"/>
              <w:ind w:left="0" w:right="0" w:hanging="0"/>
              <w:jc w:val="left"/>
              <w:rPr/>
            </w:pPr>
            <w:r>
              <w:rPr>
                <w:rFonts w:ascii="Times New Roman;Times;serif" w:hAnsi="Times New Roman;Times;serif"/>
                <w:b/>
                <w:caps w:val="false"/>
                <w:smallCaps w:val="false"/>
                <w:sz w:val="20"/>
              </w:rPr>
              <w:t>(</w:t>
            </w:r>
            <w:r>
              <w:rPr>
                <w:rStyle w:val="Emphasis"/>
                <w:rFonts w:ascii="Times New Roman;Times;serif" w:hAnsi="Times New Roman;Times;serif"/>
                <w:b/>
                <w:caps w:val="false"/>
                <w:smallCaps w:val="false"/>
                <w:sz w:val="20"/>
              </w:rPr>
              <w:t>1</w:t>
            </w:r>
            <w:r>
              <w:rPr>
                <w:rFonts w:ascii="Times New Roman;Times;serif" w:hAnsi="Times New Roman;Times;serif"/>
                <w:b/>
                <w:caps w:val="false"/>
                <w:smallCaps w:val="false"/>
                <w:sz w:val="20"/>
              </w:rPr>
              <w:t xml:space="preserve">) </w:t>
            </w:r>
          </w:p>
        </w:tc>
        <w:tc>
          <w:tcPr>
            <w:tcW w:w="24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NATURE OF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We are a global supplier of innovative test and process technology solutions for use in manufacturing and testing across a wide range of markets including automotive, defense/aerospace, industrial, life sciences, security and semiconductor. We have three operating segments which are also our reportable segments and reporting units: Electronic Test, Environmental Technologies and Process Technologies.</w:t>
        <w:br/>
        <w:br/>
        <w:t xml:space="preserve">On </w:t>
      </w:r>
      <w:r>
        <w:rPr>
          <w:rStyle w:val="Emphasis"/>
          <w:rFonts w:ascii="Times New Roman" w:hAnsi="Times New Roman"/>
          <w:caps w:val="false"/>
          <w:smallCaps w:val="false"/>
          <w:sz w:val="20"/>
        </w:rPr>
        <w:t xml:space="preserve">March 12, 2024 </w:t>
      </w:r>
      <w:r>
        <w:rPr>
          <w:rFonts w:ascii="Times New Roman" w:hAnsi="Times New Roman"/>
          <w:caps w:val="false"/>
          <w:smallCaps w:val="false"/>
          <w:sz w:val="20"/>
        </w:rPr>
        <w:t xml:space="preserve">we completed the acquisition of Alfamation S.p.A., an Italian joint-stock company (“Alfamation”), for an aggregate base purchase price of approximately EUR 20,000 comprised of: (i) EUR 18,000, or $19,674, in cash; and (ii) 187,432 shares of our common stock, valued at $2,086 based on the closing price of our stock on the date of acquisition. The cash portion of the purchase price is subject to customary working capital adjustments. We currently expect this to result in an additional payment of EUR 542, or $593 for assets delivered at closing in excess of agreed upon thresholds. The liabilities assumed in connection with the acquisition included debt of approximately EUR 8,616, or $9,418. The acquisition is discussed further in Note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The debt assumed is discussed further in Note </w:t>
      </w:r>
      <w:r>
        <w:rPr>
          <w:rStyle w:val="Emphasis"/>
          <w:rFonts w:ascii="Times New Roman" w:hAnsi="Times New Roman"/>
          <w:caps w:val="false"/>
          <w:smallCaps w:val="false"/>
          <w:sz w:val="2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consolidated entity is comprised of inTEST Corporation and our wholly-owned subsidiaries. We manufacture our products in the U.S., Italy, Canada and the Netherlands. Marketing and support activities are conducted worldwide from our facilities in the U.S., Italy, Canada, Germany, Singapore, the Netherlands, China and the U.K. We operate our business worldwide and sell our products both domestically and internationally.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All of our operating segments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In addition, we sell our products to a variety of different types of customers with varying levels of discounts and commission expense. As a result of changes in both the mix of products sold as well as customer mix in any given period, our consolidated gross margin can vary significantly from period to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The semiconductor market (“semi” or the “semi market”) which includes both the broader semiconductor market, as well as the more specialized automated test equipment (“ATE”) and wafer production sectors within the broader semiconductor market, has historically been the largest single market in which we operate. The semi market is characterized by rapid technological change, competitive pricing pressures and cyclical as well as seasonal market patterns. The semi market is also subject to periods of significant expansion or contraction in demand. In addition to the semi market, we sell into a variety of other markets. Our intention is to continue diversifying our markets, our product offerings within the markets we serve and our customer base across all of our markets with the goal of reducing our dependence on any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market, product or customer. In particular, we are seeking to reduce the impact of volatility in the semi market on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Our Electronic Test segment sells many of its products to semiconductor manufacturers and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test and assembly houses (end user sales) and to ATE manufacturers (original equipment manufacturer (“OEM”) sales), who ultimately resell our equipment with theirs to both semiconductor manufacturers and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test and assembly houses. These sales all fall within the ATE sector of the semi market. With the acquisition of Acculogic Inc. and its affiliates (“Acculogic”) in </w:t>
      </w:r>
      <w:r>
        <w:rPr>
          <w:rStyle w:val="Emphasis"/>
          <w:rFonts w:ascii="Times New Roman" w:hAnsi="Times New Roman"/>
          <w:caps w:val="false"/>
          <w:smallCaps w:val="false"/>
          <w:sz w:val="20"/>
        </w:rPr>
        <w:t xml:space="preserve">December 2021, </w:t>
      </w:r>
      <w:r>
        <w:rPr>
          <w:rFonts w:ascii="Times New Roman" w:hAnsi="Times New Roman"/>
          <w:caps w:val="false"/>
          <w:smallCaps w:val="false"/>
          <w:sz w:val="20"/>
        </w:rPr>
        <w:t xml:space="preserve">and Alfamation in </w:t>
      </w:r>
      <w:r>
        <w:rPr>
          <w:rStyle w:val="Emphasis"/>
          <w:rFonts w:ascii="Times New Roman" w:hAnsi="Times New Roman"/>
          <w:caps w:val="false"/>
          <w:smallCaps w:val="false"/>
          <w:sz w:val="20"/>
        </w:rPr>
        <w:t xml:space="preserve">March 2024, </w:t>
      </w:r>
      <w:r>
        <w:rPr>
          <w:rFonts w:ascii="Times New Roman" w:hAnsi="Times New Roman"/>
          <w:caps w:val="false"/>
          <w:smallCaps w:val="false"/>
          <w:sz w:val="20"/>
        </w:rPr>
        <w:t>our Electronic Test segment also sells its products to customers in markets outside the semi market including the automotive, defense/aerospace, industrial and life sciences and specialty consumer electronics markets. Our Environmental Technologies segment sells its products to end users and OEMs within the ATE sector of the semi market. It also sells its products to customers in a variety of other markets other than the semi market, including the automotive, defense/aerospace, industrial and life sciences markets. Our Process Technologies segment sells its products to customers in the wafer production sector within the semi market. It also sells its products to customers in a variety of other markets other than the semi market, including the automotive, defense/aerospace, industrial, life sciences and security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Our financial results are affected by a wide variety of factors, including,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general economic conditions worldwide and in the markets in which we operate, economic conditions specific to the semi market and the other markets we serve, downward pricing pressures from customers, our reliance on a relatively few number of customers for a significant portion of our sales and our ability to safeguard patented technology and intellectual property in a rapidly evolving market. In addition, we are exposed to the risk of obsolescence of our inventory depending on the mix of future business and technological changes within the markets that we serve. Part of our strategy for growth includes potential acquisitions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cause us to incur substantial expense in reviewing and evaluating potential transactions.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or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successful in locating suitable businesses to acquire and in closing acquisitions of businesses we pursue. In addition, we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able to successfully integrate any business we do acquire with our existing business and we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able to operate the acquired business profitably. As a result of these or other factors,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experience significant period-to-period fluctuations in future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 </w:t>
      </w:r>
      <w:r>
        <w:rPr>
          <w:rStyle w:val="Emphasis"/>
          <w:rFonts w:ascii="Times New Roman" w:hAnsi="Times New Roman"/>
          <w:sz w:val="20"/>
        </w:rPr>
        <w:t>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72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11, 2023, </w:t>
      </w:r>
      <w:r>
        <w:rPr>
          <w:rFonts w:ascii="Times New Roman" w:hAnsi="Times New Roman"/>
          <w:caps w:val="false"/>
          <w:smallCaps w:val="false"/>
          <w:sz w:val="20"/>
        </w:rPr>
        <w:t xml:space="preserve">we entered into an At-the-Market Issuance Sales Agreement (the "Sales Agreement") pursuant to which we issued and sold 921,797 shares of our common stock having an aggregate offering price of $20,000 between </w:t>
      </w:r>
      <w:r>
        <w:rPr>
          <w:rStyle w:val="Emphasis"/>
          <w:rFonts w:ascii="Times New Roman" w:hAnsi="Times New Roman"/>
          <w:caps w:val="false"/>
          <w:smallCaps w:val="false"/>
          <w:sz w:val="20"/>
        </w:rPr>
        <w:t xml:space="preserve">May 11,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May 31, 2023. </w:t>
      </w:r>
      <w:r>
        <w:rPr>
          <w:rFonts w:ascii="Times New Roman" w:hAnsi="Times New Roman"/>
          <w:caps w:val="false"/>
          <w:smallCaps w:val="false"/>
          <w:sz w:val="20"/>
        </w:rPr>
        <w:t>We received net proceeds from the sale of these shares of $19,244 after payment of commissions of 3.0% of the gross proceeds and other fees related to the sale of these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5290" w:type="dxa"/>
        <w:jc w:val="left"/>
        <w:tblInd w:w="0" w:type="dxa"/>
        <w:tblLayout w:type="fixed"/>
        <w:tblCellMar>
          <w:top w:w="0" w:type="dxa"/>
          <w:left w:w="0" w:type="dxa"/>
          <w:bottom w:w="0" w:type="dxa"/>
          <w:right w:w="0" w:type="dxa"/>
        </w:tblCellMar>
      </w:tblPr>
      <w:tblGrid>
        <w:gridCol w:w="290"/>
        <w:gridCol w:w="5000"/>
      </w:tblGrid>
      <w:tr>
        <w:trPr/>
        <w:tc>
          <w:tcPr>
            <w:tcW w:w="290" w:type="dxa"/>
            <w:tcBorders/>
            <w:vAlign w:val="center"/>
          </w:tcPr>
          <w:p>
            <w:pPr>
              <w:pStyle w:val="TableContents"/>
              <w:bidi w:val="0"/>
              <w:spacing w:before="0" w:after="0"/>
              <w:ind w:left="0" w:right="0" w:hanging="0"/>
              <w:jc w:val="left"/>
              <w:rPr/>
            </w:pPr>
            <w:r>
              <w:rPr>
                <w:rFonts w:ascii="Times New Roman;Times;serif" w:hAnsi="Times New Roman;Times;serif"/>
                <w:b/>
                <w:caps w:val="false"/>
                <w:smallCaps w:val="false"/>
                <w:sz w:val="20"/>
              </w:rPr>
              <w:t>(</w:t>
            </w:r>
            <w:r>
              <w:rPr>
                <w:rStyle w:val="Emphasis"/>
                <w:rFonts w:ascii="Times New Roman;Times;serif" w:hAnsi="Times New Roman;Times;serif"/>
                <w:b/>
                <w:caps w:val="false"/>
                <w:smallCaps w:val="false"/>
                <w:sz w:val="20"/>
              </w:rPr>
              <w:t>2</w:t>
            </w:r>
            <w:r>
              <w:rPr>
                <w:rFonts w:ascii="Times New Roman;Times;serif" w:hAnsi="Times New Roman;Times;serif"/>
                <w:b/>
                <w:caps w:val="false"/>
                <w:smallCaps w:val="false"/>
                <w:sz w:val="20"/>
              </w:rPr>
              <w:t xml:space="preserve">) </w:t>
            </w:r>
          </w:p>
        </w:tc>
        <w:tc>
          <w:tcPr>
            <w:tcW w:w="50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SUMMARY OF SIGNIFICANT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Basis of Presentation and 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accompanying consolidated financial statements include our accounts and those of our wholly owned subsidiaries. All significant intercompany accounts and transactions have been eliminated upon consolidation. The preparation of financial statements in conformity with accounting principles generally accepted in the United States of America ("U.S. GAAP") requires us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Certain of our accounts, including contingent consideration, inventories, long-lived assets, goodwill, identifiable intangibles and deferred tax assets and liabilities, including related valuation allowances, are particularly impacted by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year ended </w:t>
      </w:r>
      <w:r>
        <w:rPr>
          <w:rStyle w:val="Emphasis"/>
          <w:rFonts w:ascii="Times New Roman" w:hAnsi="Times New Roman"/>
          <w:caps w:val="false"/>
          <w:smallCaps w:val="false"/>
          <w:sz w:val="20"/>
        </w:rPr>
        <w:t>December 31, 2023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filed on </w:t>
      </w:r>
      <w:r>
        <w:rPr>
          <w:rStyle w:val="Emphasis"/>
          <w:rFonts w:ascii="Times New Roman" w:hAnsi="Times New Roman"/>
          <w:caps w:val="false"/>
          <w:smallCaps w:val="false"/>
          <w:sz w:val="20"/>
        </w:rPr>
        <w:t xml:space="preserve">March 27, 2024 </w:t>
      </w:r>
      <w:r>
        <w:rPr>
          <w:rFonts w:ascii="Times New Roman" w:hAnsi="Times New Roman"/>
          <w:caps w:val="false"/>
          <w:smallCaps w:val="false"/>
          <w:sz w:val="20"/>
        </w:rPr>
        <w:t>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b/>
          <w:i/>
          <w:caps w:val="false"/>
          <w:smallCaps w:val="false"/>
          <w:sz w:val="20"/>
          <w:u w:val="single"/>
        </w:rPr>
        <w:t>Reclassification</w:t>
      </w:r>
      <w:r>
        <w:rPr>
          <w:rFonts w:ascii="Times New Roman" w:hAnsi="Times New Roman"/>
          <w:caps w:val="false"/>
          <w:smallCaps w:val="false"/>
          <w:sz w:val="20"/>
        </w:rPr>
        <w:br/>
        <w:br/>
        <w:t>Certain prior period amounts have been reclassified to be comparable with the current period's presentation.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b/>
          <w:i/>
          <w:caps w:val="false"/>
          <w:smallCaps w:val="false"/>
          <w:sz w:val="20"/>
          <w:u w:val="single"/>
        </w:rPr>
        <w:t>Subsequent Events</w:t>
      </w:r>
      <w:r>
        <w:rPr>
          <w:rFonts w:ascii="Times New Roman" w:hAnsi="Times New Roman"/>
          <w:caps w:val="false"/>
          <w:smallCaps w:val="false"/>
          <w:sz w:val="20"/>
        </w:rPr>
        <w:br/>
        <w:br/>
        <w:t xml:space="preserve">We have made an assessment of our operations and determined that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material subsequent events requiring adjustment to, or disclosure in, our consolidated financial statements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other than the matter discussed in Note </w:t>
      </w:r>
      <w:r>
        <w:rPr>
          <w:rStyle w:val="Emphasis"/>
          <w:rFonts w:ascii="Times New Roman" w:hAnsi="Times New Roman"/>
          <w:caps w:val="false"/>
          <w:smallCaps w:val="false"/>
          <w:sz w:val="2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b/>
          <w:i/>
          <w:caps w:val="false"/>
          <w:smallCaps w:val="false"/>
          <w:sz w:val="20"/>
          <w:u w:val="single"/>
        </w:rPr>
        <w:t>Business Combinations</w:t>
      </w:r>
      <w:r>
        <w:rPr>
          <w:rFonts w:ascii="Times New Roman" w:hAnsi="Times New Roman"/>
          <w:caps w:val="false"/>
          <w:smallCaps w:val="false"/>
          <w:sz w:val="20"/>
        </w:rPr>
        <w:br/>
        <w:br/>
        <w:t xml:space="preserve">Acquired businesses are accounted for using the purchase method of accounting, which requires that the purchase price be allocated to the net assets acquired at their respective fair values. Any excess of the purchase price over the estimated fair values of the net assets acquired is recorded as goodwill. Fair values of intangible assets are estimated by valuation models prepared by our management and </w:t>
      </w:r>
      <w:r>
        <w:rPr>
          <w:rStyle w:val="Emphasis"/>
          <w:rFonts w:ascii="Times New Roman" w:hAnsi="Times New Roman"/>
          <w:caps w:val="false"/>
          <w:smallCaps w:val="false"/>
          <w:sz w:val="20"/>
        </w:rPr>
        <w:t>third</w:t>
      </w:r>
      <w:r>
        <w:rPr>
          <w:rFonts w:ascii="Times New Roman" w:hAnsi="Times New Roman"/>
          <w:caps w:val="false"/>
          <w:smallCaps w:val="false"/>
          <w:sz w:val="20"/>
        </w:rPr>
        <w:t>-party advisors. The assets purchased and liabilities assumed have been reflected in our consolidated balance sheets, and the operating results are included in the consolidated statements of operations and consolidated statements of cash flows from the date of acquisition. Any change in the fair value of acquisition-related contingent consideration subsequent to the acquisition date, including changes from events after the acquisition date, will be recognized in the consolidated statement of operations in the period of the estimated fair value change. Acquisition-related transaction costs, including legal and accounting fees and other external costs directly related to the acquisition, are recognized separately from the acquisition and expensed as incurred in general and administrative expense in the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Cash, Cash Equivalents and Restricted Cash</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Short-term investments that have maturities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or less when purchased are considered to be cash equivalents and are carried at cost, which approximates fair value. Our cash balances, which are deposited with highly reputable financial institutions, at times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exceed the federally insured limits. We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experienced any losses related to these cash balances and believe the credit risk to be minimal.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Periodically we have restricted cash which represents amounts deposited at our banks to support bank guarantees which certain of our customers require as a condition of paying large deposits on orders they place with us. Typically, the amount of the deposit and related guarantee declines as shipments are made against the order. At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we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amounts classified as 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Fonts w:ascii="Times New Roman" w:hAnsi="Times New Roman"/>
          <w:sz w:val="20"/>
        </w:rPr>
        <w:t xml:space="preserve">- </w:t>
      </w:r>
      <w:r>
        <w:rPr>
          <w:rStyle w:val="Emphasis"/>
          <w:rFonts w:ascii="Times New Roman" w:hAnsi="Times New Roman"/>
          <w:sz w:val="20"/>
        </w:rPr>
        <w:t>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72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Trade Accounts Receivable and Allowance for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Trade accounts receivable are recorded at the invoiced amount and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bear interest. We grant credit to customers and generally require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collateral. To minimize our risk, we perform ongoing credit evaluations of our customers' financial condition. As discussed below under “Effect of Recently Adopted Amendments to Authoritative Accounting Guidance”, effective </w:t>
      </w:r>
      <w:r>
        <w:rPr>
          <w:rStyle w:val="Emphasis"/>
          <w:rFonts w:ascii="Times New Roman" w:hAnsi="Times New Roman"/>
          <w:caps w:val="false"/>
          <w:smallCaps w:val="false"/>
          <w:sz w:val="20"/>
        </w:rPr>
        <w:t xml:space="preserve">January 1, 2023, </w:t>
      </w:r>
      <w:r>
        <w:rPr>
          <w:rFonts w:ascii="Times New Roman" w:hAnsi="Times New Roman"/>
          <w:caps w:val="false"/>
          <w:smallCaps w:val="false"/>
          <w:sz w:val="20"/>
        </w:rPr>
        <w:t xml:space="preserve">we follow the guidance in Accounting Standards Codification (“ASC”) Topic </w:t>
      </w:r>
      <w:r>
        <w:rPr>
          <w:rStyle w:val="Emphasis"/>
          <w:rFonts w:ascii="Times New Roman" w:hAnsi="Times New Roman"/>
          <w:caps w:val="false"/>
          <w:smallCaps w:val="false"/>
          <w:sz w:val="20"/>
        </w:rPr>
        <w:t>326</w:t>
      </w:r>
      <w:r>
        <w:rPr>
          <w:rFonts w:ascii="Times New Roman" w:hAnsi="Times New Roman"/>
          <w:caps w:val="false"/>
          <w:smallCaps w:val="false"/>
          <w:sz w:val="20"/>
        </w:rPr>
        <w:t xml:space="preserve"> (Financial Instruments – Credit Losses) in developing our estimate of the allowance for credit losses related to our accounts receivable. The allowance for credit losses is our best estimate of the amount of expected credit losses in our existing accounts receivable. In establishing the amount of allowance for credit losses, we consider all information available as of the reporting date including information related to past events, such as historical loss rates and actual incurred losses, as well as current conditions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indicate future risk of loss and any other factors of which we are aware, that we believe could impact the ultimate collectability of the related receivables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Account balances are charged off against the allowance after all means of collection have been exhausted and the potential for recovery is considered remote.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significant off-balance sheet credit exposure related to our customers. Cash flows from accounts receivable are recorded in operating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we utilized $48 of the allowance for credit losses to offset the write-off of a receivable in our Electronic Test segment.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other significant changes in the amount of the allowance for credit losses during this time period. There was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bad debt expense recorded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or </w:t>
      </w:r>
      <w:r>
        <w:rPr>
          <w:rStyle w:val="Emphasis"/>
          <w:rFonts w:ascii="Times New Roman" w:hAnsi="Times New Roman"/>
          <w:caps w:val="false"/>
          <w:smallCaps w:val="false"/>
          <w:sz w:val="20"/>
        </w:rPr>
        <w:t>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Fair Value of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Our financial instruments include cash and cash equivalents, restricted cash, short-term investments, accounts receivable, accounts payable, accrued expenses, our credit facility, interest rate swaps and our liabilities for contingent consideration. Our cash and cash equivalents, accounts receivable, accounts payable and accrued expenses are carried at cost which approximates fair value, due to the short maturities of the accounts. Our short-term investments are classified as held-to-maturity and carried at amortized cost. Our credit facility and our interest rate swap are discussed further below and in Note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Our liabilities for contingent consideration are accounted for in accordance with the guidance in ASC Topic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(Fair Value Measurement). ASC Topic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establishes a fair value hierarchy for instruments measured at fair value that distinguishes between assumptions based on market data (observable inputs) and our own assumptions (unobservable inputs). Our contingent consideration liabilities are measured at fair value on a recurring basis using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inputs which are inputs that are unobservable and significant to the overall fair value measurement. These unobservable inputs reflect our assumptions about the inputs that market participants would use in pricing the asset or liability and are developed based on the best information available in the circumstances. See Note </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for further disclosures related to the fair value of our liabilities for contingent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Goodwill, Intangible and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We have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reportable segments which are also our reporting units: Electronic Test, Environmental Technologies and Process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We account for goodwill and intangible assets in accordance with ASC Topic </w:t>
      </w:r>
      <w:r>
        <w:rPr>
          <w:rStyle w:val="Emphasis"/>
          <w:rFonts w:ascii="Times New Roman" w:hAnsi="Times New Roman"/>
          <w:caps w:val="false"/>
          <w:smallCaps w:val="false"/>
          <w:sz w:val="20"/>
        </w:rPr>
        <w:t>350</w:t>
      </w:r>
      <w:r>
        <w:rPr>
          <w:rFonts w:ascii="Times New Roman" w:hAnsi="Times New Roman"/>
          <w:caps w:val="false"/>
          <w:smallCaps w:val="false"/>
          <w:sz w:val="20"/>
        </w:rPr>
        <w:t xml:space="preserve"> (Intangibles - Goodwill and Other). Finite-lived intangible assets are amortized over their estimated useful economic life and are carried at cost less accumulated amortization. Goodwill is assessed for impairment annually at the beginning of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on a reporting unit basis, or more frequently when events and circumstances occur indicating that the recorded goodwill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impaired. Goodwill is considered to be impaired if the fair value of a reporting unit is less than its carrying amount. As a part of the goodwill impairment assessment, we have the option to perform a qualitative assessment to determine whether it is more-likely-than-</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fair value of a reporting unit is less than its carrying amount. If, as a result of our qualitative assessment, we determine that it is more-likely-than-</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fair value of the reporting unit is greater than its carrying amount, a quantitative goodwill impairment test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required. However, if, as a result of our qualitative assessment, we determine it is more-likely-than-</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fair value of a reporting unit is less than its carrying amount, or, if we choose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perform a qualitative assessment, we are required to perform a quantitative goodwill impairment test to identify potential goodwill impairment and measure the amount of goodwill impairment loss to be recognized.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The quantitative goodwill impairment test compares the fair value of a reporting unit with its carrying amount, including goodwill. If the fair value of a reporting unit exceeds its carrying amount, goodwill of the reporting unit is considered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impaired. If the carrying amount of a reporting unit exceeds its fair value, an impairment loss will be recognized in an amount equal to that excess, limited to the total amount of goodwill allocated to that reporting unit. The goodwill impairment assessment is based upon the income approach, which estimates the fair value of our reporting units based upon a discounted cash flow approach. This fair value is then reconciled to our market capitalization at year end with an appropriate control premium. The determination of the fair value of our reporting units requires management to make significant estimates and assumptions including the selection of control premiums, discount rates,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 </w:t>
      </w: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720" w:right="0" w:hanging="0"/>
        <w:jc w:val="left"/>
        <w:rPr/>
      </w:pPr>
      <w:r>
        <w:rPr>
          <w:rFonts w:ascii="Times New Roman" w:hAnsi="Times New Roman"/>
          <w:caps w:val="false"/>
          <w:smallCaps w:val="false"/>
          <w:sz w:val="20"/>
        </w:rPr>
        <w:t xml:space="preserve">Indefinite-lived intangible assets are assessed for impairment annually at the beginning of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or more frequently if events or changes in circumstances indicate that the asset might be impaired. As a part of the impairment assessment, we have the option to perform a qualitative assessment to determine whether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an indefinite-lived intangible asset is impaired. If, as a result of our qualitative assessment, we determine that it is more-likely-than-</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fair value of the indefinite-lived intangible asset is less than its carrying amount, the quantitative impairment test is required; otherwise,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Long-lived assets, which consist of finite-lived intangible assets, property and equipment and right-of-use (“ROU”) assets, are assessed for impairment whenever events or changes in business circumstances indicate that the carrying amount of the assets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fully recoverable or that the useful lives of these assets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appropriate. Each impairment test is based on a comparison of the estimated undiscounted cash flows to the recorded value of the asset group. If impairment is indicated, the asset group is written down to its estimated fair value. The cash flow estimates used to determine the impairment, if any, contain management's best estimates using appropriate assumptions and projections at that time.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b/>
          <w:i/>
          <w:caps w:val="false"/>
          <w:smallCaps w:val="false"/>
          <w:sz w:val="20"/>
          <w:u w:val="single"/>
        </w:rPr>
        <w:t>Revenue Recognition</w:t>
      </w:r>
      <w:r>
        <w:rPr>
          <w:rFonts w:ascii="Times New Roman" w:hAnsi="Times New Roman"/>
          <w:caps w:val="false"/>
          <w:smallCaps w:val="false"/>
          <w:sz w:val="20"/>
        </w:rPr>
        <w:br/>
        <w:br/>
        <w:t xml:space="preserve">We recognize revenue in accordance with the guidance in ASC Topic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(Revenue from Contracts with Customers). We recognize revenue for the sale of products or services when our performance obligations under the terms of a contract with a customer are satisfied and control of the product or service has been transferred to the customer. Generally, this occurs when we ship a product or perform a service. In certain cases, recognition of revenue is deferred until the product is received by the customer or at some other point in the future when we have determined that we have satisfied our performance obligations under the contract. Our contracts with customers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include a combination of products and services, which are generally capable of being distinct and accounted for as separate performance obligations. In addition to the sale of products and services, we also lease certain of our equipment to customers under short-term lease agreements. We recognize revenue from equipment leases on a straight-line basis over the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Revenue is recorded in an amount that reflects the consideration we expect to receive in exchange for those products or services.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material variable consideration arrangements, or any material payment terms with our customers other than standard payment terms which generally range from net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to net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days. We generally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provide a right of return to our customers. Revenue is recognized net of any taxes collected from customers, which are subsequently remitted to governmental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i/>
          <w:caps w:val="false"/>
          <w:smallCaps w:val="false"/>
          <w:sz w:val="20"/>
        </w:rPr>
      </w:pPr>
      <w:r>
        <w:rPr>
          <w:rFonts w:ascii="Times New Roman" w:hAnsi="Times New Roman"/>
          <w:i/>
          <w:caps w:val="false"/>
          <w:smallCaps w:val="false"/>
          <w:sz w:val="20"/>
        </w:rPr>
        <w:t>Nature of Products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We are a global supplier of innovative test and process technology solutions for use in manufacturing and testing in targeted markets including automotive, defense/aerospace, industrial, life sciences, security and semiconductor. Our Environmental Technologies segment sells thermal management products including ThermoStreams, ThermoChambers, process chillers, refrigerators and freezers, which we sell under our Temptronic, Sigma, Thermonics and North Sciences product lines. Our Process Technologies segment sells precision induction heating systems through our subsidiary, Ambrell Corporation (“Ambrell”), including EKOHEAT® and EASYHEAT™ products. This segment also sells industrial-grade circuit board mounted video digital cameras and related devices, systems and software through our Videology Imaging Corporation (“Videology”), subsidiary. Our Electronic Test segment sells semiconductor ATE interface solutions through our inTEST EMS (“EMS”) subsidiary, including manipulators, docking hardware and electrical interface products. This segment also sells robotics-based electronic production test equipment under the Acculogic tradename and, as a result of the acquisition of Alfamation on </w:t>
      </w:r>
      <w:r>
        <w:rPr>
          <w:rStyle w:val="Emphasis"/>
          <w:rFonts w:ascii="Times New Roman" w:hAnsi="Times New Roman"/>
          <w:caps w:val="false"/>
          <w:smallCaps w:val="false"/>
          <w:sz w:val="20"/>
        </w:rPr>
        <w:t xml:space="preserve">March 12, 2024, </w:t>
      </w:r>
      <w:r>
        <w:rPr>
          <w:rFonts w:ascii="Times New Roman" w:hAnsi="Times New Roman"/>
          <w:caps w:val="false"/>
          <w:smallCaps w:val="false"/>
          <w:sz w:val="20"/>
        </w:rPr>
        <w:t xml:space="preserve">which is discussed further in Note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this segment now sells test and measurement solutions for the automotive, life sciences and specialty consumer electronics markets. We provide post-warranty service and support for the equipment we sell. We sell our products to various markets including the automotive, defense/aerospace, industrial, life sciences, security and semiconductor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We lease certain of our equipment under short-term leasing agreements with original lease terms of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or less. Our lease agreements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contain purchase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Occasionally we procure and sell materials/components on behalf of and to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 </w:t>
      </w: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720" w:right="0" w:hanging="0"/>
        <w:jc w:val="left"/>
        <w:rPr>
          <w:rFonts w:ascii="Times New Roman" w:hAnsi="Times New Roman"/>
          <w:i/>
          <w:caps w:val="false"/>
          <w:smallCaps w:val="false"/>
          <w:sz w:val="20"/>
        </w:rPr>
      </w:pPr>
      <w:r>
        <w:rPr>
          <w:rFonts w:ascii="Times New Roman" w:hAnsi="Times New Roman"/>
          <w:i/>
          <w:caps w:val="false"/>
          <w:smallCaps w:val="false"/>
          <w:sz w:val="20"/>
        </w:rPr>
        <w:t>Types of Contracts with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Our contracts with customers are generally structured as individual purchase orders which specify the exact products or services being sold or equipment being leased along with the selling price, service fee or monthly lease amount for each individual item on the purchase order. Payment terms and any other customer-specific acceptance criteria are also specified on the purchase order. We generally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customer-specific acceptance criteria, other than that the product performs within the agreed upon specifications. We test substantially all products manufactured as part of our quality assurance process to determine that they comply with specifications prior to shipment to a customer.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i/>
          <w:caps w:val="false"/>
          <w:smallCaps w:val="false"/>
          <w:sz w:val="20"/>
        </w:rPr>
      </w:pPr>
      <w:r>
        <w:rPr>
          <w:rFonts w:ascii="Times New Roman" w:hAnsi="Times New Roman"/>
          <w:i/>
          <w:caps w:val="false"/>
          <w:smallCaps w:val="false"/>
          <w:sz w:val="20"/>
        </w:rPr>
        <w:t>Contract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We record accounts receivable at the time of invoicing. Accounts receivable, net of the allowance for credit losses, is included in current assets on our consolidated balance sheets. In certain instances, we also receive customer deposits in advance of invoicing and recording of accounts receivable. Customer deposits are included in current liabilities on our consolidated balance sheets. To the extent that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recognize revenue at the same time as we invoice, we record a liability for deferred revenue. Deferred revenue estimated to be recognized within the next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is included in current liabilities. Deferred revenue that we estimate will be recognized beyond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is recorded in Other Liabilities on our consolidated balance sheets. Any non-inventoriable costs associated with deferred revenue are also deferred and recorded in Prepaid Expenses and Other Current Assets or Other Assets on our consolidated balance sheets, depending on when the related deferred revenue is expected to be recognized.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As discussed above, we follow the guidance in ASC Topic </w:t>
      </w:r>
      <w:r>
        <w:rPr>
          <w:rStyle w:val="Emphasis"/>
          <w:rFonts w:ascii="Times New Roman" w:hAnsi="Times New Roman"/>
          <w:caps w:val="false"/>
          <w:smallCaps w:val="false"/>
          <w:sz w:val="20"/>
        </w:rPr>
        <w:t>326</w:t>
      </w:r>
      <w:r>
        <w:rPr>
          <w:rFonts w:ascii="Times New Roman" w:hAnsi="Times New Roman"/>
          <w:caps w:val="false"/>
          <w:smallCaps w:val="false"/>
          <w:sz w:val="20"/>
        </w:rPr>
        <w:t xml:space="preserve"> in developing our estimate of the allowance for credit losses related to our accounts receivable. The allowance for credit losses is our best estimate of the amount of expected credit losses in our existing accounts receivable. We monitor the collectability of accounts receivable on an ongoing basis and record charges for bad debt expense in the period when we determine that a loss is expected to occur based on our assessment.</w:t>
        <w:br/>
        <w:t> </w:t>
      </w:r>
    </w:p>
    <w:p>
      <w:pPr>
        <w:pStyle w:val="TextBody"/>
        <w:bidi w:val="0"/>
        <w:spacing w:before="0" w:after="0"/>
        <w:ind w:left="720" w:right="0" w:hanging="0"/>
        <w:jc w:val="left"/>
        <w:rPr>
          <w:rFonts w:ascii="Times New Roman" w:hAnsi="Times New Roman"/>
          <w:i/>
          <w:caps w:val="false"/>
          <w:smallCaps w:val="false"/>
          <w:sz w:val="20"/>
        </w:rPr>
      </w:pPr>
      <w:r>
        <w:rPr>
          <w:rFonts w:ascii="Times New Roman" w:hAnsi="Times New Roman"/>
          <w:i/>
          <w:caps w:val="false"/>
          <w:smallCaps w:val="false"/>
          <w:sz w:val="20"/>
        </w:rPr>
        <w:t>Costs to Obtain a Contract with a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The only costs we incur associated with obtaining contracts with customers are sales commissions that we pay to our internal sales personnel or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sales representatives. These costs are calculated based on set percentages of the selling price of each product or service sold. Commissions are considered earned by our internal sales personnel at the time we recognize revenue for a particular transaction. Commissions are considered earned by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sales representatives at the time that revenue is recognized for a particular transaction. We record commission expense in our consolidated statements of operations at the time the commission is earned. Commissions earned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paid are included in current liabilities on our balance sheets.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i/>
          <w:caps w:val="false"/>
          <w:smallCaps w:val="false"/>
          <w:sz w:val="20"/>
        </w:rPr>
      </w:pPr>
      <w:r>
        <w:rPr>
          <w:rFonts w:ascii="Times New Roman" w:hAnsi="Times New Roman"/>
          <w:i/>
          <w:caps w:val="false"/>
          <w:smallCaps w:val="false"/>
          <w:sz w:val="20"/>
        </w:rPr>
        <w:t>Product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In connection with the sale of our products, we generally provide standard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-year product warranties which are detailed in our terms and conditions and communicated to our customers. Our standard warranties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offered for sale separately from our products; therefore, there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 separate performance obligation related to our standard warranties. We record estimated warranty expense for our standard warranties at the time of sale based upon historical claims experience. We offer customers an option to separately purchase an extended warranty on certain products. In the case of extended warranties, we recognize revenue in the amount of the sale price for the extended warranty on a straight-line basis over the extended warranty period. We record costs incurred to provide service under an extended warranty at the time the service is provided. Warranty expense is included in selling expense in our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See Notes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14</w:t>
      </w:r>
      <w:r>
        <w:rPr>
          <w:rFonts w:ascii="Times New Roman" w:hAnsi="Times New Roman"/>
          <w:caps w:val="false"/>
          <w:smallCaps w:val="false"/>
          <w:sz w:val="20"/>
        </w:rPr>
        <w:t xml:space="preserve"> for further information about our revenue from contracts with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Inventories are valued at cost on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-out basis,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 excess of market value. Cash flows from the sale of inventories are recorded in operating cash flows. On a quarterly basis, we review our inventories and record excess and obsolete inventory charges based upon our established objective excess and obsolete inventory criteria. Our criteria identify excess material as the quantity of material on hand that is greater than the average annual usage of that material over the prior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years. Our criteria identify obsolete material as material that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used in a work order during the prior </w:t>
      </w:r>
      <w:r>
        <w:rPr>
          <w:rStyle w:val="Emphasis"/>
          <w:rFonts w:ascii="Times New Roman" w:hAnsi="Times New Roman"/>
          <w:caps w:val="false"/>
          <w:smallCaps w:val="false"/>
          <w:sz w:val="20"/>
        </w:rPr>
        <w:t>twenty-four</w:t>
      </w:r>
      <w:r>
        <w:rPr>
          <w:rFonts w:ascii="Times New Roman" w:hAnsi="Times New Roman"/>
          <w:caps w:val="false"/>
          <w:smallCaps w:val="false"/>
          <w:sz w:val="20"/>
        </w:rPr>
        <w:t xml:space="preserve"> months.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We incurred excess and obsolete inventory charges of $176 and $135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 </w:t>
      </w: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72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We account for leases in accordance with ASC Topic </w:t>
      </w:r>
      <w:r>
        <w:rPr>
          <w:rStyle w:val="Emphasis"/>
          <w:rFonts w:ascii="Times New Roman" w:hAnsi="Times New Roman"/>
          <w:caps w:val="false"/>
          <w:smallCaps w:val="false"/>
          <w:sz w:val="20"/>
        </w:rPr>
        <w:t>842</w:t>
      </w:r>
      <w:r>
        <w:rPr>
          <w:rFonts w:ascii="Times New Roman" w:hAnsi="Times New Roman"/>
          <w:caps w:val="false"/>
          <w:smallCaps w:val="false"/>
          <w:sz w:val="20"/>
        </w:rPr>
        <w:t xml:space="preserve"> (Leases). We determine if an arrangement is a lease at inception. A lease contract is within scope if the contract has an identified asset (property, plant or equipment) and grants the lessee the right to control the use of the asset during the lease term. The identified asset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either explicitly or implicitly specified in the contract. In addition, the supplier must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practical ability to substitute a different asset and would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economically benefit from doing so for the lease contract to be in scope. The lessee’s right to control the use of the asset during the term of the lease must include the ability to obtain substantially all of the economic benefits from the use of the asset as well as decision-making authority over how the asset will be used. Leases are classified as either operating leases or finance leases based on the guidance in ASC Topic </w:t>
      </w:r>
      <w:r>
        <w:rPr>
          <w:rStyle w:val="Emphasis"/>
          <w:rFonts w:ascii="Times New Roman" w:hAnsi="Times New Roman"/>
          <w:caps w:val="false"/>
          <w:smallCaps w:val="false"/>
          <w:sz w:val="20"/>
        </w:rPr>
        <w:t>842.</w:t>
      </w:r>
      <w:r>
        <w:rPr>
          <w:rFonts w:ascii="Times New Roman" w:hAnsi="Times New Roman"/>
          <w:caps w:val="false"/>
          <w:smallCaps w:val="false"/>
          <w:sz w:val="20"/>
        </w:rPr>
        <w:t xml:space="preserve"> Operating leases are included in operating lease ROU assets and operating lease liabilities in our consolidated balance sheets. Finance leases are included in property and equipment and financing lease liabilities.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currently have any financing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w:t>
      </w:r>
      <w:r>
        <w:rPr>
          <w:rStyle w:val="Emphasis"/>
          <w:rFonts w:ascii="Times New Roman" w:hAnsi="Times New Roman"/>
          <w:caps w:val="false"/>
          <w:smallCaps w:val="false"/>
          <w:sz w:val="20"/>
        </w:rPr>
        <w:t>None</w:t>
      </w:r>
      <w:r>
        <w:rPr>
          <w:rFonts w:ascii="Times New Roman" w:hAnsi="Times New Roman"/>
          <w:caps w:val="false"/>
          <w:smallCaps w:val="false"/>
          <w:sz w:val="20"/>
        </w:rPr>
        <w:t xml:space="preserve"> of our leases provide an implicit rate; therefore, we use our incremental borrowing rate based on the information available at commencement date in determining the present value of lease payments. The operating lease ROU asset also includes any lease payments made and excludes lease incentives. Our lease terms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include options to extend or terminate the lease. We include these options in the determination of the amount of the ROU asset and lease liability when it is reasonably certain that we will exercise that option. Lease expense for lease payments is recognized on a straight-line basis over the lease term. Certain of our operating leases contain predetermined fixed escalations of minimum rentals and rent holidays during the original lease terms. Rent holidays are periods during which we have control of the leased facility but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obligated to pay rent. For these leases, our ROU asset and lease liability are calculated including any rent holiday in the determination of the life of the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We have lease agreements which contain both lease and non-lease components, which are generally accounted for separately. In addition to the monthly rental payments due, most of our leases for our offices and warehouse facilities include non-lease components representing our portion of the common area maintenance, property taxes and insurance charges incurred by the landlord for the facilities which we occupy. These amounts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calculation of the ROU assets and lease liabilities as they are based on actual charges incurred in the periods to which they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Operating lease payments are included in cash outflows from operating activities on our consolidated statements of cash flows. Amortization of ROU assets is presented separately from the change in operating lease liabilities and is included in Depreciation and Amortization on our consolidated statements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We have made an accounting policy election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apply the recognition requirements of ASC Topic </w:t>
      </w:r>
      <w:r>
        <w:rPr>
          <w:rStyle w:val="Emphasis"/>
          <w:rFonts w:ascii="Times New Roman" w:hAnsi="Times New Roman"/>
          <w:caps w:val="false"/>
          <w:smallCaps w:val="false"/>
          <w:sz w:val="20"/>
        </w:rPr>
        <w:t>842</w:t>
      </w:r>
      <w:r>
        <w:rPr>
          <w:rFonts w:ascii="Times New Roman" w:hAnsi="Times New Roman"/>
          <w:caps w:val="false"/>
          <w:smallCaps w:val="false"/>
          <w:sz w:val="20"/>
        </w:rPr>
        <w:t xml:space="preserve"> to short-term leases (leases with a term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or less at the commencement date of the lease). Lease expense for short-term lease payments is recognized on a straight-line basis over the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See Note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for further disclosures regarding our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Interest Rate Swap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We are exposed to interest rate risk on our floating-rate debt. We have entered into an interest rate swap agreement to effectively convert our floating-rate debt to a fixed-rate basis for a portion of our floating rate debt, as discussed further in Notes </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The principal objective of this agreement is to eliminate the variability of the cash flows for interest payments associated with our floating-rate debt, thus reducing the impact of interest rate changes on future interest payment cash flows. We have elected to apply the hedge accounting rules in accordance with ASC Topic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(Derivatives and Hedging). Further, we have determined that this agreement qualifies for the shortcut method of hedge accounting. Changes in the fair value of interest rate swap agreements designated as cash flow hedges are recorded as a component of accumulated other comprehensive earnings (loss) within stockholders’ equity and are amortized to interest expense over the term of the related debt.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 xml:space="preserve">Contingent Liability for Repayment of State and Local Grant Funds Received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In connection with leasing a facility in Rochester, New York, which our subsidiary, Ambrell, occupied in </w:t>
      </w:r>
      <w:r>
        <w:rPr>
          <w:rStyle w:val="Emphasis"/>
          <w:rFonts w:ascii="Times New Roman" w:hAnsi="Times New Roman"/>
          <w:caps w:val="false"/>
          <w:smallCaps w:val="false"/>
          <w:sz w:val="20"/>
        </w:rPr>
        <w:t xml:space="preserve">May 2018, </w:t>
      </w:r>
      <w:r>
        <w:rPr>
          <w:rFonts w:ascii="Times New Roman" w:hAnsi="Times New Roman"/>
          <w:caps w:val="false"/>
          <w:smallCaps w:val="false"/>
          <w:sz w:val="20"/>
        </w:rPr>
        <w:t xml:space="preserve">we entered into agreements with the city of Rochester and the state of New York under which we received grants totaling $550 to help offset a portion of the cost of the leasehold improvements we made to this facility. The final payment of $87 was received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In exchange for the funds we received under these agreements, we are required to create and maintain specified levels of employment in this location through various dates ending in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If we fail to meet these employment targets,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required to repay a proportionate share of the proceeds. At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$123 of the total proceeds received could still be required to be repaid if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meet the targets. We have recorded this amount as a contingent liability which is included in other liabilities on our consolidated balance sheet. Those portions of the proceeds which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subject to repayment are reclassified to deferred grant proceeds and amortized to income on a straight-line basis over the remaining lease term for the Rochester facility. Deferred grant proceeds are included in other current liabilities and other liabilities on our balance sheet and totaled $298 at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we were in compliance with the employment targets as specified in the grant agreement with the city of Rochester.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Fonts w:ascii="Times New Roman" w:hAnsi="Times New Roman"/>
          <w:sz w:val="20"/>
        </w:rPr>
        <w:t xml:space="preserve">- </w:t>
      </w: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720" w:right="0" w:hanging="0"/>
        <w:jc w:val="left"/>
        <w:rPr/>
      </w:pPr>
      <w:r>
        <w:rPr>
          <w:rFonts w:ascii="Times New Roman" w:hAnsi="Times New Roman"/>
          <w:b/>
          <w:i/>
          <w:caps w:val="false"/>
          <w:smallCaps w:val="false"/>
          <w:sz w:val="20"/>
          <w:u w:val="single"/>
        </w:rPr>
        <w:t>Stock-Based Compensation</w:t>
      </w:r>
      <w:r>
        <w:rPr>
          <w:rFonts w:ascii="Times New Roman" w:hAnsi="Times New Roman"/>
          <w:caps w:val="false"/>
          <w:smallCaps w:val="false"/>
          <w:sz w:val="20"/>
        </w:rPr>
        <w:br/>
        <w:br/>
        <w:t xml:space="preserve">We account for stock-based compensation in accordance with ASC Topic </w:t>
      </w:r>
      <w:r>
        <w:rPr>
          <w:rStyle w:val="Emphasis"/>
          <w:rFonts w:ascii="Times New Roman" w:hAnsi="Times New Roman"/>
          <w:caps w:val="false"/>
          <w:smallCaps w:val="false"/>
          <w:sz w:val="20"/>
        </w:rPr>
        <w:t>718</w:t>
      </w:r>
      <w:r>
        <w:rPr>
          <w:rFonts w:ascii="Times New Roman" w:hAnsi="Times New Roman"/>
          <w:caps w:val="false"/>
          <w:smallCaps w:val="false"/>
          <w:sz w:val="20"/>
        </w:rPr>
        <w:t xml:space="preserve"> (Compensation - Stock Compensation) which requires that employee share-based equity awards be accounted for under the fair value method and requires the use of an option pricing model for estimating fair value of stock options, which is then amortized to expense over the service periods. See further disclosures related to our stock-based compensation plans in Note </w:t>
      </w:r>
      <w:r>
        <w:rPr>
          <w:rStyle w:val="Emphasis"/>
          <w:rFonts w:ascii="Times New Roman" w:hAnsi="Times New Roman"/>
          <w:caps w:val="false"/>
          <w:smallCaps w:val="false"/>
          <w:sz w:val="2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b/>
          <w:i/>
          <w:caps w:val="false"/>
          <w:smallCaps w:val="false"/>
          <w:sz w:val="20"/>
          <w:u w:val="single"/>
        </w:rPr>
        <w:t>Income Taxes</w:t>
      </w:r>
      <w:r>
        <w:rPr>
          <w:rFonts w:ascii="Times New Roman" w:hAnsi="Times New Roman"/>
          <w:caps w:val="false"/>
          <w:smallCaps w:val="false"/>
          <w:sz w:val="20"/>
        </w:rPr>
        <w:br/>
        <w:br/>
        <w:t xml:space="preserve">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such assets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b/>
          <w:i/>
          <w:caps w:val="false"/>
          <w:smallCaps w:val="false"/>
          <w:sz w:val="20"/>
          <w:u w:val="single"/>
        </w:rPr>
        <w:t>Earnings (Loss) Per Common Share</w:t>
      </w:r>
      <w:r>
        <w:rPr>
          <w:rFonts w:ascii="Times New Roman" w:hAnsi="Times New Roman"/>
          <w:caps w:val="false"/>
          <w:smallCaps w:val="false"/>
          <w:sz w:val="20"/>
        </w:rPr>
        <w:br/>
        <w:br/>
        <w:t>Earnings (loss) per common share - basic is computed by dividing net earnings (loss) by the weighted average number of common shares outstanding during each period. Earnings (loss) per common share - diluted is computed by dividing earnings (loss) by the weighted average number of common shares and common share equivalents outstanding during each period. Common share equivalents represent unvested shares of restricted stock and stock options and are calculated using the treasury stock method. Common share equivalents are excluded from the calculation if their effect is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(loss) per share because their effect was anti-dilutive: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30"/>
        <w:gridCol w:w="60"/>
        <w:gridCol w:w="60"/>
        <w:gridCol w:w="950"/>
        <w:gridCol w:w="60"/>
        <w:gridCol w:w="60"/>
        <w:gridCol w:w="60"/>
        <w:gridCol w:w="950"/>
        <w:gridCol w:w="75"/>
      </w:tblGrid>
      <w:tr>
        <w:trPr/>
        <w:tc>
          <w:tcPr>
            <w:tcW w:w="7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4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75" w:type="dxa"/>
            <w:tcBorders/>
            <w:vAlign w:val="center"/>
          </w:tcPr>
          <w:p>
            <w:pPr>
              <w:pStyle w:val="TableContents"/>
              <w:bidi w:val="0"/>
              <w:spacing w:before="0" w:after="283"/>
              <w:jc w:val="left"/>
              <w:rPr/>
            </w:pPr>
            <w:r>
              <w:rPr/>
              <w:t> </w:t>
            </w:r>
          </w:p>
        </w:tc>
      </w:tr>
      <w:tr>
        <w:trPr/>
        <w:tc>
          <w:tcPr>
            <w:tcW w:w="7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75" w:type="dxa"/>
            <w:tcBorders/>
            <w:vAlign w:val="center"/>
          </w:tcPr>
          <w:p>
            <w:pPr>
              <w:pStyle w:val="TableContents"/>
              <w:bidi w:val="0"/>
              <w:spacing w:before="0" w:after="283"/>
              <w:jc w:val="left"/>
              <w:rPr/>
            </w:pPr>
            <w:r>
              <w:rPr/>
              <w:t> </w:t>
            </w:r>
          </w:p>
        </w:tc>
      </w:tr>
      <w:tr>
        <w:trPr/>
        <w:tc>
          <w:tcPr>
            <w:tcW w:w="7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outstanding–basic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12,026,361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10,755,729</w:t>
            </w:r>
          </w:p>
        </w:tc>
        <w:tc>
          <w:tcPr>
            <w:tcW w:w="75" w:type="dxa"/>
            <w:tcBorders/>
            <w:shd w:fill="CCEEFF" w:val="clear"/>
            <w:vAlign w:val="center"/>
          </w:tcPr>
          <w:p>
            <w:pPr>
              <w:pStyle w:val="TableContents"/>
              <w:bidi w:val="0"/>
              <w:spacing w:before="0" w:after="283"/>
              <w:jc w:val="left"/>
              <w:rPr/>
            </w:pPr>
            <w:r>
              <w:rPr/>
              <w:t> </w:t>
            </w:r>
          </w:p>
        </w:tc>
      </w:tr>
      <w:tr>
        <w:trPr/>
        <w:tc>
          <w:tcPr>
            <w:tcW w:w="79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Potentially dilutive securities: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Unvested shares of restricted stock and employee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131,936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332,935</w:t>
            </w:r>
          </w:p>
        </w:tc>
        <w:tc>
          <w:tcPr>
            <w:tcW w:w="75" w:type="dxa"/>
            <w:tcBorders/>
            <w:shd w:fill="CCEEFF" w:val="clear"/>
            <w:vAlign w:val="center"/>
          </w:tcPr>
          <w:p>
            <w:pPr>
              <w:pStyle w:val="TableContents"/>
              <w:bidi w:val="0"/>
              <w:spacing w:before="0" w:after="283"/>
              <w:jc w:val="left"/>
              <w:rPr/>
            </w:pPr>
            <w:r>
              <w:rPr/>
              <w:t> </w:t>
            </w:r>
          </w:p>
        </w:tc>
      </w:tr>
      <w:tr>
        <w:trPr/>
        <w:tc>
          <w:tcPr>
            <w:tcW w:w="793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and common share equivalents outstanding–diluted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12,158,297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11,088,664</w:t>
            </w:r>
          </w:p>
        </w:tc>
        <w:tc>
          <w:tcPr>
            <w:tcW w:w="75" w:type="dxa"/>
            <w:tcBorders/>
            <w:shd w:fill="FFFFFF" w:val="clear"/>
            <w:vAlign w:val="center"/>
          </w:tcPr>
          <w:p>
            <w:pPr>
              <w:pStyle w:val="TableContents"/>
              <w:bidi w:val="0"/>
              <w:spacing w:before="0" w:after="283"/>
              <w:jc w:val="left"/>
              <w:rPr/>
            </w:pPr>
            <w:r>
              <w:rPr/>
              <w:t> </w:t>
            </w:r>
          </w:p>
        </w:tc>
      </w:tr>
      <w:tr>
        <w:trPr/>
        <w:tc>
          <w:tcPr>
            <w:tcW w:w="793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number of potentially dilutive securities excluded from calculation because their effect was anti-dilutive during the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434,584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154,429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Effect of Recently Issued Amendments to Authoritative Accounting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2023, </w:t>
      </w:r>
      <w:r>
        <w:rPr>
          <w:rFonts w:ascii="Times New Roman" w:hAnsi="Times New Roman"/>
          <w:caps w:val="false"/>
          <w:smallCaps w:val="false"/>
          <w:sz w:val="20"/>
        </w:rPr>
        <w:t xml:space="preserve">the FASB issued amendments to the guidance for disclosures about reportable segments which require disclosures of significant expenses by segment and interim disclosure of items that were previously required on an annual basis. The amendments are to be applied on a retrospective basis and are effective for fiscal years beginning after </w:t>
      </w:r>
      <w:r>
        <w:rPr>
          <w:rStyle w:val="Emphasis"/>
          <w:rFonts w:ascii="Times New Roman" w:hAnsi="Times New Roman"/>
          <w:caps w:val="false"/>
          <w:smallCaps w:val="false"/>
          <w:sz w:val="20"/>
        </w:rPr>
        <w:t xml:space="preserve">December 15, 2023 </w:t>
      </w:r>
      <w:r>
        <w:rPr>
          <w:rFonts w:ascii="Times New Roman" w:hAnsi="Times New Roman"/>
          <w:caps w:val="false"/>
          <w:smallCaps w:val="false"/>
          <w:sz w:val="20"/>
        </w:rPr>
        <w:t xml:space="preserve">and interim periods within fiscal years beginning after </w:t>
      </w:r>
      <w:r>
        <w:rPr>
          <w:rStyle w:val="Emphasis"/>
          <w:rFonts w:ascii="Times New Roman" w:hAnsi="Times New Roman"/>
          <w:caps w:val="false"/>
          <w:smallCaps w:val="false"/>
          <w:sz w:val="20"/>
        </w:rPr>
        <w:t xml:space="preserve">December 15, 2024. </w:t>
      </w:r>
      <w:r>
        <w:rPr>
          <w:rFonts w:ascii="Times New Roman" w:hAnsi="Times New Roman"/>
          <w:caps w:val="false"/>
          <w:smallCaps w:val="false"/>
          <w:sz w:val="20"/>
        </w:rPr>
        <w:t>We are evaluating the impact of the amendments on disclosures in our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2023, </w:t>
      </w:r>
      <w:r>
        <w:rPr>
          <w:rFonts w:ascii="Times New Roman" w:hAnsi="Times New Roman"/>
          <w:caps w:val="false"/>
          <w:smallCaps w:val="false"/>
          <w:sz w:val="20"/>
        </w:rPr>
        <w:t xml:space="preserve">the FASB issued amendments to the guidance for disclosures about income tax which provide for additional disclosures primarily related to the income tax rate reconciliations and income taxes paid. The amendments require entities to annually disclose the income tax rate reconciliation using both amounts and percentages, considering several categories of reconciling items, including state and local income taxes, foreign tax effects, tax credits and nontaxable or nondeductible items, among others. Disclosure of the reconciling items is subject to a quantitative threshold and disaggregation by nature and jurisdiction. The amendments also require entities to disclose net income taxes paid or received to federal, state and foreign jurisdictions, as well as by individual jurisdiction, subject to a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percent quantitative threshold. The amendments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adopted on a prospective or retrospective basis and are effective for fiscal years beginning after </w:t>
      </w:r>
      <w:r>
        <w:rPr>
          <w:rStyle w:val="Emphasis"/>
          <w:rFonts w:ascii="Times New Roman" w:hAnsi="Times New Roman"/>
          <w:caps w:val="false"/>
          <w:smallCaps w:val="false"/>
          <w:sz w:val="20"/>
        </w:rPr>
        <w:t xml:space="preserve">December 15, 2024 </w:t>
      </w:r>
      <w:r>
        <w:rPr>
          <w:rFonts w:ascii="Times New Roman" w:hAnsi="Times New Roman"/>
          <w:caps w:val="false"/>
          <w:smallCaps w:val="false"/>
          <w:sz w:val="20"/>
        </w:rPr>
        <w:t>with early adoption permitted. We are evaluating the impact of the amendments on disclosures in our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615" w:type="dxa"/>
        <w:jc w:val="left"/>
        <w:tblInd w:w="0" w:type="dxa"/>
        <w:tblLayout w:type="fixed"/>
        <w:tblCellMar>
          <w:top w:w="0" w:type="dxa"/>
          <w:left w:w="0" w:type="dxa"/>
          <w:bottom w:w="0" w:type="dxa"/>
          <w:right w:w="0" w:type="dxa"/>
        </w:tblCellMar>
      </w:tblPr>
      <w:tblGrid>
        <w:gridCol w:w="245"/>
        <w:gridCol w:w="1370"/>
      </w:tblGrid>
      <w:tr>
        <w:trPr/>
        <w:tc>
          <w:tcPr>
            <w:tcW w:w="245" w:type="dxa"/>
            <w:tcBorders/>
            <w:vAlign w:val="center"/>
          </w:tcPr>
          <w:p>
            <w:pPr>
              <w:pStyle w:val="TableContents"/>
              <w:bidi w:val="0"/>
              <w:spacing w:before="0" w:after="0"/>
              <w:ind w:left="0" w:right="0" w:hanging="0"/>
              <w:jc w:val="left"/>
              <w:rPr/>
            </w:pPr>
            <w:r>
              <w:rPr>
                <w:rFonts w:ascii="Times New Roman;Times;serif" w:hAnsi="Times New Roman;Times;serif"/>
                <w:b/>
                <w:caps w:val="false"/>
                <w:smallCaps w:val="false"/>
                <w:sz w:val="20"/>
              </w:rPr>
              <w:t>(</w:t>
            </w:r>
            <w:r>
              <w:rPr>
                <w:rStyle w:val="Emphasis"/>
                <w:rFonts w:ascii="Times New Roman;Times;serif" w:hAnsi="Times New Roman;Times;serif"/>
                <w:b/>
                <w:caps w:val="false"/>
                <w:smallCaps w:val="false"/>
                <w:sz w:val="20"/>
              </w:rPr>
              <w:t>3</w:t>
            </w:r>
            <w:r>
              <w:rPr>
                <w:rFonts w:ascii="Times New Roman;Times;serif" w:hAnsi="Times New Roman;Times;serif"/>
                <w:b/>
                <w:caps w:val="false"/>
                <w:smallCaps w:val="false"/>
                <w:sz w:val="20"/>
              </w:rPr>
              <w:t>)</w:t>
            </w:r>
          </w:p>
        </w:tc>
        <w:tc>
          <w:tcPr>
            <w:tcW w:w="13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ACQUISITION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12, 2024 </w:t>
      </w:r>
      <w:r>
        <w:rPr>
          <w:rFonts w:ascii="Times New Roman" w:hAnsi="Times New Roman"/>
          <w:caps w:val="false"/>
          <w:smallCaps w:val="false"/>
          <w:sz w:val="20"/>
        </w:rPr>
        <w:t xml:space="preserve">we completed the acquisition of Alfamation S.p.A., an Italian joint-stock company (“Alfamation”). Alfamation is a leading global provider of state-of-the-art test and measurement solutions for the automotive, life sciences and specialty consumer electronics markets. Alfamation is included in our Electronic Test operating segment. The acquisition of Alfamation deepens our presence in the automotive/EV and life science markets, expands our exposure in consumer electronics, extends our geographic reach with a sizable footprint in Europe, and widens our portfolio of products and solutions. Additionally, we believe Alfamation brings engineering talent and a management team that culturally aligns with our mission to provide innovative, engineered solutions that address the high-value challenges of our customers. The aggregate purchase price was approximately EUR 20,000 comprised of: (i) EUR 18,000, or $19,674, in cash; and (ii) 187,432 shares of our common stock, valued at $2,086 based on the closing price of our stock on the date of acquisition. The cash portion of the purchase price is subject to customary working capital adjustments. We currently expect this to result in an additional payment of EUR 542, or $593 for assets delivered at closing in excess of agreed upon thresholds. The liabilities assumed in connection with the acquisition included debt of approximately EUR </w:t>
      </w:r>
      <w:r>
        <w:rPr>
          <w:rStyle w:val="Emphasis"/>
          <w:rFonts w:ascii="Times New Roman" w:hAnsi="Times New Roman"/>
          <w:caps w:val="false"/>
          <w:smallCaps w:val="false"/>
          <w:sz w:val="20"/>
        </w:rPr>
        <w:t>8,616,</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$9,418.</w:t>
      </w:r>
      <w:r>
        <w:rPr>
          <w:rFonts w:ascii="Times New Roman" w:hAnsi="Times New Roman"/>
          <w:caps w:val="false"/>
          <w:smallCaps w:val="false"/>
          <w:sz w:val="20"/>
        </w:rPr>
        <w:t xml:space="preserve"> The debt assumed is discussed further in Note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Total acquisition costs incurred to complete this transaction were $1,013. Acquisition costs were expensed as incurred and included in general and administrative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In connection with the acquisition, we have entered into a lease agreement (the “Lease Agreement”) with the former owner of Alfamation who will continue to serve as the managing director of Alfamation under our ownership. The Lease Agreement commenced on </w:t>
      </w:r>
      <w:r>
        <w:rPr>
          <w:rStyle w:val="Emphasis"/>
          <w:rFonts w:ascii="Times New Roman" w:hAnsi="Times New Roman"/>
          <w:caps w:val="false"/>
          <w:smallCaps w:val="false"/>
          <w:sz w:val="20"/>
        </w:rPr>
        <w:t xml:space="preserve">March 12, 2024 </w:t>
      </w:r>
      <w:r>
        <w:rPr>
          <w:rFonts w:ascii="Times New Roman" w:hAnsi="Times New Roman"/>
          <w:caps w:val="false"/>
          <w:smallCaps w:val="false"/>
          <w:sz w:val="20"/>
        </w:rPr>
        <w:t xml:space="preserve">and will last for six years. It will be automatically renewed for the same period of time unless terminated by either party. Under the terms of the Lease Agreement, Alfamation will lease warehouse and office space totaling about 51,817 square feet. Alfamation will pay a yearly lease payment of EUR 260 broken up into </w:t>
      </w:r>
      <w:r>
        <w:rPr>
          <w:rStyle w:val="Emphasis"/>
          <w:rFonts w:ascii="Times New Roman" w:hAnsi="Times New Roman"/>
          <w:caps w:val="false"/>
          <w:smallCaps w:val="false"/>
          <w:sz w:val="20"/>
        </w:rPr>
        <w:t>two</w:t>
      </w:r>
      <w:r>
        <w:rPr>
          <w:rFonts w:ascii="Times New Roman" w:hAnsi="Times New Roman"/>
          <w:caps w:val="false"/>
          <w:smallCaps w:val="false"/>
          <w:sz w:val="20"/>
        </w:rPr>
        <w:t> equal payments. At the date of the signing of the Lease Agreement, the yearly lease payment equated to approximately $284.</w:t>
        <w:br/>
        <w:br/>
        <w:t xml:space="preserve">The acquisition of Alfamation has been accounted for as a business combination using purchase accounting, and, accordingly, the results of Alfamation have been included in our consolidated results of operations from the date of acquisition. The allocation of the purchase price for Alfamation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complete. The preliminary allocation of the Alfamation purchase price was based on estimated fair values as of </w:t>
      </w:r>
      <w:r>
        <w:rPr>
          <w:rStyle w:val="Emphasis"/>
          <w:rFonts w:ascii="Times New Roman" w:hAnsi="Times New Roman"/>
          <w:caps w:val="false"/>
          <w:smallCaps w:val="false"/>
          <w:sz w:val="20"/>
        </w:rPr>
        <w:t xml:space="preserve">March 12, 2024. </w:t>
      </w:r>
      <w:r>
        <w:rPr>
          <w:rFonts w:ascii="Times New Roman" w:hAnsi="Times New Roman"/>
          <w:caps w:val="false"/>
          <w:smallCaps w:val="false"/>
          <w:sz w:val="20"/>
        </w:rPr>
        <w:t xml:space="preserve">We are currently working with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valuation specialists to assist us with our purchase accounting. The information that needs to be gathered from multiple sources, including the records and personnel at Alfamation,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fully assembled. As a result, the values reflected below are preliminary and we expect that they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change. In particular, we expect that the total value assigned to our technology and customer relationships and the related deferred tax liabilities, the fair value of acquired accounts receivable, inventory and certain accrued expenses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all change as we finalize our assessments. In addition, the final working capital adjustment has also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been completed. Adjustments to these preliminary amounts will be included in the final allocation of the purchase price for Alfamation, which we expect to finalize in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These adjustments could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The excess of the purchase price over the identifiable intangible and net tangible assets was allocated to goodwill and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deductible for tax purposes. Goodwill is attributed to synergies that are expected to result from the operations of the combined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total purchase price of $22,353 has been allocated as follows:</w:t>
      </w:r>
    </w:p>
    <w:p>
      <w:pPr>
        <w:pStyle w:val="TextBody"/>
        <w:bidi w:val="0"/>
        <w:spacing w:before="0" w:after="0"/>
        <w:ind w:left="0" w:right="0" w:hanging="0"/>
        <w:jc w:val="left"/>
        <w:rPr>
          <w:caps w:val="false"/>
          <w:smallCaps w:val="false"/>
        </w:rPr>
      </w:pPr>
      <w:r>
        <w:rPr>
          <w:caps w:val="false"/>
          <w:smallCaps w:val="false"/>
        </w:rPr>
        <w:t> </w:t>
      </w:r>
    </w:p>
    <w:tbl>
      <w:tblPr>
        <w:tblW w:w="4865" w:type="dxa"/>
        <w:jc w:val="left"/>
        <w:tblInd w:w="0" w:type="dxa"/>
        <w:tblLayout w:type="fixed"/>
        <w:tblCellMar>
          <w:top w:w="0" w:type="dxa"/>
          <w:left w:w="0" w:type="dxa"/>
          <w:bottom w:w="0" w:type="dxa"/>
          <w:right w:w="0" w:type="dxa"/>
        </w:tblCellMar>
      </w:tblPr>
      <w:tblGrid>
        <w:gridCol w:w="3995"/>
        <w:gridCol w:w="60"/>
        <w:gridCol w:w="125"/>
        <w:gridCol w:w="590"/>
        <w:gridCol w:w="95"/>
      </w:tblGrid>
      <w:tr>
        <w:trPr/>
        <w:tc>
          <w:tcPr>
            <w:tcW w:w="3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11,796</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Identifiable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13,087</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Tangible assets acquired and liabilities assumed: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accounts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4,004</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11,243</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2,169</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1,597</w:t>
            </w:r>
          </w:p>
        </w:tc>
        <w:tc>
          <w:tcPr>
            <w:tcW w:w="9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1,650</w:t>
            </w:r>
          </w:p>
        </w:tc>
        <w:tc>
          <w:tcPr>
            <w:tcW w:w="9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(4,644</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(4,311</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(2,391</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 (current and long-term)</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(9,418</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(2,962</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purchase price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22,353</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We estimated the fair value of identifiable intangible assets acquired using the income approach. Identifiable intangible assets acquired include customer relationships, customer backlog, technology and a tradename. We are amortizing the finite-lived intangible assets acquired over their estimated useful lives based on the pattern in which the economic benefits of the intangible asset are expected to be consumed.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 </w:t>
      </w: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the estimated fair value of Alfamation’s identifiable intangible assets and their estimated useful lives as of the acquisition date:</w:t>
      </w:r>
    </w:p>
    <w:p>
      <w:pPr>
        <w:pStyle w:val="TextBody"/>
        <w:bidi w:val="0"/>
        <w:spacing w:before="0" w:after="0"/>
        <w:ind w:left="0" w:right="0" w:hanging="0"/>
        <w:jc w:val="left"/>
        <w:rPr>
          <w:caps w:val="false"/>
          <w:smallCaps w:val="false"/>
        </w:rPr>
      </w:pPr>
      <w:r>
        <w:rPr>
          <w:caps w:val="false"/>
          <w:smallCaps w:val="false"/>
        </w:rPr>
        <w:t> </w:t>
      </w:r>
    </w:p>
    <w:tbl>
      <w:tblPr>
        <w:tblW w:w="4699" w:type="dxa"/>
        <w:jc w:val="left"/>
        <w:tblInd w:w="0" w:type="dxa"/>
        <w:tblLayout w:type="fixed"/>
        <w:tblCellMar>
          <w:top w:w="0" w:type="dxa"/>
          <w:left w:w="0" w:type="dxa"/>
          <w:bottom w:w="0" w:type="dxa"/>
          <w:right w:w="0" w:type="dxa"/>
        </w:tblCellMar>
      </w:tblPr>
      <w:tblGrid>
        <w:gridCol w:w="2810"/>
        <w:gridCol w:w="60"/>
        <w:gridCol w:w="125"/>
        <w:gridCol w:w="590"/>
        <w:gridCol w:w="60"/>
        <w:gridCol w:w="60"/>
        <w:gridCol w:w="127"/>
        <w:gridCol w:w="807"/>
        <w:gridCol w:w="60"/>
      </w:tblGrid>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Estimated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Useful Life</w:t>
            </w:r>
          </w:p>
        </w:tc>
        <w:tc>
          <w:tcPr>
            <w:tcW w:w="60"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years)</w:t>
            </w:r>
          </w:p>
        </w:tc>
        <w:tc>
          <w:tcPr>
            <w:tcW w:w="60"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Finite-lived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6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Technology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6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backlog</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finite-lived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w:t>
            </w:r>
          </w:p>
        </w:tc>
        <w:tc>
          <w:tcPr>
            <w:tcW w:w="6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Indefinite-lived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For the period from </w:t>
      </w:r>
      <w:r>
        <w:rPr>
          <w:rStyle w:val="Emphasis"/>
          <w:rFonts w:ascii="Times New Roman" w:hAnsi="Times New Roman"/>
          <w:caps w:val="false"/>
          <w:smallCaps w:val="false"/>
          <w:sz w:val="20"/>
        </w:rPr>
        <w:t xml:space="preserve">March 13, 2024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Alfamation contributed $1,379 of revenue and had a net loss of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The following unaudited pro forma information gives effect to the acquisition of Alfamation as if the acquisition occurred on </w:t>
      </w:r>
      <w:r>
        <w:rPr>
          <w:rStyle w:val="Emphasis"/>
          <w:rFonts w:ascii="Times New Roman" w:hAnsi="Times New Roman"/>
          <w:caps w:val="false"/>
          <w:smallCaps w:val="false"/>
          <w:sz w:val="20"/>
        </w:rPr>
        <w:t xml:space="preserve">January 1, 2023. </w:t>
      </w:r>
      <w:r>
        <w:rPr>
          <w:rFonts w:ascii="Times New Roman" w:hAnsi="Times New Roman"/>
          <w:caps w:val="false"/>
          <w:smallCaps w:val="false"/>
          <w:sz w:val="20"/>
        </w:rPr>
        <w:t xml:space="preserve">These proforma summaries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reflect any operating efficiencies or costs savings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achieved by the combined businesses. These proforma summaries are presented for informational purposes only and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what the actual results of operations would have been had the acquisition taken place as of that date, nor are they indicative of future consolidated results of operations:</w:t>
      </w:r>
    </w:p>
    <w:p>
      <w:pPr>
        <w:pStyle w:val="TextBody"/>
        <w:bidi w:val="0"/>
        <w:spacing w:before="0" w:after="0"/>
        <w:ind w:left="0" w:right="0" w:hanging="0"/>
        <w:jc w:val="left"/>
        <w:rPr>
          <w:caps w:val="false"/>
          <w:smallCaps w:val="false"/>
        </w:rPr>
      </w:pPr>
      <w:r>
        <w:rPr>
          <w:caps w:val="false"/>
          <w:smallCaps w:val="false"/>
        </w:rPr>
        <w:t> </w:t>
      </w:r>
    </w:p>
    <w:tbl>
      <w:tblPr>
        <w:tblW w:w="4957" w:type="dxa"/>
        <w:jc w:val="left"/>
        <w:tblInd w:w="0" w:type="dxa"/>
        <w:tblLayout w:type="fixed"/>
        <w:tblCellMar>
          <w:top w:w="0" w:type="dxa"/>
          <w:left w:w="0" w:type="dxa"/>
          <w:bottom w:w="0" w:type="dxa"/>
          <w:right w:w="0" w:type="dxa"/>
        </w:tblCellMar>
      </w:tblPr>
      <w:tblGrid>
        <w:gridCol w:w="2135"/>
        <w:gridCol w:w="60"/>
        <w:gridCol w:w="218"/>
        <w:gridCol w:w="1029"/>
        <w:gridCol w:w="104"/>
        <w:gridCol w:w="104"/>
        <w:gridCol w:w="218"/>
        <w:gridCol w:w="1029"/>
        <w:gridCol w:w="60"/>
      </w:tblGrid>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0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6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34,752</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38,473</w:t>
            </w:r>
          </w:p>
        </w:tc>
        <w:tc>
          <w:tcPr>
            <w:tcW w:w="6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21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21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3,227</w:t>
            </w:r>
          </w:p>
        </w:tc>
        <w:tc>
          <w:tcPr>
            <w:tcW w:w="6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earnings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0.04</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The pro forma results shown above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reflect the impact on general and administrative expense of investment advisory costs, legal costs and other costs of $1,013 incurred by us as a direct result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3190" w:type="dxa"/>
        <w:jc w:val="left"/>
        <w:tblInd w:w="0" w:type="dxa"/>
        <w:tblLayout w:type="fixed"/>
        <w:tblCellMar>
          <w:top w:w="0" w:type="dxa"/>
          <w:left w:w="0" w:type="dxa"/>
          <w:bottom w:w="0" w:type="dxa"/>
          <w:right w:w="0" w:type="dxa"/>
        </w:tblCellMar>
      </w:tblPr>
      <w:tblGrid>
        <w:gridCol w:w="245"/>
        <w:gridCol w:w="2945"/>
      </w:tblGrid>
      <w:tr>
        <w:trPr/>
        <w:tc>
          <w:tcPr>
            <w:tcW w:w="245" w:type="dxa"/>
            <w:tcBorders/>
            <w:vAlign w:val="center"/>
          </w:tcPr>
          <w:p>
            <w:pPr>
              <w:pStyle w:val="TableContents"/>
              <w:bidi w:val="0"/>
              <w:spacing w:before="0" w:after="0"/>
              <w:ind w:left="0" w:right="0" w:hanging="0"/>
              <w:jc w:val="left"/>
              <w:rPr/>
            </w:pPr>
            <w:r>
              <w:rPr>
                <w:rFonts w:ascii="Times New Roman;Times;serif" w:hAnsi="Times New Roman;Times;serif"/>
                <w:b/>
                <w:caps w:val="false"/>
                <w:smallCaps w:val="false"/>
                <w:sz w:val="20"/>
              </w:rPr>
              <w:t>(</w:t>
            </w:r>
            <w:r>
              <w:rPr>
                <w:rStyle w:val="Emphasis"/>
                <w:rFonts w:ascii="Times New Roman;Times;serif" w:hAnsi="Times New Roman;Times;serif"/>
                <w:b/>
                <w:caps w:val="false"/>
                <w:smallCaps w:val="false"/>
                <w:sz w:val="20"/>
              </w:rPr>
              <w:t>4</w:t>
            </w:r>
            <w:r>
              <w:rPr>
                <w:rFonts w:ascii="Times New Roman;Times;serif" w:hAnsi="Times New Roman;Times;serif"/>
                <w:b/>
                <w:caps w:val="false"/>
                <w:smallCaps w:val="false"/>
                <w:sz w:val="20"/>
              </w:rPr>
              <w:t>)</w:t>
            </w:r>
          </w:p>
        </w:tc>
        <w:tc>
          <w:tcPr>
            <w:tcW w:w="29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FAIR VALUE MEASUREMENTS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ASC Topic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(Fair Value Measurement) establishes a fair value hierarchy for instruments measured at fair value that distinguishes between assumptions based on market data (observable inputs) and our own assumptions (unobservable inputs). Observable inputs are inputs that market participants would use in pricing the asset or liability based on market data obtained from sources independent of us. Unobservable inputs are inputs that reflect our assumptions about the inputs that market participants would use in pricing the asset or liability and are developed based on the best information available in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ASC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establishes a </w:t>
      </w:r>
      <w:r>
        <w:rPr>
          <w:rStyle w:val="Emphasis"/>
          <w:rFonts w:ascii="Times New Roman" w:hAnsi="Times New Roman"/>
          <w:caps w:val="false"/>
          <w:smallCaps w:val="false"/>
          <w:sz w:val="20"/>
        </w:rPr>
        <w:t>three</w:t>
      </w:r>
      <w:r>
        <w:rPr>
          <w:rFonts w:ascii="Times New Roman" w:hAnsi="Times New Roman"/>
          <w:caps w:val="false"/>
          <w:smallCaps w:val="false"/>
          <w:sz w:val="20"/>
        </w:rPr>
        <w:t>-tier fair value hierarchy that distinguishes among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Valuations based on unadjusted quoted prices in active markets for identical assets or liabilities that we have the ability to access.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Valuations based on quoted prices for similar assets or liabilities in active markets, quoted prices for identical or similar assets or liabilities in markets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active and models for which all significant inputs are observable, either directly or indirectly.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Valuations based on inputs that are unobservable and significant to the overall fair value 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 </w:t>
      </w: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720" w:right="0" w:hanging="0"/>
        <w:jc w:val="left"/>
        <w:rPr/>
      </w:pPr>
      <w:r>
        <w:rPr>
          <w:rFonts w:ascii="Times New Roman" w:hAnsi="Times New Roman"/>
          <w:caps w:val="false"/>
          <w:smallCaps w:val="false"/>
          <w:sz w:val="20"/>
        </w:rPr>
        <w:t xml:space="preserve">To the extent that the valuation is based on models or inputs that are less observable or unobservable in the market, the determination of fair value requires more judgment. Accordingly, the degree of judgment exercised by us in determining fair value is greatest for instruments categorized in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A financial instrument's level within the fair value hierarchy is based on the lowest level of any input that is significant to the fair value 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Recurring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The interest rate swap agreement we entered into in connection with our Term Note, as discussed further in Notes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is measured at fair value on a recurring basis using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inputs. The contingent consideration liability on our balance sheet is measured at fair value on a recurring basis using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inputs. Our contingent consideration liability is a result of our acquisition of Acculogic on </w:t>
      </w:r>
      <w:r>
        <w:rPr>
          <w:rStyle w:val="Emphasis"/>
          <w:rFonts w:ascii="Times New Roman" w:hAnsi="Times New Roman"/>
          <w:caps w:val="false"/>
          <w:smallCaps w:val="false"/>
          <w:sz w:val="20"/>
        </w:rPr>
        <w:t xml:space="preserve">December 21, 2021, </w:t>
      </w:r>
      <w:r>
        <w:rPr>
          <w:rFonts w:ascii="Times New Roman" w:hAnsi="Times New Roman"/>
          <w:caps w:val="false"/>
          <w:smallCaps w:val="false"/>
          <w:sz w:val="20"/>
        </w:rPr>
        <w:t xml:space="preserve">and represents the estimated fair value of the additional cash consideration payable that is contingent upon sales to Electric Vehicle (“EV”) or battery customers. Our acquisition of Acculogic and this liability are both discussed further in Note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to our consolidated financial statements in our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The current portion of our contingent consideration liability was $247 and $0 at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respectively, and was included in Other Current Liabilities on our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following fair value hierarchy table presents information about assets and (liabilities) measured at fair value on a recurring basis:</w:t>
      </w:r>
    </w:p>
    <w:p>
      <w:pPr>
        <w:pStyle w:val="TextBody"/>
        <w:bidi w:val="0"/>
        <w:spacing w:before="0" w:after="0"/>
        <w:ind w:left="0" w:right="0" w:hanging="0"/>
        <w:jc w:val="left"/>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3860"/>
        <w:gridCol w:w="60"/>
        <w:gridCol w:w="182"/>
        <w:gridCol w:w="798"/>
        <w:gridCol w:w="80"/>
        <w:gridCol w:w="60"/>
        <w:gridCol w:w="395"/>
        <w:gridCol w:w="254"/>
        <w:gridCol w:w="101"/>
        <w:gridCol w:w="101"/>
        <w:gridCol w:w="211"/>
        <w:gridCol w:w="565"/>
        <w:gridCol w:w="101"/>
        <w:gridCol w:w="101"/>
        <w:gridCol w:w="211"/>
        <w:gridCol w:w="920"/>
        <w:gridCol w:w="95"/>
      </w:tblGrid>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at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6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 Measurement Using</w:t>
            </w:r>
          </w:p>
        </w:tc>
        <w:tc>
          <w:tcPr>
            <w:tcW w:w="95"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1</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ind w:left="0" w:right="0" w:hanging="0"/>
              <w:jc w:val="left"/>
              <w:rPr/>
            </w:pPr>
            <w:r>
              <w:rPr/>
              <w:t> </w:t>
            </w:r>
          </w:p>
        </w:tc>
        <w:tc>
          <w:tcPr>
            <w:tcW w:w="7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2</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ind w:left="0" w:right="0" w:hanging="0"/>
              <w:jc w:val="left"/>
              <w:rPr/>
            </w:pPr>
            <w:r>
              <w:rPr/>
              <w:t> </w:t>
            </w:r>
          </w:p>
        </w:tc>
        <w:tc>
          <w:tcPr>
            <w:tcW w:w="11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3</w:t>
            </w:r>
          </w:p>
        </w:tc>
        <w:tc>
          <w:tcPr>
            <w:tcW w:w="95"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March 31, 2024</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Contingent consideration liability – Acculogic</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21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21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(1,069</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3860"/>
        <w:gridCol w:w="60"/>
        <w:gridCol w:w="182"/>
        <w:gridCol w:w="798"/>
        <w:gridCol w:w="80"/>
        <w:gridCol w:w="60"/>
        <w:gridCol w:w="395"/>
        <w:gridCol w:w="254"/>
        <w:gridCol w:w="101"/>
        <w:gridCol w:w="101"/>
        <w:gridCol w:w="211"/>
        <w:gridCol w:w="565"/>
        <w:gridCol w:w="101"/>
        <w:gridCol w:w="101"/>
        <w:gridCol w:w="211"/>
        <w:gridCol w:w="920"/>
        <w:gridCol w:w="95"/>
      </w:tblGrid>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at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6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 Measurement Using</w:t>
            </w:r>
          </w:p>
        </w:tc>
        <w:tc>
          <w:tcPr>
            <w:tcW w:w="95"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1</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ind w:left="0" w:right="0" w:hanging="0"/>
              <w:jc w:val="left"/>
              <w:rPr/>
            </w:pPr>
            <w:r>
              <w:rPr/>
              <w:t> </w:t>
            </w:r>
          </w:p>
        </w:tc>
        <w:tc>
          <w:tcPr>
            <w:tcW w:w="7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2</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ind w:left="0" w:right="0" w:hanging="0"/>
              <w:jc w:val="left"/>
              <w:rPr/>
            </w:pPr>
            <w:r>
              <w:rPr/>
              <w:t> </w:t>
            </w:r>
          </w:p>
        </w:tc>
        <w:tc>
          <w:tcPr>
            <w:tcW w:w="11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3</w:t>
            </w:r>
          </w:p>
        </w:tc>
        <w:tc>
          <w:tcPr>
            <w:tcW w:w="95"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December 31, 2023</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Contingent consideration liability – Acculogic</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21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21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Changes in the fair value of our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contingent consideration liabilities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were as follows:</w:t>
      </w:r>
    </w:p>
    <w:p>
      <w:pPr>
        <w:pStyle w:val="TextBody"/>
        <w:bidi w:val="0"/>
        <w:spacing w:before="0" w:after="0"/>
        <w:ind w:left="0" w:right="0" w:hanging="0"/>
        <w:jc w:val="left"/>
        <w:rPr>
          <w:caps w:val="false"/>
          <w:smallCaps w:val="false"/>
        </w:rPr>
      </w:pPr>
      <w:r>
        <w:rPr>
          <w:caps w:val="false"/>
          <w:smallCaps w:val="false"/>
        </w:rPr>
        <w:t> </w:t>
      </w:r>
    </w:p>
    <w:tbl>
      <w:tblPr>
        <w:tblW w:w="5624" w:type="dxa"/>
        <w:jc w:val="left"/>
        <w:tblInd w:w="0" w:type="dxa"/>
        <w:tblLayout w:type="fixed"/>
        <w:tblCellMar>
          <w:top w:w="0" w:type="dxa"/>
          <w:left w:w="0" w:type="dxa"/>
          <w:bottom w:w="0" w:type="dxa"/>
          <w:right w:w="0" w:type="dxa"/>
        </w:tblCellMar>
      </w:tblPr>
      <w:tblGrid>
        <w:gridCol w:w="4115"/>
        <w:gridCol w:w="60"/>
        <w:gridCol w:w="277"/>
        <w:gridCol w:w="1077"/>
        <w:gridCol w:w="95"/>
      </w:tblGrid>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 2024</w:t>
            </w:r>
          </w:p>
        </w:tc>
        <w:tc>
          <w:tcPr>
            <w:tcW w:w="95"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w:t>
            </w:r>
          </w:p>
        </w:tc>
        <w:tc>
          <w:tcPr>
            <w:tcW w:w="9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Impact of 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2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2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1,069</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3940" w:type="dxa"/>
        <w:jc w:val="left"/>
        <w:tblInd w:w="0" w:type="dxa"/>
        <w:tblLayout w:type="fixed"/>
        <w:tblCellMar>
          <w:top w:w="0" w:type="dxa"/>
          <w:left w:w="0" w:type="dxa"/>
          <w:bottom w:w="0" w:type="dxa"/>
          <w:right w:w="0" w:type="dxa"/>
        </w:tblCellMar>
      </w:tblPr>
      <w:tblGrid>
        <w:gridCol w:w="290"/>
        <w:gridCol w:w="3650"/>
      </w:tblGrid>
      <w:tr>
        <w:trPr/>
        <w:tc>
          <w:tcPr>
            <w:tcW w:w="290" w:type="dxa"/>
            <w:tcBorders/>
            <w:vAlign w:val="center"/>
          </w:tcPr>
          <w:p>
            <w:pPr>
              <w:pStyle w:val="TableContents"/>
              <w:bidi w:val="0"/>
              <w:spacing w:before="0" w:after="0"/>
              <w:ind w:left="0" w:right="0" w:hanging="0"/>
              <w:jc w:val="left"/>
              <w:rPr/>
            </w:pPr>
            <w:r>
              <w:rPr>
                <w:rFonts w:ascii="Times New Roman;Times;serif" w:hAnsi="Times New Roman;Times;serif"/>
                <w:b/>
                <w:caps w:val="false"/>
                <w:smallCaps w:val="false"/>
                <w:sz w:val="20"/>
              </w:rPr>
              <w:t>(</w:t>
            </w:r>
            <w:r>
              <w:rPr>
                <w:rStyle w:val="Emphasis"/>
                <w:rFonts w:ascii="Times New Roman;Times;serif" w:hAnsi="Times New Roman;Times;serif"/>
                <w:b/>
                <w:caps w:val="false"/>
                <w:smallCaps w:val="false"/>
                <w:sz w:val="20"/>
              </w:rPr>
              <w:t>5</w:t>
            </w:r>
            <w:r>
              <w:rPr>
                <w:rFonts w:ascii="Times New Roman;Times;serif" w:hAnsi="Times New Roman;Times;serif"/>
                <w:b/>
                <w:caps w:val="false"/>
                <w:smallCaps w:val="false"/>
                <w:sz w:val="20"/>
              </w:rPr>
              <w:t xml:space="preserve">) </w:t>
            </w:r>
          </w:p>
        </w:tc>
        <w:tc>
          <w:tcPr>
            <w:tcW w:w="36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GOODWILL AND INTANGIBLE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We have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operating segments which are also our reporting units: Electronic Test, Environmental Technologies and Process Technologies. Goodwill and intangible assets on our balance sheets are the result of our acquisitions.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b/>
          <w:i/>
          <w:caps w:val="false"/>
          <w:smallCaps w:val="false"/>
          <w:sz w:val="20"/>
          <w:u w:val="single"/>
        </w:rPr>
        <w:t>Goodwill</w:t>
      </w:r>
      <w:r>
        <w:rPr>
          <w:rFonts w:ascii="Times New Roman" w:hAnsi="Times New Roman"/>
          <w:caps w:val="false"/>
          <w:smallCaps w:val="false"/>
          <w:sz w:val="20"/>
        </w:rPr>
        <w:br/>
        <w:br/>
        <w:t xml:space="preserve">Changes in the amount of the carrying value of goodwill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are as follows:</w:t>
      </w:r>
    </w:p>
    <w:p>
      <w:pPr>
        <w:pStyle w:val="TextBody"/>
        <w:bidi w:val="0"/>
        <w:spacing w:before="0" w:after="0"/>
        <w:ind w:left="0" w:right="0" w:hanging="0"/>
        <w:jc w:val="left"/>
        <w:rPr>
          <w:caps w:val="false"/>
          <w:smallCaps w:val="false"/>
        </w:rPr>
      </w:pPr>
      <w:r>
        <w:rPr>
          <w:caps w:val="false"/>
          <w:smallCaps w:val="false"/>
        </w:rPr>
        <w:t> </w:t>
      </w:r>
    </w:p>
    <w:tbl>
      <w:tblPr>
        <w:tblW w:w="4985" w:type="dxa"/>
        <w:jc w:val="left"/>
        <w:tblInd w:w="0" w:type="dxa"/>
        <w:tblLayout w:type="fixed"/>
        <w:tblCellMar>
          <w:top w:w="0" w:type="dxa"/>
          <w:left w:w="0" w:type="dxa"/>
          <w:bottom w:w="0" w:type="dxa"/>
          <w:right w:w="0" w:type="dxa"/>
        </w:tblCellMar>
      </w:tblPr>
      <w:tblGrid>
        <w:gridCol w:w="4115"/>
        <w:gridCol w:w="60"/>
        <w:gridCol w:w="125"/>
        <w:gridCol w:w="590"/>
        <w:gridCol w:w="95"/>
      </w:tblGrid>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 January 1, 2024</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21,728</w:t>
            </w:r>
          </w:p>
        </w:tc>
        <w:tc>
          <w:tcPr>
            <w:tcW w:w="9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of Alfamation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11,796</w:t>
            </w:r>
          </w:p>
        </w:tc>
        <w:tc>
          <w:tcPr>
            <w:tcW w:w="9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Impact of 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 March 31, 2024</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33,278</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 </w:t>
      </w: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720" w:right="0" w:hanging="0"/>
        <w:jc w:val="left"/>
        <w:rPr/>
      </w:pPr>
      <w:r>
        <w:rPr>
          <w:rFonts w:ascii="Times New Roman" w:hAnsi="Times New Roman"/>
          <w:caps w:val="false"/>
          <w:smallCaps w:val="false"/>
          <w:sz w:val="20"/>
        </w:rPr>
        <w:t xml:space="preserve">Goodwill was comprised of the following at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2023:</w:t>
      </w:r>
    </w:p>
    <w:p>
      <w:pPr>
        <w:pStyle w:val="TextBody"/>
        <w:bidi w:val="0"/>
        <w:spacing w:before="0" w:after="0"/>
        <w:ind w:left="0" w:right="0" w:hanging="0"/>
        <w:jc w:val="left"/>
        <w:rPr>
          <w:caps w:val="false"/>
          <w:smallCaps w:val="false"/>
        </w:rPr>
      </w:pPr>
      <w:r>
        <w:rPr>
          <w:caps w:val="false"/>
          <w:smallCaps w:val="false"/>
        </w:rPr>
        <w:t> </w:t>
      </w:r>
    </w:p>
    <w:tbl>
      <w:tblPr>
        <w:tblW w:w="4723" w:type="dxa"/>
        <w:jc w:val="left"/>
        <w:tblInd w:w="0" w:type="dxa"/>
        <w:tblLayout w:type="fixed"/>
        <w:tblCellMar>
          <w:top w:w="0" w:type="dxa"/>
          <w:left w:w="0" w:type="dxa"/>
          <w:bottom w:w="0" w:type="dxa"/>
          <w:right w:w="0" w:type="dxa"/>
        </w:tblCellMar>
      </w:tblPr>
      <w:tblGrid>
        <w:gridCol w:w="2405"/>
        <w:gridCol w:w="60"/>
        <w:gridCol w:w="155"/>
        <w:gridCol w:w="734"/>
        <w:gridCol w:w="60"/>
        <w:gridCol w:w="60"/>
        <w:gridCol w:w="204"/>
        <w:gridCol w:w="970"/>
        <w:gridCol w:w="75"/>
      </w:tblGrid>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75"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75" w:type="dxa"/>
            <w:tcBorders/>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Electronic Test</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3,436</w:t>
            </w:r>
          </w:p>
        </w:tc>
        <w:tc>
          <w:tcPr>
            <w:tcW w:w="75"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Environmental Technologies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1,817</w:t>
            </w:r>
          </w:p>
        </w:tc>
        <w:tc>
          <w:tcPr>
            <w:tcW w:w="75"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Process Technologies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16,475</w:t>
            </w:r>
          </w:p>
        </w:tc>
        <w:tc>
          <w:tcPr>
            <w:tcW w:w="75"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goodwill</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21,728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b/>
          <w:i/>
          <w:caps w:val="false"/>
          <w:smallCaps w:val="false"/>
          <w:sz w:val="20"/>
          <w:u w:val="single"/>
        </w:rPr>
        <w:t>Intangible Assets</w:t>
      </w:r>
      <w:r>
        <w:rPr>
          <w:rFonts w:ascii="Times New Roman" w:hAnsi="Times New Roman"/>
          <w:caps w:val="false"/>
          <w:smallCaps w:val="false"/>
          <w:sz w:val="20"/>
        </w:rPr>
        <w:br/>
        <w:br/>
        <w:t xml:space="preserve">Changes in the amount of the carrying value of indefinite-lived intangible assets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are as follows:</w:t>
      </w:r>
    </w:p>
    <w:p>
      <w:pPr>
        <w:pStyle w:val="TextBody"/>
        <w:bidi w:val="0"/>
        <w:spacing w:before="0" w:after="0"/>
        <w:ind w:left="0" w:right="0" w:hanging="0"/>
        <w:jc w:val="left"/>
        <w:rPr>
          <w:caps w:val="false"/>
          <w:smallCaps w:val="false"/>
        </w:rPr>
      </w:pPr>
      <w:r>
        <w:rPr>
          <w:caps w:val="false"/>
          <w:smallCaps w:val="false"/>
        </w:rPr>
        <w:t> </w:t>
      </w:r>
    </w:p>
    <w:tbl>
      <w:tblPr>
        <w:tblW w:w="4985" w:type="dxa"/>
        <w:jc w:val="left"/>
        <w:tblInd w:w="0" w:type="dxa"/>
        <w:tblLayout w:type="fixed"/>
        <w:tblCellMar>
          <w:top w:w="0" w:type="dxa"/>
          <w:left w:w="0" w:type="dxa"/>
          <w:bottom w:w="0" w:type="dxa"/>
          <w:right w:w="0" w:type="dxa"/>
        </w:tblCellMar>
      </w:tblPr>
      <w:tblGrid>
        <w:gridCol w:w="4115"/>
        <w:gridCol w:w="60"/>
        <w:gridCol w:w="125"/>
        <w:gridCol w:w="590"/>
        <w:gridCol w:w="95"/>
      </w:tblGrid>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 January 1, 2024</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8,398</w:t>
            </w:r>
          </w:p>
        </w:tc>
        <w:tc>
          <w:tcPr>
            <w:tcW w:w="9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of Alfamation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3,399</w:t>
            </w:r>
          </w:p>
        </w:tc>
        <w:tc>
          <w:tcPr>
            <w:tcW w:w="9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Impact of 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 March 31, 2024</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11,731</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Changes in the amount of the carrying value of finite-lived intangible assets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are as follows:</w:t>
      </w:r>
    </w:p>
    <w:p>
      <w:pPr>
        <w:pStyle w:val="TextBody"/>
        <w:bidi w:val="0"/>
        <w:spacing w:before="0" w:after="0"/>
        <w:ind w:left="0" w:right="0" w:hanging="0"/>
        <w:jc w:val="left"/>
        <w:rPr>
          <w:caps w:val="false"/>
          <w:smallCaps w:val="false"/>
        </w:rPr>
      </w:pPr>
      <w:r>
        <w:rPr>
          <w:caps w:val="false"/>
          <w:smallCaps w:val="false"/>
        </w:rPr>
        <w:t> </w:t>
      </w:r>
    </w:p>
    <w:tbl>
      <w:tblPr>
        <w:tblW w:w="4985" w:type="dxa"/>
        <w:jc w:val="left"/>
        <w:tblInd w:w="0" w:type="dxa"/>
        <w:tblLayout w:type="fixed"/>
        <w:tblCellMar>
          <w:top w:w="0" w:type="dxa"/>
          <w:left w:w="0" w:type="dxa"/>
          <w:bottom w:w="0" w:type="dxa"/>
          <w:right w:w="0" w:type="dxa"/>
        </w:tblCellMar>
      </w:tblPr>
      <w:tblGrid>
        <w:gridCol w:w="4115"/>
        <w:gridCol w:w="60"/>
        <w:gridCol w:w="125"/>
        <w:gridCol w:w="590"/>
        <w:gridCol w:w="95"/>
      </w:tblGrid>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 January 1, 2024</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8,198</w:t>
            </w:r>
          </w:p>
        </w:tc>
        <w:tc>
          <w:tcPr>
            <w:tcW w:w="9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of Alfamation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9,688</w:t>
            </w:r>
          </w:p>
        </w:tc>
        <w:tc>
          <w:tcPr>
            <w:tcW w:w="9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Impact of 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 March 31, 2024</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17,088</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Intangible assets were allocated to our reporting segments at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as follows:</w:t>
      </w:r>
    </w:p>
    <w:p>
      <w:pPr>
        <w:pStyle w:val="TextBody"/>
        <w:bidi w:val="0"/>
        <w:spacing w:before="0" w:after="0"/>
        <w:ind w:left="0" w:right="0" w:hanging="0"/>
        <w:jc w:val="left"/>
        <w:rPr>
          <w:caps w:val="false"/>
          <w:smallCaps w:val="false"/>
        </w:rPr>
      </w:pPr>
      <w:r>
        <w:rPr>
          <w:caps w:val="false"/>
          <w:smallCaps w:val="false"/>
        </w:rPr>
        <w:t> </w:t>
      </w:r>
    </w:p>
    <w:tbl>
      <w:tblPr>
        <w:tblW w:w="4723" w:type="dxa"/>
        <w:jc w:val="left"/>
        <w:tblInd w:w="0" w:type="dxa"/>
        <w:tblLayout w:type="fixed"/>
        <w:tblCellMar>
          <w:top w:w="0" w:type="dxa"/>
          <w:left w:w="0" w:type="dxa"/>
          <w:bottom w:w="0" w:type="dxa"/>
          <w:right w:w="0" w:type="dxa"/>
        </w:tblCellMar>
      </w:tblPr>
      <w:tblGrid>
        <w:gridCol w:w="2405"/>
        <w:gridCol w:w="60"/>
        <w:gridCol w:w="155"/>
        <w:gridCol w:w="734"/>
        <w:gridCol w:w="60"/>
        <w:gridCol w:w="60"/>
        <w:gridCol w:w="204"/>
        <w:gridCol w:w="970"/>
        <w:gridCol w:w="75"/>
      </w:tblGrid>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75"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75" w:type="dxa"/>
            <w:tcBorders/>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Electronic Test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3,728</w:t>
            </w:r>
          </w:p>
        </w:tc>
        <w:tc>
          <w:tcPr>
            <w:tcW w:w="75"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Environmental Technologies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w:t>
            </w:r>
          </w:p>
        </w:tc>
        <w:tc>
          <w:tcPr>
            <w:tcW w:w="75"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Process Technologies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12,074</w:t>
            </w:r>
          </w:p>
        </w:tc>
        <w:tc>
          <w:tcPr>
            <w:tcW w:w="75"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16,596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The following tables provide further detail about our intangible assets as of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2023:</w:t>
      </w:r>
    </w:p>
    <w:p>
      <w:pPr>
        <w:pStyle w:val="TextBody"/>
        <w:bidi w:val="0"/>
        <w:spacing w:before="0" w:after="0"/>
        <w:ind w:left="0" w:right="0" w:hanging="0"/>
        <w:jc w:val="left"/>
        <w:rPr>
          <w:caps w:val="false"/>
          <w:smallCaps w:val="false"/>
        </w:rPr>
      </w:pPr>
      <w:r>
        <w:rPr>
          <w:caps w:val="false"/>
          <w:smallCaps w:val="false"/>
        </w:rPr>
        <w:t> </w:t>
      </w:r>
    </w:p>
    <w:tbl>
      <w:tblPr>
        <w:tblW w:w="6004" w:type="dxa"/>
        <w:jc w:val="left"/>
        <w:tblInd w:w="0" w:type="dxa"/>
        <w:tblLayout w:type="fixed"/>
        <w:tblCellMar>
          <w:top w:w="0" w:type="dxa"/>
          <w:left w:w="0" w:type="dxa"/>
          <w:bottom w:w="0" w:type="dxa"/>
          <w:right w:w="0" w:type="dxa"/>
        </w:tblCellMar>
      </w:tblPr>
      <w:tblGrid>
        <w:gridCol w:w="2825"/>
        <w:gridCol w:w="60"/>
        <w:gridCol w:w="142"/>
        <w:gridCol w:w="673"/>
        <w:gridCol w:w="60"/>
        <w:gridCol w:w="60"/>
        <w:gridCol w:w="204"/>
        <w:gridCol w:w="970"/>
        <w:gridCol w:w="60"/>
        <w:gridCol w:w="60"/>
        <w:gridCol w:w="142"/>
        <w:gridCol w:w="673"/>
        <w:gridCol w:w="75"/>
      </w:tblGrid>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44"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2024 </w:t>
            </w:r>
          </w:p>
        </w:tc>
        <w:tc>
          <w:tcPr>
            <w:tcW w:w="7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Carrying</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Accumulated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Amortization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Carrying</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75" w:type="dxa"/>
            <w:tcBorders/>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Finite-lived intangible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12,120</w:t>
            </w:r>
          </w:p>
        </w:tc>
        <w:tc>
          <w:tcPr>
            <w:tcW w:w="75"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Technology</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1,691</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Backlog</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3,277</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Software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finite-lived intangible assets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17,088</w:t>
            </w:r>
          </w:p>
        </w:tc>
        <w:tc>
          <w:tcPr>
            <w:tcW w:w="75"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Indefinite-lived intangible assets: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11,731</w:t>
            </w:r>
          </w:p>
        </w:tc>
        <w:tc>
          <w:tcPr>
            <w:tcW w:w="75"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28,819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004" w:type="dxa"/>
        <w:jc w:val="left"/>
        <w:tblInd w:w="0" w:type="dxa"/>
        <w:tblLayout w:type="fixed"/>
        <w:tblCellMar>
          <w:top w:w="0" w:type="dxa"/>
          <w:left w:w="0" w:type="dxa"/>
          <w:bottom w:w="0" w:type="dxa"/>
          <w:right w:w="0" w:type="dxa"/>
        </w:tblCellMar>
      </w:tblPr>
      <w:tblGrid>
        <w:gridCol w:w="2825"/>
        <w:gridCol w:w="60"/>
        <w:gridCol w:w="142"/>
        <w:gridCol w:w="673"/>
        <w:gridCol w:w="60"/>
        <w:gridCol w:w="60"/>
        <w:gridCol w:w="204"/>
        <w:gridCol w:w="970"/>
        <w:gridCol w:w="60"/>
        <w:gridCol w:w="60"/>
        <w:gridCol w:w="142"/>
        <w:gridCol w:w="673"/>
        <w:gridCol w:w="75"/>
      </w:tblGrid>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44"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2023 </w:t>
            </w:r>
          </w:p>
        </w:tc>
        <w:tc>
          <w:tcPr>
            <w:tcW w:w="7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w:t>
              <w:br/>
              <w:t>Carrying</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Accumulated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Amortization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w:t>
              <w:br/>
              <w:t>Carrying</w:t>
              <w:br/>
              <w:t>Amount</w:t>
            </w:r>
          </w:p>
        </w:tc>
        <w:tc>
          <w:tcPr>
            <w:tcW w:w="75" w:type="dxa"/>
            <w:tcBorders/>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Finite-lived intangible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6,720</w:t>
            </w:r>
          </w:p>
        </w:tc>
        <w:tc>
          <w:tcPr>
            <w:tcW w:w="75"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Technology</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1,478</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Backlog</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Software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finite-lived intangible assets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8,198</w:t>
            </w:r>
          </w:p>
        </w:tc>
        <w:tc>
          <w:tcPr>
            <w:tcW w:w="75"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Indefinite-lived intangible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8,398</w:t>
            </w:r>
          </w:p>
        </w:tc>
        <w:tc>
          <w:tcPr>
            <w:tcW w:w="75"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16,596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 </w:t>
      </w: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720" w:right="0" w:hanging="0"/>
        <w:jc w:val="left"/>
        <w:rPr/>
      </w:pPr>
      <w:r>
        <w:rPr>
          <w:rFonts w:ascii="Times New Roman" w:hAnsi="Times New Roman"/>
          <w:caps w:val="false"/>
          <w:smallCaps w:val="false"/>
          <w:sz w:val="20"/>
        </w:rPr>
        <w:t xml:space="preserve">We generally amortize our finite-lived intangible assets over their estimated useful lives based on the pattern in which the economic benefits of the intangible assets are expected to be consumed, or on a straight-line basis, if an alternate amortization method cannot be reliably determined. Any such alternate amortization method would be based on the pattern in which the economic benefits of the intangible asset are expected to be consumed. </w:t>
      </w:r>
      <w:r>
        <w:rPr>
          <w:rStyle w:val="Emphasis"/>
          <w:rFonts w:ascii="Times New Roman" w:hAnsi="Times New Roman"/>
          <w:caps w:val="false"/>
          <w:smallCaps w:val="false"/>
          <w:sz w:val="20"/>
        </w:rPr>
        <w:t>None</w:t>
      </w:r>
      <w:r>
        <w:rPr>
          <w:rFonts w:ascii="Times New Roman" w:hAnsi="Times New Roman"/>
          <w:caps w:val="false"/>
          <w:smallCaps w:val="false"/>
          <w:sz w:val="20"/>
        </w:rPr>
        <w:t xml:space="preserve"> of our intangible assets have any residual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The following table sets forth the estimated annual amortization expense for each of the next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years:</w:t>
      </w:r>
    </w:p>
    <w:p>
      <w:pPr>
        <w:pStyle w:val="TextBody"/>
        <w:bidi w:val="0"/>
        <w:spacing w:before="0" w:after="0"/>
        <w:ind w:left="0" w:right="0" w:hanging="0"/>
        <w:jc w:val="left"/>
        <w:rPr>
          <w:caps w:val="false"/>
          <w:smallCaps w:val="false"/>
        </w:rPr>
      </w:pPr>
      <w:r>
        <w:rPr>
          <w:caps w:val="false"/>
          <w:smallCaps w:val="false"/>
        </w:rPr>
        <w:t> </w:t>
      </w:r>
    </w:p>
    <w:tbl>
      <w:tblPr>
        <w:tblW w:w="2175" w:type="dxa"/>
        <w:jc w:val="left"/>
        <w:tblInd w:w="0" w:type="dxa"/>
        <w:tblLayout w:type="fixed"/>
        <w:tblCellMar>
          <w:top w:w="0" w:type="dxa"/>
          <w:left w:w="0" w:type="dxa"/>
          <w:bottom w:w="0" w:type="dxa"/>
          <w:right w:w="0" w:type="dxa"/>
        </w:tblCellMar>
      </w:tblPr>
      <w:tblGrid>
        <w:gridCol w:w="1430"/>
        <w:gridCol w:w="60"/>
        <w:gridCol w:w="125"/>
        <w:gridCol w:w="485"/>
        <w:gridCol w:w="75"/>
      </w:tblGrid>
      <w:tr>
        <w:trPr/>
        <w:tc>
          <w:tcPr>
            <w:tcW w:w="1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 (remainder)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4,384</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2,863</w:t>
            </w:r>
          </w:p>
        </w:tc>
        <w:tc>
          <w:tcPr>
            <w:tcW w:w="75" w:type="dxa"/>
            <w:tcBorders/>
            <w:shd w:fill="FFFFFF" w:val="clear"/>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1,577</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1,083</w:t>
            </w:r>
          </w:p>
        </w:tc>
        <w:tc>
          <w:tcPr>
            <w:tcW w:w="75" w:type="dxa"/>
            <w:tcBorders/>
            <w:shd w:fill="FFFFFF" w:val="clear"/>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4990" w:type="dxa"/>
        <w:jc w:val="left"/>
        <w:tblInd w:w="0" w:type="dxa"/>
        <w:tblLayout w:type="fixed"/>
        <w:tblCellMar>
          <w:top w:w="0" w:type="dxa"/>
          <w:left w:w="0" w:type="dxa"/>
          <w:bottom w:w="0" w:type="dxa"/>
          <w:right w:w="0" w:type="dxa"/>
        </w:tblCellMar>
      </w:tblPr>
      <w:tblGrid>
        <w:gridCol w:w="290"/>
        <w:gridCol w:w="4700"/>
      </w:tblGrid>
      <w:tr>
        <w:trPr/>
        <w:tc>
          <w:tcPr>
            <w:tcW w:w="290" w:type="dxa"/>
            <w:tcBorders/>
            <w:vAlign w:val="center"/>
          </w:tcPr>
          <w:p>
            <w:pPr>
              <w:pStyle w:val="TableContents"/>
              <w:bidi w:val="0"/>
              <w:spacing w:before="0" w:after="0"/>
              <w:ind w:left="0" w:right="0" w:hanging="0"/>
              <w:jc w:val="left"/>
              <w:rPr/>
            </w:pPr>
            <w:r>
              <w:rPr>
                <w:rFonts w:ascii="Times New Roman;Times;serif" w:hAnsi="Times New Roman;Times;serif"/>
                <w:b/>
                <w:caps w:val="false"/>
                <w:smallCaps w:val="false"/>
                <w:sz w:val="20"/>
              </w:rPr>
              <w:t>(</w:t>
            </w:r>
            <w:r>
              <w:rPr>
                <w:rStyle w:val="Emphasis"/>
                <w:rFonts w:ascii="Times New Roman;Times;serif" w:hAnsi="Times New Roman;Times;serif"/>
                <w:b/>
                <w:caps w:val="false"/>
                <w:smallCaps w:val="false"/>
                <w:sz w:val="20"/>
              </w:rPr>
              <w:t>6</w:t>
            </w:r>
            <w:r>
              <w:rPr>
                <w:rFonts w:ascii="Times New Roman;Times;serif" w:hAnsi="Times New Roman;Times;serif"/>
                <w:b/>
                <w:caps w:val="false"/>
                <w:smallCaps w:val="false"/>
                <w:sz w:val="20"/>
              </w:rPr>
              <w:t xml:space="preserve">) </w:t>
            </w:r>
          </w:p>
        </w:tc>
        <w:tc>
          <w:tcPr>
            <w:tcW w:w="47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 FROM CONTRACTS WITH CUSTOMERS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The following tables provide additional information about our revenue from contracts with customers, including revenue by customer and product type and revenue by market. See also Note </w:t>
      </w:r>
      <w:r>
        <w:rPr>
          <w:rStyle w:val="Emphasis"/>
          <w:rFonts w:ascii="Times New Roman" w:hAnsi="Times New Roman"/>
          <w:caps w:val="false"/>
          <w:smallCaps w:val="false"/>
          <w:sz w:val="20"/>
        </w:rPr>
        <w:t>14</w:t>
      </w:r>
      <w:r>
        <w:rPr>
          <w:rFonts w:ascii="Times New Roman" w:hAnsi="Times New Roman"/>
          <w:caps w:val="false"/>
          <w:smallCaps w:val="false"/>
          <w:sz w:val="20"/>
        </w:rPr>
        <w:t xml:space="preserve"> for information about revenue by operating segment and geographic region.</w:t>
      </w:r>
    </w:p>
    <w:p>
      <w:pPr>
        <w:pStyle w:val="TextBody"/>
        <w:bidi w:val="0"/>
        <w:spacing w:before="0" w:after="0"/>
        <w:ind w:left="0" w:right="0" w:hanging="0"/>
        <w:jc w:val="left"/>
        <w:rPr>
          <w:caps w:val="false"/>
          <w:smallCaps w:val="false"/>
        </w:rPr>
      </w:pPr>
      <w:r>
        <w:rPr>
          <w:caps w:val="false"/>
          <w:smallCaps w:val="false"/>
        </w:rPr>
        <w:t> </w:t>
      </w:r>
    </w:p>
    <w:tbl>
      <w:tblPr>
        <w:tblW w:w="5318" w:type="dxa"/>
        <w:jc w:val="left"/>
        <w:tblInd w:w="0" w:type="dxa"/>
        <w:tblLayout w:type="fixed"/>
        <w:tblCellMar>
          <w:top w:w="0" w:type="dxa"/>
          <w:left w:w="0" w:type="dxa"/>
          <w:bottom w:w="0" w:type="dxa"/>
          <w:right w:w="0" w:type="dxa"/>
        </w:tblCellMar>
      </w:tblPr>
      <w:tblGrid>
        <w:gridCol w:w="3395"/>
        <w:gridCol w:w="60"/>
        <w:gridCol w:w="144"/>
        <w:gridCol w:w="681"/>
        <w:gridCol w:w="69"/>
        <w:gridCol w:w="69"/>
        <w:gridCol w:w="144"/>
        <w:gridCol w:w="681"/>
        <w:gridCol w:w="75"/>
      </w:tblGrid>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br/>
              <w:t xml:space="preserve">March 31, </w:t>
            </w:r>
          </w:p>
        </w:tc>
        <w:tc>
          <w:tcPr>
            <w:tcW w:w="7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8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2023 </w:t>
            </w:r>
          </w:p>
        </w:tc>
        <w:tc>
          <w:tcPr>
            <w:tcW w:w="75"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by customer type:</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 user</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21,430</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21,704</w:t>
            </w:r>
          </w:p>
        </w:tc>
        <w:tc>
          <w:tcPr>
            <w:tcW w:w="75"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OEM/Integrator</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8,394</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10,215</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29,824</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31,919</w:t>
            </w:r>
          </w:p>
        </w:tc>
        <w:tc>
          <w:tcPr>
            <w:tcW w:w="75"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by product type:</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Thermal test</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3,699</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5,820</w:t>
            </w:r>
          </w:p>
        </w:tc>
        <w:tc>
          <w:tcPr>
            <w:tcW w:w="75"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Thermal process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10,955</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9,822</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Semiconductor test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6,282</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8,105</w:t>
            </w:r>
          </w:p>
        </w:tc>
        <w:tc>
          <w:tcPr>
            <w:tcW w:w="75"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Video imaging</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2,119</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2,648</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Flying probe and in-circuit testers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2,744</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w:t>
            </w:r>
          </w:p>
        </w:tc>
        <w:tc>
          <w:tcPr>
            <w:tcW w:w="75"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Alfamation products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1,379</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Service/other</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2,646</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4,364</w:t>
            </w:r>
          </w:p>
        </w:tc>
        <w:tc>
          <w:tcPr>
            <w:tcW w:w="75"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29,824</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31,919</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by market: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Semiconductor</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14,967</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17,683</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Industrial</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4,187</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3,137</w:t>
            </w:r>
          </w:p>
        </w:tc>
        <w:tc>
          <w:tcPr>
            <w:tcW w:w="75"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Automotive (including Electric Vehicles)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3,958</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2,597</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Life Sciences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1,513</w:t>
            </w:r>
          </w:p>
        </w:tc>
        <w:tc>
          <w:tcPr>
            <w:tcW w:w="75"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Defense/aerospace</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3,239</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2,839</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Security</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w:t>
            </w:r>
          </w:p>
        </w:tc>
        <w:tc>
          <w:tcPr>
            <w:tcW w:w="75"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2,279</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3,184</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29,824</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31,919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2275" w:type="dxa"/>
        <w:jc w:val="left"/>
        <w:tblInd w:w="0" w:type="dxa"/>
        <w:tblLayout w:type="fixed"/>
        <w:tblCellMar>
          <w:top w:w="0" w:type="dxa"/>
          <w:left w:w="0" w:type="dxa"/>
          <w:bottom w:w="0" w:type="dxa"/>
          <w:right w:w="0" w:type="dxa"/>
        </w:tblCellMar>
      </w:tblPr>
      <w:tblGrid>
        <w:gridCol w:w="290"/>
        <w:gridCol w:w="1985"/>
      </w:tblGrid>
      <w:tr>
        <w:trPr/>
        <w:tc>
          <w:tcPr>
            <w:tcW w:w="290" w:type="dxa"/>
            <w:tcBorders/>
            <w:vAlign w:val="center"/>
          </w:tcPr>
          <w:p>
            <w:pPr>
              <w:pStyle w:val="TableContents"/>
              <w:bidi w:val="0"/>
              <w:spacing w:before="0" w:after="0"/>
              <w:ind w:left="0" w:right="0" w:hanging="0"/>
              <w:jc w:val="left"/>
              <w:rPr/>
            </w:pPr>
            <w:r>
              <w:rPr>
                <w:rFonts w:ascii="Times New Roman;Times;serif" w:hAnsi="Times New Roman;Times;serif"/>
                <w:b/>
                <w:caps w:val="false"/>
                <w:smallCaps w:val="false"/>
                <w:sz w:val="20"/>
              </w:rPr>
              <w:t>(</w:t>
            </w:r>
            <w:r>
              <w:rPr>
                <w:rStyle w:val="Emphasis"/>
                <w:rFonts w:ascii="Times New Roman;Times;serif" w:hAnsi="Times New Roman;Times;serif"/>
                <w:b/>
                <w:caps w:val="false"/>
                <w:smallCaps w:val="false"/>
                <w:sz w:val="20"/>
              </w:rPr>
              <w:t>7</w:t>
            </w:r>
            <w:r>
              <w:rPr>
                <w:rFonts w:ascii="Times New Roman;Times;serif" w:hAnsi="Times New Roman;Times;serif"/>
                <w:b/>
                <w:caps w:val="false"/>
                <w:smallCaps w:val="false"/>
                <w:sz w:val="20"/>
              </w:rPr>
              <w:t xml:space="preserve">) </w:t>
            </w:r>
          </w:p>
        </w:tc>
        <w:tc>
          <w:tcPr>
            <w:tcW w:w="19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MAJOR CUSTOMERS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one customer accounted for 15% of our consolidated revenue. This revenue was primarily generated by our Electronic Test segment.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other customers accounted for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or more of our consolidated revenue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one customer accounted for 13% of our consolidated revenue. This revenue was primarily generated by our Electronic Test segment.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other customers accounted for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or more of our consolidated revenue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660" w:type="dxa"/>
        <w:jc w:val="left"/>
        <w:tblInd w:w="0" w:type="dxa"/>
        <w:tblLayout w:type="fixed"/>
        <w:tblCellMar>
          <w:top w:w="0" w:type="dxa"/>
          <w:left w:w="0" w:type="dxa"/>
          <w:bottom w:w="0" w:type="dxa"/>
          <w:right w:w="0" w:type="dxa"/>
        </w:tblCellMar>
      </w:tblPr>
      <w:tblGrid>
        <w:gridCol w:w="290"/>
        <w:gridCol w:w="1370"/>
      </w:tblGrid>
      <w:tr>
        <w:trPr/>
        <w:tc>
          <w:tcPr>
            <w:tcW w:w="290" w:type="dxa"/>
            <w:tcBorders/>
            <w:vAlign w:val="center"/>
          </w:tcPr>
          <w:p>
            <w:pPr>
              <w:pStyle w:val="TableContents"/>
              <w:bidi w:val="0"/>
              <w:spacing w:before="0" w:after="0"/>
              <w:ind w:left="0" w:right="0" w:hanging="0"/>
              <w:jc w:val="left"/>
              <w:rPr/>
            </w:pPr>
            <w:r>
              <w:rPr>
                <w:rFonts w:ascii="Times New Roman;Times;serif" w:hAnsi="Times New Roman;Times;serif"/>
                <w:b/>
                <w:caps w:val="false"/>
                <w:smallCaps w:val="false"/>
                <w:sz w:val="20"/>
              </w:rPr>
              <w:t>(</w:t>
            </w:r>
            <w:r>
              <w:rPr>
                <w:rStyle w:val="Emphasis"/>
                <w:rFonts w:ascii="Times New Roman;Times;serif" w:hAnsi="Times New Roman;Times;serif"/>
                <w:b/>
                <w:caps w:val="false"/>
                <w:smallCaps w:val="false"/>
                <w:sz w:val="20"/>
              </w:rPr>
              <w:t>8</w:t>
            </w:r>
            <w:r>
              <w:rPr>
                <w:rFonts w:ascii="Times New Roman;Times;serif" w:hAnsi="Times New Roman;Times;serif"/>
                <w:b/>
                <w:caps w:val="false"/>
                <w:smallCaps w:val="false"/>
                <w:sz w:val="20"/>
              </w:rPr>
              <w:t xml:space="preserve">) </w:t>
            </w:r>
          </w:p>
        </w:tc>
        <w:tc>
          <w:tcPr>
            <w:tcW w:w="13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INVENTORIES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Inventories held at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were comprised of the following:</w:t>
      </w:r>
    </w:p>
    <w:p>
      <w:pPr>
        <w:pStyle w:val="TextBody"/>
        <w:bidi w:val="0"/>
        <w:spacing w:before="0" w:after="0"/>
        <w:ind w:left="720" w:right="0" w:hanging="0"/>
        <w:jc w:val="left"/>
        <w:rPr>
          <w:caps w:val="false"/>
          <w:smallCaps w:val="false"/>
        </w:rPr>
      </w:pPr>
      <w:r>
        <w:rPr>
          <w:caps w:val="false"/>
          <w:smallCaps w:val="false"/>
        </w:rPr>
        <w:t> </w:t>
      </w:r>
    </w:p>
    <w:tbl>
      <w:tblPr>
        <w:tblW w:w="4873" w:type="dxa"/>
        <w:jc w:val="left"/>
        <w:tblInd w:w="0" w:type="dxa"/>
        <w:tblLayout w:type="fixed"/>
        <w:tblCellMar>
          <w:top w:w="0" w:type="dxa"/>
          <w:left w:w="0" w:type="dxa"/>
          <w:bottom w:w="0" w:type="dxa"/>
          <w:right w:w="0" w:type="dxa"/>
        </w:tblCellMar>
      </w:tblPr>
      <w:tblGrid>
        <w:gridCol w:w="2465"/>
        <w:gridCol w:w="60"/>
        <w:gridCol w:w="163"/>
        <w:gridCol w:w="771"/>
        <w:gridCol w:w="60"/>
        <w:gridCol w:w="60"/>
        <w:gridCol w:w="211"/>
        <w:gridCol w:w="1008"/>
        <w:gridCol w:w="75"/>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7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Raw materials</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15,948</w:t>
            </w:r>
          </w:p>
        </w:tc>
        <w:tc>
          <w:tcPr>
            <w:tcW w:w="7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 in process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1,563</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consigned to others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7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2,480</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inventories</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20,089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1105" w:type="dxa"/>
        <w:jc w:val="left"/>
        <w:tblInd w:w="0" w:type="dxa"/>
        <w:tblLayout w:type="fixed"/>
        <w:tblCellMar>
          <w:top w:w="0" w:type="dxa"/>
          <w:left w:w="0" w:type="dxa"/>
          <w:bottom w:w="0" w:type="dxa"/>
          <w:right w:w="0" w:type="dxa"/>
        </w:tblCellMar>
      </w:tblPr>
      <w:tblGrid>
        <w:gridCol w:w="290"/>
        <w:gridCol w:w="815"/>
      </w:tblGrid>
      <w:tr>
        <w:trPr/>
        <w:tc>
          <w:tcPr>
            <w:tcW w:w="290" w:type="dxa"/>
            <w:tcBorders/>
            <w:vAlign w:val="center"/>
          </w:tcPr>
          <w:p>
            <w:pPr>
              <w:pStyle w:val="TableContents"/>
              <w:bidi w:val="0"/>
              <w:spacing w:before="0" w:after="0"/>
              <w:ind w:left="0" w:right="0" w:hanging="0"/>
              <w:jc w:val="left"/>
              <w:rPr/>
            </w:pPr>
            <w:r>
              <w:rPr>
                <w:rFonts w:ascii="Times New Roman;Times;serif" w:hAnsi="Times New Roman;Times;serif"/>
                <w:b/>
                <w:caps w:val="false"/>
                <w:smallCaps w:val="false"/>
                <w:sz w:val="20"/>
              </w:rPr>
              <w:t>(</w:t>
            </w:r>
            <w:r>
              <w:rPr>
                <w:rStyle w:val="Emphasis"/>
                <w:rFonts w:ascii="Times New Roman;Times;serif" w:hAnsi="Times New Roman;Times;serif"/>
                <w:b/>
                <w:caps w:val="false"/>
                <w:smallCaps w:val="false"/>
                <w:sz w:val="20"/>
              </w:rPr>
              <w:t>9</w:t>
            </w:r>
            <w:r>
              <w:rPr>
                <w:rFonts w:ascii="Times New Roman;Times;serif" w:hAnsi="Times New Roman;Times;serif"/>
                <w:b/>
                <w:caps w:val="false"/>
                <w:smallCaps w:val="false"/>
                <w:sz w:val="20"/>
              </w:rPr>
              <w:t>)</w:t>
            </w:r>
            <w:r>
              <w:rPr>
                <w:rFonts w:ascii="Times New Roman;Times;serif" w:hAnsi="Times New Roman;Times;serif"/>
                <w:caps w:val="false"/>
                <w:smallCaps w:val="false"/>
                <w:sz w:val="20"/>
              </w:rPr>
              <w:t> </w:t>
            </w:r>
          </w:p>
        </w:tc>
        <w:tc>
          <w:tcPr>
            <w:tcW w:w="8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LEASES</w:t>
            </w:r>
            <w:r>
              <w:rPr>
                <w:rFonts w:ascii="Times New Roman;Times;serif" w:hAnsi="Times New Roman;Times;serif"/>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As previously discussed in Note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we account for our leases in accordance with the guidance in ASC Topic </w:t>
      </w:r>
      <w:r>
        <w:rPr>
          <w:rStyle w:val="Emphasis"/>
          <w:rFonts w:ascii="Times New Roman" w:hAnsi="Times New Roman"/>
          <w:caps w:val="false"/>
          <w:smallCaps w:val="false"/>
          <w:sz w:val="20"/>
        </w:rPr>
        <w:t>842.</w:t>
      </w:r>
      <w:r>
        <w:rPr>
          <w:rFonts w:ascii="Times New Roman" w:hAnsi="Times New Roman"/>
          <w:caps w:val="false"/>
          <w:smallCaps w:val="false"/>
          <w:sz w:val="20"/>
        </w:rPr>
        <w:t xml:space="preserve"> We lease our offices, warehouse facilities and certain equipment under non-cancellable operating leases that expire at various dates through </w:t>
      </w:r>
      <w:r>
        <w:rPr>
          <w:rStyle w:val="Emphasis"/>
          <w:rFonts w:ascii="Times New Roman" w:hAnsi="Times New Roman"/>
          <w:caps w:val="false"/>
          <w:smallCaps w:val="false"/>
          <w:sz w:val="20"/>
        </w:rPr>
        <w:t>2031.</w:t>
      </w:r>
      <w:r>
        <w:rPr>
          <w:rFonts w:ascii="Times New Roman" w:hAnsi="Times New Roman"/>
          <w:caps w:val="false"/>
          <w:smallCaps w:val="false"/>
          <w:sz w:val="20"/>
        </w:rPr>
        <w:t xml:space="preserve"> Total operating lease and short-term lease costs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respectively, were as follows: </w:t>
      </w:r>
    </w:p>
    <w:p>
      <w:pPr>
        <w:pStyle w:val="TextBody"/>
        <w:bidi w:val="0"/>
        <w:spacing w:before="0" w:after="0"/>
        <w:ind w:left="0" w:right="0" w:hanging="0"/>
        <w:jc w:val="left"/>
        <w:rPr>
          <w:caps w:val="false"/>
          <w:smallCaps w:val="false"/>
        </w:rPr>
      </w:pPr>
      <w:r>
        <w:rPr>
          <w:caps w:val="false"/>
          <w:smallCaps w:val="false"/>
        </w:rPr>
        <w:t> </w:t>
      </w:r>
    </w:p>
    <w:tbl>
      <w:tblPr>
        <w:tblW w:w="4554" w:type="dxa"/>
        <w:jc w:val="left"/>
        <w:tblInd w:w="0" w:type="dxa"/>
        <w:tblLayout w:type="fixed"/>
        <w:tblCellMar>
          <w:top w:w="0" w:type="dxa"/>
          <w:left w:w="0" w:type="dxa"/>
          <w:bottom w:w="0" w:type="dxa"/>
          <w:right w:w="0" w:type="dxa"/>
        </w:tblCellMar>
      </w:tblPr>
      <w:tblGrid>
        <w:gridCol w:w="1715"/>
        <w:gridCol w:w="60"/>
        <w:gridCol w:w="325"/>
        <w:gridCol w:w="871"/>
        <w:gridCol w:w="156"/>
        <w:gridCol w:w="156"/>
        <w:gridCol w:w="325"/>
        <w:gridCol w:w="871"/>
        <w:gridCol w:w="75"/>
      </w:tblGrid>
      <w:tr>
        <w:trPr/>
        <w:tc>
          <w:tcPr>
            <w:tcW w:w="1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0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5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ind w:left="0" w:right="0" w:hanging="0"/>
              <w:jc w:val="left"/>
              <w:rPr/>
            </w:pPr>
            <w:r>
              <w:rPr/>
              <w:t> </w:t>
            </w:r>
          </w:p>
        </w:tc>
        <w:tc>
          <w:tcPr>
            <w:tcW w:w="11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3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3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lease cost</w:t>
            </w:r>
          </w:p>
        </w:tc>
        <w:tc>
          <w:tcPr>
            <w:tcW w:w="60" w:type="dxa"/>
            <w:tcBorders/>
            <w:shd w:fill="FFFFFF" w:val="clear"/>
            <w:vAlign w:val="center"/>
          </w:tcPr>
          <w:p>
            <w:pPr>
              <w:pStyle w:val="TableContents"/>
              <w:bidi w:val="0"/>
              <w:spacing w:before="0" w:after="283"/>
              <w:ind w:left="0" w:right="0" w:hanging="0"/>
              <w:jc w:val="left"/>
              <w:rPr/>
            </w:pPr>
            <w:r>
              <w:rPr/>
              <w:t> </w:t>
            </w:r>
          </w:p>
        </w:tc>
        <w:tc>
          <w:tcPr>
            <w:tcW w:w="3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3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The following is additional information about our leases as of </w:t>
      </w:r>
      <w:r>
        <w:rPr>
          <w:rStyle w:val="Emphasis"/>
          <w:rFonts w:ascii="Times New Roman" w:hAnsi="Times New Roman"/>
          <w:caps w:val="false"/>
          <w:smallCaps w:val="false"/>
          <w:sz w:val="20"/>
        </w:rPr>
        <w:t>March 31, 2024:</w:t>
      </w:r>
    </w:p>
    <w:p>
      <w:pPr>
        <w:pStyle w:val="TextBody"/>
        <w:bidi w:val="0"/>
        <w:spacing w:before="0" w:after="0"/>
        <w:ind w:left="0" w:right="0" w:hanging="0"/>
        <w:jc w:val="left"/>
        <w:rPr>
          <w:caps w:val="false"/>
          <w:smallCaps w:val="false"/>
        </w:rPr>
      </w:pPr>
      <w:r>
        <w:rPr>
          <w:caps w:val="false"/>
          <w:smallCaps w:val="false"/>
        </w:rPr>
        <w:t> </w:t>
      </w:r>
    </w:p>
    <w:tbl>
      <w:tblPr>
        <w:tblW w:w="5045" w:type="dxa"/>
        <w:jc w:val="left"/>
        <w:tblInd w:w="0" w:type="dxa"/>
        <w:tblLayout w:type="fixed"/>
        <w:tblCellMar>
          <w:top w:w="0" w:type="dxa"/>
          <w:left w:w="0" w:type="dxa"/>
          <w:bottom w:w="0" w:type="dxa"/>
          <w:right w:w="0" w:type="dxa"/>
        </w:tblCellMar>
      </w:tblPr>
      <w:tblGrid>
        <w:gridCol w:w="4025"/>
        <w:gridCol w:w="60"/>
        <w:gridCol w:w="170"/>
        <w:gridCol w:w="440"/>
        <w:gridCol w:w="275"/>
        <w:gridCol w:w="75"/>
      </w:tblGrid>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Range of remaining lease terms (in years)</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440" w:type="dxa"/>
            <w:tcBorders/>
            <w:shd w:fill="CCEEFF" w:val="clear"/>
            <w:vAlign w:val="center"/>
          </w:tcPr>
          <w:p>
            <w:pPr>
              <w:pStyle w:val="TableContents"/>
              <w:bidi w:val="0"/>
              <w:spacing w:before="0" w:after="283"/>
              <w:ind w:left="0" w:right="0" w:hanging="0"/>
              <w:jc w:val="center"/>
              <w:rPr/>
            </w:pPr>
            <w:r>
              <w:rPr>
                <w:rStyle w:val="Emphasis"/>
                <w:rFonts w:ascii="Times New Roman;Times;serif" w:hAnsi="Times New Roman;Times;serif"/>
                <w:sz w:val="20"/>
              </w:rPr>
              <w:t>to</w:t>
            </w:r>
          </w:p>
        </w:tc>
        <w:tc>
          <w:tcPr>
            <w:tcW w:w="2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7.1</w:t>
            </w:r>
          </w:p>
        </w:tc>
        <w:tc>
          <w:tcPr>
            <w:tcW w:w="75"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remaining lease term (in years)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center"/>
              <w:rPr/>
            </w:pPr>
            <w:r>
              <w:rPr>
                <w:rStyle w:val="Emphasis"/>
              </w:rPr>
              <w:t> </w:t>
            </w:r>
          </w:p>
        </w:tc>
        <w:tc>
          <w:tcPr>
            <w:tcW w:w="44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c>
          <w:tcPr>
            <w:tcW w:w="275" w:type="dxa"/>
            <w:tcBorders/>
            <w:shd w:fill="FFFFFF" w:val="clear"/>
            <w:vAlign w:val="center"/>
          </w:tcPr>
          <w:p>
            <w:pPr>
              <w:pStyle w:val="TableContents"/>
              <w:bidi w:val="0"/>
              <w:spacing w:before="0" w:after="283"/>
              <w:jc w:val="center"/>
              <w:rPr/>
            </w:pPr>
            <w:r>
              <w:rPr>
                <w:rStyle w:val="Emphasis"/>
              </w:rPr>
              <w:t> </w:t>
            </w:r>
          </w:p>
        </w:tc>
        <w:tc>
          <w:tcPr>
            <w:tcW w:w="7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discount rate</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center"/>
              <w:rPr/>
            </w:pPr>
            <w:r>
              <w:rPr>
                <w:rStyle w:val="Emphasis"/>
              </w:rPr>
              <w:t> </w:t>
            </w:r>
          </w:p>
        </w:tc>
        <w:tc>
          <w:tcPr>
            <w:tcW w:w="44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w:t>
            </w:r>
          </w:p>
        </w:tc>
        <w:tc>
          <w:tcPr>
            <w:tcW w:w="275" w:type="dxa"/>
            <w:tcBorders/>
            <w:shd w:fill="CCEEFF" w:val="clear"/>
            <w:vAlign w:val="center"/>
          </w:tcPr>
          <w:p>
            <w:pPr>
              <w:pStyle w:val="TableContents"/>
              <w:bidi w:val="0"/>
              <w:spacing w:before="0" w:after="283"/>
              <w:jc w:val="center"/>
              <w:rPr/>
            </w:pPr>
            <w:r>
              <w:rPr>
                <w:rStyle w:val="Emphasis"/>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Maturities of lease liabilities as of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were as follows:</w:t>
      </w:r>
    </w:p>
    <w:p>
      <w:pPr>
        <w:pStyle w:val="TextBody"/>
        <w:bidi w:val="0"/>
        <w:spacing w:before="0" w:after="0"/>
        <w:ind w:left="0" w:right="0" w:hanging="0"/>
        <w:jc w:val="left"/>
        <w:rPr>
          <w:caps w:val="false"/>
          <w:smallCaps w:val="false"/>
        </w:rPr>
      </w:pPr>
      <w:r>
        <w:rPr>
          <w:caps w:val="false"/>
          <w:smallCaps w:val="false"/>
        </w:rPr>
        <w:t> </w:t>
      </w:r>
    </w:p>
    <w:tbl>
      <w:tblPr>
        <w:tblW w:w="2525" w:type="dxa"/>
        <w:jc w:val="left"/>
        <w:tblInd w:w="0" w:type="dxa"/>
        <w:tblLayout w:type="fixed"/>
        <w:tblCellMar>
          <w:top w:w="0" w:type="dxa"/>
          <w:left w:w="0" w:type="dxa"/>
          <w:bottom w:w="0" w:type="dxa"/>
          <w:right w:w="0" w:type="dxa"/>
        </w:tblCellMar>
      </w:tblPr>
      <w:tblGrid>
        <w:gridCol w:w="1760"/>
        <w:gridCol w:w="60"/>
        <w:gridCol w:w="125"/>
        <w:gridCol w:w="485"/>
        <w:gridCol w:w="95"/>
      </w:tblGrid>
      <w:tr>
        <w:trPr/>
        <w:tc>
          <w:tcPr>
            <w:tcW w:w="17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1,896</w:t>
            </w:r>
          </w:p>
        </w:tc>
        <w:tc>
          <w:tcPr>
            <w:tcW w:w="95"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1,644</w:t>
            </w:r>
          </w:p>
        </w:tc>
        <w:tc>
          <w:tcPr>
            <w:tcW w:w="95"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1,313</w:t>
            </w:r>
          </w:p>
        </w:tc>
        <w:tc>
          <w:tcPr>
            <w:tcW w:w="95"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w:t>
            </w:r>
          </w:p>
        </w:tc>
        <w:tc>
          <w:tcPr>
            <w:tcW w:w="95"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w:t>
            </w:r>
          </w:p>
        </w:tc>
        <w:tc>
          <w:tcPr>
            <w:tcW w:w="95"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869</w:t>
            </w:r>
          </w:p>
        </w:tc>
        <w:tc>
          <w:tcPr>
            <w:tcW w:w="95"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payments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7,490</w:t>
            </w:r>
          </w:p>
        </w:tc>
        <w:tc>
          <w:tcPr>
            <w:tcW w:w="95"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imputed interest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(829</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6,661</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Cash Flow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Total amortization of ROU assets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was $403 and $391,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we acquired several auto leases in connection with our acquisition of Alfamation. The acquisition is discussed further in Note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We also entered into the Lease Agreement, described in Note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for the facility where Alfamation has its principal operations. This facility is owned by the seller. The leased premises include warehouse and office space totaling approximately 51,817 square feet. The yearly lease payment is EUR 260. The impact of the acquisition of these leases was a non-cash increase in our ROU assets and operating lease liabilities of approximately $1,758 at the date of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we also extended the lease for the facility for our Environmental Technologies segment’s operation in Singapore. At the effective date of this lease, we recorded a non-cash increase in our ROU assets and operating lease liabilities of approximately $82.</w:t>
        <w:br/>
        <w:b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we entered into a 25-month lease for a facility for our Environmental Technologies segment’s operation in Germany. At the effective date of this lease, we recorded a non-cash increase in our ROU assets and operating lease liabilities of approximately $90. During this same period, we entered into a 36-month lease for a car for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the employees of our Process Technologies segment who is based in Europe. At the effective date of this lease, we recorded a non-cash increase in our ROU assets and operating lease liabilities of approximately $30.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000" w:type="dxa"/>
        <w:jc w:val="left"/>
        <w:tblInd w:w="0" w:type="dxa"/>
        <w:tblLayout w:type="fixed"/>
        <w:tblCellMar>
          <w:top w:w="0" w:type="dxa"/>
          <w:left w:w="0" w:type="dxa"/>
          <w:bottom w:w="0" w:type="dxa"/>
          <w:right w:w="0" w:type="dxa"/>
        </w:tblCellMar>
      </w:tblPr>
      <w:tblGrid>
        <w:gridCol w:w="395"/>
        <w:gridCol w:w="605"/>
      </w:tblGrid>
      <w:tr>
        <w:trPr/>
        <w:tc>
          <w:tcPr>
            <w:tcW w:w="395" w:type="dxa"/>
            <w:tcBorders/>
            <w:vAlign w:val="center"/>
          </w:tcPr>
          <w:p>
            <w:pPr>
              <w:pStyle w:val="TableContents"/>
              <w:bidi w:val="0"/>
              <w:spacing w:before="0" w:after="0"/>
              <w:ind w:left="0" w:right="0" w:hanging="0"/>
              <w:jc w:val="left"/>
              <w:rPr/>
            </w:pPr>
            <w:r>
              <w:rPr>
                <w:rFonts w:ascii="Times New Roman;Times;serif" w:hAnsi="Times New Roman;Times;serif"/>
                <w:b/>
                <w:caps w:val="false"/>
                <w:smallCaps w:val="false"/>
                <w:sz w:val="20"/>
              </w:rPr>
              <w:t>(</w:t>
            </w:r>
            <w:r>
              <w:rPr>
                <w:rStyle w:val="Emphasis"/>
                <w:rFonts w:ascii="Times New Roman;Times;serif" w:hAnsi="Times New Roman;Times;serif"/>
                <w:b/>
                <w:caps w:val="false"/>
                <w:smallCaps w:val="false"/>
                <w:sz w:val="20"/>
              </w:rPr>
              <w:t>10</w:t>
            </w:r>
            <w:r>
              <w:rPr>
                <w:rFonts w:ascii="Times New Roman;Times;serif" w:hAnsi="Times New Roman;Times;serif"/>
                <w:b/>
                <w:caps w:val="false"/>
                <w:smallCaps w:val="false"/>
                <w:sz w:val="20"/>
              </w:rPr>
              <w:t xml:space="preserve">) </w:t>
            </w:r>
          </w:p>
        </w:tc>
        <w:tc>
          <w:tcPr>
            <w:tcW w:w="60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DEBT </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b/>
          <w:i/>
          <w:caps w:val="false"/>
          <w:smallCaps w:val="false"/>
          <w:sz w:val="20"/>
          <w:u w:val="single"/>
        </w:rPr>
        <w:t>Letters of Credit</w:t>
      </w:r>
      <w:r>
        <w:rPr>
          <w:rFonts w:ascii="Times New Roman" w:hAnsi="Times New Roman"/>
          <w:caps w:val="false"/>
          <w:smallCaps w:val="false"/>
          <w:sz w:val="20"/>
        </w:rPr>
        <w:br/>
        <w:br/>
        <w:t xml:space="preserve">We have issued letters of credit as the security deposits for certain of our domestic leases. These letters of credit are secured by pledged certificates of deposit which are classified as Restricted Certificates of Deposit on our balance sheets. The terms of our leases require us to renew these letters of credit at least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days prior to their expiration dates for successive terms of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less than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until lease expiration. Our outstanding letters of credit at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consisted of the following:</w:t>
      </w:r>
    </w:p>
    <w:p>
      <w:pPr>
        <w:pStyle w:val="TextBody"/>
        <w:bidi w:val="0"/>
        <w:spacing w:before="0" w:after="0"/>
        <w:ind w:left="0" w:right="0" w:hanging="0"/>
        <w:jc w:val="left"/>
        <w:rPr>
          <w:caps w:val="false"/>
          <w:smallCaps w:val="false"/>
        </w:rPr>
      </w:pPr>
      <w:r>
        <w:rPr>
          <w:caps w:val="false"/>
          <w:smallCaps w:val="false"/>
        </w:rPr>
        <w:t> </w:t>
      </w:r>
    </w:p>
    <w:tbl>
      <w:tblPr>
        <w:tblW w:w="6440" w:type="dxa"/>
        <w:jc w:val="left"/>
        <w:tblInd w:w="0" w:type="dxa"/>
        <w:tblLayout w:type="fixed"/>
        <w:tblCellMar>
          <w:top w:w="0" w:type="dxa"/>
          <w:left w:w="0" w:type="dxa"/>
          <w:bottom w:w="0" w:type="dxa"/>
          <w:right w:w="0" w:type="dxa"/>
        </w:tblCellMar>
      </w:tblPr>
      <w:tblGrid>
        <w:gridCol w:w="1265"/>
        <w:gridCol w:w="60"/>
        <w:gridCol w:w="1130"/>
        <w:gridCol w:w="60"/>
        <w:gridCol w:w="980"/>
        <w:gridCol w:w="60"/>
        <w:gridCol w:w="980"/>
        <w:gridCol w:w="60"/>
        <w:gridCol w:w="211"/>
        <w:gridCol w:w="570"/>
        <w:gridCol w:w="100"/>
        <w:gridCol w:w="100"/>
        <w:gridCol w:w="211"/>
        <w:gridCol w:w="578"/>
        <w:gridCol w:w="75"/>
      </w:tblGrid>
      <w:tr>
        <w:trPr/>
        <w:tc>
          <w:tcPr>
            <w:tcW w:w="1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L/C</w:t>
            </w:r>
          </w:p>
        </w:tc>
        <w:tc>
          <w:tcPr>
            <w:tcW w:w="60" w:type="dxa"/>
            <w:tcBorders/>
            <w:vAlign w:val="center"/>
          </w:tcPr>
          <w:p>
            <w:pPr>
              <w:pStyle w:val="TableContents"/>
              <w:bidi w:val="0"/>
              <w:spacing w:before="0" w:after="283"/>
              <w:ind w:left="0" w:right="0" w:hanging="0"/>
              <w:jc w:val="center"/>
              <w:rPr/>
            </w:pPr>
            <w:r>
              <w:rPr/>
              <w:t> </w:t>
            </w:r>
          </w:p>
        </w:tc>
        <w:tc>
          <w:tcPr>
            <w:tcW w:w="98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Lease</w:t>
            </w:r>
          </w:p>
        </w:tc>
        <w:tc>
          <w:tcPr>
            <w:tcW w:w="60" w:type="dxa"/>
            <w:tcBorders/>
            <w:vAlign w:val="center"/>
          </w:tcPr>
          <w:p>
            <w:pPr>
              <w:pStyle w:val="TableContents"/>
              <w:bidi w:val="0"/>
              <w:spacing w:before="0" w:after="283"/>
              <w:ind w:left="0" w:right="0" w:hanging="0"/>
              <w:jc w:val="left"/>
              <w:rPr/>
            </w:pPr>
            <w:r>
              <w:rPr/>
              <w:t> </w:t>
            </w:r>
          </w:p>
        </w:tc>
        <w:tc>
          <w:tcPr>
            <w:tcW w:w="177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Letters of Credit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 Outstanding</w:t>
            </w:r>
          </w:p>
        </w:tc>
        <w:tc>
          <w:tcPr>
            <w:tcW w:w="75" w:type="dxa"/>
            <w:tcBorders/>
            <w:vAlign w:val="center"/>
          </w:tcPr>
          <w:p>
            <w:pPr>
              <w:pStyle w:val="TableContents"/>
              <w:bidi w:val="0"/>
              <w:spacing w:before="0" w:after="283"/>
              <w:jc w:val="left"/>
              <w:rPr/>
            </w:pPr>
            <w:r>
              <w:rPr/>
              <w:t> </w:t>
            </w:r>
          </w:p>
        </w:tc>
      </w:tr>
      <w:tr>
        <w:trPr/>
        <w:tc>
          <w:tcPr>
            <w:tcW w:w="12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Facility</w:t>
            </w:r>
          </w:p>
        </w:tc>
        <w:tc>
          <w:tcPr>
            <w:tcW w:w="60" w:type="dxa"/>
            <w:tcBorders/>
            <w:vAlign w:val="center"/>
          </w:tcPr>
          <w:p>
            <w:pPr>
              <w:pStyle w:val="TableContents"/>
              <w:bidi w:val="0"/>
              <w:spacing w:before="0" w:after="283"/>
              <w:ind w:left="0" w:right="0" w:hanging="0"/>
              <w:jc w:val="center"/>
              <w:rPr/>
            </w:pPr>
            <w:r>
              <w:rPr/>
              <w:t> </w:t>
            </w:r>
          </w:p>
        </w:tc>
        <w:tc>
          <w:tcPr>
            <w:tcW w:w="11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Original L/C</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Issue Date</w:t>
            </w:r>
          </w:p>
        </w:tc>
        <w:tc>
          <w:tcPr>
            <w:tcW w:w="60" w:type="dxa"/>
            <w:tcBorders/>
            <w:vAlign w:val="center"/>
          </w:tcPr>
          <w:p>
            <w:pPr>
              <w:pStyle w:val="TableContents"/>
              <w:bidi w:val="0"/>
              <w:spacing w:before="0" w:after="283"/>
              <w:ind w:left="0" w:right="0" w:hanging="0"/>
              <w:jc w:val="center"/>
              <w:rPr/>
            </w:pPr>
            <w:r>
              <w:rPr/>
              <w:t> </w:t>
            </w:r>
          </w:p>
        </w:tc>
        <w:tc>
          <w:tcPr>
            <w:tcW w:w="9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Expiration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Date</w:t>
            </w:r>
          </w:p>
        </w:tc>
        <w:tc>
          <w:tcPr>
            <w:tcW w:w="60" w:type="dxa"/>
            <w:tcBorders/>
            <w:vAlign w:val="center"/>
          </w:tcPr>
          <w:p>
            <w:pPr>
              <w:pStyle w:val="TableContents"/>
              <w:bidi w:val="0"/>
              <w:spacing w:before="0" w:after="283"/>
              <w:ind w:left="0" w:right="0" w:hanging="0"/>
              <w:jc w:val="center"/>
              <w:rPr/>
            </w:pPr>
            <w:r>
              <w:rPr/>
              <w:t> </w:t>
            </w:r>
          </w:p>
        </w:tc>
        <w:tc>
          <w:tcPr>
            <w:tcW w:w="9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Expiration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Date</w:t>
            </w:r>
          </w:p>
        </w:tc>
        <w:tc>
          <w:tcPr>
            <w:tcW w:w="60" w:type="dxa"/>
            <w:tcBorders/>
            <w:vAlign w:val="center"/>
          </w:tcPr>
          <w:p>
            <w:pPr>
              <w:pStyle w:val="TableContents"/>
              <w:bidi w:val="0"/>
              <w:spacing w:before="0" w:after="283"/>
              <w:ind w:left="0" w:right="0" w:hanging="0"/>
              <w:jc w:val="left"/>
              <w:rPr/>
            </w:pPr>
            <w:r>
              <w:rPr/>
              <w:t> </w:t>
            </w:r>
          </w:p>
        </w:tc>
        <w:tc>
          <w:tcPr>
            <w:tcW w:w="7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ind w:left="0" w:right="0" w:hanging="0"/>
              <w:jc w:val="left"/>
              <w:rPr/>
            </w:pPr>
            <w:r>
              <w:rPr/>
              <w:t> </w:t>
            </w:r>
          </w:p>
        </w:tc>
        <w:tc>
          <w:tcPr>
            <w:tcW w:w="7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2023 </w:t>
            </w:r>
          </w:p>
        </w:tc>
        <w:tc>
          <w:tcPr>
            <w:tcW w:w="75"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Mt. Laurel, NJ</w:t>
            </w:r>
          </w:p>
        </w:tc>
        <w:tc>
          <w:tcPr>
            <w:tcW w:w="60" w:type="dxa"/>
            <w:tcBorders/>
            <w:shd w:fill="CCEEFF" w:val="clear"/>
            <w:vAlign w:val="center"/>
          </w:tcPr>
          <w:p>
            <w:pPr>
              <w:pStyle w:val="TableContents"/>
              <w:bidi w:val="0"/>
              <w:spacing w:before="0" w:after="283"/>
              <w:ind w:left="0" w:right="0" w:hanging="0"/>
              <w:jc w:val="right"/>
              <w:rPr/>
            </w:pPr>
            <w:r>
              <w:rPr/>
              <w:t> </w:t>
            </w:r>
          </w:p>
        </w:tc>
        <w:tc>
          <w:tcPr>
            <w:tcW w:w="113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3/29/2010</w:t>
            </w:r>
          </w:p>
        </w:tc>
        <w:tc>
          <w:tcPr>
            <w:tcW w:w="60" w:type="dxa"/>
            <w:tcBorders/>
            <w:shd w:fill="CCEEFF" w:val="clear"/>
            <w:vAlign w:val="center"/>
          </w:tcPr>
          <w:p>
            <w:pPr>
              <w:pStyle w:val="TableContents"/>
              <w:bidi w:val="0"/>
              <w:spacing w:before="0" w:after="283"/>
              <w:ind w:left="0" w:right="0" w:hanging="0"/>
              <w:jc w:val="right"/>
              <w:rPr/>
            </w:pPr>
            <w:r>
              <w:rPr/>
              <w:t> </w:t>
            </w:r>
          </w:p>
        </w:tc>
        <w:tc>
          <w:tcPr>
            <w:tcW w:w="98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4/30/2025</w:t>
            </w:r>
          </w:p>
        </w:tc>
        <w:tc>
          <w:tcPr>
            <w:tcW w:w="60" w:type="dxa"/>
            <w:tcBorders/>
            <w:shd w:fill="CCEEFF" w:val="clear"/>
            <w:vAlign w:val="center"/>
          </w:tcPr>
          <w:p>
            <w:pPr>
              <w:pStyle w:val="TableContents"/>
              <w:bidi w:val="0"/>
              <w:spacing w:before="0" w:after="283"/>
              <w:ind w:left="0" w:right="0" w:hanging="0"/>
              <w:jc w:val="right"/>
              <w:rPr/>
            </w:pPr>
            <w:r>
              <w:rPr/>
              <w:t> </w:t>
            </w:r>
          </w:p>
        </w:tc>
        <w:tc>
          <w:tcPr>
            <w:tcW w:w="98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4/30/2031</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75"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Mansfield, MA</w:t>
            </w:r>
          </w:p>
        </w:tc>
        <w:tc>
          <w:tcPr>
            <w:tcW w:w="60" w:type="dxa"/>
            <w:tcBorders/>
            <w:shd w:fill="FFFFFF" w:val="clear"/>
            <w:vAlign w:val="center"/>
          </w:tcPr>
          <w:p>
            <w:pPr>
              <w:pStyle w:val="TableContents"/>
              <w:bidi w:val="0"/>
              <w:spacing w:before="0" w:after="283"/>
              <w:ind w:left="0" w:right="0" w:hanging="0"/>
              <w:jc w:val="right"/>
              <w:rPr/>
            </w:pPr>
            <w:r>
              <w:rPr/>
              <w:t> </w:t>
            </w:r>
          </w:p>
        </w:tc>
        <w:tc>
          <w:tcPr>
            <w:tcW w:w="113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10/27/2010</w:t>
            </w:r>
          </w:p>
        </w:tc>
        <w:tc>
          <w:tcPr>
            <w:tcW w:w="60" w:type="dxa"/>
            <w:tcBorders/>
            <w:shd w:fill="FFFFFF" w:val="clear"/>
            <w:vAlign w:val="center"/>
          </w:tcPr>
          <w:p>
            <w:pPr>
              <w:pStyle w:val="TableContents"/>
              <w:bidi w:val="0"/>
              <w:spacing w:before="0" w:after="283"/>
              <w:ind w:left="0" w:right="0" w:hanging="0"/>
              <w:jc w:val="right"/>
              <w:rPr/>
            </w:pPr>
            <w:r>
              <w:rPr/>
              <w:t> </w:t>
            </w:r>
          </w:p>
        </w:tc>
        <w:tc>
          <w:tcPr>
            <w:tcW w:w="98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12/31/2024</w:t>
            </w:r>
          </w:p>
        </w:tc>
        <w:tc>
          <w:tcPr>
            <w:tcW w:w="60" w:type="dxa"/>
            <w:tcBorders/>
            <w:shd w:fill="FFFFFF" w:val="clear"/>
            <w:vAlign w:val="center"/>
          </w:tcPr>
          <w:p>
            <w:pPr>
              <w:pStyle w:val="TableContents"/>
              <w:bidi w:val="0"/>
              <w:spacing w:before="0" w:after="283"/>
              <w:ind w:left="0" w:right="0" w:hanging="0"/>
              <w:jc w:val="right"/>
              <w:rPr/>
            </w:pPr>
            <w:r>
              <w:rPr/>
              <w:t> </w:t>
            </w:r>
          </w:p>
        </w:tc>
        <w:tc>
          <w:tcPr>
            <w:tcW w:w="98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12/31/2024</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75"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October 15, 2021 (</w:t>
      </w:r>
      <w:r>
        <w:rPr>
          <w:rFonts w:ascii="Times New Roman" w:hAnsi="Times New Roman"/>
          <w:caps w:val="false"/>
          <w:smallCaps w:val="false"/>
          <w:sz w:val="20"/>
        </w:rPr>
        <w:t xml:space="preserve">the “Closing Date”), we entered into an Amended and Restated Loan and Security Agreement with M&amp;T Bank (“M&amp;T”) which, on </w:t>
      </w:r>
      <w:r>
        <w:rPr>
          <w:rStyle w:val="Emphasis"/>
          <w:rFonts w:ascii="Times New Roman" w:hAnsi="Times New Roman"/>
          <w:caps w:val="false"/>
          <w:smallCaps w:val="false"/>
          <w:sz w:val="20"/>
        </w:rPr>
        <w:t xml:space="preserve">October 28, 2021, </w:t>
      </w:r>
      <w:r>
        <w:rPr>
          <w:rFonts w:ascii="Times New Roman" w:hAnsi="Times New Roman"/>
          <w:caps w:val="false"/>
          <w:smallCaps w:val="false"/>
          <w:sz w:val="20"/>
        </w:rPr>
        <w:t xml:space="preserve">was amended by the Joinder and Amendment to Amended and Restated Loan and Security Agreement and which, on </w:t>
      </w:r>
      <w:r>
        <w:rPr>
          <w:rStyle w:val="Emphasis"/>
          <w:rFonts w:ascii="Times New Roman" w:hAnsi="Times New Roman"/>
          <w:caps w:val="false"/>
          <w:smallCaps w:val="false"/>
          <w:sz w:val="20"/>
        </w:rPr>
        <w:t xml:space="preserve">December 30, 2021, </w:t>
      </w:r>
      <w:r>
        <w:rPr>
          <w:rFonts w:ascii="Times New Roman" w:hAnsi="Times New Roman"/>
          <w:caps w:val="false"/>
          <w:smallCaps w:val="false"/>
          <w:sz w:val="20"/>
        </w:rPr>
        <w:t>was further amended by the Joinder and Second Amendment to Amended and Restated Loan and Security Agreement (as amended, the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The Loan Agreement included a $25,000 non-revolving delayed draw term note (the “Term Note”) and a $10,000 revolving credit facility (the “Revolving Facility” and together with the Term Note, the “Credit Facility”). The Credit Facility had a five-year contract period that began on the Closing Date and expired on </w:t>
      </w:r>
      <w:r>
        <w:rPr>
          <w:rStyle w:val="Emphasis"/>
          <w:rFonts w:ascii="Times New Roman" w:hAnsi="Times New Roman"/>
          <w:caps w:val="false"/>
          <w:smallCaps w:val="false"/>
          <w:sz w:val="20"/>
        </w:rPr>
        <w:t xml:space="preserve">October 15, 2026, </w:t>
      </w:r>
      <w:r>
        <w:rPr>
          <w:rFonts w:ascii="Times New Roman" w:hAnsi="Times New Roman"/>
          <w:caps w:val="false"/>
          <w:smallCaps w:val="false"/>
          <w:sz w:val="20"/>
        </w:rPr>
        <w:t>and draws under the Term Note were permissible for two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20, 2022, </w:t>
      </w:r>
      <w:r>
        <w:rPr>
          <w:rFonts w:ascii="Times New Roman" w:hAnsi="Times New Roman"/>
          <w:caps w:val="false"/>
          <w:smallCaps w:val="false"/>
          <w:sz w:val="20"/>
        </w:rPr>
        <w:t xml:space="preserve">we further amended the Loan Agreement by entering into a Third Amendment to Amended and Restated Loan and Security Agreement (the Loan Agreement, as amended by the Third Amendment, the “Third Amended Loan Agreement”) and the Third Amended and Restated Delayed Draw Term Note. Under the Third Amended Loan Agreement, the maximum loan amount that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borrow under the Term Note increased from $25,000 to $50,500, which raises the available funding at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to $30,000. On </w:t>
      </w:r>
      <w:r>
        <w:rPr>
          <w:rStyle w:val="Emphasis"/>
          <w:rFonts w:ascii="Times New Roman" w:hAnsi="Times New Roman"/>
          <w:caps w:val="false"/>
          <w:smallCaps w:val="false"/>
          <w:sz w:val="20"/>
        </w:rPr>
        <w:t xml:space="preserve">May 2, 2024 </w:t>
      </w:r>
      <w:r>
        <w:rPr>
          <w:rFonts w:ascii="Times New Roman" w:hAnsi="Times New Roman"/>
          <w:caps w:val="false"/>
          <w:smallCaps w:val="false"/>
          <w:sz w:val="20"/>
        </w:rPr>
        <w:t xml:space="preserve">we further amended our Third Amended Loan Agreement by entering into a Fourth Amendment to the Amended and Restated Loan and Security Agreement (the “Amended Loan Agreement”). Under the Amended Loan Agreement, the period during which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request advances under the Term Note is extended until </w:t>
      </w:r>
      <w:r>
        <w:rPr>
          <w:rStyle w:val="Emphasis"/>
          <w:rFonts w:ascii="Times New Roman" w:hAnsi="Times New Roman"/>
          <w:caps w:val="false"/>
          <w:smallCaps w:val="false"/>
          <w:sz w:val="20"/>
        </w:rPr>
        <w:t xml:space="preserve">May 2, 2026, </w:t>
      </w:r>
      <w:r>
        <w:rPr>
          <w:rFonts w:ascii="Times New Roman" w:hAnsi="Times New Roman"/>
          <w:caps w:val="false"/>
          <w:smallCaps w:val="false"/>
          <w:sz w:val="20"/>
        </w:rPr>
        <w:t xml:space="preserve">and the Term Note and revolving credit facility maturity date is extended from </w:t>
      </w:r>
      <w:r>
        <w:rPr>
          <w:rStyle w:val="Emphasis"/>
          <w:rFonts w:ascii="Times New Roman" w:hAnsi="Times New Roman"/>
          <w:caps w:val="false"/>
          <w:smallCaps w:val="false"/>
          <w:sz w:val="20"/>
        </w:rPr>
        <w:t xml:space="preserve">September 19, 2027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May 2, 2031 (</w:t>
      </w:r>
      <w:r>
        <w:rPr>
          <w:rFonts w:ascii="Times New Roman" w:hAnsi="Times New Roman"/>
          <w:caps w:val="false"/>
          <w:smallCaps w:val="false"/>
          <w:sz w:val="20"/>
        </w:rPr>
        <w:t xml:space="preserve">the “Contract Period”). At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we had not borrowed any amounts under the $10 million Revolving Facility. Our borrowings under the Term Note are discussed below and occurred prior to entering into the Amended Loan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The principal balance of the Revolving Facility and the principal balance of any amount drawn under the Term Note accrues interest based on the secured overnight financing rate for U.S. government securities (“SOFR”) or a bank-defined base rate plus an applicable margin, depending on leverage. Each draw under the Term Note will have an option for us of either (i) up to a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 amortizing term loan with a balloon due at maturity, or (ii) up to a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 term with up to </w:t>
      </w:r>
      <w:r>
        <w:rPr>
          <w:rStyle w:val="Emphasis"/>
          <w:rFonts w:ascii="Times New Roman" w:hAnsi="Times New Roman"/>
          <w:caps w:val="false"/>
          <w:smallCaps w:val="false"/>
          <w:sz w:val="20"/>
        </w:rPr>
        <w:t>seven</w:t>
      </w:r>
      <w:r>
        <w:rPr>
          <w:rFonts w:ascii="Times New Roman" w:hAnsi="Times New Roman"/>
          <w:caps w:val="false"/>
          <w:smallCaps w:val="false"/>
          <w:sz w:val="20"/>
        </w:rPr>
        <w:t xml:space="preserve"> years amortization with a balloon due at maturity. Any amortization greater than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years will be subject to an excess cash flow recapture. The Amended Loan Agreement also allows us to enter into hedging contracts with M&amp;T, including interest rate swap agreements, interest rate cap agreements, interest rate collar agreements, or any other agreements or that are designed to protect us against fluctuations in interest rates or currency exchange rates. Interest expense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was $140 and $182, respectively.</w:t>
        <w:br/>
        <w:br/>
        <w:t xml:space="preserve">The Amended Loan Agreement contains customary default provisions, including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the failure by us to repay obligations when due, violation of provisions or representations provided in the Amended Loan Agreement, bankruptcy by us, suspension of our business or any of our subsidiaries and certain material judgments. After expiration of the Contract Period or if a continued event of default occurs, interest will accrue on the principal balance at a rate of 2% in excess of the then applicable nondefault interest rate. The Amended Loan Agreement includes customary affirmative, negative and financial covenants, including a maximum ratio of consolidated funded debt to consolidated EBITDA of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more than 3.0 to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and a fixed charge coverage ratio of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less than 1.25 to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Our obligations under the Amended Loan Agreement are secured by liens on substantially all of our tangible and intangible assets that are owned as of the Closing Date or acquired thereafter. At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we were in compliance with all of the covenants included in the Credit Facility including the debt covenants of the Amended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 </w:t>
      </w: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72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28, 2021, </w:t>
      </w:r>
      <w:r>
        <w:rPr>
          <w:rFonts w:ascii="Times New Roman" w:hAnsi="Times New Roman"/>
          <w:caps w:val="false"/>
          <w:smallCaps w:val="false"/>
          <w:sz w:val="20"/>
        </w:rPr>
        <w:t xml:space="preserve">we drew $12,000 under the Term Note to finance the acquisition of Videology as discussed above. We also entered into an interest rate swap agreement with M&amp;T as of this date which is designed to protect us against fluctuations in interest rates during the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 repayment and amortization period. As a result, the annual interest rate we expect to pay for this draw under the Term Note is fixed at approximately 3.2% based on current leverage.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29, 2021, </w:t>
      </w:r>
      <w:r>
        <w:rPr>
          <w:rFonts w:ascii="Times New Roman" w:hAnsi="Times New Roman"/>
          <w:caps w:val="false"/>
          <w:smallCaps w:val="false"/>
          <w:sz w:val="20"/>
        </w:rPr>
        <w:t xml:space="preserve">we drew $8,500 under the Term Note to finance the acquisition of Acculogic as discussed above. We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enter into an interest rate swap agreement with M&amp;T related to this draw. The annual interest rate we expect to pay for this draw under the Term Note is variable. At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it was approximately 7.4% based on current leverage. Effective </w:t>
      </w:r>
      <w:r>
        <w:rPr>
          <w:rStyle w:val="Emphasis"/>
          <w:rFonts w:ascii="Times New Roman" w:hAnsi="Times New Roman"/>
          <w:caps w:val="false"/>
          <w:smallCaps w:val="false"/>
          <w:sz w:val="20"/>
        </w:rPr>
        <w:t xml:space="preserve">May 1, 2024, </w:t>
      </w:r>
      <w:r>
        <w:rPr>
          <w:rFonts w:ascii="Times New Roman" w:hAnsi="Times New Roman"/>
          <w:caps w:val="false"/>
          <w:smallCaps w:val="false"/>
          <w:sz w:val="20"/>
        </w:rPr>
        <w:t xml:space="preserve">this rate had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The following table sets forth the maturities of the Term Note for each of the next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years:</w:t>
      </w:r>
    </w:p>
    <w:p>
      <w:pPr>
        <w:pStyle w:val="TextBody"/>
        <w:bidi w:val="0"/>
        <w:spacing w:before="0" w:after="0"/>
        <w:ind w:left="0" w:right="0" w:hanging="0"/>
        <w:jc w:val="left"/>
        <w:rPr>
          <w:caps w:val="false"/>
          <w:smallCaps w:val="false"/>
        </w:rPr>
      </w:pPr>
      <w:r>
        <w:rPr>
          <w:caps w:val="false"/>
          <w:smallCaps w:val="false"/>
        </w:rPr>
        <w:t> </w:t>
      </w:r>
    </w:p>
    <w:tbl>
      <w:tblPr>
        <w:tblW w:w="2250" w:type="dxa"/>
        <w:jc w:val="left"/>
        <w:tblInd w:w="0" w:type="dxa"/>
        <w:tblLayout w:type="fixed"/>
        <w:tblCellMar>
          <w:top w:w="0" w:type="dxa"/>
          <w:left w:w="0" w:type="dxa"/>
          <w:bottom w:w="0" w:type="dxa"/>
          <w:right w:w="0" w:type="dxa"/>
        </w:tblCellMar>
      </w:tblPr>
      <w:tblGrid>
        <w:gridCol w:w="1415"/>
        <w:gridCol w:w="60"/>
        <w:gridCol w:w="125"/>
        <w:gridCol w:w="590"/>
        <w:gridCol w:w="60"/>
      </w:tblGrid>
      <w:tr>
        <w:trPr/>
        <w:tc>
          <w:tcPr>
            <w:tcW w:w="1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 (remainder)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3,075</w:t>
            </w:r>
          </w:p>
        </w:tc>
        <w:tc>
          <w:tcPr>
            <w:tcW w:w="60" w:type="dxa"/>
            <w:tcBorders/>
            <w:shd w:fill="CCEEFF" w:val="clear"/>
            <w:vAlign w:val="center"/>
          </w:tcPr>
          <w:p>
            <w:pPr>
              <w:pStyle w:val="TableContents"/>
              <w:bidi w:val="0"/>
              <w:spacing w:before="0" w:after="283"/>
              <w:jc w:val="left"/>
              <w:rPr/>
            </w:pPr>
            <w:r>
              <w:rPr/>
              <w:t> </w:t>
            </w:r>
          </w:p>
        </w:tc>
      </w:tr>
      <w:tr>
        <w:trPr/>
        <w:tc>
          <w:tcPr>
            <w:tcW w:w="14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4,100</w:t>
            </w:r>
          </w:p>
        </w:tc>
        <w:tc>
          <w:tcPr>
            <w:tcW w:w="60" w:type="dxa"/>
            <w:tcBorders/>
            <w:shd w:fill="FFFFFF" w:val="clear"/>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3,842</w:t>
            </w:r>
          </w:p>
        </w:tc>
        <w:tc>
          <w:tcPr>
            <w:tcW w:w="60" w:type="dxa"/>
            <w:tcBorders/>
            <w:shd w:fill="CCEEFF" w:val="clear"/>
            <w:vAlign w:val="center"/>
          </w:tcPr>
          <w:p>
            <w:pPr>
              <w:pStyle w:val="TableContents"/>
              <w:bidi w:val="0"/>
              <w:spacing w:before="0" w:after="283"/>
              <w:jc w:val="left"/>
              <w:rPr/>
            </w:pPr>
            <w:r>
              <w:rPr/>
              <w:t> </w:t>
            </w:r>
          </w:p>
        </w:tc>
      </w:tr>
      <w:tr>
        <w:trPr/>
        <w:tc>
          <w:tcPr>
            <w:tcW w:w="1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Alfamation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the total debt assumed in connection with the acquisition of Alfamation was valued at $9,420. The acquisition is discussed further in Note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This debt is comprised of both fixed and variable rate bank issued term loans as well as $2,130 of short-term variable rate financing backed by Alfamation’s accounts receivable. This debt is spread across a number of different institutions with monthly, quarterly or half-yearly repayment schedules. The average interest rate being paid at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was 1.9% for fixed rate debt and 5.0% for variable rate debt. The average rate for total debt at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was 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The following table sets forth the maturities of this debt for each of the next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years:</w:t>
      </w:r>
    </w:p>
    <w:p>
      <w:pPr>
        <w:pStyle w:val="TextBody"/>
        <w:bidi w:val="0"/>
        <w:spacing w:before="0" w:after="0"/>
        <w:ind w:left="0" w:right="0" w:hanging="0"/>
        <w:jc w:val="left"/>
        <w:rPr>
          <w:caps w:val="false"/>
          <w:smallCaps w:val="false"/>
        </w:rPr>
      </w:pPr>
      <w:r>
        <w:rPr>
          <w:caps w:val="false"/>
          <w:smallCaps w:val="false"/>
        </w:rPr>
        <w:t> </w:t>
      </w:r>
    </w:p>
    <w:tbl>
      <w:tblPr>
        <w:tblW w:w="2145" w:type="dxa"/>
        <w:jc w:val="left"/>
        <w:tblInd w:w="0" w:type="dxa"/>
        <w:tblLayout w:type="fixed"/>
        <w:tblCellMar>
          <w:top w:w="0" w:type="dxa"/>
          <w:left w:w="0" w:type="dxa"/>
          <w:bottom w:w="0" w:type="dxa"/>
          <w:right w:w="0" w:type="dxa"/>
        </w:tblCellMar>
      </w:tblPr>
      <w:tblGrid>
        <w:gridCol w:w="1415"/>
        <w:gridCol w:w="60"/>
        <w:gridCol w:w="125"/>
        <w:gridCol w:w="485"/>
        <w:gridCol w:w="60"/>
      </w:tblGrid>
      <w:tr>
        <w:trPr/>
        <w:tc>
          <w:tcPr>
            <w:tcW w:w="1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 (remainder)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4,987</w:t>
            </w:r>
          </w:p>
        </w:tc>
        <w:tc>
          <w:tcPr>
            <w:tcW w:w="60" w:type="dxa"/>
            <w:tcBorders/>
            <w:shd w:fill="CCEEFF" w:val="clear"/>
            <w:vAlign w:val="center"/>
          </w:tcPr>
          <w:p>
            <w:pPr>
              <w:pStyle w:val="TableContents"/>
              <w:bidi w:val="0"/>
              <w:spacing w:before="0" w:after="283"/>
              <w:jc w:val="left"/>
              <w:rPr/>
            </w:pPr>
            <w:r>
              <w:rPr/>
              <w:t> </w:t>
            </w:r>
          </w:p>
        </w:tc>
      </w:tr>
      <w:tr>
        <w:trPr/>
        <w:tc>
          <w:tcPr>
            <w:tcW w:w="14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2,085</w:t>
            </w:r>
          </w:p>
        </w:tc>
        <w:tc>
          <w:tcPr>
            <w:tcW w:w="60" w:type="dxa"/>
            <w:tcBorders/>
            <w:shd w:fill="FFFFFF" w:val="clear"/>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1,293</w:t>
            </w:r>
          </w:p>
        </w:tc>
        <w:tc>
          <w:tcPr>
            <w:tcW w:w="60" w:type="dxa"/>
            <w:tcBorders/>
            <w:shd w:fill="CCEEFF" w:val="clear"/>
            <w:vAlign w:val="center"/>
          </w:tcPr>
          <w:p>
            <w:pPr>
              <w:pStyle w:val="TableContents"/>
              <w:bidi w:val="0"/>
              <w:spacing w:before="0" w:after="283"/>
              <w:jc w:val="left"/>
              <w:rPr/>
            </w:pPr>
            <w:r>
              <w:rPr/>
              <w:t> </w:t>
            </w:r>
          </w:p>
        </w:tc>
      </w:tr>
      <w:tr>
        <w:trPr/>
        <w:tc>
          <w:tcPr>
            <w:tcW w:w="14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w:t>
            </w:r>
          </w:p>
        </w:tc>
        <w:tc>
          <w:tcPr>
            <w:tcW w:w="60" w:type="dxa"/>
            <w:tcBorders/>
            <w:shd w:fill="FFFFFF" w:val="clear"/>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w:t>
            </w:r>
          </w:p>
        </w:tc>
        <w:tc>
          <w:tcPr>
            <w:tcW w:w="60" w:type="dxa"/>
            <w:tcBorders/>
            <w:shd w:fill="CCEEFF" w:val="clear"/>
            <w:vAlign w:val="center"/>
          </w:tcPr>
          <w:p>
            <w:pPr>
              <w:pStyle w:val="TableContents"/>
              <w:bidi w:val="0"/>
              <w:spacing w:before="0" w:after="283"/>
              <w:jc w:val="left"/>
              <w:rPr/>
            </w:pPr>
            <w:r>
              <w:rPr/>
              <w:t> </w:t>
            </w:r>
          </w:p>
        </w:tc>
      </w:tr>
      <w:tr>
        <w:trPr/>
        <w:tc>
          <w:tcPr>
            <w:tcW w:w="1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9,420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4000" w:type="dxa"/>
        <w:jc w:val="left"/>
        <w:tblInd w:w="0" w:type="dxa"/>
        <w:tblLayout w:type="fixed"/>
        <w:tblCellMar>
          <w:top w:w="0" w:type="dxa"/>
          <w:left w:w="0" w:type="dxa"/>
          <w:bottom w:w="0" w:type="dxa"/>
          <w:right w:w="0" w:type="dxa"/>
        </w:tblCellMar>
      </w:tblPr>
      <w:tblGrid>
        <w:gridCol w:w="395"/>
        <w:gridCol w:w="3605"/>
      </w:tblGrid>
      <w:tr>
        <w:trPr/>
        <w:tc>
          <w:tcPr>
            <w:tcW w:w="395" w:type="dxa"/>
            <w:tcBorders/>
            <w:vAlign w:val="center"/>
          </w:tcPr>
          <w:p>
            <w:pPr>
              <w:pStyle w:val="TableContents"/>
              <w:bidi w:val="0"/>
              <w:spacing w:before="0" w:after="0"/>
              <w:ind w:left="0" w:right="0" w:hanging="0"/>
              <w:jc w:val="left"/>
              <w:rPr/>
            </w:pPr>
            <w:r>
              <w:rPr>
                <w:rFonts w:ascii="Times New Roman;Times;serif" w:hAnsi="Times New Roman;Times;serif"/>
                <w:b/>
                <w:caps w:val="false"/>
                <w:smallCaps w:val="false"/>
                <w:sz w:val="20"/>
              </w:rPr>
              <w:t>(</w:t>
            </w:r>
            <w:r>
              <w:rPr>
                <w:rStyle w:val="Emphasis"/>
                <w:rFonts w:ascii="Times New Roman;Times;serif" w:hAnsi="Times New Roman;Times;serif"/>
                <w:b/>
                <w:caps w:val="false"/>
                <w:smallCaps w:val="false"/>
                <w:sz w:val="20"/>
              </w:rPr>
              <w:t>11</w:t>
            </w:r>
            <w:r>
              <w:rPr>
                <w:rFonts w:ascii="Times New Roman;Times;serif" w:hAnsi="Times New Roman;Times;serif"/>
                <w:b/>
                <w:caps w:val="false"/>
                <w:smallCaps w:val="false"/>
                <w:sz w:val="20"/>
              </w:rPr>
              <w:t>)</w:t>
            </w:r>
            <w:r>
              <w:rPr>
                <w:rFonts w:ascii="Times New Roman;Times;serif" w:hAnsi="Times New Roman;Times;serif"/>
                <w:caps w:val="false"/>
                <w:smallCaps w:val="false"/>
                <w:sz w:val="20"/>
              </w:rPr>
              <w:t> </w:t>
            </w:r>
          </w:p>
        </w:tc>
        <w:tc>
          <w:tcPr>
            <w:tcW w:w="360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STOCK-BASED COMPENSATION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we had unvested restricted stock awards and stock options granted under stock-based compensation plans that are described more fully in Note </w:t>
      </w:r>
      <w:r>
        <w:rPr>
          <w:rStyle w:val="Emphasis"/>
          <w:rFonts w:ascii="Times New Roman" w:hAnsi="Times New Roman"/>
          <w:caps w:val="false"/>
          <w:smallCaps w:val="false"/>
          <w:sz w:val="20"/>
        </w:rPr>
        <w:t>13</w:t>
      </w:r>
      <w:r>
        <w:rPr>
          <w:rFonts w:ascii="Times New Roman" w:hAnsi="Times New Roman"/>
          <w:caps w:val="false"/>
          <w:smallCaps w:val="false"/>
          <w:sz w:val="20"/>
        </w:rPr>
        <w:t xml:space="preserve"> to the consolidated financial statements in our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Form </w:t>
      </w:r>
      <w:r>
        <w:rPr>
          <w:rStyle w:val="Emphasis"/>
          <w:rFonts w:ascii="Times New Roman" w:hAnsi="Times New Roman"/>
          <w:caps w:val="false"/>
          <w:smallCaps w:val="false"/>
          <w:sz w:val="20"/>
        </w:rPr>
        <w:t>10</w:t>
      </w:r>
      <w:r>
        <w:rPr>
          <w:rFonts w:ascii="Times New Roman" w:hAnsi="Times New Roman"/>
          <w:caps w:val="false"/>
          <w:smallCaps w:val="false"/>
          <w:sz w:val="20"/>
        </w:rPr>
        <w:t>-K.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Our unvested restricted stock awards and stock options are accounted for based on their grant date fair value. As of </w:t>
      </w:r>
      <w:r>
        <w:rPr>
          <w:rStyle w:val="Emphasis"/>
          <w:rFonts w:ascii="Times New Roman" w:hAnsi="Times New Roman"/>
          <w:caps w:val="false"/>
          <w:smallCaps w:val="false"/>
          <w:sz w:val="20"/>
        </w:rPr>
        <w:t>March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total compensation expense to be recognized in future periods was $4,813. The weighted average period over which this expense is expected to be recognized was 2.5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The following table summarizes the compensation expense we recorded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related to unvested shares of restricted stock and stock options:</w:t>
      </w:r>
    </w:p>
    <w:p>
      <w:pPr>
        <w:pStyle w:val="TextBody"/>
        <w:bidi w:val="0"/>
        <w:spacing w:before="0" w:after="0"/>
        <w:ind w:left="0" w:right="0" w:hanging="0"/>
        <w:jc w:val="left"/>
        <w:rPr>
          <w:caps w:val="false"/>
          <w:smallCaps w:val="false"/>
        </w:rPr>
      </w:pPr>
      <w:r>
        <w:rPr>
          <w:caps w:val="false"/>
          <w:smallCaps w:val="false"/>
        </w:rPr>
        <w:t> </w:t>
      </w:r>
    </w:p>
    <w:tbl>
      <w:tblPr>
        <w:tblW w:w="5768" w:type="dxa"/>
        <w:jc w:val="left"/>
        <w:tblInd w:w="0" w:type="dxa"/>
        <w:tblLayout w:type="fixed"/>
        <w:tblCellMar>
          <w:top w:w="0" w:type="dxa"/>
          <w:left w:w="0" w:type="dxa"/>
          <w:bottom w:w="0" w:type="dxa"/>
          <w:right w:w="0" w:type="dxa"/>
        </w:tblCellMar>
      </w:tblPr>
      <w:tblGrid>
        <w:gridCol w:w="3860"/>
        <w:gridCol w:w="60"/>
        <w:gridCol w:w="215"/>
        <w:gridCol w:w="576"/>
        <w:gridCol w:w="103"/>
        <w:gridCol w:w="103"/>
        <w:gridCol w:w="215"/>
        <w:gridCol w:w="576"/>
        <w:gridCol w:w="60"/>
      </w:tblGrid>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60"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ind w:left="0" w:right="0" w:hanging="0"/>
              <w:jc w:val="left"/>
              <w:rPr/>
            </w:pPr>
            <w:r>
              <w:rPr/>
              <w:t> </w:t>
            </w:r>
          </w:p>
        </w:tc>
        <w:tc>
          <w:tcPr>
            <w:tcW w:w="7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expense</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Engineering and product development expense</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There was no compensation expense capitalized in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or </w:t>
      </w:r>
      <w:r>
        <w:rPr>
          <w:rStyle w:val="Emphasis"/>
          <w:rFonts w:ascii="Times New Roman" w:hAnsi="Times New Roman"/>
          <w:caps w:val="false"/>
          <w:smallCaps w:val="false"/>
          <w:sz w:val="20"/>
        </w:rPr>
        <w:t>2023.</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 </w:t>
      </w: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720" w:right="0" w:hanging="0"/>
        <w:jc w:val="left"/>
        <w:rPr/>
      </w:pPr>
      <w:r>
        <w:rPr>
          <w:rFonts w:ascii="Times New Roman" w:hAnsi="Times New Roman"/>
          <w:b/>
          <w:i/>
          <w:caps w:val="false"/>
          <w:smallCaps w:val="false"/>
          <w:sz w:val="20"/>
          <w:u w:val="single"/>
        </w:rPr>
        <w:t>Stock Options</w:t>
      </w:r>
      <w:r>
        <w:rPr>
          <w:rFonts w:ascii="Times New Roman" w:hAnsi="Times New Roman"/>
          <w:caps w:val="false"/>
          <w:smallCaps w:val="false"/>
          <w:sz w:val="20"/>
        </w:rPr>
        <w:br/>
        <w:br/>
        <w:t xml:space="preserve">We record compensation expense for stock options based on the fair market value of the options as of the grant date.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option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granted with an exercise period in excess of ten years from the date of grant. Generally, stock options will be granted with an exercise price equal to the fair market value of our stock on the date of grant and will vest over four years.</w:t>
        <w:br/>
        <w:br/>
        <w:t xml:space="preserve">The fair value for stock options granted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was estimated at the date of grant using the Black-Scholes option pricing model with the following weighted average assumptions:</w:t>
      </w:r>
    </w:p>
    <w:p>
      <w:pPr>
        <w:pStyle w:val="TextBody"/>
        <w:bidi w:val="0"/>
        <w:spacing w:before="0" w:after="0"/>
        <w:ind w:left="0" w:right="0" w:hanging="0"/>
        <w:jc w:val="left"/>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4520"/>
        <w:gridCol w:w="60"/>
        <w:gridCol w:w="60"/>
        <w:gridCol w:w="380"/>
        <w:gridCol w:w="185"/>
        <w:gridCol w:w="60"/>
        <w:gridCol w:w="60"/>
        <w:gridCol w:w="380"/>
        <w:gridCol w:w="185"/>
      </w:tblGrid>
      <w:tr>
        <w:trPr/>
        <w:tc>
          <w:tcPr>
            <w:tcW w:w="4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85"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yield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common stock market price volatility factor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185"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expected life of stock options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The per share weighted average fair value of stock options issued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was $6.55 and $9.32,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The following table summarizes the activity related to stock options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2024:</w:t>
      </w:r>
    </w:p>
    <w:p>
      <w:pPr>
        <w:pStyle w:val="TextBody"/>
        <w:bidi w:val="0"/>
        <w:spacing w:before="0" w:after="0"/>
        <w:ind w:left="0" w:right="0" w:hanging="0"/>
        <w:jc w:val="left"/>
        <w:rPr>
          <w:caps w:val="false"/>
          <w:smallCaps w:val="false"/>
        </w:rPr>
      </w:pPr>
      <w:r>
        <w:rPr>
          <w:caps w:val="false"/>
          <w:smallCaps w:val="false"/>
        </w:rPr>
        <w:t> </w:t>
      </w:r>
    </w:p>
    <w:tbl>
      <w:tblPr>
        <w:tblW w:w="7173" w:type="dxa"/>
        <w:jc w:val="left"/>
        <w:tblInd w:w="0" w:type="dxa"/>
        <w:tblLayout w:type="fixed"/>
        <w:tblCellMar>
          <w:top w:w="0" w:type="dxa"/>
          <w:left w:w="0" w:type="dxa"/>
          <w:bottom w:w="0" w:type="dxa"/>
          <w:right w:w="0" w:type="dxa"/>
        </w:tblCellMar>
      </w:tblPr>
      <w:tblGrid>
        <w:gridCol w:w="4865"/>
        <w:gridCol w:w="60"/>
        <w:gridCol w:w="63"/>
        <w:gridCol w:w="736"/>
        <w:gridCol w:w="80"/>
        <w:gridCol w:w="60"/>
        <w:gridCol w:w="256"/>
        <w:gridCol w:w="993"/>
        <w:gridCol w:w="60"/>
      </w:tblGrid>
      <w:tr>
        <w:trPr/>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 Price</w:t>
            </w:r>
          </w:p>
        </w:tc>
        <w:tc>
          <w:tcPr>
            <w:tcW w:w="60" w:type="dxa"/>
            <w:tcBorders/>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outstanding, January 1, 2024 (171,735 exercisable)</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505,006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10.46</w:t>
            </w:r>
          </w:p>
        </w:tc>
        <w:tc>
          <w:tcPr>
            <w:tcW w:w="60" w:type="dxa"/>
            <w:tcBorders/>
            <w:shd w:fill="CCEE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165,364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11.33</w:t>
            </w:r>
          </w:p>
        </w:tc>
        <w:tc>
          <w:tcPr>
            <w:tcW w:w="60" w:type="dxa"/>
            <w:tcBorders/>
            <w:shd w:fill="FFFFFF" w:val="clear"/>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w:t>
            </w:r>
          </w:p>
        </w:tc>
        <w:tc>
          <w:tcPr>
            <w:tcW w:w="60" w:type="dxa"/>
            <w:tcBorders/>
            <w:shd w:fill="CCEE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Canceled</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10.27</w:t>
            </w:r>
          </w:p>
        </w:tc>
        <w:tc>
          <w:tcPr>
            <w:tcW w:w="60" w:type="dxa"/>
            <w:tcBorders/>
            <w:shd w:fill="FFFFFF" w:val="clear"/>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outstanding, March 31, 2024 (228,364 exercisable)</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642,044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b/>
          <w:i/>
          <w:caps w:val="false"/>
          <w:smallCaps w:val="false"/>
          <w:sz w:val="20"/>
          <w:u w:val="single"/>
        </w:rPr>
        <w:t>Restricted Stock Awards</w:t>
      </w:r>
      <w:r>
        <w:rPr>
          <w:rFonts w:ascii="Times New Roman" w:hAnsi="Times New Roman"/>
          <w:caps w:val="false"/>
          <w:smallCaps w:val="false"/>
          <w:sz w:val="20"/>
        </w:rPr>
        <w:br/>
        <w:br/>
        <w:t xml:space="preserve">We record compensation expense for restricted stock awards based on the quoted market price of our stock at the grant date and amortize the expense over the vesting period. Restricted stock awards generally vest over four years for employees and over one year for our independent directors (25% at each of </w:t>
      </w:r>
      <w:r>
        <w:rPr>
          <w:rStyle w:val="Emphasis"/>
          <w:rFonts w:ascii="Times New Roman" w:hAnsi="Times New Roman"/>
          <w:caps w:val="false"/>
          <w:smallCaps w:val="false"/>
          <w:sz w:val="20"/>
        </w:rPr>
        <w:t xml:space="preserve">March 31, June 30, September 30,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w:t>
      </w:r>
      <w:r>
        <w:rPr>
          <w:rFonts w:ascii="Times New Roman" w:hAnsi="Times New Roman"/>
          <w:caps w:val="false"/>
          <w:smallCaps w:val="false"/>
          <w:sz w:val="20"/>
        </w:rPr>
        <w:t>of the year in which they were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Since </w:t>
      </w:r>
      <w:r>
        <w:rPr>
          <w:rStyle w:val="Emphasis"/>
          <w:rFonts w:ascii="Times New Roman" w:hAnsi="Times New Roman"/>
          <w:caps w:val="false"/>
          <w:smallCaps w:val="false"/>
          <w:sz w:val="20"/>
        </w:rPr>
        <w:t xml:space="preserve">August 2020, </w:t>
      </w:r>
      <w:r>
        <w:rPr>
          <w:rFonts w:ascii="Times New Roman" w:hAnsi="Times New Roman"/>
          <w:caps w:val="false"/>
          <w:smallCaps w:val="false"/>
          <w:sz w:val="20"/>
        </w:rPr>
        <w:t>we have increasingly granted performance-based restricted stock awards where the ultimate number of shares that vest can vary between 0% and 150% of the amount of the original award and is based on the achievement of specified performance metrics. Vesting for these awards is generally cliff vesting at the end of the period over which the performance metrics are measured. Compensation expense for these awards is recorded on a straight-line basis over the vesting period and is based on the expected final vesting percentage, which is re-assessed at the end of each reporting period and adjusted with a catch-up adjustment, as needed. Our initial assumption at the grant date of these awards is that the award will vest at the 100%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10, 2021, </w:t>
      </w:r>
      <w:r>
        <w:rPr>
          <w:rFonts w:ascii="Times New Roman" w:hAnsi="Times New Roman"/>
          <w:caps w:val="false"/>
          <w:smallCaps w:val="false"/>
          <w:sz w:val="20"/>
        </w:rPr>
        <w:t xml:space="preserve">we issued restricted stock awards totaling 18,000 shares to members of senior management within our operating segments. During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6,000 of these shares were forfeited when the individual to whom they had been granted resigned from his position with us. The remaining 12,000 shares vested on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anniversary of the grant date at vesting percentages of 75% for 6,000 of the shares and 100% for the remaining 6,000 shares. The final vesting percentages were based on the achievement of certain performance metrics related to the operating results of the business units for which these members of management are responsible.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1, 2021, </w:t>
      </w:r>
      <w:r>
        <w:rPr>
          <w:rFonts w:ascii="Times New Roman" w:hAnsi="Times New Roman"/>
          <w:caps w:val="false"/>
          <w:smallCaps w:val="false"/>
          <w:sz w:val="20"/>
        </w:rPr>
        <w:t xml:space="preserve">we issued restricted stock awards totaling 5,000 shares to a member of senior management. These shares will vest on </w:t>
      </w:r>
      <w:r>
        <w:rPr>
          <w:rStyle w:val="Emphasis"/>
          <w:rFonts w:ascii="Times New Roman" w:hAnsi="Times New Roman"/>
          <w:caps w:val="false"/>
          <w:smallCaps w:val="false"/>
          <w:sz w:val="20"/>
        </w:rPr>
        <w:t xml:space="preserve">January 1, 2025 </w:t>
      </w:r>
      <w:r>
        <w:rPr>
          <w:rFonts w:ascii="Times New Roman" w:hAnsi="Times New Roman"/>
          <w:caps w:val="false"/>
          <w:smallCaps w:val="false"/>
          <w:sz w:val="20"/>
        </w:rPr>
        <w:t xml:space="preserve">at a vesting percentage that could range from 0% to 150% of the number of shares awarded on </w:t>
      </w:r>
      <w:r>
        <w:rPr>
          <w:rStyle w:val="Emphasis"/>
          <w:rFonts w:ascii="Times New Roman" w:hAnsi="Times New Roman"/>
          <w:caps w:val="false"/>
          <w:smallCaps w:val="false"/>
          <w:sz w:val="20"/>
        </w:rPr>
        <w:t xml:space="preserve">October 1, 2021. </w:t>
      </w:r>
      <w:r>
        <w:rPr>
          <w:rFonts w:ascii="Times New Roman" w:hAnsi="Times New Roman"/>
          <w:caps w:val="false"/>
          <w:smallCaps w:val="false"/>
          <w:sz w:val="20"/>
        </w:rPr>
        <w:t xml:space="preserve">The final vesting percentage will be based on the achievement of certain performance metrics related to our consolidated operating results. At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we reduced the estimate of the final vesting percentage to 50%. At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this estimate was further reduced to 0% based on our current assessment of the probable achievement against the relevant performance metrics.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9, 2022, </w:t>
      </w:r>
      <w:r>
        <w:rPr>
          <w:rFonts w:ascii="Times New Roman" w:hAnsi="Times New Roman"/>
          <w:caps w:val="false"/>
          <w:smallCaps w:val="false"/>
          <w:sz w:val="20"/>
        </w:rPr>
        <w:t xml:space="preserve">our CEO and CFO received restricted stock awards totaling 20,493 shares valued at $200 as of the date of grant. These shares vest on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anniversary of the grant date at a vesting percentage that could range from 0% to 150% of the number of shares awarded on </w:t>
      </w:r>
      <w:r>
        <w:rPr>
          <w:rStyle w:val="Emphasis"/>
          <w:rFonts w:ascii="Times New Roman" w:hAnsi="Times New Roman"/>
          <w:caps w:val="false"/>
          <w:smallCaps w:val="false"/>
          <w:sz w:val="20"/>
        </w:rPr>
        <w:t xml:space="preserve">March 9, 2022. </w:t>
      </w:r>
      <w:r>
        <w:rPr>
          <w:rFonts w:ascii="Times New Roman" w:hAnsi="Times New Roman"/>
          <w:caps w:val="false"/>
          <w:smallCaps w:val="false"/>
          <w:sz w:val="20"/>
        </w:rPr>
        <w:t xml:space="preserve">The final vesting percentage will be based on the achievement of certain performance metrics, including revenue compound annual growth rate and diluted earnings per share excluding amortization of intangibles, for specified time periods as determined by the Compensation Committee of our Board of Directors. At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we reduced the estimate of the final vesting percentage to 50%. At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this estimate was further reduced to 0% based on our current assessment of the probable achievement against the relevant performance metrics.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 </w:t>
      </w: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72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8, 2023, </w:t>
      </w:r>
      <w:r>
        <w:rPr>
          <w:rFonts w:ascii="Times New Roman" w:hAnsi="Times New Roman"/>
          <w:caps w:val="false"/>
          <w:smallCaps w:val="false"/>
          <w:sz w:val="20"/>
        </w:rPr>
        <w:t xml:space="preserve">our CEO, CFO and the Division Presidents of two of our operating segments received restricted stock awards totaling 18,888 shares valued at $303 as of the date of grant. These shares vest on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anniversary of the grant date at a vesting percentage that could range from 0% to 150% of the number of shares awarded on </w:t>
      </w:r>
      <w:r>
        <w:rPr>
          <w:rStyle w:val="Emphasis"/>
          <w:rFonts w:ascii="Times New Roman" w:hAnsi="Times New Roman"/>
          <w:caps w:val="false"/>
          <w:smallCaps w:val="false"/>
          <w:sz w:val="20"/>
        </w:rPr>
        <w:t xml:space="preserve">March 8, 2023. </w:t>
      </w:r>
      <w:r>
        <w:rPr>
          <w:rFonts w:ascii="Times New Roman" w:hAnsi="Times New Roman"/>
          <w:caps w:val="false"/>
          <w:smallCaps w:val="false"/>
          <w:sz w:val="20"/>
        </w:rPr>
        <w:t xml:space="preserve">The final vesting percentage will be based on the achievement of certain performance metrics related to revenue for the year ending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as determined by the Compensation Committee of our Board of Directors. At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we have estimated that these shares will vest at 100% of the original amount based on our assessment of the probable achievement against the relevant performance metrics. </w:t>
        <w:br/>
        <w:br/>
        <w:t xml:space="preserve">On </w:t>
      </w:r>
      <w:r>
        <w:rPr>
          <w:rStyle w:val="Emphasis"/>
          <w:rFonts w:ascii="Times New Roman" w:hAnsi="Times New Roman"/>
          <w:caps w:val="false"/>
          <w:smallCaps w:val="false"/>
          <w:sz w:val="20"/>
        </w:rPr>
        <w:t xml:space="preserve">May 8, 2023 </w:t>
      </w:r>
      <w:r>
        <w:rPr>
          <w:rFonts w:ascii="Times New Roman" w:hAnsi="Times New Roman"/>
          <w:caps w:val="false"/>
          <w:smallCaps w:val="false"/>
          <w:sz w:val="20"/>
        </w:rPr>
        <w:t xml:space="preserve">the newly appointed president of our Environmental Technologies segment received performance-based restricted stock awards totaling 5,081 shares valued at $108 as of the date of grant. These shares vest on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anniversary of the grant date at a vesting percentage that could range from 0% to 150% of the number of shares of restricted stock awarded on </w:t>
      </w:r>
      <w:r>
        <w:rPr>
          <w:rStyle w:val="Emphasis"/>
          <w:rFonts w:ascii="Times New Roman" w:hAnsi="Times New Roman"/>
          <w:caps w:val="false"/>
          <w:smallCaps w:val="false"/>
          <w:sz w:val="20"/>
        </w:rPr>
        <w:t xml:space="preserve">May 8, 2023. </w:t>
      </w:r>
      <w:r>
        <w:rPr>
          <w:rFonts w:ascii="Times New Roman" w:hAnsi="Times New Roman"/>
          <w:caps w:val="false"/>
          <w:smallCaps w:val="false"/>
          <w:sz w:val="20"/>
        </w:rPr>
        <w:t xml:space="preserve">The final vesting percentage will be based on the achievement of certain performance metrics including revenue and income from operations for specified time periods. As of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we have estimated that these shares will vest at 100% of the original amount.</w:t>
        <w:br/>
        <w:br/>
        <w:t xml:space="preserve">On </w:t>
      </w:r>
      <w:r>
        <w:rPr>
          <w:rStyle w:val="Emphasis"/>
          <w:rFonts w:ascii="Times New Roman" w:hAnsi="Times New Roman"/>
          <w:caps w:val="false"/>
          <w:smallCaps w:val="false"/>
          <w:sz w:val="20"/>
        </w:rPr>
        <w:t xml:space="preserve">January 16, 2024 </w:t>
      </w:r>
      <w:r>
        <w:rPr>
          <w:rFonts w:ascii="Times New Roman" w:hAnsi="Times New Roman"/>
          <w:caps w:val="false"/>
          <w:smallCaps w:val="false"/>
          <w:sz w:val="20"/>
        </w:rPr>
        <w:t xml:space="preserve">the newly appointed president of our Process Technologies segment received performance-based restricted stock awards totaling 8,231 shares valued at $100 as of the date of grant. These shares vest on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anniversary of the grant date at a vesting percentage that could range from 0% to 150% of the number of shares of restricted stock awarded on </w:t>
      </w:r>
      <w:r>
        <w:rPr>
          <w:rStyle w:val="Emphasis"/>
          <w:rFonts w:ascii="Times New Roman" w:hAnsi="Times New Roman"/>
          <w:caps w:val="false"/>
          <w:smallCaps w:val="false"/>
          <w:sz w:val="20"/>
        </w:rPr>
        <w:t xml:space="preserve">January 16, 2024. </w:t>
      </w:r>
      <w:r>
        <w:rPr>
          <w:rFonts w:ascii="Times New Roman" w:hAnsi="Times New Roman"/>
          <w:caps w:val="false"/>
          <w:smallCaps w:val="false"/>
          <w:sz w:val="20"/>
        </w:rPr>
        <w:t xml:space="preserve">The final vesting percentage will be based on the achievement of certain performance metrics including revenue and income from operations for specified time periods. As of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we have estimated that these shares will vest at 100% of the original amount.</w:t>
        <w:br/>
        <w:br/>
        <w:t xml:space="preserve">On </w:t>
      </w:r>
      <w:r>
        <w:rPr>
          <w:rStyle w:val="Emphasis"/>
          <w:rFonts w:ascii="Times New Roman" w:hAnsi="Times New Roman"/>
          <w:caps w:val="false"/>
          <w:smallCaps w:val="false"/>
          <w:sz w:val="20"/>
        </w:rPr>
        <w:t xml:space="preserve">March 6, 2024, </w:t>
      </w:r>
      <w:r>
        <w:rPr>
          <w:rFonts w:ascii="Times New Roman" w:hAnsi="Times New Roman"/>
          <w:caps w:val="false"/>
          <w:smallCaps w:val="false"/>
          <w:sz w:val="20"/>
        </w:rPr>
        <w:t xml:space="preserve">our CEO, CFO and the Division Presidents of our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operating segments received restricted stock awards totaling 33,539 shares valued at $380 as of the date of grant. These shares vest on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anniversary of the grant date at a vesting percentage that could range from 0% to 150% of the number of shares awarded on </w:t>
      </w:r>
      <w:r>
        <w:rPr>
          <w:rStyle w:val="Emphasis"/>
          <w:rFonts w:ascii="Times New Roman" w:hAnsi="Times New Roman"/>
          <w:caps w:val="false"/>
          <w:smallCaps w:val="false"/>
          <w:sz w:val="20"/>
        </w:rPr>
        <w:t xml:space="preserve">March 6, 2024. </w:t>
      </w:r>
      <w:r>
        <w:rPr>
          <w:rFonts w:ascii="Times New Roman" w:hAnsi="Times New Roman"/>
          <w:caps w:val="false"/>
          <w:smallCaps w:val="false"/>
          <w:sz w:val="20"/>
        </w:rPr>
        <w:t xml:space="preserve">The final vesting percentage will be based on the achievement of certain performance metrics related to adjusted EBITDA for the year ended </w:t>
      </w:r>
      <w:r>
        <w:rPr>
          <w:rStyle w:val="Emphasis"/>
          <w:rFonts w:ascii="Times New Roman" w:hAnsi="Times New Roman"/>
          <w:caps w:val="false"/>
          <w:smallCaps w:val="false"/>
          <w:sz w:val="20"/>
        </w:rPr>
        <w:t xml:space="preserve">December 31, 2026 </w:t>
      </w:r>
      <w:r>
        <w:rPr>
          <w:rFonts w:ascii="Times New Roman" w:hAnsi="Times New Roman"/>
          <w:caps w:val="false"/>
          <w:smallCaps w:val="false"/>
          <w:sz w:val="20"/>
        </w:rPr>
        <w:t xml:space="preserve">as determined by the Compensation Committee of our Board of Directors. At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we have estimated that these shares will vest at 100% of the original amount based on our assessment of the probable achievement against the relevant performance metrics.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The following table summarizes the activity related to unvested restricted stock awards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p>
    <w:p>
      <w:pPr>
        <w:pStyle w:val="TextBody"/>
        <w:bidi w:val="0"/>
        <w:spacing w:before="0" w:after="0"/>
        <w:ind w:left="0" w:right="0" w:hanging="0"/>
        <w:jc w:val="left"/>
        <w:rPr>
          <w:caps w:val="false"/>
          <w:smallCaps w:val="false"/>
        </w:rPr>
      </w:pPr>
      <w:r>
        <w:rPr>
          <w:caps w:val="false"/>
          <w:smallCaps w:val="false"/>
        </w:rPr>
        <w:t> </w:t>
      </w:r>
    </w:p>
    <w:tbl>
      <w:tblPr>
        <w:tblW w:w="5748" w:type="dxa"/>
        <w:jc w:val="left"/>
        <w:tblInd w:w="0" w:type="dxa"/>
        <w:tblLayout w:type="fixed"/>
        <w:tblCellMar>
          <w:top w:w="0" w:type="dxa"/>
          <w:left w:w="0" w:type="dxa"/>
          <w:bottom w:w="0" w:type="dxa"/>
          <w:right w:w="0" w:type="dxa"/>
        </w:tblCellMar>
      </w:tblPr>
      <w:tblGrid>
        <w:gridCol w:w="3725"/>
        <w:gridCol w:w="60"/>
        <w:gridCol w:w="63"/>
        <w:gridCol w:w="736"/>
        <w:gridCol w:w="80"/>
        <w:gridCol w:w="60"/>
        <w:gridCol w:w="197"/>
        <w:gridCol w:w="767"/>
        <w:gridCol w:w="60"/>
      </w:tblGrid>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Grant Date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60"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Unvested shares outstanding, January 1, 2024</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189,784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11.51</w:t>
            </w:r>
          </w:p>
        </w:tc>
        <w:tc>
          <w:tcPr>
            <w:tcW w:w="6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138,838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11.38</w:t>
            </w:r>
          </w:p>
        </w:tc>
        <w:tc>
          <w:tcPr>
            <w:tcW w:w="6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11.52</w:t>
            </w:r>
          </w:p>
        </w:tc>
        <w:tc>
          <w:tcPr>
            <w:tcW w:w="6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12.29</w:t>
            </w:r>
          </w:p>
        </w:tc>
        <w:tc>
          <w:tcPr>
            <w:tcW w:w="6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Unvested shares outstanding, March 31, 2024</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277,632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The total fair value of the restricted stock awards that vested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was $463 and $381, respectively, as of the vesting dates of these awards.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3970" w:type="dxa"/>
        <w:jc w:val="left"/>
        <w:tblInd w:w="0" w:type="dxa"/>
        <w:tblLayout w:type="fixed"/>
        <w:tblCellMar>
          <w:top w:w="0" w:type="dxa"/>
          <w:left w:w="0" w:type="dxa"/>
          <w:bottom w:w="0" w:type="dxa"/>
          <w:right w:w="0" w:type="dxa"/>
        </w:tblCellMar>
      </w:tblPr>
      <w:tblGrid>
        <w:gridCol w:w="395"/>
        <w:gridCol w:w="3575"/>
      </w:tblGrid>
      <w:tr>
        <w:trPr/>
        <w:tc>
          <w:tcPr>
            <w:tcW w:w="395" w:type="dxa"/>
            <w:tcBorders/>
            <w:vAlign w:val="center"/>
          </w:tcPr>
          <w:p>
            <w:pPr>
              <w:pStyle w:val="TableContents"/>
              <w:bidi w:val="0"/>
              <w:spacing w:before="0" w:after="0"/>
              <w:ind w:left="0" w:right="0" w:hanging="0"/>
              <w:jc w:val="left"/>
              <w:rPr/>
            </w:pPr>
            <w:r>
              <w:rPr>
                <w:rFonts w:ascii="Times New Roman;Times;serif" w:hAnsi="Times New Roman;Times;serif"/>
                <w:b/>
                <w:caps w:val="false"/>
                <w:smallCaps w:val="false"/>
                <w:sz w:val="20"/>
              </w:rPr>
              <w:t>(</w:t>
            </w:r>
            <w:r>
              <w:rPr>
                <w:rStyle w:val="Emphasis"/>
                <w:rFonts w:ascii="Times New Roman;Times;serif" w:hAnsi="Times New Roman;Times;serif"/>
                <w:b/>
                <w:caps w:val="false"/>
                <w:smallCaps w:val="false"/>
                <w:sz w:val="20"/>
              </w:rPr>
              <w:t>12</w:t>
            </w:r>
            <w:r>
              <w:rPr>
                <w:rFonts w:ascii="Times New Roman;Times;serif" w:hAnsi="Times New Roman;Times;serif"/>
                <w:b/>
                <w:caps w:val="false"/>
                <w:smallCaps w:val="false"/>
                <w:sz w:val="20"/>
              </w:rPr>
              <w:t>)</w:t>
            </w:r>
            <w:r>
              <w:rPr>
                <w:rFonts w:ascii="Times New Roman;Times;serif" w:hAnsi="Times New Roman;Times;serif"/>
                <w:caps w:val="false"/>
                <w:smallCaps w:val="false"/>
                <w:sz w:val="20"/>
              </w:rPr>
              <w:t> </w:t>
            </w:r>
          </w:p>
        </w:tc>
        <w:tc>
          <w:tcPr>
            <w:tcW w:w="35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EMPLOYEE STOCK PURCHASE PLAN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The inTEST Corporation Employee Stock Purchase Plan (the “ESPP”) was adopted by the Board in </w:t>
      </w:r>
      <w:r>
        <w:rPr>
          <w:rStyle w:val="Emphasis"/>
          <w:rFonts w:ascii="Times New Roman" w:hAnsi="Times New Roman"/>
          <w:caps w:val="false"/>
          <w:smallCaps w:val="false"/>
          <w:sz w:val="20"/>
        </w:rPr>
        <w:t xml:space="preserve">April 2021 </w:t>
      </w:r>
      <w:r>
        <w:rPr>
          <w:rFonts w:ascii="Times New Roman" w:hAnsi="Times New Roman"/>
          <w:caps w:val="false"/>
          <w:smallCaps w:val="false"/>
          <w:sz w:val="20"/>
        </w:rPr>
        <w:t xml:space="preserve">subject to approval by our stockholders, which occurred on </w:t>
      </w:r>
      <w:r>
        <w:rPr>
          <w:rStyle w:val="Emphasis"/>
          <w:rFonts w:ascii="Times New Roman" w:hAnsi="Times New Roman"/>
          <w:caps w:val="false"/>
          <w:smallCaps w:val="false"/>
          <w:sz w:val="20"/>
        </w:rPr>
        <w:t xml:space="preserve">June 23, 2021 </w:t>
      </w:r>
      <w:r>
        <w:rPr>
          <w:rFonts w:ascii="Times New Roman" w:hAnsi="Times New Roman"/>
          <w:caps w:val="false"/>
          <w:smallCaps w:val="false"/>
          <w:sz w:val="20"/>
        </w:rPr>
        <w:t xml:space="preserve">at our Annual Meeting of Stockholders. The ESPP provides our eligible employees with an opportunity to purchase common stock through accumulated payroll deductions at a discounted purchase price. The ESPP became effective on </w:t>
      </w:r>
      <w:r>
        <w:rPr>
          <w:rStyle w:val="Emphasis"/>
          <w:rFonts w:ascii="Times New Roman" w:hAnsi="Times New Roman"/>
          <w:caps w:val="false"/>
          <w:smallCaps w:val="false"/>
          <w:sz w:val="20"/>
        </w:rPr>
        <w:t>October 1,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ESPP provides that an aggregate of up to 250,000 shares of our common stock will be available for issuance under the ESPP. The shares of our common stock purchasable under the ESPP will be shares of authorized but unissued or reacquired shares, including shares repurchased by us on the open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 </w:t>
      </w: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72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employees purchased 4,104 shares of our stock through the ESPP at a cost of $46. The closing market price on the date of the purchase was $13.25. The price paid by employees was $11.26 which represented a 15% discount. The total amount of the discount of $8 was recorded as compensation expense in our consolidated statements of operations. From the effective date of the ESPP through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a total of 47,037 shares of stock have been purchased by employees through the ESPP at a cost of $460. We have recorded a total of $81 of compensation expense in our consolidated statements of operations related to these shares.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3130" w:type="dxa"/>
        <w:jc w:val="left"/>
        <w:tblInd w:w="0" w:type="dxa"/>
        <w:tblLayout w:type="fixed"/>
        <w:tblCellMar>
          <w:top w:w="0" w:type="dxa"/>
          <w:left w:w="0" w:type="dxa"/>
          <w:bottom w:w="0" w:type="dxa"/>
          <w:right w:w="0" w:type="dxa"/>
        </w:tblCellMar>
      </w:tblPr>
      <w:tblGrid>
        <w:gridCol w:w="395"/>
        <w:gridCol w:w="2735"/>
      </w:tblGrid>
      <w:tr>
        <w:trPr/>
        <w:tc>
          <w:tcPr>
            <w:tcW w:w="395" w:type="dxa"/>
            <w:tcBorders/>
            <w:vAlign w:val="center"/>
          </w:tcPr>
          <w:p>
            <w:pPr>
              <w:pStyle w:val="TableContents"/>
              <w:bidi w:val="0"/>
              <w:spacing w:before="0" w:after="0"/>
              <w:ind w:left="0" w:right="0" w:hanging="0"/>
              <w:jc w:val="left"/>
              <w:rPr/>
            </w:pPr>
            <w:r>
              <w:rPr>
                <w:rFonts w:ascii="Times New Roman;Times;serif" w:hAnsi="Times New Roman;Times;serif"/>
                <w:b/>
                <w:caps w:val="false"/>
                <w:smallCaps w:val="false"/>
                <w:sz w:val="20"/>
              </w:rPr>
              <w:t>(</w:t>
            </w:r>
            <w:r>
              <w:rPr>
                <w:rStyle w:val="Emphasis"/>
                <w:rFonts w:ascii="Times New Roman;Times;serif" w:hAnsi="Times New Roman;Times;serif"/>
                <w:b/>
                <w:caps w:val="false"/>
                <w:smallCaps w:val="false"/>
                <w:sz w:val="20"/>
              </w:rPr>
              <w:t>13</w:t>
            </w:r>
            <w:r>
              <w:rPr>
                <w:rFonts w:ascii="Times New Roman;Times;serif" w:hAnsi="Times New Roman;Times;serif"/>
                <w:b/>
                <w:caps w:val="false"/>
                <w:smallCaps w:val="false"/>
                <w:sz w:val="20"/>
              </w:rPr>
              <w:t>)</w:t>
            </w:r>
            <w:r>
              <w:rPr>
                <w:rFonts w:ascii="Times New Roman;Times;serif" w:hAnsi="Times New Roman;Times;serif"/>
                <w:caps w:val="false"/>
                <w:smallCaps w:val="false"/>
                <w:sz w:val="20"/>
              </w:rPr>
              <w:t> </w:t>
            </w:r>
          </w:p>
        </w:tc>
        <w:tc>
          <w:tcPr>
            <w:tcW w:w="273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EMPLOYEE BENEFIT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We have defined contribution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plans for our employees who work in the U.S. These plans include the inTEST Corporation Incentive Savings Plan (the “inTEST Plan”) and the Ambrell Corporation Savings &amp; Profit Sharing Plan (the "Ambrell Plan"). During the quarter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the Ambrell Plan, which is discussed further below, was merged into the inTEST Plan.</w:t>
        <w:br/>
        <w:br/>
        <w:t xml:space="preserve">As of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all permanent employees of Acculogic Ltd, Ambrell, inTEST Corporation, inTEST EMS LLC, Temptronic Corporation and Videology, who are at least </w:t>
      </w:r>
      <w:r>
        <w:rPr>
          <w:rStyle w:val="Emphasis"/>
          <w:rFonts w:ascii="Times New Roman" w:hAnsi="Times New Roman"/>
          <w:caps w:val="false"/>
          <w:smallCaps w:val="false"/>
          <w:sz w:val="20"/>
        </w:rPr>
        <w:t>18</w:t>
      </w:r>
      <w:r>
        <w:rPr>
          <w:rFonts w:ascii="Times New Roman" w:hAnsi="Times New Roman"/>
          <w:caps w:val="false"/>
          <w:smallCaps w:val="false"/>
          <w:sz w:val="20"/>
        </w:rPr>
        <w:t xml:space="preserve"> years of age, are eligible to participate in the inTEST Plan. We match employee contributions dollar for dollar up to 10% of the employee's annual compensation, with a maximum limit of $5. Employer contributions vest ratably over four years. Matching contributions are discretionary. Prior to the merger with the inTEST Plan, all permanent employees of Ambrell were immediately eligible to participate in the Ambrell Plan upon employment and were eligible for employer matching contributions after completing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of service, as defined in the Ambrell Plan. The Ambrell Plan allowed eligible employees to make voluntary contributions up to 100% of compensation, up to the federal government contribution limits. We made a matching contribution of 50% of each employee's contributions up to a maximum of 10% of the employee's deferral with a maximum limit of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we recorded expense for matching contributions to both plans of $389 and $372, respectively.</w:t>
        <w:br/>
        <w:br/>
        <w:t xml:space="preserve">Employees of Alfamation in Italy are entitled to Trattamento di Fine Rapporto (“TFR”), commonly referred to as an employee leaving indemnity, which represents deferred compensation for employees. Under Italian law, an entity is obligated to accrue for TFR on an individual employee basis payable to each individual upon termination of employment (including both voluntary and involuntary dismissal). The expense is recognized in personnel costs in our consolidated statements of operations and the required accrual is included in Other Liabilities on our consolidated balance sheets. At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the amount recorded in Other Liabilities for TFR was $1,596.</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2860" w:type="dxa"/>
        <w:jc w:val="left"/>
        <w:tblInd w:w="0" w:type="dxa"/>
        <w:tblLayout w:type="fixed"/>
        <w:tblCellMar>
          <w:top w:w="0" w:type="dxa"/>
          <w:left w:w="0" w:type="dxa"/>
          <w:bottom w:w="0" w:type="dxa"/>
          <w:right w:w="0" w:type="dxa"/>
        </w:tblCellMar>
      </w:tblPr>
      <w:tblGrid>
        <w:gridCol w:w="395"/>
        <w:gridCol w:w="2465"/>
      </w:tblGrid>
      <w:tr>
        <w:trPr/>
        <w:tc>
          <w:tcPr>
            <w:tcW w:w="395" w:type="dxa"/>
            <w:tcBorders/>
            <w:vAlign w:val="center"/>
          </w:tcPr>
          <w:p>
            <w:pPr>
              <w:pStyle w:val="TableContents"/>
              <w:bidi w:val="0"/>
              <w:spacing w:before="0" w:after="0"/>
              <w:ind w:left="0" w:right="0" w:hanging="0"/>
              <w:jc w:val="left"/>
              <w:rPr/>
            </w:pPr>
            <w:r>
              <w:rPr>
                <w:rFonts w:ascii="Times New Roman;Times;serif" w:hAnsi="Times New Roman;Times;serif"/>
                <w:b/>
                <w:caps w:val="false"/>
                <w:smallCaps w:val="false"/>
                <w:sz w:val="20"/>
              </w:rPr>
              <w:t>(</w:t>
            </w:r>
            <w:r>
              <w:rPr>
                <w:rStyle w:val="Emphasis"/>
                <w:rFonts w:ascii="Times New Roman;Times;serif" w:hAnsi="Times New Roman;Times;serif"/>
                <w:b/>
                <w:caps w:val="false"/>
                <w:smallCaps w:val="false"/>
                <w:sz w:val="20"/>
              </w:rPr>
              <w:t>14</w:t>
            </w:r>
            <w:r>
              <w:rPr>
                <w:rFonts w:ascii="Times New Roman;Times;serif" w:hAnsi="Times New Roman;Times;serif"/>
                <w:b/>
                <w:caps w:val="false"/>
                <w:smallCaps w:val="false"/>
                <w:sz w:val="20"/>
              </w:rPr>
              <w:t>)</w:t>
            </w:r>
            <w:r>
              <w:rPr>
                <w:rFonts w:ascii="Times New Roman;Times;serif" w:hAnsi="Times New Roman;Times;serif"/>
                <w:caps w:val="false"/>
                <w:smallCaps w:val="false"/>
                <w:sz w:val="20"/>
              </w:rPr>
              <w:t> </w:t>
            </w:r>
          </w:p>
        </w:tc>
        <w:tc>
          <w:tcPr>
            <w:tcW w:w="24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SEGMENT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We have three operating segments which are also our reportable segments and reporting units: Electronic Test (which includes our semiconductor test equipment, flying probe and in-circuit testers and the operations of Alfamation which we acquired on </w:t>
      </w:r>
      <w:r>
        <w:rPr>
          <w:rStyle w:val="Emphasis"/>
          <w:rFonts w:ascii="Times New Roman" w:hAnsi="Times New Roman"/>
          <w:caps w:val="false"/>
          <w:smallCaps w:val="false"/>
          <w:sz w:val="20"/>
        </w:rPr>
        <w:t xml:space="preserve">March 12, 2024 </w:t>
      </w:r>
      <w:r>
        <w:rPr>
          <w:rFonts w:ascii="Times New Roman" w:hAnsi="Times New Roman"/>
          <w:caps w:val="false"/>
          <w:smallCaps w:val="false"/>
          <w:sz w:val="20"/>
        </w:rPr>
        <w:t xml:space="preserve">as discussed further in Note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Environmental Technologies (which includes our thermal test, process and storage products) and Process Technologies (which includes our induction heating and video imaging products). We operate our business worldwide and sell our products both domestically and internationally. All of our segments sell to semiconductor manufacturers, </w:t>
      </w:r>
      <w:r>
        <w:rPr>
          <w:rStyle w:val="Emphasis"/>
          <w:rFonts w:ascii="Times New Roman" w:hAnsi="Times New Roman"/>
          <w:caps w:val="false"/>
          <w:smallCaps w:val="false"/>
          <w:sz w:val="20"/>
        </w:rPr>
        <w:t>third</w:t>
      </w:r>
      <w:r>
        <w:rPr>
          <w:rFonts w:ascii="Times New Roman" w:hAnsi="Times New Roman"/>
          <w:caps w:val="false"/>
          <w:smallCaps w:val="false"/>
          <w:sz w:val="20"/>
        </w:rPr>
        <w:t>-party test and assembly houses and ATE manufacturers and to a variety of markets outside of the semi market, including the automotive, defense/aerospace, industrial, life sciences, security and other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Our management team, including our CEO who is also our Chief Operating Decision Maker as defined under U.S. GAAP, evaluates the performance of our operating segments primarily on income from divisional operations which represents earnings before income tax expense and excludes interest expense, other income (expense), corporate expenses and acquired intangible amortization.</w:t>
      </w:r>
    </w:p>
    <w:p>
      <w:pPr>
        <w:pStyle w:val="TextBody"/>
        <w:bidi w:val="0"/>
        <w:spacing w:before="0" w:after="0"/>
        <w:ind w:left="0" w:right="0" w:hanging="0"/>
        <w:jc w:val="left"/>
        <w:rPr>
          <w:caps w:val="false"/>
          <w:smallCaps w:val="false"/>
        </w:rPr>
      </w:pPr>
      <w:r>
        <w:rPr>
          <w:caps w:val="false"/>
          <w:smallCaps w:val="false"/>
        </w:rPr>
        <w:t> </w:t>
      </w:r>
    </w:p>
    <w:tbl>
      <w:tblPr>
        <w:tblW w:w="5217" w:type="dxa"/>
        <w:jc w:val="left"/>
        <w:tblInd w:w="0" w:type="dxa"/>
        <w:tblLayout w:type="fixed"/>
        <w:tblCellMar>
          <w:top w:w="0" w:type="dxa"/>
          <w:left w:w="0" w:type="dxa"/>
          <w:bottom w:w="0" w:type="dxa"/>
          <w:right w:w="0" w:type="dxa"/>
        </w:tblCellMar>
      </w:tblPr>
      <w:tblGrid>
        <w:gridCol w:w="3290"/>
        <w:gridCol w:w="60"/>
        <w:gridCol w:w="142"/>
        <w:gridCol w:w="672"/>
        <w:gridCol w:w="91"/>
        <w:gridCol w:w="68"/>
        <w:gridCol w:w="142"/>
        <w:gridCol w:w="672"/>
        <w:gridCol w:w="80"/>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8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91"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Electronic Test</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11,116</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10,371</w:t>
            </w:r>
          </w:p>
        </w:tc>
        <w:tc>
          <w:tcPr>
            <w:tcW w:w="8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Environmental Technologies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6,828</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8,042</w:t>
            </w:r>
          </w:p>
        </w:tc>
        <w:tc>
          <w:tcPr>
            <w:tcW w:w="8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Process Technologies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11,880</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13,506</w:t>
            </w:r>
          </w:p>
        </w:tc>
        <w:tc>
          <w:tcPr>
            <w:tcW w:w="8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29,824</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31,919</w:t>
            </w:r>
          </w:p>
        </w:tc>
        <w:tc>
          <w:tcPr>
            <w:tcW w:w="8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from divisional operations: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Electronic Test</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1,813</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2,578</w:t>
            </w:r>
          </w:p>
        </w:tc>
        <w:tc>
          <w:tcPr>
            <w:tcW w:w="8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Environmental Technologies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1,013</w:t>
            </w:r>
          </w:p>
        </w:tc>
        <w:tc>
          <w:tcPr>
            <w:tcW w:w="8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Process Technologies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1,961</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2,676</w:t>
            </w:r>
          </w:p>
        </w:tc>
        <w:tc>
          <w:tcPr>
            <w:tcW w:w="8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income from divisional operations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3,789</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6,267</w:t>
            </w:r>
          </w:p>
        </w:tc>
        <w:tc>
          <w:tcPr>
            <w:tcW w:w="8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expenses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(2,702</w:t>
            </w:r>
          </w:p>
        </w:tc>
        <w:tc>
          <w:tcPr>
            <w:tcW w:w="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Acquired intangible amortization</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w:t>
            </w:r>
          </w:p>
        </w:tc>
        <w:tc>
          <w:tcPr>
            <w:tcW w:w="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8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before income tax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 </w:t>
      </w:r>
      <w:r>
        <w:rPr>
          <w:rStyle w:val="Emphasis"/>
          <w:rFonts w:ascii="Times New Roman" w:hAnsi="Times New Roman"/>
          <w:sz w:val="20"/>
        </w:rPr>
        <w:t>23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4693" w:type="dxa"/>
        <w:jc w:val="left"/>
        <w:tblInd w:w="0" w:type="dxa"/>
        <w:tblLayout w:type="fixed"/>
        <w:tblCellMar>
          <w:top w:w="0" w:type="dxa"/>
          <w:left w:w="0" w:type="dxa"/>
          <w:bottom w:w="0" w:type="dxa"/>
          <w:right w:w="0" w:type="dxa"/>
        </w:tblCellMar>
      </w:tblPr>
      <w:tblGrid>
        <w:gridCol w:w="2390"/>
        <w:gridCol w:w="60"/>
        <w:gridCol w:w="135"/>
        <w:gridCol w:w="754"/>
        <w:gridCol w:w="60"/>
        <w:gridCol w:w="60"/>
        <w:gridCol w:w="178"/>
        <w:gridCol w:w="996"/>
        <w:gridCol w:w="60"/>
      </w:tblGrid>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Identifiable assets: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Electronic Test</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75,508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32,505</w:t>
            </w:r>
          </w:p>
        </w:tc>
        <w:tc>
          <w:tcPr>
            <w:tcW w:w="60"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Environmental Technologies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16,772</w:t>
            </w:r>
          </w:p>
        </w:tc>
        <w:tc>
          <w:tcPr>
            <w:tcW w:w="60"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Process Technologies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56,842</w:t>
            </w:r>
          </w:p>
        </w:tc>
        <w:tc>
          <w:tcPr>
            <w:tcW w:w="60"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28,710</w:t>
            </w:r>
          </w:p>
        </w:tc>
        <w:tc>
          <w:tcPr>
            <w:tcW w:w="60"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159,527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134,829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provides information about our geographic areas of operation. Revenue is based on the location to which the goods are shipped.</w:t>
      </w:r>
    </w:p>
    <w:p>
      <w:pPr>
        <w:pStyle w:val="TextBody"/>
        <w:bidi w:val="0"/>
        <w:spacing w:before="0" w:after="0"/>
        <w:ind w:left="0" w:right="0" w:hanging="0"/>
        <w:jc w:val="left"/>
        <w:rPr>
          <w:caps w:val="false"/>
          <w:smallCaps w:val="false"/>
        </w:rPr>
      </w:pPr>
      <w:r>
        <w:rPr>
          <w:caps w:val="false"/>
          <w:smallCaps w:val="false"/>
        </w:rPr>
        <w:t> </w:t>
      </w:r>
    </w:p>
    <w:tbl>
      <w:tblPr>
        <w:tblW w:w="2693" w:type="dxa"/>
        <w:jc w:val="left"/>
        <w:tblInd w:w="0" w:type="dxa"/>
        <w:tblLayout w:type="fixed"/>
        <w:tblCellMar>
          <w:top w:w="0" w:type="dxa"/>
          <w:left w:w="0" w:type="dxa"/>
          <w:bottom w:w="0" w:type="dxa"/>
          <w:right w:w="0" w:type="dxa"/>
        </w:tblCellMar>
      </w:tblPr>
      <w:tblGrid>
        <w:gridCol w:w="785"/>
        <w:gridCol w:w="60"/>
        <w:gridCol w:w="144"/>
        <w:gridCol w:w="681"/>
        <w:gridCol w:w="69"/>
        <w:gridCol w:w="69"/>
        <w:gridCol w:w="144"/>
        <w:gridCol w:w="681"/>
        <w:gridCol w:w="60"/>
      </w:tblGrid>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br/>
              <w:t>March 31,</w:t>
            </w:r>
          </w:p>
        </w:tc>
        <w:tc>
          <w:tcPr>
            <w:tcW w:w="60"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8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r>
      <w:tr>
        <w:trPr/>
        <w:tc>
          <w:tcPr>
            <w:tcW w:w="785"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7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10,477</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11,090</w:t>
            </w:r>
          </w:p>
        </w:tc>
        <w:tc>
          <w:tcPr>
            <w:tcW w:w="60" w:type="dxa"/>
            <w:tcBorders/>
            <w:shd w:fill="FFFFFF" w:val="clear"/>
            <w:vAlign w:val="center"/>
          </w:tcPr>
          <w:p>
            <w:pPr>
              <w:pStyle w:val="TableContents"/>
              <w:bidi w:val="0"/>
              <w:spacing w:before="0" w:after="283"/>
              <w:jc w:val="left"/>
              <w:rPr/>
            </w:pPr>
            <w:r>
              <w:rPr/>
              <w:t> </w:t>
            </w:r>
          </w:p>
        </w:tc>
      </w:tr>
      <w:tr>
        <w:trPr/>
        <w:tc>
          <w:tcPr>
            <w:tcW w:w="7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19,347</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20,829</w:t>
            </w:r>
          </w:p>
        </w:tc>
        <w:tc>
          <w:tcPr>
            <w:tcW w:w="60" w:type="dxa"/>
            <w:tcBorders/>
            <w:shd w:fill="CCEEFF" w:val="clear"/>
            <w:vAlign w:val="center"/>
          </w:tcPr>
          <w:p>
            <w:pPr>
              <w:pStyle w:val="TableContents"/>
              <w:bidi w:val="0"/>
              <w:spacing w:before="0" w:after="283"/>
              <w:jc w:val="left"/>
              <w:rPr/>
            </w:pPr>
            <w:r>
              <w:rPr/>
              <w:t> </w:t>
            </w:r>
          </w:p>
        </w:tc>
      </w:tr>
      <w:tr>
        <w:trPr/>
        <w:tc>
          <w:tcPr>
            <w:tcW w:w="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29,824</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31,919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378" w:type="dxa"/>
        <w:jc w:val="left"/>
        <w:tblInd w:w="0" w:type="dxa"/>
        <w:tblLayout w:type="fixed"/>
        <w:tblCellMar>
          <w:top w:w="0" w:type="dxa"/>
          <w:left w:w="0" w:type="dxa"/>
          <w:bottom w:w="0" w:type="dxa"/>
          <w:right w:w="0" w:type="dxa"/>
        </w:tblCellMar>
      </w:tblPr>
      <w:tblGrid>
        <w:gridCol w:w="2075"/>
        <w:gridCol w:w="60"/>
        <w:gridCol w:w="182"/>
        <w:gridCol w:w="707"/>
        <w:gridCol w:w="60"/>
        <w:gridCol w:w="60"/>
        <w:gridCol w:w="240"/>
        <w:gridCol w:w="934"/>
        <w:gridCol w:w="60"/>
      </w:tblGrid>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2,502</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w:t>
            </w:r>
          </w:p>
        </w:tc>
        <w:tc>
          <w:tcPr>
            <w:tcW w:w="60"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2485" w:type="dxa"/>
        <w:jc w:val="left"/>
        <w:tblInd w:w="0" w:type="dxa"/>
        <w:tblLayout w:type="fixed"/>
        <w:tblCellMar>
          <w:top w:w="0" w:type="dxa"/>
          <w:left w:w="0" w:type="dxa"/>
          <w:bottom w:w="0" w:type="dxa"/>
          <w:right w:w="0" w:type="dxa"/>
        </w:tblCellMar>
      </w:tblPr>
      <w:tblGrid>
        <w:gridCol w:w="395"/>
        <w:gridCol w:w="2090"/>
      </w:tblGrid>
      <w:tr>
        <w:trPr/>
        <w:tc>
          <w:tcPr>
            <w:tcW w:w="395" w:type="dxa"/>
            <w:tcBorders/>
            <w:vAlign w:val="center"/>
          </w:tcPr>
          <w:p>
            <w:pPr>
              <w:pStyle w:val="TableContents"/>
              <w:bidi w:val="0"/>
              <w:spacing w:before="0" w:after="0"/>
              <w:ind w:left="0" w:right="0" w:hanging="0"/>
              <w:jc w:val="left"/>
              <w:rPr/>
            </w:pPr>
            <w:r>
              <w:rPr>
                <w:rFonts w:ascii="Times New Roman;Times;serif" w:hAnsi="Times New Roman;Times;serif"/>
                <w:b/>
                <w:caps w:val="false"/>
                <w:smallCaps w:val="false"/>
                <w:sz w:val="20"/>
              </w:rPr>
              <w:t>(</w:t>
            </w:r>
            <w:r>
              <w:rPr>
                <w:rStyle w:val="Emphasis"/>
                <w:rFonts w:ascii="Times New Roman;Times;serif" w:hAnsi="Times New Roman;Times;serif"/>
                <w:b/>
                <w:caps w:val="false"/>
                <w:smallCaps w:val="false"/>
                <w:sz w:val="20"/>
              </w:rPr>
              <w:t>15</w:t>
            </w:r>
            <w:r>
              <w:rPr>
                <w:rFonts w:ascii="Times New Roman;Times;serif" w:hAnsi="Times New Roman;Times;serif"/>
                <w:b/>
                <w:caps w:val="false"/>
                <w:smallCaps w:val="false"/>
                <w:sz w:val="20"/>
              </w:rPr>
              <w:t>)</w:t>
            </w:r>
            <w:r>
              <w:rPr>
                <w:rFonts w:ascii="Times New Roman;Times;serif" w:hAnsi="Times New Roman;Times;serif"/>
                <w:caps w:val="false"/>
                <w:smallCaps w:val="false"/>
                <w:sz w:val="20"/>
              </w:rPr>
              <w:t> </w:t>
            </w:r>
          </w:p>
        </w:tc>
        <w:tc>
          <w:tcPr>
            <w:tcW w:w="20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SUBSEQUENT EVENT</w:t>
            </w:r>
            <w:r>
              <w:rPr>
                <w:rFonts w:ascii="Times New Roman;Times;serif" w:hAnsi="Times New Roman;Times;serif"/>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2, 2024 </w:t>
      </w:r>
      <w:r>
        <w:rPr>
          <w:rFonts w:ascii="Times New Roman" w:hAnsi="Times New Roman"/>
          <w:caps w:val="false"/>
          <w:smallCaps w:val="false"/>
          <w:sz w:val="20"/>
        </w:rPr>
        <w:t xml:space="preserve">we further amended our Loan Agreement with M&amp;T, which is discussed in Note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by entering into a Fourth Amendment to the Amended and Restated Loan and Security Agreement (the “Amended Loan Agreement”). Under the Amended Loan Agreement, the period during which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request advances under the Term Note is extended until </w:t>
      </w:r>
      <w:r>
        <w:rPr>
          <w:rStyle w:val="Emphasis"/>
          <w:rFonts w:ascii="Times New Roman" w:hAnsi="Times New Roman"/>
          <w:caps w:val="false"/>
          <w:smallCaps w:val="false"/>
          <w:sz w:val="20"/>
        </w:rPr>
        <w:t xml:space="preserve">May 2, 2026, </w:t>
      </w:r>
      <w:r>
        <w:rPr>
          <w:rFonts w:ascii="Times New Roman" w:hAnsi="Times New Roman"/>
          <w:caps w:val="false"/>
          <w:smallCaps w:val="false"/>
          <w:sz w:val="20"/>
        </w:rPr>
        <w:t xml:space="preserve">and the Term Note and revolving credit facility maturity date is extended from </w:t>
      </w:r>
      <w:r>
        <w:rPr>
          <w:rStyle w:val="Emphasis"/>
          <w:rFonts w:ascii="Times New Roman" w:hAnsi="Times New Roman"/>
          <w:caps w:val="false"/>
          <w:smallCaps w:val="false"/>
          <w:sz w:val="20"/>
        </w:rPr>
        <w:t xml:space="preserve">September 19, 2027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May 2, 2031.</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639"/>
        <w:gridCol w:w="9566"/>
      </w:tblGrid>
      <w:tr>
        <w:trPr/>
        <w:tc>
          <w:tcPr>
            <w:tcW w:w="63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Item 2. </w:t>
            </w:r>
          </w:p>
        </w:tc>
        <w:tc>
          <w:tcPr>
            <w:tcW w:w="95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Risk Factors and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 addition to historical information, this Quarterly Report on Form 10-Q for the period ended March 31, 2024 (this “Report”), including this management’s discussion and analysis (“MD&amp;A”), contains statements that are considered "forward-looking statements" within the meaning of the Private Securities Litigation Reform Act of 1995, as amended. These statements do not convey historical information, but relate to predicted or potential future events, such as statements of our plans, strategies and intentions, or our future performance or goals, projections of revenue, taxable earnings (loss), net earnings (loss), net earnings (loss) per share, capital expenditures and other financial items, that are based on management’s current expectations and estimates. Our forward-looking statements can often be identified by the use of forward-looking terminology such as “believes,” “expects,” “may,” “could,” “will,” “should,” “plans,” “depending,” “forecasts,” “seeking,” “anticipates,” “goal,” “objective,” “target,” “estimates,” “future,” “strategy,” or variations of such words or similar terminology. Investors and prospective investors are cautioned that such forward-looking statements are only projections based on current expectations and estimates. These statements involve risks and uncertainties and are based upon various assumptions. These statements involve risks and uncertainties and are based upon various assumptions. Such risks and uncertainties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60"/>
        <w:gridCol w:w="170"/>
        <w:gridCol w:w="37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7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execute on our 5-Point Strategy;</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grow our presence in the automotive/electric vehicle (“EV”), life sciences, security, industrial and international markets;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possibility of future acquisitions or dispositions and the successful integration of any acquired operations;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success of our strategy to diversify our business by entering markets outside the semiconductor automated test equipment (“ATE”) market;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indications of a change in the market cycles in the semiconductor (“semi”) market, or other markets we serve;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developments and trends in the semi market, including changes in the demand for semiconductors;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convert backlog to sales and to ship product in a timely manner;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loss of any one or more of our largest customers, or a reduction in orders by a major customer;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availability of materials used to manufacture our products;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impact of interruptions in our supply chain caused by external factors;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sufficiency of cash balances, lines of credit and net cash from operations;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price fluctuations;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ability to borrow funds or raise capital to finance potential acquisitions or for working capital;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the rate of, and timing of, capital expenditures by our customers;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effects of exchange rate fluctuations;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progress of product development programs;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anticipated market for our products;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failure to effectively remediate the material weakness in our internal control over financial reporting that we have identified or our failure to develop and maintain a proper and effective system of disclosure controls and internal control over financial reporting;</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availability of and retention of key personnel or our ability to hire personnel at anticipated costs;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economic conditions both domestically and globally;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risk factors included in Part II, Item 1A – “Risk Factors” in this Report and in Part I, Item 1A - "Risk Factors" in our Annual Report on Form 10-K for the year ended December 31, 2023 (the “2023 Form 10-K”).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These risks and uncertainties, among others, could cause our actual future results to differ materially from those described in our forward-looking statements or from our prior results. Any forward-looking statement made by us in this Report is based only on information currently available to us and speaks to circumstances only as of the date on which it is made. We undertake no obligation to update publicly any forward-looking statements for any reason after the date of this Report to conform these statements to actual results or to changes in our expectations, except as required by law.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Overview</w:t>
      </w:r>
      <w:r>
        <w:rPr>
          <w:rFonts w:ascii="Times New Roman" w:hAnsi="Times New Roman"/>
          <w:caps w:val="false"/>
          <w:smallCaps w:val="false"/>
          <w:sz w:val="20"/>
        </w:rPr>
        <w:b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This MD&amp;A should be read in conjunction with the accompanying consolidated financial statements. In addition, please refer to the discussion of our business and markets contained in Part 1, Item 1 of our 2023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We are a global supplier of innovative test and process technology solutions for use in manufacturing and testing across a wide range of markets including automotive, defense/aerospace, industrial, life sciences, security and semiconductor. We have three reportable segments which are also our reporting units: Electronic Test (which includes our semiconductor test equipment, flying probe and in-circuit testers and the operations of Alfamation S.p.A., (“Alfamation”) which we acquired on March 12, 2024 as discussed further below and in Note 3 to our consolidated financial statements in this Report), Environmental Technologies (which includes our thermal test, process and storage products) and Process Technologies (which includes our induction heating and video imaging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All of our operating segments have multiple products that we design, manufacture and market to our customers. Due to a number of factors, our products have varying levels of gross margin. These factors include, for example, the amount of engineering time required to develop the product, the market or customer to which we sell the product and the level of competing products available from other suppliers. The needs of our customers ultimately determine the products that we sell in a given time period. Therefore, the mix of products sold in a given period can change significantly when compared against the prior period. As a result, our consolidated gross margin may be significantly impacted by a change in the mix of products sold in a particular period.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As discussed further in Part 1, Item 1 “Markets” of our 2023 Form 10-K, we are focused on specific target markets which include automotive, defense/aerospace, industrial, life sciences, security as well as both the front-end and back-end of the semiconductor manufacturing industry. The semi market, which includes both the broader semiconductor market, as well as the more specialized ATE and wafer production sectors within the broader semiconductor market, has historically been the largest single market in which we operate. The semi market is characterized by rapid technological change, competitive pricing pressures and cyclical market patterns and is subject to periods of significant expansion or contraction in demand. Our intention is to continue diversifying our markets, our product offerings within the markets we serve and our customer base across all of our markets with the goal of reducing our dependence on any one market, product or customer. In particular, we are seeking to reduce the impact of volatility in the semi market on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portion of our business that is derived from the semi market is substantially dependent upon the demand for ATE by semiconductor manufacturers and companies that specialize in the testing of integrated circuits (“ICs”) and, for our induction heating products, the demand for wafer production equipment. Demand for ATE or wafer production equipment is primarily driven by semiconductor manufacturers that are opening new, or expanding existing, semiconductor fabrication facilities or upgrading equipment, which in turn is dependent upon the current and anticipated market demand for ICs and products incorporating ICs. Such market demand can be the result of market expansion, development of new technologies or redesigned products to incorporate new features, or the replacement of aging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 the past, the semi market has been highly cyclical with recurring periods of oversupply, which often severely impact the semi market's demand for the products we manufacture and sell into the market. This cyclicality can cause wide fluctuations in both our orders and revenue and, depending on our ability to react quickly to these shifts in demand, can significantly impact our results of operations. Market cycles are difficult to predict and, because they are generally characterized by sequential periods of growth or declines in orders and revenue during each cycle, year over year comparisons of operating results may not always be as meaningful as comparisons of periods at similar points in either up or down cycles. These periods of heightened or reduced demand can shift depending on various factors impacting both our customers and the markets that they serve. In addition, during both downward and upward cycles in the semi market, in any given quarter, the trend in both our orders and revenue can be erratic. This can occur, for example, when orders are canceled or currently scheduled delivery dates are accelerated or postponed by a significant customer or when customer forecasts and general business conditions fluctuate during a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While a significant portion of our orders and revenue are derived from the semi market, and our operating results generally follow the overall trend in the semi market, in any given period we may experience anomalies that cause the trend in our revenue from the semi market to deviate from the overall trend in the market. We believe that these anomalies may be driven by a variety of factors within the semi market, including, for example, changing product requirements, longer periods between new product offerings by OEMs and changes in customer buying patterns. In addition, in recent periods, we have seen instances when demand within the semi market is not consistent for each of our operating segments or for any given product within a particular operating segment. This inconsistency in demand can be driven by a number of factors but, in most cases, we have found that the primary reason is unique customer-specific changes in demand for certain products driven by the needs of their customers or markets served. Recently this has become more pronounced for our sales into the wafer production sector within the broader semiconductor market due to the limited market penetration we have into this sector and the variability of orders we have experienced from the few customers we support.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b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As discussed further in Part I, Item 1 “Overview and Strategy” of our 2023 Form 10-K, although the semi market remains our largest market, as part of our strategy to grow our business, we are focused on several other key target markets where we believe our products address test and process requirements and where we believe there is significant potential for growth. These key target markets include the automotive, defense/aerospace, industrial, life sciences and security markets. We believe that these markets are usually less cyclical than the semi market. While market share statistics exist for some of these markets, due to the nature of our highly specialized product offerings in these markets, we do not expect broad market penetration in many of these markets and, therefore, do not anticipate developing meaningful market shares in most of these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 addition, because of our limited market share, our orders and revenue in any given period in these markets do not necessarily reflect the overall trends in these markets. Consequently, we are continuing to evaluate buying patterns and opportunities for growth in these, and other, markets that may affect our performance. The level of our orders and revenue in all of the markets we serve has varied in the past, and we expect will vary significantly in the future, as we work to build our presence in our current markets and establish new markets for our products.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As discussed further in Note 3 to our consolidated financial statements in this Report, on March 12, 2024 we entered into a stock purchase agreement to acquire all of the outstanding capital shares of Alfamation, a leading global provider of state-of-the-art test and measurement solutions for the automotive, life sciences and specialty consumer electronics markets. Alfamation was founded in 1991 and is headquartered in Milan, Italy. Alfamation also has a small sales and service subsidiary based in Suzhou City, China. Alfamation is included in our Electronic Test operating segment. The aggregate purchase price was approximately EUR 20 million comprised of EUR 18 million in cash, or $19.0 million, and 187,432 shares of our common stock valued at $2.1 million based on the closing price of our stock on the date of acquisition. The cash portion of the purchase price is subject to customary working capital adjustments. We currently expect this to result in an additional payment of EUR 542,000, or $593,000 for assets delivered at closing in excess of agreed upon thresholds. On the closing date, this equated to a total purchase price of approximately $22.4 million. The liabilities assumed in connection with the acquisition included debt of approximately EUR 8.6 million, or $9.4 million. The debt assumed is discussed further in Note 10 to our consolidated financial statements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acquisition, on March 12, 2024 we entered into a lease agreement (the “Lease Agreement”) with the former owner of Alfamation who will continue to serve as the managing director of Alfamation under our ownership. The Lease Agreement will last for six years and will be automatically renewed for the same period of time unless terminated by either party. Under the terms of the Lease Agreement, Alfamation will lease warehouse and office space totaling about 51,817 square feet. Alfamation will pay a yearly lease payment of EUR 260,000 broken up into two equal payments. At the date of the signing of the Lease Agreement, the yearly lease payment equated to approximately $284,000.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i/>
          <w:caps w:val="false"/>
          <w:smallCaps w:val="false"/>
          <w:sz w:val="20"/>
          <w:u w:val="single"/>
        </w:rPr>
        <w:t>Revenue</w:t>
      </w:r>
      <w:r>
        <w:rPr>
          <w:rFonts w:ascii="Times New Roman" w:hAnsi="Times New Roman"/>
          <w:caps w:val="false"/>
          <w:smallCaps w:val="false"/>
          <w:sz w:val="20"/>
        </w:rPr>
        <w:br/>
        <w:br/>
        <w:t>The following table sets forth, for the periods indicated, a breakdown of revenue by market (in thousands).</w:t>
      </w:r>
    </w:p>
    <w:p>
      <w:pPr>
        <w:pStyle w:val="TextBody"/>
        <w:bidi w:val="0"/>
        <w:spacing w:before="0" w:after="0"/>
        <w:ind w:left="0" w:right="0" w:hanging="0"/>
        <w:jc w:val="left"/>
        <w:rPr>
          <w:caps w:val="false"/>
          <w:smallCaps w:val="false"/>
        </w:rPr>
      </w:pPr>
      <w:r>
        <w:rPr>
          <w:caps w:val="false"/>
          <w:smallCaps w:val="false"/>
        </w:rPr>
        <w:t> </w:t>
      </w:r>
    </w:p>
    <w:tbl>
      <w:tblPr>
        <w:tblW w:w="9100" w:type="dxa"/>
        <w:jc w:val="left"/>
        <w:tblInd w:w="0" w:type="dxa"/>
        <w:tblLayout w:type="fixed"/>
        <w:tblCellMar>
          <w:top w:w="0" w:type="dxa"/>
          <w:left w:w="0" w:type="dxa"/>
          <w:bottom w:w="0" w:type="dxa"/>
          <w:right w:w="0" w:type="dxa"/>
        </w:tblCellMar>
      </w:tblPr>
      <w:tblGrid>
        <w:gridCol w:w="1115"/>
        <w:gridCol w:w="60"/>
        <w:gridCol w:w="125"/>
        <w:gridCol w:w="590"/>
        <w:gridCol w:w="60"/>
        <w:gridCol w:w="60"/>
        <w:gridCol w:w="60"/>
        <w:gridCol w:w="485"/>
        <w:gridCol w:w="185"/>
        <w:gridCol w:w="60"/>
        <w:gridCol w:w="125"/>
        <w:gridCol w:w="590"/>
        <w:gridCol w:w="60"/>
        <w:gridCol w:w="60"/>
        <w:gridCol w:w="60"/>
        <w:gridCol w:w="485"/>
        <w:gridCol w:w="185"/>
        <w:gridCol w:w="60"/>
        <w:gridCol w:w="125"/>
        <w:gridCol w:w="545"/>
        <w:gridCol w:w="80"/>
        <w:gridCol w:w="60"/>
        <w:gridCol w:w="60"/>
        <w:gridCol w:w="440"/>
        <w:gridCol w:w="185"/>
        <w:gridCol w:w="60"/>
        <w:gridCol w:w="125"/>
        <w:gridCol w:w="590"/>
        <w:gridCol w:w="60"/>
        <w:gridCol w:w="60"/>
        <w:gridCol w:w="60"/>
        <w:gridCol w:w="485"/>
        <w:gridCol w:w="185"/>
        <w:gridCol w:w="60"/>
        <w:gridCol w:w="125"/>
        <w:gridCol w:w="545"/>
        <w:gridCol w:w="80"/>
        <w:gridCol w:w="60"/>
        <w:gridCol w:w="60"/>
        <w:gridCol w:w="440"/>
        <w:gridCol w:w="185"/>
      </w:tblGrid>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25" w:type="dxa"/>
            <w:gridSpan w:val="39"/>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r>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10" w:type="dxa"/>
            <w:gridSpan w:val="6"/>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10" w:type="dxa"/>
            <w:gridSpan w:val="6"/>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3/31/2024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3/31/2023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12/31/2023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185"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Semi</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Industrial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Auto/EV</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Life Sciences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Defense/Aero</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Security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29,824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31,919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27,884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consolidated revenue for the three months ended March 31, 2024 was $29.8 million compared to $31.9 million for the same period in 2023 and $27.9 million for the three months ended December 31, 2023. The decrease in revenue for the first quarter of 2024 as compared to the same period in 2023 primarily reflects weak demand from semi, which was partially offset by an increase in revenue from the industrial and auto/EV markets. Revenue from the auto/EV market in the first quarter of 2024 includes $1.4 million from Alfamation which we acquired on March 12, 2024, as previously discussed. As discussed in the Overview, the semi market is highly cyclical resulting in significant swings in demand when period to period comparisons are to different points in a given cycle. As compared to the fourth quarter of 2023, the first quarter of 2024 reflects improved demand from semi, although this was partially offset by weakness from our customers in the industrial market.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i/>
          <w:caps w:val="false"/>
          <w:smallCaps w:val="false"/>
          <w:sz w:val="20"/>
          <w:u w:val="single"/>
        </w:rPr>
        <w:t>Orders and Backlog</w:t>
      </w:r>
      <w:r>
        <w:rPr>
          <w:rFonts w:ascii="Times New Roman" w:hAnsi="Times New Roman"/>
          <w:caps w:val="false"/>
          <w:smallCaps w:val="false"/>
          <w:sz w:val="20"/>
        </w:rPr>
        <w:br/>
        <w:br/>
        <w:t>We use orders and backlog as key performance metrics to analyze and measure our financial performance and results of operations. We define orders as purchase orders that we have accepted from our customers. Orders are recorded based on the date received and accepted by us. We believe tracking orders is useful in planning for future production needs and staffing levels and we use information about the level of our orders to make decisions about resource allocation, including appropriate levels of inventory purchases and the balance of inventory we carry at any given time. Another important operational measure used is backlog. Backlog is a common measurement used in industries with extended lead times for order fulfillment, like those in which we operate. Backlog at any given date represents the amount of revenue that we expect to realize for unfilled orders received as of that date. We believe backlog is useful and use this information for similar reasons to those detailed above for orders. The majority of our backlog at any given time is expected to be fulfilled within the next twelve months. Depending on the terms of the purchase orders we have accepted, customers may have the ability to cancel an order or accelerate or postpone currently scheduled delivery dates. In some cases, we may have the ability to charge a cancellation fee if a purchase order we have accepted is later cancelled by a customer. Given that both orders and backlog are operational measures and our methodology for calculating orders and backlog do not meet the definition of a non-GAAP measure, as that term is defined by the SEC, a quantitative reconciliation for each is not required or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sets forth, for the periods indicated, a breakdown of the orders received by market (in thousands).</w:t>
      </w:r>
    </w:p>
    <w:p>
      <w:pPr>
        <w:pStyle w:val="TextBody"/>
        <w:bidi w:val="0"/>
        <w:spacing w:before="0" w:after="0"/>
        <w:ind w:left="0" w:right="0" w:hanging="0"/>
        <w:jc w:val="left"/>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1115"/>
        <w:gridCol w:w="60"/>
        <w:gridCol w:w="125"/>
        <w:gridCol w:w="590"/>
        <w:gridCol w:w="60"/>
        <w:gridCol w:w="60"/>
        <w:gridCol w:w="60"/>
        <w:gridCol w:w="485"/>
        <w:gridCol w:w="185"/>
        <w:gridCol w:w="60"/>
        <w:gridCol w:w="125"/>
        <w:gridCol w:w="590"/>
        <w:gridCol w:w="60"/>
        <w:gridCol w:w="60"/>
        <w:gridCol w:w="60"/>
        <w:gridCol w:w="485"/>
        <w:gridCol w:w="185"/>
        <w:gridCol w:w="60"/>
        <w:gridCol w:w="125"/>
        <w:gridCol w:w="545"/>
        <w:gridCol w:w="80"/>
        <w:gridCol w:w="60"/>
        <w:gridCol w:w="60"/>
        <w:gridCol w:w="440"/>
        <w:gridCol w:w="185"/>
        <w:gridCol w:w="60"/>
        <w:gridCol w:w="125"/>
        <w:gridCol w:w="590"/>
        <w:gridCol w:w="60"/>
        <w:gridCol w:w="60"/>
        <w:gridCol w:w="60"/>
        <w:gridCol w:w="485"/>
        <w:gridCol w:w="185"/>
        <w:gridCol w:w="60"/>
        <w:gridCol w:w="125"/>
        <w:gridCol w:w="545"/>
        <w:gridCol w:w="80"/>
        <w:gridCol w:w="60"/>
        <w:gridCol w:w="60"/>
        <w:gridCol w:w="485"/>
        <w:gridCol w:w="185"/>
      </w:tblGrid>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85" w:type="dxa"/>
            <w:gridSpan w:val="38"/>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185"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10" w:type="dxa"/>
            <w:gridSpan w:val="6"/>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55" w:type="dxa"/>
            <w:gridSpan w:val="6"/>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3/31/2024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3/31/2023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12/31/2023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185"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Orders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Semi</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Industrial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Auto/EV</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Life Sciences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Defense/Aero</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Security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22,799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30,824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27,523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consolidated orders for the three months ended March 31, 2024 were $22.8 million compared to $30.8 million for the same period in 2023 and $27.5 million for the three months ended December 31, 2023. The decreases primarily represent the aforementioned decline in demand from semi in the first quarter of 2024 as compared to both the first and fourth quarters of 2023. As previously discussed, the semi market continues to be in a period of reduced demand which we believe primarily reflects the typical cyclicality of this industry. In addition, in the first quarter of 2024, we experienced declines in several of the other markets we serve, which we believe primarily reflects the timing of receipt of orders. Orders are often placed by our customers in large blocks with the associated delivery schedules allocated in smaller amounts over several quarters which can result in significant variation in total order levels from quarter to quarter. Our orders from the auto/EV market for the first quarter of 2024 include $1.8 million from Alfamation.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At March 31, 2024, our backlog of unfilled orders for all products was approximately $55.5 million compared with approximately $45.7 million at March 31, 2023 and $40.1 million at December 31, 2023.  Our backlog at March 31, 2024 includes $22.8 million of backlog for Alfamation. Our backlog includes customer orders that we have accepted, substantially all of which we expect to deliver in 2024.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Israel-Hamas War, War in Ukraine and Global Supply Chain Constraints</w:t>
      </w:r>
      <w:r>
        <w:rPr>
          <w:rFonts w:ascii="Times New Roman" w:hAnsi="Times New Roman"/>
          <w:caps w:val="false"/>
          <w:smallCaps w:val="false"/>
          <w:sz w:val="20"/>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 early October 2023, Hamas attacked Israel and Israel formally declared war in response to the attack. The conflict is ongoing, and it is unclear when it might end. Ambrell has a sole source supplier of capacitors used in certain of our induction heating products that is located in Israel. This supplier is the sole source supplier of capacitors for numerous induction companies, and currently there are no viable alternatives available. We have been in frequent contact with our supplier since the conflict with Hamas began. We maintain a two-to-three month safety stock on these items. Our supplier has indicated that they have large stock available at more than one facility in Israel, so they believe they have redundancies in place that will help ensure that the supply chain to their customers is uninterrupted. We continue to monitor the situation closely and are staying in close contact with our supplier. However, there can be no assurance that the situation will not worsen which could impact our ability to ship certain of our induction heating products which could have a material impact on our future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ongoing war between Russia and Ukraine continues to contribute to global inflationary pressures and the availability of certain raw materials produced in that region, further exacerbating global supply chain challenges that emerged after the onset of the COVID-19 pandemic. Acculogic purchases certain material from a key sole-source supplier in Belarus, which is bordered by Russia to the east and northeast and Ukraine to the south. At present, we are still receiving shipments from this supplier, and we estimate that we have a six-to-nine-month supply of these parts that we are maintaining. We are currently in the process of qualifying an alternate supplier for these parts. We received prototype sample parts from the alternate supplier which we are now evaluating. We expect to complete this evaluation by the third quarter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 addition, while the supply chain and logistics challenges that we encountered throughout 2022 have eased and conditions appear to have stabilized, uncertainty in the global trade environment and the possibility of future global health or other crises remain. As a result, we expect that we may continue to experience increased prices, lack of availability and logistics delays from time to time for the foreseeable future. The actions we have taken and are continuing to take to mitigate these risks include qualifying new vendors as alternate sources in our supply chain, increasing our inventory of raw materials and ordering further in advance of when we expect to need materials than has been our practice in the past. We have also increased the prices that we charge our customers, where appropriate, and continue to work with our customers to find alternate options for the shipment of products where they control aspects of the logistics process. However, the environment in which we operate is dynamic and shifts rapidly at times, and the success of our efforts to mitigate and address the impacts on our business may not be successful. As a result, we could see increases in our costs or reduced revenues which would impact the level of our earnings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Please refer to Part 1, Item 1A of our 2023 Form 10-K for further discussion of the risks associated with our business operations, including risks associated with foreign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results of operations for our three operating segments are generally affected by the same factors described in the Overview section above. Separate discussions and analyses for each segment would be repetitive. The discussion and analysis that follows, therefore, is presented on a consolidated basis and includes discussion of factors unique to a particular operating segment where significant to an understanding of that segment.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i/>
          <w:caps w:val="false"/>
          <w:smallCaps w:val="false"/>
          <w:sz w:val="20"/>
          <w:u w:val="single"/>
        </w:rPr>
        <w:t>Three Months Ended March 31, 2024 Compared to Three Months Ended March 31, 2023</w:t>
      </w:r>
      <w:r>
        <w:rPr>
          <w:rFonts w:ascii="Times New Roman" w:hAnsi="Times New Roman"/>
          <w:caps w:val="false"/>
          <w:smallCaps w:val="false"/>
          <w:sz w:val="20"/>
        </w:rPr>
        <w:br/>
        <w:br/>
      </w:r>
      <w:r>
        <w:rPr>
          <w:rFonts w:ascii="Times New Roman" w:hAnsi="Times New Roman"/>
          <w:i/>
          <w:caps w:val="false"/>
          <w:smallCaps w:val="false"/>
          <w:sz w:val="20"/>
        </w:rPr>
        <w:t>Revenue.</w:t>
      </w:r>
      <w:r>
        <w:rPr>
          <w:rFonts w:ascii="Times New Roman" w:hAnsi="Times New Roman"/>
          <w:caps w:val="false"/>
          <w:smallCaps w:val="false"/>
          <w:sz w:val="20"/>
        </w:rPr>
        <w:t xml:space="preserve"> Revenue was $29.8 million for the three months ended March 31, 2024 compared to $31.9 million for the same period in 2023, a decrease of $2.1 million, or 7%. We believe the decrease in our revenue during the first quarter of 2024 reflects the factors previously discussed in the Overview section.</w:t>
        <w:b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i/>
          <w:caps w:val="false"/>
          <w:smallCaps w:val="false"/>
          <w:sz w:val="20"/>
        </w:rPr>
        <w:t>Gross Margin.</w:t>
      </w:r>
      <w:r>
        <w:rPr>
          <w:rFonts w:ascii="Times New Roman" w:hAnsi="Times New Roman"/>
          <w:caps w:val="false"/>
          <w:smallCaps w:val="false"/>
          <w:sz w:val="20"/>
        </w:rPr>
        <w:t xml:space="preserve"> Our consolidated gross margin was 44% of revenue for the three months ended March 31, 2024 as compared to 47% of revenue for the same period in 2023. The decrease in our gross margin primarily reflects that our fixed operating costs were not as fully absorbed by the lower revenue levels in the first quarter of 2024 as compared to the same period in 2023. To a lesser extent, the absolute dollar value of our fixed operating costs increased $524,000 as compared to the same period in 2023. Alfamation accounted for approximately $288,000 of our fixed operating costs during the first quarter of 2024. The remainder of the increase in our fixed operating costs primarily reflects higher salary and benefits expense.</w:t>
        <w:br/>
        <w:br/>
      </w:r>
      <w:r>
        <w:rPr>
          <w:rFonts w:ascii="Times New Roman" w:hAnsi="Times New Roman"/>
          <w:i/>
          <w:caps w:val="false"/>
          <w:smallCaps w:val="false"/>
          <w:sz w:val="20"/>
        </w:rPr>
        <w:t>Selling Expense.</w:t>
      </w:r>
      <w:r>
        <w:rPr>
          <w:rFonts w:ascii="Times New Roman" w:hAnsi="Times New Roman"/>
          <w:caps w:val="false"/>
          <w:smallCaps w:val="false"/>
          <w:sz w:val="20"/>
        </w:rPr>
        <w:t xml:space="preserve"> Selling expense was $4.6 million for the three months ended March 31, 2024 compared to $4.5 million for the same period in 2023, an increase of $135,000 or 3%. Alfamation accounted for approximately $216,000 of our selling expense during the first quarter of 2024. For the balance of our business, declines in commission expense reflecting the lower revenue levels in 2024 were partially offset by increased salary and benefits expense.</w:t>
        <w:br/>
        <w:br/>
      </w:r>
      <w:r>
        <w:rPr>
          <w:rFonts w:ascii="Times New Roman" w:hAnsi="Times New Roman"/>
          <w:i/>
          <w:caps w:val="false"/>
          <w:smallCaps w:val="false"/>
          <w:sz w:val="20"/>
        </w:rPr>
        <w:t>Engineering and Product Development Expense.</w:t>
      </w:r>
      <w:r>
        <w:rPr>
          <w:rFonts w:ascii="Times New Roman" w:hAnsi="Times New Roman"/>
          <w:caps w:val="false"/>
          <w:smallCaps w:val="false"/>
          <w:sz w:val="20"/>
        </w:rPr>
        <w:t xml:space="preserve"> Engineering and product development expense was $2.0 million for the three months ended March 31, 2024 compared to $1.9 million for the same period in 2023, an increase of $78,000 or 4%. Alfamation had relatively insignificant engineering expense for the period from March 13 to March 31, 2024. In the balance of our business, there were increases in salary and benefits expense and material used in product development projects in the first quarter of 2024 as compared to the same period in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i/>
          <w:caps w:val="false"/>
          <w:smallCaps w:val="false"/>
          <w:sz w:val="20"/>
        </w:rPr>
        <w:t>General and Administrative Expense.</w:t>
      </w:r>
      <w:r>
        <w:rPr>
          <w:rFonts w:ascii="Times New Roman" w:hAnsi="Times New Roman"/>
          <w:caps w:val="false"/>
          <w:smallCaps w:val="false"/>
          <w:sz w:val="20"/>
        </w:rPr>
        <w:t xml:space="preserve"> General and administrative expense was $6.0 million for the three months ended March 31, 2024 compared to $5.2 million for the same period in 2023 an increase of $837,000, or 16%. Alfamation accounted for approximately $231,000 of our general and administrative expense during the first quarter of 2024. The increase in the balance of our business primarily represents higher costs associated with corporate development activities and compliance with regulatory requirements related to our status as a public company and our transition to an accelerated filer.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i/>
          <w:caps w:val="false"/>
          <w:smallCaps w:val="false"/>
          <w:sz w:val="20"/>
        </w:rPr>
        <w:t>Income Tax Expense.</w:t>
      </w:r>
      <w:r>
        <w:rPr>
          <w:rFonts w:ascii="Times New Roman" w:hAnsi="Times New Roman"/>
          <w:caps w:val="false"/>
          <w:smallCaps w:val="false"/>
          <w:sz w:val="20"/>
        </w:rPr>
        <w:t xml:space="preserve"> For the three months ended March 31, 2024, we recorded income tax expense of $125,000 compared to income tax expense of $577,000 for the same period in 2023. Our effective tax rate was 16% for the three months ended March 31, 2024 compared to 17% for the same period in 2023. On a quarterly basis, we record income tax expense or benefit based on the expected annualized effective tax rate for the various taxing jurisdictions in which we operate our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Liquidity and Capital Resources</w:t>
      </w:r>
      <w:r>
        <w:rPr>
          <w:rFonts w:ascii="Times New Roman" w:hAnsi="Times New Roman"/>
          <w:caps w:val="false"/>
          <w:smallCaps w:val="false"/>
          <w:sz w:val="20"/>
        </w:rPr>
        <w:br/>
        <w:br/>
        <w:t>As discussed more fully in the Overview, our business and results of operations are substantially dependent upon the demand for ATE by semiconductor manufacturers and companies that specialize in the testing of ICs. The cyclical and volatile nature of demand for ATE makes estimates of future revenues, results of operations and net cash flows difficult.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Our primary historical source of liquidity and capital resources has been cash flow generated by our operations. In 2021, we also utilized our Credit Facility, which is discussed below, to fund our acquisitions. We manage our businesses to maximize operating cash flows as our primary source of liquidity for our short-term cash requirements, as discussed below. We use cash to fund growth in our operating assets, for new product research and development, for acquisitions and for stock repurchases. We currently anticipate that any additional long-term cash requirements related to our strategy would be funded through a combination of our cash and cash equivalents, our Credit Facility or by issuing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Proceeds from Sale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On May 11, 2023, we entered into an At-the-Market Issuance Sales Agreement (the "Sales Agreement") pursuant to which we issued and sold 921,797 shares of our common stock having an aggregate offering price of $20.0 million between May 11, 2023 and May 31, 2023. We received net proceeds from the sale of these shares of $19.2 million after payment of commissions of 3.0% of the gross proceeds and other fees related to the sale of these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As discussed in Note 10 to our consolidated financial statements in this Report, on October 15, 2021, we entered into the Loan Agreement with M&amp;T. The Loan Agreement includes a $25 million non-revolving delayed draw term note (the “Term Note”) and a $10 million revolving credit facility (the “Revolving Facility and together with the Term Note, the “Credit Facility”). The Credit Facility had a five-year contract period that began on the Closing Date and expired on October 15, 2026, and draws under the Term Note were permissible for two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On September 20, 2022, we further amended the Loan Agreement by entering into a Third Amendment to Amended and Restated Loan and Security Agreement (the Loan Agreement as amended by the Third Amendment, the “Third Amended Loan Agreement”) and the Third Amended and Restated Delayed Draw Term Note 1A. Under the Third Amended Loan Agreement, the maximum loan amount that we may borrow under the Term Note increased from $25 million to $50.5 million, which raises the available funding at March 31, 2024 to $30 million. On May 2, 2024 we further amended our Third Amended Loan Agreement by entering into a Fourth Amendment to the Amended and Restated Loan and Security Agreement (the “Amended Loan Agreement”). Under the Amended Loan Agreement, the period during which we may request advances under the Term Note is extended until May 2, 2026, and the Term Note and revolving credit facility maturity date is extended from September 19, 2027 to May 2, 2031. At March 31, 2024, we had not borrowed any amounts under the $10 million Revolving Facility. Our borrowings under the Term Note are discussed below and occurred prior to entering into the Amended Loan Agreement. The principal balance of the Revolving Facility and the principal balance of any amount drawn under the Term Note accrues interest based on the Secured Overnight Financing Rate or a bank-defined base rate plus an applicable margin, depending on leverage. The Amended Loan Agreement includes customary affirmative, negative and financial covenants, including a maximum ratio of consolidated funded debt to consolidated EBITDA of not more than 3.0 to 1.0 and a fixed charge coverage ratio of not less than 1.25 to 1.0. Our obligations under the Amended Loan Agreement are secured by liens on substantially all of our tangible and intangible assets. At March 31, 2024, we were in compliance with all of the covenants included in the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On October 28, 2021, we drew $12 million under the Term Note to finance the acquisition of Videology. We also entered into an interest rate swap agreement with M&amp;T as of this date which is designed to protect us against fluctuations in interest rates during the five-year repayment and amortization period. As a result, the annual interest rate we expect to pay for this draw under the Term Note is fixed at approximately 3.2% based on current leverage.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On December 29, 2021, we drew $8.5 million under the Term Note to finance the acquisition of Acculogic. We did not enter into an interest rate swap agreement with M&amp;T related to this draw. The annual interest rate we expect to pay for this draw under the Term Note is variable. At March 31, 2024, it was approximately 7.4% based on current leverage. </w:t>
      </w:r>
    </w:p>
    <w:p>
      <w:pPr>
        <w:pStyle w:val="TextBody"/>
        <w:bidi w:val="0"/>
        <w:spacing w:before="0" w:after="0"/>
        <w:ind w:left="700" w:right="0" w:hanging="0"/>
        <w:jc w:val="left"/>
        <w:rPr>
          <w:caps w:val="false"/>
          <w:smallCaps w:val="false"/>
        </w:rPr>
      </w:pPr>
      <w:r>
        <w:rPr>
          <w:caps w:val="false"/>
          <w:smallCaps w:val="false"/>
        </w:rPr>
        <w:t> </w:t>
      </w:r>
    </w:p>
    <w:p>
      <w:pPr>
        <w:pStyle w:val="TextBody"/>
        <w:bidi w:val="0"/>
        <w:spacing w:before="0" w:after="0"/>
        <w:ind w:left="70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Alfamation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At March 31, 2024, the total debt assumed in connection with the acquisition of Alfamation was valued at $9.4 million. The acquisition is discussed further in Note 3 to our consolidated financial statements in this Report and the debt is discussed further in Note 10 to our consolidated financial statements in this Report. This debt is comprised of both fixed and variable rate bank issued term loans as well as $2.1 million of short-term variable rate financing backed by Alfamation’s accounts receivable. This debt is spread across a number of different institutions with monthly, quarterly or half-yearly repayment schedules. The average interest rate being paid at March 31, 2024 was 1.9% for fixed rate debt and 5.0% for variable rate debt. The average rate for total debt at March 31, 2024 was 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interest expense from all of our debt for the three months ended March 31, 2024 and 2023 was $140,000 and $182,000, respectively.</w:t>
        <w:br/>
        <w:br/>
      </w:r>
      <w:r>
        <w:rPr>
          <w:rFonts w:ascii="Times New Roman" w:hAnsi="Times New Roman"/>
          <w:i/>
          <w:caps w:val="false"/>
          <w:smallCaps w:val="false"/>
          <w:sz w:val="20"/>
          <w:u w:val="single"/>
        </w:rPr>
        <w:t xml:space="preserve">Liquidity </w:t>
      </w:r>
      <w:r>
        <w:rPr>
          <w:rFonts w:ascii="Times New Roman" w:hAnsi="Times New Roman"/>
          <w:caps w:val="false"/>
          <w:smallCaps w:val="false"/>
          <w:sz w:val="20"/>
        </w:rPr>
        <w:br/>
        <w:br/>
        <w:t>Our cash and cash equivalents and working capital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4468" w:type="dxa"/>
        <w:jc w:val="left"/>
        <w:tblInd w:w="0" w:type="dxa"/>
        <w:tblLayout w:type="fixed"/>
        <w:tblCellMar>
          <w:top w:w="0" w:type="dxa"/>
          <w:left w:w="0" w:type="dxa"/>
          <w:bottom w:w="0" w:type="dxa"/>
          <w:right w:w="0" w:type="dxa"/>
        </w:tblCellMar>
      </w:tblPr>
      <w:tblGrid>
        <w:gridCol w:w="2165"/>
        <w:gridCol w:w="60"/>
        <w:gridCol w:w="155"/>
        <w:gridCol w:w="734"/>
        <w:gridCol w:w="60"/>
        <w:gridCol w:w="60"/>
        <w:gridCol w:w="204"/>
        <w:gridCol w:w="970"/>
        <w:gridCol w:w="60"/>
      </w:tblGrid>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45,260</w:t>
            </w:r>
          </w:p>
        </w:tc>
        <w:tc>
          <w:tcPr>
            <w:tcW w:w="60"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Working capital</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61,479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As of March 31, 2024, $6.9 million, or 25% of our cash and cash equivalents was held by our foreign subsidiaries. We currently expect our cash and cash equivalents, in combination with the borrowing capacity available under our Revolving Facility and the anticipated net cash to be provided by our operations in the next twelve months to be sufficient to support our short-term working capital requirements and other corporate requirements. Our Revolving Facility is discussed in Note 10 to our consolidated financial statements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Our material short-term cash requirements include payments due under our various lease agreements, recurring payroll and benefits obligations to our employees, purchase commitments for materials that we use in the products we sell and principal and interest payments on our debt. We anticipate making investments in our business in the next twelve months including hiring of additional staff, updates to our systems and investments related to our geographic and market expansion efforts. We estimate that our minimum short-term working capital requirements currently range between $8.0 million and $10.0 million. We expect our current cash and cash equivalents, in combination with the borrowing capacity available under our Revolving Facility and the anticipated net cash to be provided by our operations to be sufficient to support these additional investments as well as our current short-term cash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Our current strategy for growth includes pursuing acquisition opportunities for complementary businesses, technologies or products. As previously discussed, we currently anticipate that any additional long-term cash requirements related to our strategy would be funded through a combination of our cash and cash equivalents, the remaining availability under the Term Note or by issuing equity. The borrowing availability under the Term Note was expanded in September 2022 as discussed above and in Note 10 to our consolidated financial statements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i/>
          <w:caps w:val="false"/>
          <w:smallCaps w:val="false"/>
          <w:sz w:val="20"/>
        </w:rPr>
        <w:t>Operating Activities</w:t>
      </w:r>
      <w:r>
        <w:rPr>
          <w:rFonts w:ascii="Times New Roman" w:hAnsi="Times New Roman"/>
          <w:caps w:val="false"/>
          <w:smallCaps w:val="false"/>
          <w:sz w:val="20"/>
        </w:rPr>
        <w:t>. For the three months ended March 31, 2024, we recorded net earnings of $662,000. Net cash provided by operations during this period was $2.1 million. During the three months ended March 31, 2024, we had non-cash charges of $1.3 million for depreciation and amortization which included $403,000 of amortization related to our ROU assets. Our operating lease liabilities declined $447,000 during this same period. During the three months ended March 31, 2024, we recorded $349,000 for amortization of deferred compensation expense related to stock-based awards. During the first quarter of 2024, accounts receivable increased $982,000, inventories increased $396,000 and prepaid expenses and other current assets declined $508,000. During this same period, accrued wages and benefits increased $939,000 while customer deposits and deferred revenue (including deferred revenue, net of current portion) declined $782,000. All of these fluctuations represent normal variations due to varying timing of payments, receipt of cash from customers and normal accruals that are standard in our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i/>
          <w:caps w:val="false"/>
          <w:smallCaps w:val="false"/>
          <w:sz w:val="20"/>
        </w:rPr>
        <w:t>Investing Activities</w:t>
      </w:r>
      <w:r>
        <w:rPr>
          <w:rFonts w:ascii="Times New Roman" w:hAnsi="Times New Roman"/>
          <w:caps w:val="false"/>
          <w:smallCaps w:val="false"/>
          <w:sz w:val="20"/>
        </w:rPr>
        <w:t>. During the three months ended March 31, 2024, we paid $18.9 million in net cash for the acquisition of Alfamation which is discussed in more detail in Note 3 to our consolidated financial statements in this Report. Purchases of property and equipment were $340,000, during this period, representing capital expenditures in the normal course of business. We have no significant commitments for capital expenditures for the balance of 2024; however, depending upon changes in market demand or manufacturing and sales strategies, we may make such purchases or investments as we deem necessary and appropriate. These additional cash requirements would be funded by our cash and cash equivalents, anticipated net cash to be provided by operations and our revolving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i/>
          <w:caps w:val="false"/>
          <w:smallCaps w:val="false"/>
          <w:sz w:val="20"/>
        </w:rPr>
        <w:t>Financing Activities</w:t>
      </w:r>
      <w:r>
        <w:rPr>
          <w:rFonts w:ascii="Times New Roman" w:hAnsi="Times New Roman"/>
          <w:caps w:val="false"/>
          <w:smallCaps w:val="false"/>
          <w:sz w:val="20"/>
        </w:rPr>
        <w:t>. During the three months ended March 31, 2024, we had borrowings under Alfamation’s short-term borrowing arrangements of $273,000 and made principal payments on our long-term debt totaling $1.2 million. There were no other significant amounts used by or received from financing activities during the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New or Recently Adopted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See the Notes to our consolidated financial statements in this Report for information concerning the implementation and impact of new or recently adopted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Critical Accounting Estimates</w:t>
      </w:r>
      <w:r>
        <w:rPr>
          <w:rFonts w:ascii="Times New Roman" w:hAnsi="Times New Roman"/>
          <w:caps w:val="false"/>
          <w:smallCaps w:val="false"/>
          <w:sz w:val="20"/>
        </w:rPr>
        <w:br/>
        <w:br/>
        <w:t>The preparation of consolidated financial statements in conformity with U.S. GAAP requires us to make estimates and judgments that affect the reported amounts of assets, liabilities, revenue, expenses and related disclosure of contingent assets and liabilities. On an on-going basis, we evaluate our estimates, including those related to inventories, long-lived assets, goodwill, identifiable intangibles, contingent consideration liabilities and deferred income tax valuation allowances.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March 31, 2024, there have been no significant changes to the accounting estimates that we have deemed critical. Our critical accounting estimates are more fully described in our 2023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Off -Balance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There were no off-balance sheet arrangements during the three months ended March 31, 2024 that have or are reasonably likely to have, a current or future effect on our financial condition, changes in financial condition, revenue or expenses, results of operations, liquidity, capital expenditures or capital resources that is material to our interests.</w:t>
      </w:r>
    </w:p>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605"/>
        <w:gridCol w:w="6965"/>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3.</w:t>
            </w:r>
          </w:p>
        </w:tc>
        <w:tc>
          <w:tcPr>
            <w:tcW w:w="69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QUANTITATIVE AND QUALITATIVE DISCLOSURES ABOUT MARKET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Market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We are exposed to certain market risks as part of our ongoing business operations, including concentration of credit risk and risks from foreign currency exchange rate and interest rate fluctuations. These risks could adversely affect our consolidated financial position, results of operations or cash flows. We manage these risks through ongoing operating and monitoring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Concentration of Credit Risk. </w:t>
      </w:r>
      <w:r>
        <w:rPr>
          <w:rFonts w:ascii="Times New Roman" w:hAnsi="Times New Roman"/>
          <w:caps w:val="false"/>
          <w:smallCaps w:val="false"/>
          <w:sz w:val="20"/>
        </w:rPr>
        <w:t>Financial instruments which potentially subject us to concentrations of credit risk consist principally of cash equivalents and accounts receivable. Our domestic cash equivalents consist primarily of money market funds invested in U.S. Treasuries and government agencies. At March 31, 2024, we also had approximately $6.9 million, or 25% of our cash that was held by our foreign subsidiaries in accounts at local banks. Concentrations of credit risk with respect to accounts receivable are limited due to the large number of geographically dispersed customers. We grant credit to customers and generally require no collateral. Although we do not currently foresee a significant credit risk associated with the outstanding accounts receivable, repayment is dependent upon the financial stability of our customers. To minimize our risk, we perform ongoing credit evaluations of our customers' financial condition. There were no customers who accounted for more than 10% of our accounts receivable balance as of 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Exchange Rate Risk Management. </w:t>
      </w:r>
      <w:r>
        <w:rPr>
          <w:rFonts w:ascii="Times New Roman" w:hAnsi="Times New Roman"/>
          <w:caps w:val="false"/>
          <w:smallCaps w:val="false"/>
          <w:sz w:val="20"/>
        </w:rPr>
        <w:t>We have operations in several foreign countries and subsidiaries who report their results in a functional currency other than the U.S. dollar but invoice the majority of their customers in U.S. dollars. For the three months ended March 31, 2024 and 2023, sales transacted in foreign currencies accounted for approximately 22% and 14%, respectively of our consolidated revenue. This exposes us to the risk of incurring both realized and unrealized exchange gains and losses. We do not currently use derivatives to manage this risk. The most significant risk we face is related to accounts receivable that are denominated in U.S. dollars for transactions that are recorded in the local currency of the operation. At March 31, 2024, we had approximately 15% of our accounts receivable denominated in U.S. dollars but recorded in the local currency of the operation. We do maintain bank accounts in most of our foreign locations that can receive and hold U.S.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Interest Rate Risk Management. </w:t>
      </w:r>
      <w:r>
        <w:rPr>
          <w:rFonts w:ascii="Times New Roman" w:hAnsi="Times New Roman"/>
          <w:caps w:val="false"/>
          <w:smallCaps w:val="false"/>
          <w:sz w:val="20"/>
        </w:rPr>
        <w:t>We are exposed to potential losses due to changes in interest rates. Our interest rate exposure is primarily related to short-term and long-term debt where the interest rates are variable. At March 31, 2024, we had an aggregate of $20.4 million in short-term and long-term debt, of which approximately 55% had variable rates, including $4.8 million under the Term Note portion of the Credit Facility. </w:t>
      </w:r>
    </w:p>
    <w:p>
      <w:pPr>
        <w:pStyle w:val="TextBody"/>
        <w:bidi w:val="0"/>
        <w:spacing w:before="0" w:after="0"/>
        <w:ind w:left="0" w:right="0" w:hanging="0"/>
        <w:jc w:val="left"/>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650"/>
        <w:gridCol w:w="2915"/>
      </w:tblGrid>
      <w:tr>
        <w:trPr/>
        <w:tc>
          <w:tcPr>
            <w:tcW w:w="6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Item 4. </w:t>
            </w:r>
          </w:p>
        </w:tc>
        <w:tc>
          <w:tcPr>
            <w:tcW w:w="29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CONTROLS AND PROCEDURES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Evaluation of Disclosure Controls and Procedures</w:t>
      </w:r>
      <w:r>
        <w:rPr>
          <w:rFonts w:ascii="Times New Roman" w:hAnsi="Times New Roman"/>
          <w:caps w:val="false"/>
          <w:smallCaps w:val="false"/>
          <w:sz w:val="20"/>
        </w:rPr>
        <w:br/>
        <w:br/>
        <w:t>We maintain disclosure controls and procedures, as such term is defined in Rule 13a-15(e) under the Exchange Act of 1934, as amended, (the “Exchange Act”).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the CEO and CFO,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CEO/CFO Conclusions about the Effectiveness of the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As required by Rule 13a-15(b) of the Exchange Act, inTEST management, 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not effective at the reasonable assurance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Our Chief Executive Officer and Chief Financial Officer concluded that our disclosure controls and procedures were not effective as of March 31, 2024 because of the material weakness in our internal control over financial reporting described below. A material weakness is a deficiency, or a combination of deficiencies, in internal control over financial reporting, such that there is a reasonable possibility that a material misstatement of our annual or interim financial statements will not be prevented or detected in a timely basis. The identified material weakness contributed to the restatements of our financial statements for the three and nine months ended September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Management has determined that the Company had the following material weakness in its internal control over financial reporting: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did not appropriately design and implement controls over 1) the identification of and 2) the application of appropriate U.S. GAAP for transactions related to the procurement and sale of discontinued material/components purchased on behalf of customers where the associated materials/components were still physically located with us and the materials/components are expected to be applied to future product orders for these customers.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This material weakness contributed to material misstatements in our consolidated financial statements for the three and nine months ended September 30, 2023, which have been corrected and restated in our Amendment No. 1 to our Quarterly Report on Form 10-Q for the period ended September 30, 2023. Accordingly, management has concluded that this control deficiency constitutes a material weakness.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b/>
          <w:caps w:val="false"/>
          <w:smallCaps w:val="false"/>
          <w:sz w:val="20"/>
        </w:rPr>
      </w:pPr>
      <w:r>
        <w:rPr>
          <w:rFonts w:ascii="Times New Roman" w:hAnsi="Times New Roman"/>
          <w:b/>
          <w:caps w:val="false"/>
          <w:smallCaps w:val="false"/>
          <w:sz w:val="20"/>
        </w:rPr>
        <w:t>Remediation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Management is developing a remediation plan to address the material weakness discussed above. Remediation will not occur until the plan is implemented and there has been appropriate time for us to conclude through testing that the control operates effectively.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As described above, we are in the process of implementing changes to our internal control over financial reporting to remediate the material weaknesses described herein. Other that these changes, 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PART II.</w:t>
      </w:r>
      <w:r>
        <w:rPr>
          <w:rFonts w:ascii="Times New Roman" w:hAnsi="Times New Roman"/>
          <w:caps w:val="false"/>
          <w:smallCaps w:val="false"/>
          <w:sz w:val="20"/>
        </w:rPr>
        <w:t>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650"/>
        <w:gridCol w:w="1595"/>
      </w:tblGrid>
      <w:tr>
        <w:trPr/>
        <w:tc>
          <w:tcPr>
            <w:tcW w:w="6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Item 1. </w:t>
            </w:r>
          </w:p>
        </w:tc>
        <w:tc>
          <w:tcPr>
            <w:tcW w:w="15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Legal Proceedings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From time to time we may be a party to legal proceedings occurring in the ordinary course of business. We are not currently involved in any material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Information regarding the primary risks and uncertainties that could materially and adversely affect our future performance or could cause actual results to differ materially from those expressed or implied in our forward-looking statements, appears in Part I, Item 1A - "Risk Factors" of our 2023 Form 10-K filed with the Securities and Exchange Commission on March 27, 2024. There have been no material changes from the risk factors set forth in our 2023 Form 10-K.</w:t>
      </w:r>
    </w:p>
    <w:p>
      <w:pPr>
        <w:pStyle w:val="TextBody"/>
        <w:bidi w:val="0"/>
        <w:spacing w:before="0" w:after="0"/>
        <w:ind w:left="0" w:right="0" w:hanging="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650"/>
        <w:gridCol w:w="5015"/>
      </w:tblGrid>
      <w:tr>
        <w:trPr/>
        <w:tc>
          <w:tcPr>
            <w:tcW w:w="6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Item 2. </w:t>
            </w:r>
          </w:p>
        </w:tc>
        <w:tc>
          <w:tcPr>
            <w:tcW w:w="50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Unregistered Sales of Equity Securities and Use of Proceeds</w:t>
            </w:r>
          </w:p>
        </w:tc>
      </w:tr>
    </w:tbl>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sz w:val="20"/>
        </w:rPr>
      </w:pPr>
      <w:r>
        <w:rPr>
          <w:rFonts w:ascii="Times New Roman" w:hAnsi="Times New Roman"/>
          <w:sz w:val="20"/>
        </w:rPr>
        <w:t>The following table provides information with respect to shares of common stock withheld by the Company for net settlement of restricted stock awards for the first quarter of 2024:</w:t>
      </w:r>
    </w:p>
    <w:p>
      <w:pPr>
        <w:pStyle w:val="TextBody"/>
        <w:bidi w:val="0"/>
        <w:spacing w:before="0" w:after="0"/>
        <w:ind w:left="0" w:right="0" w:hanging="0"/>
        <w:jc w:val="left"/>
        <w:rPr>
          <w:caps w:val="false"/>
          <w:smallCaps w:val="false"/>
        </w:rPr>
      </w:pPr>
      <w:r>
        <w:rPr>
          <w:caps w:val="false"/>
          <w:smallCaps w:val="false"/>
        </w:rPr>
        <w:t> </w:t>
      </w:r>
    </w:p>
    <w:tbl>
      <w:tblPr>
        <w:tblW w:w="5938" w:type="dxa"/>
        <w:jc w:val="left"/>
        <w:tblInd w:w="0" w:type="dxa"/>
        <w:tblLayout w:type="fixed"/>
        <w:tblCellMar>
          <w:top w:w="0" w:type="dxa"/>
          <w:left w:w="0" w:type="dxa"/>
          <w:bottom w:w="28" w:type="dxa"/>
          <w:right w:w="0" w:type="dxa"/>
        </w:tblCellMar>
      </w:tblPr>
      <w:tblGrid>
        <w:gridCol w:w="1160"/>
        <w:gridCol w:w="60"/>
        <w:gridCol w:w="99"/>
        <w:gridCol w:w="806"/>
        <w:gridCol w:w="245"/>
        <w:gridCol w:w="60"/>
        <w:gridCol w:w="184"/>
        <w:gridCol w:w="720"/>
        <w:gridCol w:w="60"/>
        <w:gridCol w:w="60"/>
        <w:gridCol w:w="496"/>
        <w:gridCol w:w="663"/>
        <w:gridCol w:w="60"/>
        <w:gridCol w:w="60"/>
        <w:gridCol w:w="490"/>
        <w:gridCol w:w="655"/>
        <w:gridCol w:w="60"/>
      </w:tblGrid>
      <w:tr>
        <w:trPr/>
        <w:tc>
          <w:tcPr>
            <w:tcW w:w="116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Period</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Shares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Purchased</w:t>
            </w:r>
          </w:p>
        </w:tc>
        <w:tc>
          <w:tcPr>
            <w:tcW w:w="2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 Paid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Share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Total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Shares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Purchased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Part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Publicly</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Announced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Plans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or Programs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14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Approximate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Dollar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Value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That May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Yet Be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Purchased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Under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the Plans or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Programs</w:t>
            </w:r>
          </w:p>
        </w:tc>
        <w:tc>
          <w:tcPr>
            <w:tcW w:w="60" w:type="dxa"/>
            <w:tcBorders/>
            <w:tcMar>
              <w:bottom w:w="0" w:type="dxa"/>
            </w:tcMar>
            <w:vAlign w:val="center"/>
          </w:tcPr>
          <w:p>
            <w:pPr>
              <w:pStyle w:val="TableContents"/>
              <w:bidi w:val="0"/>
              <w:spacing w:before="0" w:after="283"/>
              <w:jc w:val="left"/>
              <w:rPr/>
            </w:pPr>
            <w:r>
              <w:rPr/>
              <w:t> </w:t>
            </w:r>
          </w:p>
        </w:tc>
      </w:tr>
      <w:tr>
        <w:trPr/>
        <w:tc>
          <w:tcPr>
            <w:tcW w:w="116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January 1-31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8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6" w:type="dxa"/>
            <w:tcBorders/>
            <w:shd w:fill="CCEEFF" w:val="clear"/>
            <w:tcMar>
              <w:bottom w:w="0" w:type="dxa"/>
            </w:tcMar>
            <w:vAlign w:val="center"/>
          </w:tcPr>
          <w:p>
            <w:pPr>
              <w:pStyle w:val="TableContents"/>
              <w:bidi w:val="0"/>
              <w:spacing w:before="0" w:after="283"/>
              <w:ind w:left="0" w:right="0" w:hanging="0"/>
              <w:jc w:val="left"/>
              <w:rPr/>
            </w:pPr>
            <w:r>
              <w:rPr/>
              <w:t> </w:t>
            </w:r>
          </w:p>
        </w:tc>
        <w:tc>
          <w:tcPr>
            <w:tcW w:w="66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0" w:type="dxa"/>
            <w:tcBorders/>
            <w:shd w:fill="CCEEFF" w:val="clear"/>
            <w:tcMar>
              <w:bottom w:w="0" w:type="dxa"/>
            </w:tcMar>
            <w:vAlign w:val="center"/>
          </w:tcPr>
          <w:p>
            <w:pPr>
              <w:pStyle w:val="TableContents"/>
              <w:bidi w:val="0"/>
              <w:spacing w:before="0" w:after="283"/>
              <w:ind w:left="0" w:right="0" w:hanging="0"/>
              <w:jc w:val="left"/>
              <w:rPr/>
            </w:pPr>
            <w:r>
              <w:rPr/>
              <w:t> </w:t>
            </w:r>
          </w:p>
        </w:tc>
        <w:tc>
          <w:tcPr>
            <w:tcW w:w="6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6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1-29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ind w:left="0" w:right="0" w:hanging="0"/>
              <w:jc w:val="left"/>
              <w:rPr/>
            </w:pPr>
            <w:r>
              <w:rPr/>
              <w:t> </w:t>
            </w:r>
          </w:p>
        </w:tc>
        <w:tc>
          <w:tcPr>
            <w:tcW w:w="80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6" w:type="dxa"/>
            <w:tcBorders/>
            <w:shd w:fill="FFFFFF" w:val="clear"/>
            <w:tcMar>
              <w:bottom w:w="0" w:type="dxa"/>
            </w:tcMar>
            <w:vAlign w:val="center"/>
          </w:tcPr>
          <w:p>
            <w:pPr>
              <w:pStyle w:val="TableContents"/>
              <w:bidi w:val="0"/>
              <w:spacing w:before="0" w:after="283"/>
              <w:ind w:left="0" w:right="0" w:hanging="0"/>
              <w:jc w:val="left"/>
              <w:rPr/>
            </w:pPr>
            <w:r>
              <w:rPr/>
              <w:t> </w:t>
            </w:r>
          </w:p>
        </w:tc>
        <w:tc>
          <w:tcPr>
            <w:tcW w:w="66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0" w:type="dxa"/>
            <w:tcBorders/>
            <w:shd w:fill="FFFFFF" w:val="clear"/>
            <w:tcMar>
              <w:bottom w:w="0" w:type="dxa"/>
            </w:tcMar>
            <w:vAlign w:val="center"/>
          </w:tcPr>
          <w:p>
            <w:pPr>
              <w:pStyle w:val="TableContents"/>
              <w:bidi w:val="0"/>
              <w:spacing w:before="0" w:after="283"/>
              <w:ind w:left="0" w:right="0" w:hanging="0"/>
              <w:jc w:val="left"/>
              <w:rPr/>
            </w:pPr>
            <w:r>
              <w:rPr/>
              <w:t> </w:t>
            </w:r>
          </w:p>
        </w:tc>
        <w:tc>
          <w:tcPr>
            <w:tcW w:w="6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6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March 1-31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2,757</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0" w:type="dxa"/>
            <w:tcBorders/>
            <w:shd w:fill="CCEEFF" w:val="clear"/>
            <w:tcMar>
              <w:bottom w:w="0" w:type="dxa"/>
            </w:tcMar>
            <w:vAlign w:val="center"/>
          </w:tcPr>
          <w:p>
            <w:pPr>
              <w:pStyle w:val="TableContents"/>
              <w:bidi w:val="0"/>
              <w:spacing w:before="0" w:after="283"/>
              <w:ind w:left="0" w:right="0" w:hanging="0"/>
              <w:jc w:val="left"/>
              <w:rPr/>
            </w:pPr>
            <w:r>
              <w:rPr/>
              <w:t> </w:t>
            </w:r>
          </w:p>
        </w:tc>
        <w:tc>
          <w:tcPr>
            <w:tcW w:w="6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6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80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2,757</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663"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0" w:type="dxa"/>
            <w:tcBorders/>
            <w:shd w:fill="FFFFFF" w:val="clear"/>
            <w:tcMar>
              <w:bottom w:w="0" w:type="dxa"/>
            </w:tcMar>
            <w:vAlign w:val="center"/>
          </w:tcPr>
          <w:p>
            <w:pPr>
              <w:pStyle w:val="TableContents"/>
              <w:bidi w:val="0"/>
              <w:spacing w:before="0" w:after="283"/>
              <w:jc w:val="left"/>
              <w:rPr/>
            </w:pPr>
            <w:r>
              <w:rPr/>
              <w:t> </w:t>
            </w:r>
          </w:p>
        </w:tc>
        <w:tc>
          <w:tcPr>
            <w:tcW w:w="65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60"/>
        <w:gridCol w:w="245"/>
        <w:gridCol w:w="968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6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withheld to cover tax withholding obligations under the net settlement provisions of our restricted stock awards.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00" w:right="0" w:hanging="0"/>
        <w:jc w:val="left"/>
        <w:rPr>
          <w:rFonts w:ascii="Times New Roman" w:hAnsi="Times New Roman"/>
          <w:caps w:val="false"/>
          <w:smallCaps w:val="false"/>
          <w:sz w:val="20"/>
        </w:rPr>
      </w:pPr>
      <w:r>
        <w:rPr>
          <w:rFonts w:ascii="Times New Roman" w:hAnsi="Times New Roman"/>
          <w:caps w:val="false"/>
          <w:smallCaps w:val="false"/>
          <w:sz w:val="20"/>
        </w:rPr>
        <w:t>On March 12, 2024 the Company entered into a stock purchase agreement (the “Purchase Agreement”) by and among inTEST Italy, Inc., a wholly owned subsidiary of the Company (“Buyer”), Mauro Arigossi (“Arigossi”), and Elettra S.S., a company incorporated under the Laws of Italy (“Elettra”, and together with Arigossi, each a “Seller” and collectively, the “Sellers”). In accordance with the Purchase Agreement the Sellers, being the sole legal and beneficial owners of all of the outstanding capital shares of Alfamation S.p.A., an Italian joint-stock company (the “Alfamation”), agreed to sell and the Buyer agreed to purchase all of the  outstanding capital shares of Alfamation. As part of the consideration paid under the Purchase Agreement, the Sellers was issued 187,432 shares of common stock of the Company, par value $0.01 (the “Shares”). The Shares were issued pursuant to an exemption from registration under Section 4(a)(2) of the Securities Act of 1933. For further information on the acquisition please refer to Note 3 to our consolidated financial statements in this Report.</w:t>
      </w:r>
    </w:p>
    <w:p>
      <w:pPr>
        <w:pStyle w:val="TextBody"/>
        <w:bidi w:val="0"/>
        <w:spacing w:before="0" w:after="0"/>
        <w:ind w:left="0" w:right="0" w:hanging="0"/>
        <w:jc w:val="left"/>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650"/>
        <w:gridCol w:w="2675"/>
      </w:tblGrid>
      <w:tr>
        <w:trPr/>
        <w:tc>
          <w:tcPr>
            <w:tcW w:w="6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Item 3. </w:t>
            </w:r>
          </w:p>
        </w:tc>
        <w:tc>
          <w:tcPr>
            <w:tcW w:w="26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Defaults Upon Senior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650"/>
        <w:gridCol w:w="2075"/>
      </w:tblGrid>
      <w:tr>
        <w:trPr/>
        <w:tc>
          <w:tcPr>
            <w:tcW w:w="6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Item 4. </w:t>
            </w:r>
          </w:p>
        </w:tc>
        <w:tc>
          <w:tcPr>
            <w:tcW w:w="20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Mine Safety Disclosures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245" w:type="dxa"/>
        <w:jc w:val="left"/>
        <w:tblInd w:w="0" w:type="dxa"/>
        <w:tblLayout w:type="fixed"/>
        <w:tblCellMar>
          <w:top w:w="0" w:type="dxa"/>
          <w:left w:w="0" w:type="dxa"/>
          <w:bottom w:w="0" w:type="dxa"/>
          <w:right w:w="0" w:type="dxa"/>
        </w:tblCellMar>
      </w:tblPr>
      <w:tblGrid>
        <w:gridCol w:w="650"/>
        <w:gridCol w:w="1595"/>
      </w:tblGrid>
      <w:tr>
        <w:trPr/>
        <w:tc>
          <w:tcPr>
            <w:tcW w:w="650" w:type="dxa"/>
            <w:tcBorders/>
            <w:vAlign w:val="center"/>
          </w:tcPr>
          <w:p>
            <w:pPr>
              <w:pStyle w:val="TableContents"/>
              <w:bidi w:val="0"/>
              <w:spacing w:before="0" w:after="0"/>
              <w:ind w:left="0" w:right="0" w:hanging="0"/>
              <w:jc w:val="left"/>
              <w:rPr/>
            </w:pPr>
            <w:r>
              <w:rPr>
                <w:rFonts w:ascii="Times New Roman;Times;serif" w:hAnsi="Times New Roman;Times;serif"/>
                <w:b/>
                <w:caps w:val="false"/>
                <w:smallCaps w:val="false"/>
                <w:sz w:val="20"/>
              </w:rPr>
              <w:t xml:space="preserve">Item </w:t>
            </w:r>
            <w:r>
              <w:rPr>
                <w:rStyle w:val="Emphasis"/>
                <w:rFonts w:ascii="Times New Roman;Times;serif" w:hAnsi="Times New Roman;Times;serif"/>
                <w:b/>
                <w:caps w:val="false"/>
                <w:smallCaps w:val="false"/>
                <w:sz w:val="20"/>
              </w:rPr>
              <w:t>5.</w:t>
            </w:r>
            <w:r>
              <w:rPr>
                <w:rFonts w:ascii="Times New Roman;Times;serif" w:hAnsi="Times New Roman;Times;serif"/>
                <w:b/>
                <w:caps w:val="false"/>
                <w:smallCaps w:val="false"/>
                <w:sz w:val="20"/>
              </w:rPr>
              <w:t xml:space="preserve"> </w:t>
            </w:r>
          </w:p>
        </w:tc>
        <w:tc>
          <w:tcPr>
            <w:tcW w:w="15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none of the Company's directors or officers (as defined in Section </w:t>
      </w:r>
      <w:r>
        <w:rPr>
          <w:rStyle w:val="Emphasis"/>
          <w:rFonts w:ascii="Times New Roman" w:hAnsi="Times New Roman"/>
          <w:caps w:val="false"/>
          <w:smallCaps w:val="false"/>
          <w:sz w:val="20"/>
        </w:rPr>
        <w:t>16</w:t>
      </w:r>
      <w:r>
        <w:rPr>
          <w:rFonts w:ascii="Times New Roman" w:hAnsi="Times New Roman"/>
          <w:caps w:val="false"/>
          <w:smallCaps w:val="false"/>
          <w:sz w:val="20"/>
        </w:rPr>
        <w:t xml:space="preserve"> of the Securities Exchange Act of </w:t>
      </w:r>
      <w:r>
        <w:rPr>
          <w:rStyle w:val="Emphasis"/>
          <w:rFonts w:ascii="Times New Roman" w:hAnsi="Times New Roman"/>
          <w:caps w:val="false"/>
          <w:smallCaps w:val="false"/>
          <w:sz w:val="20"/>
        </w:rPr>
        <w:t>1934</w:t>
      </w:r>
      <w:r>
        <w:rPr>
          <w:rFonts w:ascii="Times New Roman" w:hAnsi="Times New Roman"/>
          <w:caps w:val="false"/>
          <w:smallCaps w:val="false"/>
          <w:sz w:val="20"/>
        </w:rPr>
        <w:t xml:space="preserve">) adopted or terminated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or a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each term is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 xml:space="preserve">(a) of Regulation S-K of the Securities Exchange Act of </w:t>
      </w:r>
      <w:r>
        <w:rPr>
          <w:rStyle w:val="Emphasis"/>
          <w:rFonts w:ascii="Times New Roman" w:hAnsi="Times New Roman"/>
          <w:caps w:val="false"/>
          <w:smallCaps w:val="false"/>
          <w:sz w:val="20"/>
        </w:rPr>
        <w:t>1934.</w:t>
      </w:r>
    </w:p>
    <w:p>
      <w:pPr>
        <w:pStyle w:val="TextBody"/>
        <w:bidi w:val="0"/>
        <w:spacing w:before="0" w:after="0"/>
        <w:jc w:val="left"/>
        <w:rPr/>
      </w:pPr>
      <w:r>
        <w:rPr/>
        <w:t xml:space="preserve">  </w:t>
      </w:r>
    </w:p>
    <w:tbl>
      <w:tblPr>
        <w:tblW w:w="1375" w:type="dxa"/>
        <w:jc w:val="left"/>
        <w:tblInd w:w="0" w:type="dxa"/>
        <w:tblLayout w:type="fixed"/>
        <w:tblCellMar>
          <w:top w:w="0" w:type="dxa"/>
          <w:left w:w="0" w:type="dxa"/>
          <w:bottom w:w="0" w:type="dxa"/>
          <w:right w:w="0" w:type="dxa"/>
        </w:tblCellMar>
      </w:tblPr>
      <w:tblGrid>
        <w:gridCol w:w="650"/>
        <w:gridCol w:w="725"/>
      </w:tblGrid>
      <w:tr>
        <w:trPr/>
        <w:tc>
          <w:tcPr>
            <w:tcW w:w="6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Item 6. </w:t>
            </w:r>
          </w:p>
        </w:tc>
        <w:tc>
          <w:tcPr>
            <w:tcW w:w="72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3"/>
        <w:gridCol w:w="9622"/>
      </w:tblGrid>
      <w:tr>
        <w:trPr/>
        <w:tc>
          <w:tcPr>
            <w:tcW w:w="58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c>
          <w:tcPr>
            <w:tcW w:w="9622"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caps w:val="false"/>
                  <w:smallCaps w:val="false"/>
                  <w:sz w:val="20"/>
                  <w:u w:val="single"/>
                </w:rPr>
                <w:t>Separation Agreement, dated February 5, 2024, between inTEST Corporation and Scott Nolen</w:t>
              </w:r>
            </w:hyperlink>
            <w:hyperlink r:id="rId3">
              <w:r>
                <w:rPr>
                  <w:rStyle w:val="InternetLink"/>
                  <w:rFonts w:ascii="Times New Roman;Times;serif" w:hAnsi="Times New Roman;Times;serif"/>
                  <w:caps w:val="false"/>
                  <w:smallCaps w:val="false"/>
                  <w:sz w:val="20"/>
                </w:rPr>
                <w:t>.</w:t>
              </w:r>
            </w:hyperlink>
            <w:r>
              <w:rPr>
                <w:rFonts w:ascii="Times New Roman;Times;serif" w:hAnsi="Times New Roman;Times;serif"/>
                <w:caps w:val="false"/>
                <w:smallCaps w:val="false"/>
                <w:sz w:val="20"/>
              </w:rPr>
              <w:t xml:space="preserve"> (1)</w:t>
            </w:r>
          </w:p>
        </w:tc>
      </w:tr>
      <w:tr>
        <w:trPr/>
        <w:tc>
          <w:tcPr>
            <w:tcW w:w="58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10.2*</w:t>
            </w:r>
          </w:p>
        </w:tc>
        <w:tc>
          <w:tcPr>
            <w:tcW w:w="9622"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caps w:val="false"/>
                  <w:smallCaps w:val="false"/>
                  <w:sz w:val="20"/>
                  <w:u w:val="single"/>
                </w:rPr>
                <w:t>Stock Purchase Agreement, by and among inTEST Corporation, inTEST Italy, Inc., Mauro Arigossi, and Elettra S.S., dated as of March 12, 2024</w:t>
              </w:r>
            </w:hyperlink>
            <w:hyperlink r:id="rId5">
              <w:r>
                <w:rPr>
                  <w:rStyle w:val="InternetLink"/>
                  <w:rFonts w:ascii="Times New Roman;Times;serif" w:hAnsi="Times New Roman;Times;serif"/>
                  <w:caps w:val="false"/>
                  <w:smallCaps w:val="false"/>
                  <w:sz w:val="20"/>
                </w:rPr>
                <w:t>.</w:t>
              </w:r>
            </w:hyperlink>
            <w:r>
              <w:rPr>
                <w:rFonts w:ascii="Times New Roman;Times;serif" w:hAnsi="Times New Roman;Times;serif"/>
                <w:caps w:val="false"/>
                <w:smallCaps w:val="false"/>
                <w:sz w:val="20"/>
              </w:rPr>
              <w:t xml:space="preserve"> (2)</w:t>
            </w:r>
          </w:p>
        </w:tc>
      </w:tr>
      <w:tr>
        <w:trPr/>
        <w:tc>
          <w:tcPr>
            <w:tcW w:w="58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10.3</w:t>
            </w:r>
          </w:p>
        </w:tc>
        <w:tc>
          <w:tcPr>
            <w:tcW w:w="9622"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caps w:val="false"/>
                  <w:smallCaps w:val="false"/>
                  <w:sz w:val="20"/>
                  <w:u w:val="single"/>
                </w:rPr>
                <w:t>Lease Agreement, by and between Alfamation S.p.A. and Elettra Real Estate S.r.l, dates as of March 12, 2024</w:t>
              </w:r>
            </w:hyperlink>
            <w:hyperlink r:id="rId7">
              <w:r>
                <w:rPr>
                  <w:rStyle w:val="InternetLink"/>
                  <w:rFonts w:ascii="Times New Roman;Times;serif" w:hAnsi="Times New Roman;Times;serif"/>
                  <w:caps w:val="false"/>
                  <w:smallCaps w:val="false"/>
                  <w:sz w:val="20"/>
                </w:rPr>
                <w:t>.</w:t>
              </w:r>
            </w:hyperlink>
            <w:r>
              <w:rPr>
                <w:rFonts w:ascii="Times New Roman;Times;serif" w:hAnsi="Times New Roman;Times;serif"/>
                <w:caps w:val="false"/>
                <w:smallCaps w:val="false"/>
                <w:sz w:val="20"/>
              </w:rPr>
              <w:t xml:space="preserve"> (2)</w:t>
            </w:r>
          </w:p>
        </w:tc>
      </w:tr>
      <w:tr>
        <w:trPr/>
        <w:tc>
          <w:tcPr>
            <w:tcW w:w="58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31.1</w:t>
            </w:r>
          </w:p>
        </w:tc>
        <w:tc>
          <w:tcPr>
            <w:tcW w:w="9622" w:type="dxa"/>
            <w:tcBorders/>
            <w:vAlign w:val="center"/>
          </w:tcPr>
          <w:p>
            <w:pPr>
              <w:pStyle w:val="TableContents"/>
              <w:bidi w:val="0"/>
              <w:spacing w:before="0" w:after="0"/>
              <w:ind w:left="0" w:right="0" w:hanging="0"/>
              <w:jc w:val="left"/>
              <w:rPr/>
            </w:pPr>
            <w:hyperlink w:anchor="ex_668426.htm">
              <w:r>
                <w:rPr>
                  <w:rStyle w:val="InternetLink"/>
                  <w:rFonts w:ascii="Times New Roman;Times;serif" w:hAnsi="Times New Roman;Times;serif"/>
                  <w:caps w:val="false"/>
                  <w:smallCaps w:val="false"/>
                  <w:sz w:val="20"/>
                </w:rPr>
                <w:t>Certification of Chief Executive Officer pursuant to Rule 13a-14(a).</w:t>
              </w:r>
            </w:hyperlink>
          </w:p>
        </w:tc>
      </w:tr>
      <w:tr>
        <w:trPr/>
        <w:tc>
          <w:tcPr>
            <w:tcW w:w="58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31.2</w:t>
            </w:r>
          </w:p>
        </w:tc>
        <w:tc>
          <w:tcPr>
            <w:tcW w:w="9622" w:type="dxa"/>
            <w:tcBorders/>
            <w:vAlign w:val="center"/>
          </w:tcPr>
          <w:p>
            <w:pPr>
              <w:pStyle w:val="TableContents"/>
              <w:bidi w:val="0"/>
              <w:spacing w:before="0" w:after="0"/>
              <w:ind w:left="0" w:right="0" w:hanging="0"/>
              <w:jc w:val="left"/>
              <w:rPr/>
            </w:pPr>
            <w:hyperlink w:anchor="ex_668427.htm">
              <w:r>
                <w:rPr>
                  <w:rStyle w:val="InternetLink"/>
                  <w:rFonts w:ascii="Times New Roman;Times;serif" w:hAnsi="Times New Roman;Times;serif"/>
                  <w:caps w:val="false"/>
                  <w:smallCaps w:val="false"/>
                  <w:sz w:val="20"/>
                </w:rPr>
                <w:t>Certification of Chief Financial Officer pursuant to Rule 13a-14(a).</w:t>
              </w:r>
            </w:hyperlink>
          </w:p>
        </w:tc>
      </w:tr>
      <w:tr>
        <w:trPr/>
        <w:tc>
          <w:tcPr>
            <w:tcW w:w="58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32.1</w:t>
            </w:r>
          </w:p>
        </w:tc>
        <w:tc>
          <w:tcPr>
            <w:tcW w:w="9622" w:type="dxa"/>
            <w:tcBorders/>
            <w:vAlign w:val="center"/>
          </w:tcPr>
          <w:p>
            <w:pPr>
              <w:pStyle w:val="TableContents"/>
              <w:bidi w:val="0"/>
              <w:spacing w:before="0" w:after="0"/>
              <w:ind w:left="0" w:right="0" w:hanging="0"/>
              <w:jc w:val="left"/>
              <w:rPr/>
            </w:pPr>
            <w:hyperlink w:anchor="ex_668428.htm">
              <w:r>
                <w:rPr>
                  <w:rStyle w:val="InternetLink"/>
                  <w:rFonts w:ascii="Times New Roman;Times;serif" w:hAnsi="Times New Roman;Times;serif"/>
                  <w:caps w:val="false"/>
                  <w:smallCaps w:val="false"/>
                  <w:sz w:val="20"/>
                </w:rPr>
                <w:t>Certification of Chief Executive Officer furnished pursuant to 18 U.S.C. Section 1350, as adopted pursuant to Section 906 of the Sarbanes-Oxley Act of 2002.</w:t>
              </w:r>
            </w:hyperlink>
          </w:p>
        </w:tc>
      </w:tr>
      <w:tr>
        <w:trPr/>
        <w:tc>
          <w:tcPr>
            <w:tcW w:w="58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32.2</w:t>
            </w:r>
          </w:p>
        </w:tc>
        <w:tc>
          <w:tcPr>
            <w:tcW w:w="9622" w:type="dxa"/>
            <w:tcBorders/>
            <w:vAlign w:val="center"/>
          </w:tcPr>
          <w:p>
            <w:pPr>
              <w:pStyle w:val="TableContents"/>
              <w:bidi w:val="0"/>
              <w:spacing w:before="0" w:after="0"/>
              <w:ind w:left="0" w:right="0" w:hanging="0"/>
              <w:jc w:val="left"/>
              <w:rPr/>
            </w:pPr>
            <w:hyperlink w:anchor="ex_668429.htm">
              <w:r>
                <w:rPr>
                  <w:rStyle w:val="InternetLink"/>
                  <w:rFonts w:ascii="Times New Roman;Times;serif" w:hAnsi="Times New Roman;Times;serif"/>
                  <w:caps w:val="false"/>
                  <w:smallCaps w:val="false"/>
                  <w:sz w:val="20"/>
                </w:rPr>
                <w:t>Certification of Chief Financial Officer furnished pursuant to 18 U.S.C. Section 1350, as adopted pursuant to Section 906 of the Sarbanes-Oxley Act of 2002.</w:t>
              </w:r>
            </w:hyperlink>
          </w:p>
        </w:tc>
      </w:tr>
      <w:tr>
        <w:trPr/>
        <w:tc>
          <w:tcPr>
            <w:tcW w:w="58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101.INS</w:t>
            </w:r>
          </w:p>
        </w:tc>
        <w:tc>
          <w:tcPr>
            <w:tcW w:w="962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Instance Document</w:t>
            </w:r>
          </w:p>
        </w:tc>
      </w:tr>
      <w:tr>
        <w:trPr/>
        <w:tc>
          <w:tcPr>
            <w:tcW w:w="58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101.SCH</w:t>
            </w:r>
          </w:p>
        </w:tc>
        <w:tc>
          <w:tcPr>
            <w:tcW w:w="962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Schema Document</w:t>
            </w:r>
          </w:p>
        </w:tc>
      </w:tr>
      <w:tr>
        <w:trPr/>
        <w:tc>
          <w:tcPr>
            <w:tcW w:w="58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101.CAL</w:t>
            </w:r>
          </w:p>
        </w:tc>
        <w:tc>
          <w:tcPr>
            <w:tcW w:w="962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Calculation Linkbase Document</w:t>
            </w:r>
          </w:p>
        </w:tc>
      </w:tr>
      <w:tr>
        <w:trPr/>
        <w:tc>
          <w:tcPr>
            <w:tcW w:w="58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101.DEF</w:t>
            </w:r>
          </w:p>
        </w:tc>
        <w:tc>
          <w:tcPr>
            <w:tcW w:w="962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Definition Linkbase Document</w:t>
            </w:r>
          </w:p>
        </w:tc>
      </w:tr>
      <w:tr>
        <w:trPr/>
        <w:tc>
          <w:tcPr>
            <w:tcW w:w="58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101.LAB</w:t>
            </w:r>
          </w:p>
        </w:tc>
        <w:tc>
          <w:tcPr>
            <w:tcW w:w="962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Label Linkbase Document</w:t>
            </w:r>
          </w:p>
        </w:tc>
      </w:tr>
      <w:tr>
        <w:trPr/>
        <w:tc>
          <w:tcPr>
            <w:tcW w:w="58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101.PRE</w:t>
            </w:r>
          </w:p>
        </w:tc>
        <w:tc>
          <w:tcPr>
            <w:tcW w:w="962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Presentation Linkbase Document</w:t>
            </w:r>
          </w:p>
        </w:tc>
      </w:tr>
      <w:tr>
        <w:trPr/>
        <w:tc>
          <w:tcPr>
            <w:tcW w:w="58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962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(formatted as Inline XBRL and contained in Exhibit 101).</w:t>
            </w:r>
          </w:p>
        </w:tc>
      </w:tr>
      <w:tr>
        <w:trPr/>
        <w:tc>
          <w:tcPr>
            <w:tcW w:w="583" w:type="dxa"/>
            <w:tcBorders/>
            <w:vAlign w:val="center"/>
          </w:tcPr>
          <w:p>
            <w:pPr>
              <w:pStyle w:val="TableContents"/>
              <w:bidi w:val="0"/>
              <w:spacing w:before="0" w:after="283"/>
              <w:jc w:val="left"/>
              <w:rPr/>
            </w:pPr>
            <w:r>
              <w:rPr/>
              <w:t> </w:t>
            </w:r>
          </w:p>
        </w:tc>
        <w:tc>
          <w:tcPr>
            <w:tcW w:w="9622" w:type="dxa"/>
            <w:tcBorders/>
            <w:vAlign w:val="center"/>
          </w:tcPr>
          <w:p>
            <w:pPr>
              <w:pStyle w:val="TableContents"/>
              <w:bidi w:val="0"/>
              <w:spacing w:before="0" w:after="283"/>
              <w:jc w:val="left"/>
              <w:rPr/>
            </w:pPr>
            <w:r>
              <w:rPr/>
              <w:t> </w:t>
            </w:r>
          </w:p>
        </w:tc>
      </w:tr>
      <w:tr>
        <w:trPr/>
        <w:tc>
          <w:tcPr>
            <w:tcW w:w="58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62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Previously filed by the Company as an exhibit to the Company’s Current Report on Form 8-K dated February 7, 2024, File No. 001-36117, filed February 7, 2024, and incorporated herein by reference.</w:t>
            </w:r>
          </w:p>
        </w:tc>
      </w:tr>
      <w:tr>
        <w:trPr/>
        <w:tc>
          <w:tcPr>
            <w:tcW w:w="58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62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Previously filed by the Company as an exhibit to the Company’s Current Report on Form 8-K dated March 12, 2024, File No. 001-36117, filed March 12, 2024, and incorporated herein by reference.</w:t>
            </w:r>
          </w:p>
        </w:tc>
      </w:tr>
      <w:tr>
        <w:trPr/>
        <w:tc>
          <w:tcPr>
            <w:tcW w:w="58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962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Certain schedules of this exhibit have been omitted pursuant to Item 601(a)(5) of Regulation S-K. The Company agrees to furnish supplementally to the Securities and Exchange Commission or its staff a copy of the omitted schedules upon request.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550" w:type="dxa"/>
        <w:jc w:val="left"/>
        <w:tblInd w:w="0" w:type="dxa"/>
        <w:tblLayout w:type="fixed"/>
        <w:tblCellMar>
          <w:top w:w="0" w:type="dxa"/>
          <w:left w:w="0" w:type="dxa"/>
          <w:bottom w:w="0" w:type="dxa"/>
          <w:right w:w="0" w:type="dxa"/>
        </w:tblCellMar>
      </w:tblPr>
      <w:tblGrid>
        <w:gridCol w:w="470"/>
        <w:gridCol w:w="1055"/>
        <w:gridCol w:w="4025"/>
      </w:tblGrid>
      <w:tr>
        <w:trPr/>
        <w:tc>
          <w:tcPr>
            <w:tcW w:w="47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inTEST Corporation</w:t>
            </w:r>
          </w:p>
        </w:tc>
      </w:tr>
      <w:tr>
        <w:trPr/>
        <w:tc>
          <w:tcPr>
            <w:tcW w:w="47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Date:</w:t>
            </w:r>
          </w:p>
        </w:tc>
        <w:tc>
          <w:tcPr>
            <w:tcW w:w="10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May 9, 2024</w:t>
            </w:r>
          </w:p>
        </w:tc>
        <w:tc>
          <w:tcPr>
            <w:tcW w:w="40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/s/ Richard N. Grant, Jr.</w:t>
            </w:r>
          </w:p>
        </w:tc>
      </w:tr>
      <w:tr>
        <w:trPr/>
        <w:tc>
          <w:tcPr>
            <w:tcW w:w="47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Richard N. Grant, Jr.</w:t>
            </w:r>
          </w:p>
        </w:tc>
      </w:tr>
      <w:tr>
        <w:trPr/>
        <w:tc>
          <w:tcPr>
            <w:tcW w:w="47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President and Chief Executive Officer</w:t>
            </w:r>
          </w:p>
        </w:tc>
      </w:tr>
      <w:tr>
        <w:trPr/>
        <w:tc>
          <w:tcPr>
            <w:tcW w:w="47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(Principal Executive Officer)</w:t>
            </w:r>
            <w:r>
              <w:rPr>
                <w:rFonts w:ascii="Times New Roman;Times;serif" w:hAnsi="Times New Roman;Times;serif"/>
                <w:caps w:val="false"/>
                <w:smallCaps w:val="false"/>
                <w:sz w:val="20"/>
              </w:rPr>
              <w:t> </w:t>
            </w:r>
          </w:p>
        </w:tc>
      </w:tr>
      <w:tr>
        <w:trPr/>
        <w:tc>
          <w:tcPr>
            <w:tcW w:w="47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Date:</w:t>
            </w:r>
          </w:p>
        </w:tc>
        <w:tc>
          <w:tcPr>
            <w:tcW w:w="10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May 9, 2024</w:t>
            </w:r>
          </w:p>
        </w:tc>
        <w:tc>
          <w:tcPr>
            <w:tcW w:w="40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/s/ Duncan Gilmour</w:t>
            </w:r>
          </w:p>
        </w:tc>
      </w:tr>
      <w:tr>
        <w:trPr/>
        <w:tc>
          <w:tcPr>
            <w:tcW w:w="47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Duncan Gilmour</w:t>
            </w:r>
          </w:p>
        </w:tc>
      </w:tr>
      <w:tr>
        <w:trPr/>
        <w:tc>
          <w:tcPr>
            <w:tcW w:w="47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Chief Financial Officer, Treasurer and Secretary</w:t>
            </w:r>
          </w:p>
        </w:tc>
      </w:tr>
      <w:tr>
        <w:trPr/>
        <w:tc>
          <w:tcPr>
            <w:tcW w:w="47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-35- </w:t>
      </w:r>
    </w:p>
    <w:p>
      <w:pPr>
        <w:pStyle w:val="TextBody"/>
        <w:bidi w:val="0"/>
        <w:spacing w:before="0" w:after="0"/>
        <w:ind w:left="0" w:right="0" w:hanging="0"/>
        <w:jc w:val="left"/>
        <w:rPr>
          <w:caps w:val="false"/>
          <w:smallCaps w:val="false"/>
        </w:rPr>
      </w:pPr>
      <w:bookmarkStart w:id="2" w:name="ex_668426.htm"/>
      <w:bookmarkStart w:id="3" w:name="ksex_668426"/>
      <w:bookmarkEnd w:id="2"/>
      <w:bookmarkEnd w:id="3"/>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u w:val="single"/>
        </w:rPr>
      </w:pPr>
      <w:r>
        <w:rPr>
          <w:rFonts w:ascii="Times New Roman" w:hAnsi="Times New Roman"/>
          <w:b/>
          <w:caps w:val="false"/>
          <w:smallCaps w:val="false"/>
          <w:sz w:val="20"/>
          <w:u w:val="single"/>
        </w:rPr>
        <w:t>EXHIBIT 31.1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Richard N. Grant, Jr.,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inTEST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r>
        <w:rPr>
          <w:rFonts w:ascii="Times New Roman" w:hAnsi="Times New Roman"/>
          <w:caps w:val="false"/>
          <w:smallCaps w:val="false"/>
          <w:sz w:val="20"/>
          <w:u w:val="single"/>
        </w:rPr>
        <w:t>May 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60" w:right="0" w:hanging="0"/>
        <w:jc w:val="left"/>
        <w:rPr>
          <w:rFonts w:ascii="Times New Roman" w:hAnsi="Times New Roman"/>
          <w:caps w:val="false"/>
          <w:smallCaps w:val="false"/>
          <w:sz w:val="20"/>
        </w:rPr>
      </w:pPr>
      <w:r>
        <w:rPr>
          <w:rFonts w:ascii="Times New Roman" w:hAnsi="Times New Roman"/>
          <w:caps w:val="false"/>
          <w:smallCaps w:val="false"/>
          <w:sz w:val="20"/>
          <w:u w:val="single"/>
        </w:rPr>
        <w:t>/s/ Richard N. Grant, Jr.</w:t>
      </w:r>
      <w:r>
        <w:rPr>
          <w:rFonts w:ascii="Times New Roman" w:hAnsi="Times New Roman"/>
          <w:caps w:val="false"/>
          <w:smallCaps w:val="false"/>
          <w:sz w:val="20"/>
        </w:rPr>
        <w:br/>
        <w:t>Richard N. Grant, Jr.</w:t>
        <w:br/>
        <w:t>President and Chief Executive Officer</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4" w:name="ex_668427.htm"/>
      <w:bookmarkStart w:id="5" w:name="ksex_668427"/>
      <w:bookmarkEnd w:id="4"/>
      <w:bookmarkEnd w:id="5"/>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u w:val="single"/>
        </w:rPr>
      </w:pPr>
      <w:r>
        <w:rPr>
          <w:rFonts w:ascii="Times New Roman" w:hAnsi="Times New Roman"/>
          <w:b/>
          <w:caps w:val="false"/>
          <w:smallCaps w:val="false"/>
          <w:sz w:val="20"/>
          <w:u w:val="single"/>
        </w:rPr>
        <w:t>EXHIBIT 31.2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Duncan Gilmour,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inTEST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r>
        <w:rPr>
          <w:rFonts w:ascii="Times New Roman" w:hAnsi="Times New Roman"/>
          <w:caps w:val="false"/>
          <w:smallCaps w:val="false"/>
          <w:sz w:val="20"/>
          <w:u w:val="single"/>
        </w:rPr>
        <w:t>May 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60" w:right="0" w:hanging="0"/>
        <w:jc w:val="left"/>
        <w:rPr>
          <w:rFonts w:ascii="Times New Roman" w:hAnsi="Times New Roman"/>
          <w:caps w:val="false"/>
          <w:smallCaps w:val="false"/>
          <w:sz w:val="20"/>
        </w:rPr>
      </w:pPr>
      <w:r>
        <w:rPr>
          <w:rFonts w:ascii="Times New Roman" w:hAnsi="Times New Roman"/>
          <w:caps w:val="false"/>
          <w:smallCaps w:val="false"/>
          <w:sz w:val="20"/>
          <w:u w:val="single"/>
        </w:rPr>
        <w:t>/s/Duncan Gilmour</w:t>
      </w:r>
      <w:r>
        <w:rPr>
          <w:rFonts w:ascii="Times New Roman" w:hAnsi="Times New Roman"/>
          <w:caps w:val="false"/>
          <w:smallCaps w:val="false"/>
          <w:sz w:val="20"/>
        </w:rPr>
        <w:br/>
        <w:t>Duncan Gilmour</w:t>
        <w:br/>
        <w:t>Chief Financial Officer, Treasurer and Secretary</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6" w:name="ex_668428.htm"/>
      <w:bookmarkStart w:id="7" w:name="ksex_668428"/>
      <w:bookmarkEnd w:id="6"/>
      <w:bookmarkEnd w:id="7"/>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u w:val="single"/>
        </w:rPr>
      </w:pPr>
      <w:r>
        <w:rPr>
          <w:rFonts w:ascii="Times New Roman" w:hAnsi="Times New Roman"/>
          <w:b/>
          <w:caps w:val="false"/>
          <w:smallCaps w:val="false"/>
          <w:sz w:val="20"/>
          <w:u w:val="single"/>
        </w:rPr>
        <w:t>EXHIBIT 32.1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inTEST CORPORATION</w:t>
      </w:r>
      <w:r>
        <w:rPr>
          <w:rFonts w:ascii="Times New Roman" w:hAnsi="Times New Roman"/>
          <w:caps w:val="false"/>
          <w:smallCaps w:val="false"/>
          <w:sz w:val="20"/>
        </w:rPr>
        <w:br/>
        <w:br/>
        <w:br/>
        <w:t>CERTIFICATION PURSUANT TO</w:t>
        <w:br/>
        <w:t>18 U.S.C. SECTION 1350,</w:t>
        <w:br/>
        <w:t>AS ADOPTED PURSUANT TO</w:t>
        <w:b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Quarterly Report of inTEST Corporation (the "Company") on Form 10-Q for the period ended March 31, 2024 as filed with the Securities and Exchange Commission on the date hereof (the "Report"), I, Richard N. Grant, Jr., President and Chief Executive Officer of the Company, certify, pursuant to 18 U.S.C. Section 1350, as adopted pursuant to Section 906 of the Sarbanes-Oxley Act of 2002, that:</w:t>
        <w:br/>
        <w:br/>
        <w:t>(1)         The Report fully complies with the requirements of Section 13(a) or 15(d) of the Securities Exchange Act of 1934; and</w:t>
        <w:br/>
        <w:br/>
        <w:t>(2)         The information contained in the Report fairly presents, in all material respects, the financial condition and results of operations of the Company.</w:t>
        <w:br/>
        <w:br/>
        <w:br/>
        <w:br/>
        <w:br/>
        <w:t>Date:         </w:t>
      </w:r>
      <w:r>
        <w:rPr>
          <w:rFonts w:ascii="Times New Roman" w:hAnsi="Times New Roman"/>
          <w:caps w:val="false"/>
          <w:smallCaps w:val="false"/>
          <w:sz w:val="20"/>
          <w:u w:val="single"/>
        </w:rPr>
        <w:t>May 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hanging="0"/>
        <w:jc w:val="left"/>
        <w:rPr>
          <w:rFonts w:ascii="Times New Roman" w:hAnsi="Times New Roman"/>
          <w:caps w:val="false"/>
          <w:smallCaps w:val="false"/>
          <w:sz w:val="20"/>
        </w:rPr>
      </w:pPr>
      <w:r>
        <w:rPr>
          <w:rFonts w:ascii="Times New Roman" w:hAnsi="Times New Roman"/>
          <w:caps w:val="false"/>
          <w:smallCaps w:val="false"/>
          <w:sz w:val="20"/>
          <w:u w:val="single"/>
        </w:rPr>
        <w:t>/s/ Richard N. Grant, Jr.</w:t>
      </w:r>
      <w:r>
        <w:rPr>
          <w:rFonts w:ascii="Times New Roman" w:hAnsi="Times New Roman"/>
          <w:caps w:val="false"/>
          <w:smallCaps w:val="false"/>
          <w:sz w:val="20"/>
        </w:rPr>
        <w:br/>
        <w:t>Richard N. Grant, Jr.</w:t>
        <w:br/>
        <w:t>President and Chief Executive Officer</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8" w:name="ex_668429.htm"/>
      <w:bookmarkStart w:id="9" w:name="ksex_668429"/>
      <w:bookmarkEnd w:id="8"/>
      <w:bookmarkEnd w:id="9"/>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u w:val="single"/>
        </w:rPr>
      </w:pPr>
      <w:r>
        <w:rPr>
          <w:rFonts w:ascii="Times New Roman" w:hAnsi="Times New Roman"/>
          <w:b/>
          <w:caps w:val="false"/>
          <w:smallCaps w:val="false"/>
          <w:sz w:val="20"/>
          <w:u w:val="single"/>
        </w:rPr>
        <w:t>EXHIBIT 32.2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inTEST CORPORATION</w:t>
      </w:r>
      <w:r>
        <w:rPr>
          <w:rFonts w:ascii="Times New Roman" w:hAnsi="Times New Roman"/>
          <w:caps w:val="false"/>
          <w:smallCaps w:val="false"/>
          <w:sz w:val="20"/>
        </w:rPr>
        <w:br/>
        <w:br/>
        <w:br/>
        <w:t>CERTIFICATION PURSUANT TO</w:t>
        <w:br/>
        <w:t>18 U.S.C. SECTION 1350,</w:t>
        <w:br/>
        <w:t>AS ADOPTED PURSUANT TO</w:t>
        <w:b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Quarterly Report of inTEST Corporation (the "Company") on Form 10-Q for the period ended March 31, 2024 as filed with the Securities and Exchange Commission on the date hereof (the "Report"), I, Duncan Gilmour, Chief Financial Officer, Treasurer and Secretary of the Company, certify, pursuant to 18 U.S.C. Section 1350, as adopted pursuant to Section 906 of the Sarbanes-Oxley Act of 2002, that:</w:t>
        <w:br/>
        <w:br/>
        <w:t>(1) The Report fully complies with the requirements of Section 13(a) or 15(d) of the Securities Exchange Act of 1934; and</w:t>
        <w:br/>
        <w:br/>
        <w:t>(2) The information contained in the Report fairly presents, in all material respects, the financial condition and results of operations of the Company.</w:t>
        <w:br/>
        <w:br/>
        <w:br/>
        <w:br/>
        <w:br/>
        <w:t>Date:         </w:t>
      </w:r>
      <w:r>
        <w:rPr>
          <w:rFonts w:ascii="Times New Roman" w:hAnsi="Times New Roman"/>
          <w:caps w:val="false"/>
          <w:smallCaps w:val="false"/>
          <w:sz w:val="20"/>
          <w:u w:val="single"/>
        </w:rPr>
        <w:t>May 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hanging="0"/>
        <w:jc w:val="left"/>
        <w:rPr>
          <w:rFonts w:ascii="Times New Roman" w:hAnsi="Times New Roman"/>
          <w:caps w:val="false"/>
          <w:smallCaps w:val="false"/>
          <w:sz w:val="20"/>
        </w:rPr>
      </w:pPr>
      <w:r>
        <w:rPr>
          <w:rFonts w:ascii="Times New Roman" w:hAnsi="Times New Roman"/>
          <w:caps w:val="false"/>
          <w:smallCaps w:val="false"/>
          <w:sz w:val="20"/>
          <w:u w:val="single"/>
        </w:rPr>
        <w:t>/s/ Duncan Gilmour</w:t>
      </w:r>
      <w:r>
        <w:rPr>
          <w:rFonts w:ascii="Times New Roman" w:hAnsi="Times New Roman"/>
          <w:caps w:val="false"/>
          <w:smallCaps w:val="false"/>
          <w:sz w:val="20"/>
        </w:rPr>
        <w:br/>
        <w:t>Duncan Gilmour</w:t>
        <w:br/>
        <w:t>Chief Financial Officer, Treasurer and Secretary</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36262/000143774924003390/ex_623568.htm" TargetMode="External"/><Relationship Id="rId3" Type="http://schemas.openxmlformats.org/officeDocument/2006/relationships/hyperlink" Target="http://www.sec.gov/Archives/edgar/data/1036262/000143774924003390/ex_623568.htm" TargetMode="External"/><Relationship Id="rId4" Type="http://schemas.openxmlformats.org/officeDocument/2006/relationships/hyperlink" Target="http://www.sec.gov/Archives/edgar/data/1036262/000143774924007466/ex_637848.htm" TargetMode="External"/><Relationship Id="rId5" Type="http://schemas.openxmlformats.org/officeDocument/2006/relationships/hyperlink" Target="http://www.sec.gov/Archives/edgar/data/1036262/000143774924007466/ex_637848.htm" TargetMode="External"/><Relationship Id="rId6" Type="http://schemas.openxmlformats.org/officeDocument/2006/relationships/hyperlink" Target="http://www.sec.gov/Archives/edgar/data/1036262/000143774924007466/ex_638061.htm" TargetMode="External"/><Relationship Id="rId7" Type="http://schemas.openxmlformats.org/officeDocument/2006/relationships/hyperlink" Target="http://www.sec.gov/Archives/edgar/data/1036262/000143774924007466/ex_63806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24110</Words>
  <Characters>129176</Characters>
  <CharactersWithSpaces>155498</CharactersWithSpaces>
  <Paragraphs>6453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