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ANNUAL REPORT PURSUANT TO SECTION 13 OR 15(d) OF THE SECURITIES EXCHANGE ACT OF 1934</w:t>
      </w:r>
    </w:p>
    <w:p>
      <w:pPr>
        <w:spacing w:after="0" w:line="16"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2022</w:t>
      </w:r>
    </w:p>
    <w:p>
      <w:pPr>
        <w:spacing w:after="0" w:line="7"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368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3721100</wp:posOffset>
            </wp:positionH>
            <wp:positionV relativeFrom="paragraph">
              <wp:posOffset>-20320</wp:posOffset>
            </wp:positionV>
            <wp:extent cx="1087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7120" cy="8890"/>
                    </a:xfrm>
                    <a:prstGeom prst="rect">
                      <a:avLst/>
                    </a:prstGeom>
                    <a:noFill/>
                  </pic:spPr>
                </pic:pic>
              </a:graphicData>
            </a:graphic>
          </wp:anchor>
        </w:drawing>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1-36117</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580" w:type="dxa"/>
        <w:tblCellMar>
          <w:top w:w="0" w:type="dxa"/>
          <w:left w:w="0" w:type="dxa"/>
          <w:bottom w:w="0" w:type="dxa"/>
          <w:right w:w="0" w:type="dxa"/>
        </w:tblCellMar>
      </w:tblPr>
      <w:tr>
        <w:trPr>
          <w:trHeight w:val="220"/>
        </w:trPr>
        <w:tc>
          <w:tcPr>
            <w:tcW w:w="200" w:type="dxa"/>
            <w:vAlign w:val="bottom"/>
          </w:tcPr>
          <w:p>
            <w:pPr>
              <w:spacing w:after="0"/>
              <w:rPr>
                <w:sz w:val="19"/>
                <w:szCs w:val="19"/>
                <w:color w:val="auto"/>
              </w:rPr>
            </w:pPr>
          </w:p>
        </w:tc>
        <w:tc>
          <w:tcPr>
            <w:tcW w:w="376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1"/>
              </w:rPr>
              <w:t>Delaware</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0" w:type="dxa"/>
            <w:vAlign w:val="bottom"/>
            <w:gridSpan w:val="2"/>
          </w:tcPr>
          <w:p>
            <w:pPr>
              <w:jc w:val="right"/>
              <w:ind w:right="1750"/>
              <w:spacing w:after="0"/>
              <w:rPr>
                <w:sz w:val="20"/>
                <w:szCs w:val="20"/>
                <w:color w:val="auto"/>
              </w:rPr>
            </w:pPr>
            <w:r>
              <w:rPr>
                <w:rFonts w:ascii="Arial" w:cs="Arial" w:eastAsia="Arial" w:hAnsi="Arial"/>
                <w:sz w:val="18"/>
                <w:szCs w:val="18"/>
                <w:b w:val="1"/>
                <w:bCs w:val="1"/>
                <w:color w:val="auto"/>
              </w:rPr>
              <w:t>22-2370659</w:t>
            </w:r>
          </w:p>
        </w:tc>
        <w:tc>
          <w:tcPr>
            <w:tcW w:w="0" w:type="dxa"/>
            <w:vAlign w:val="bottom"/>
          </w:tcPr>
          <w:p>
            <w:pPr>
              <w:spacing w:after="0"/>
              <w:rPr>
                <w:sz w:val="1"/>
                <w:szCs w:val="1"/>
                <w:color w:val="auto"/>
              </w:rPr>
            </w:pPr>
          </w:p>
        </w:tc>
      </w:tr>
      <w:tr>
        <w:trPr>
          <w:trHeight w:val="230"/>
        </w:trPr>
        <w:tc>
          <w:tcPr>
            <w:tcW w:w="5920" w:type="dxa"/>
            <w:vAlign w:val="bottom"/>
            <w:gridSpan w:val="6"/>
          </w:tcPr>
          <w:p>
            <w:pPr>
              <w:jc w:val="center"/>
              <w:ind w:right="14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00" w:type="dxa"/>
            <w:vAlign w:val="bottom"/>
            <w:gridSpan w:val="2"/>
          </w:tcPr>
          <w:p>
            <w:pPr>
              <w:jc w:val="center"/>
              <w:ind w:right="250"/>
              <w:spacing w:after="0"/>
              <w:rPr>
                <w:sz w:val="20"/>
                <w:szCs w:val="20"/>
                <w:color w:val="auto"/>
              </w:rPr>
            </w:pPr>
            <w:r>
              <w:rPr>
                <w:rFonts w:ascii="Arial" w:cs="Arial" w:eastAsia="Arial" w:hAnsi="Arial"/>
                <w:sz w:val="18"/>
                <w:szCs w:val="18"/>
                <w:color w:val="auto"/>
                <w:w w:val="93"/>
              </w:rPr>
              <w:t>(I.R.S. Employer Identification Number)</w:t>
            </w:r>
          </w:p>
        </w:tc>
        <w:tc>
          <w:tcPr>
            <w:tcW w:w="0" w:type="dxa"/>
            <w:vAlign w:val="bottom"/>
          </w:tcPr>
          <w:p>
            <w:pPr>
              <w:spacing w:after="0"/>
              <w:rPr>
                <w:sz w:val="1"/>
                <w:szCs w:val="1"/>
                <w:color w:val="auto"/>
              </w:rPr>
            </w:pPr>
          </w:p>
        </w:tc>
      </w:tr>
      <w:tr>
        <w:trPr>
          <w:trHeight w:val="414"/>
        </w:trPr>
        <w:tc>
          <w:tcPr>
            <w:tcW w:w="200" w:type="dxa"/>
            <w:vAlign w:val="bottom"/>
          </w:tcPr>
          <w:p>
            <w:pPr>
              <w:spacing w:after="0"/>
              <w:rPr>
                <w:sz w:val="24"/>
                <w:szCs w:val="24"/>
                <w:color w:val="auto"/>
              </w:rPr>
            </w:pPr>
          </w:p>
        </w:tc>
        <w:tc>
          <w:tcPr>
            <w:tcW w:w="376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0"/>
              </w:rPr>
              <w:t>804 East Gate Drive, Suite 200</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0" w:type="dxa"/>
            <w:vAlign w:val="bottom"/>
            <w:gridSpan w:val="2"/>
            <w:vMerge w:val="restart"/>
          </w:tcPr>
          <w:p>
            <w:pPr>
              <w:jc w:val="right"/>
              <w:ind w:right="1950"/>
              <w:spacing w:after="0"/>
              <w:rPr>
                <w:sz w:val="20"/>
                <w:szCs w:val="20"/>
                <w:color w:val="auto"/>
              </w:rPr>
            </w:pPr>
            <w:r>
              <w:rPr>
                <w:rFonts w:ascii="Arial" w:cs="Arial" w:eastAsia="Arial" w:hAnsi="Arial"/>
                <w:sz w:val="18"/>
                <w:szCs w:val="18"/>
                <w:b w:val="1"/>
                <w:bCs w:val="1"/>
                <w:color w:val="auto"/>
              </w:rPr>
              <w:t>08054</w:t>
            </w:r>
          </w:p>
        </w:tc>
        <w:tc>
          <w:tcPr>
            <w:tcW w:w="0" w:type="dxa"/>
            <w:vAlign w:val="bottom"/>
          </w:tcPr>
          <w:p>
            <w:pPr>
              <w:spacing w:after="0"/>
              <w:rPr>
                <w:sz w:val="1"/>
                <w:szCs w:val="1"/>
                <w:color w:val="auto"/>
              </w:rPr>
            </w:pPr>
          </w:p>
        </w:tc>
      </w:tr>
      <w:tr>
        <w:trPr>
          <w:trHeight w:val="112"/>
        </w:trPr>
        <w:tc>
          <w:tcPr>
            <w:tcW w:w="200" w:type="dxa"/>
            <w:vAlign w:val="bottom"/>
          </w:tcPr>
          <w:p>
            <w:pPr>
              <w:spacing w:after="0"/>
              <w:rPr>
                <w:sz w:val="9"/>
                <w:szCs w:val="9"/>
                <w:color w:val="auto"/>
              </w:rPr>
            </w:pPr>
          </w:p>
        </w:tc>
        <w:tc>
          <w:tcPr>
            <w:tcW w:w="3760" w:type="dxa"/>
            <w:vAlign w:val="bottom"/>
            <w:gridSpan w:val="2"/>
            <w:vMerge w:val="restart"/>
          </w:tcPr>
          <w:p>
            <w:pPr>
              <w:jc w:val="center"/>
              <w:ind w:left="230"/>
              <w:spacing w:after="0"/>
              <w:rPr>
                <w:sz w:val="20"/>
                <w:szCs w:val="20"/>
                <w:color w:val="auto"/>
              </w:rPr>
            </w:pPr>
            <w:r>
              <w:rPr>
                <w:rFonts w:ascii="Arial" w:cs="Arial" w:eastAsia="Arial" w:hAnsi="Arial"/>
                <w:sz w:val="18"/>
                <w:szCs w:val="18"/>
                <w:b w:val="1"/>
                <w:bCs w:val="1"/>
                <w:color w:val="auto"/>
                <w:w w:val="92"/>
              </w:rPr>
              <w:t>Mt. Laurel, New Jersey</w:t>
            </w: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520" w:type="dxa"/>
            <w:vAlign w:val="bottom"/>
            <w:vMerge w:val="restart"/>
          </w:tcPr>
          <w:p>
            <w:pPr>
              <w:jc w:val="center"/>
              <w:ind w:right="93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3760" w:type="dxa"/>
            <w:vAlign w:val="bottom"/>
            <w:gridSpan w:val="2"/>
            <w:vMerge w:val="restart"/>
          </w:tcPr>
          <w:p>
            <w:pPr>
              <w:jc w:val="center"/>
              <w:ind w:left="210"/>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992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auto"/>
                <w:w w:val="89"/>
              </w:rPr>
              <w:t>Registrant's telephone number, including area code: (856) 505-8800</w:t>
            </w: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300" w:type="dxa"/>
            <w:vAlign w:val="bottom"/>
            <w:gridSpan w:val="6"/>
          </w:tcPr>
          <w:p>
            <w:pPr>
              <w:jc w:val="center"/>
              <w:ind w:right="277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392"/>
        </w:trPr>
        <w:tc>
          <w:tcPr>
            <w:tcW w:w="2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Trading Symbol</w:t>
            </w:r>
          </w:p>
        </w:tc>
        <w:tc>
          <w:tcPr>
            <w:tcW w:w="420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gridSpan w:val="3"/>
          </w:tcPr>
          <w:p>
            <w:pPr>
              <w:jc w:val="center"/>
              <w:ind w:right="850"/>
              <w:spacing w:after="0"/>
              <w:rPr>
                <w:sz w:val="20"/>
                <w:szCs w:val="20"/>
                <w:color w:val="auto"/>
              </w:rPr>
            </w:pPr>
            <w:r>
              <w:rPr>
                <w:rFonts w:ascii="Arial" w:cs="Arial" w:eastAsia="Arial" w:hAnsi="Arial"/>
                <w:sz w:val="18"/>
                <w:szCs w:val="18"/>
                <w:color w:val="auto"/>
                <w:w w:val="89"/>
              </w:rPr>
              <w:t>Common Stock, par value $0.01 per share</w:t>
            </w:r>
          </w:p>
        </w:tc>
        <w:tc>
          <w:tcPr>
            <w:tcW w:w="240" w:type="dxa"/>
            <w:vAlign w:val="bottom"/>
          </w:tcPr>
          <w:p>
            <w:pPr>
              <w:spacing w:after="0"/>
              <w:rPr>
                <w:sz w:val="20"/>
                <w:szCs w:val="20"/>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color w:val="auto"/>
              </w:rPr>
              <w:t>INTT</w:t>
            </w:r>
          </w:p>
        </w:tc>
        <w:tc>
          <w:tcPr>
            <w:tcW w:w="68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NYSE American</w:t>
            </w: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2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00"/>
          </w:cols>
          <w:pgMar w:left="320" w:top="688" w:right="37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580"/>
          </w:cols>
          <w:pgMar w:left="320" w:top="688" w:right="379" w:bottom="1440" w:gutter="0" w:footer="0" w:header="0"/>
          <w:type w:val="continuous"/>
        </w:sectPr>
      </w:pPr>
    </w:p>
    <w:p>
      <w:pPr>
        <w:spacing w:after="0" w:line="32"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type w:val="continuous"/>
        </w:sectPr>
      </w:pPr>
    </w:p>
    <w:bookmarkStart w:id="1" w:name="page2"/>
    <w:bookmarkEnd w:id="1"/>
    <w:p>
      <w:pPr>
        <w:ind w:right="200"/>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on June 30, 2022 (the last business day of the registrant's most recently completed second fiscal quarter), was: $71,710,141.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at March 15, 2023, was 11,121,359.</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Portions of the definitive proxy statement of the Registrant for the Registrant's 2023 Annual Meeting of Stockholders, to be filed with the Securities and Exchange Commission within 120 days after the end of the fiscal year covered by this Report,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9140" w:type="dxa"/>
            <w:vAlign w:val="bottom"/>
          </w:tcPr>
          <w:p>
            <w:pPr>
              <w:jc w:val="center"/>
              <w:ind w:left="490"/>
              <w:spacing w:after="0"/>
              <w:rPr>
                <w:sz w:val="20"/>
                <w:szCs w:val="20"/>
                <w:color w:val="auto"/>
              </w:rPr>
            </w:pPr>
            <w:r>
              <w:rPr>
                <w:rFonts w:ascii="Arial" w:cs="Arial" w:eastAsia="Arial" w:hAnsi="Arial"/>
                <w:sz w:val="18"/>
                <w:szCs w:val="18"/>
                <w:b w:val="1"/>
                <w:bCs w:val="1"/>
                <w:color w:val="auto"/>
                <w:w w:val="98"/>
              </w:rPr>
              <w:t>inTEST CORPORATION</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140" w:type="dxa"/>
            <w:vAlign w:val="bottom"/>
          </w:tcPr>
          <w:p>
            <w:pPr>
              <w:jc w:val="center"/>
              <w:ind w:left="510"/>
              <w:spacing w:after="0"/>
              <w:rPr>
                <w:sz w:val="20"/>
                <w:szCs w:val="20"/>
                <w:color w:val="auto"/>
              </w:rPr>
            </w:pPr>
            <w:r>
              <w:rPr>
                <w:rFonts w:ascii="Arial" w:cs="Arial" w:eastAsia="Arial" w:hAnsi="Arial"/>
                <w:sz w:val="18"/>
                <w:szCs w:val="18"/>
                <w:b w:val="1"/>
                <w:bCs w:val="1"/>
                <w:color w:val="auto"/>
              </w:rPr>
              <w:t>FORM 10-K</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9140" w:type="dxa"/>
            <w:vAlign w:val="bottom"/>
          </w:tcPr>
          <w:p>
            <w:pPr>
              <w:jc w:val="center"/>
              <w:ind w:left="490"/>
              <w:spacing w:after="0"/>
              <w:rPr>
                <w:sz w:val="20"/>
                <w:szCs w:val="20"/>
                <w:color w:val="auto"/>
              </w:rPr>
            </w:pPr>
            <w:r>
              <w:rPr>
                <w:rFonts w:ascii="Arial" w:cs="Arial" w:eastAsia="Arial" w:hAnsi="Arial"/>
                <w:sz w:val="18"/>
                <w:szCs w:val="18"/>
                <w:b w:val="1"/>
                <w:bCs w:val="1"/>
                <w:color w:val="auto"/>
                <w:w w:val="98"/>
              </w:rPr>
              <w:t>FOR THE YEAR ENDED DECEMBER 31, 2022</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9140" w:type="dxa"/>
            <w:vAlign w:val="bottom"/>
          </w:tcPr>
          <w:p>
            <w:pPr>
              <w:jc w:val="center"/>
              <w:ind w:left="510"/>
              <w:spacing w:after="0"/>
              <w:rPr>
                <w:sz w:val="20"/>
                <w:szCs w:val="20"/>
                <w:color w:val="auto"/>
              </w:rPr>
            </w:pPr>
            <w:r>
              <w:rPr>
                <w:rFonts w:ascii="Arial" w:cs="Arial" w:eastAsia="Arial" w:hAnsi="Arial"/>
                <w:sz w:val="18"/>
                <w:szCs w:val="18"/>
                <w:b w:val="1"/>
                <w:bCs w:val="1"/>
                <w:color w:val="auto"/>
              </w:rPr>
              <w:t>INDEX</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6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1360" w:type="dxa"/>
            <w:vAlign w:val="bottom"/>
            <w:gridSpan w:val="3"/>
          </w:tcPr>
          <w:p>
            <w:pPr>
              <w:ind w:left="980"/>
              <w:spacing w:after="0"/>
              <w:rPr>
                <w:sz w:val="20"/>
                <w:szCs w:val="20"/>
                <w:color w:val="auto"/>
              </w:rPr>
            </w:pPr>
            <w:r>
              <w:rPr>
                <w:rFonts w:ascii="Arial" w:cs="Arial" w:eastAsia="Arial" w:hAnsi="Arial"/>
                <w:sz w:val="18"/>
                <w:szCs w:val="18"/>
                <w:b w:val="1"/>
                <w:bCs w:val="1"/>
                <w:i w:val="1"/>
                <w:iCs w:val="1"/>
                <w:color w:val="auto"/>
                <w:w w:val="83"/>
              </w:rPr>
              <w:t>Page</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140" w:type="dxa"/>
            <w:vAlign w:val="bottom"/>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98"/>
              </w:rPr>
              <w:t>PART I</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Business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14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1B.</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Unresolved Staff Comments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140" w:type="dxa"/>
            <w:vAlign w:val="bottom"/>
          </w:tcPr>
          <w:p>
            <w:pPr>
              <w:ind w:left="100"/>
              <w:spacing w:after="0"/>
              <w:rPr>
                <w:sz w:val="20"/>
                <w:szCs w:val="20"/>
                <w:color w:val="auto"/>
              </w:rPr>
            </w:pPr>
            <w:r>
              <w:rPr>
                <w:rFonts w:ascii="Arial" w:cs="Arial" w:eastAsia="Arial" w:hAnsi="Arial"/>
                <w:sz w:val="18"/>
                <w:szCs w:val="18"/>
                <w:color w:val="auto"/>
              </w:rPr>
              <w:t>Properties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Legal Proceedings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140" w:type="dxa"/>
            <w:vAlign w:val="bottom"/>
          </w:tcPr>
          <w:p>
            <w:pPr>
              <w:ind w:left="100"/>
              <w:spacing w:after="0"/>
              <w:rPr>
                <w:sz w:val="20"/>
                <w:szCs w:val="20"/>
                <w:color w:val="auto"/>
              </w:rPr>
            </w:pPr>
            <w:r>
              <w:rPr>
                <w:rFonts w:ascii="Arial" w:cs="Arial" w:eastAsia="Arial" w:hAnsi="Arial"/>
                <w:sz w:val="18"/>
                <w:szCs w:val="18"/>
                <w:color w:val="auto"/>
              </w:rPr>
              <w:t>Mine Safety Disclosures</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140" w:type="dxa"/>
            <w:vAlign w:val="bottom"/>
          </w:tcPr>
          <w:p>
            <w:pPr>
              <w:jc w:val="center"/>
              <w:ind w:left="510"/>
              <w:spacing w:after="0"/>
              <w:rPr>
                <w:sz w:val="20"/>
                <w:szCs w:val="20"/>
                <w:color w:val="auto"/>
              </w:rPr>
            </w:pPr>
            <w:r>
              <w:rPr>
                <w:rFonts w:ascii="Arial" w:cs="Arial" w:eastAsia="Arial" w:hAnsi="Arial"/>
                <w:sz w:val="18"/>
                <w:szCs w:val="18"/>
                <w:b w:val="1"/>
                <w:bCs w:val="1"/>
                <w:color w:val="auto"/>
              </w:rPr>
              <w:t>PART II</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9140" w:type="dxa"/>
            <w:vAlign w:val="bottom"/>
          </w:tcPr>
          <w:p>
            <w:pPr>
              <w:ind w:left="10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[Reserved]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7.</w:t>
            </w:r>
          </w:p>
        </w:tc>
        <w:tc>
          <w:tcPr>
            <w:tcW w:w="914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8.</w:t>
            </w:r>
          </w:p>
        </w:tc>
        <w:tc>
          <w:tcPr>
            <w:tcW w:w="9140" w:type="dxa"/>
            <w:vAlign w:val="bottom"/>
          </w:tcPr>
          <w:p>
            <w:pPr>
              <w:ind w:left="100"/>
              <w:spacing w:after="0"/>
              <w:rPr>
                <w:sz w:val="20"/>
                <w:szCs w:val="20"/>
                <w:color w:val="auto"/>
              </w:rPr>
            </w:pPr>
            <w:r>
              <w:rPr>
                <w:rFonts w:ascii="Arial" w:cs="Arial" w:eastAsia="Arial" w:hAnsi="Arial"/>
                <w:sz w:val="18"/>
                <w:szCs w:val="18"/>
                <w:color w:val="auto"/>
              </w:rPr>
              <w:t>Financial Statements and Supplementary Data</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9A.</w:t>
            </w:r>
          </w:p>
        </w:tc>
        <w:tc>
          <w:tcPr>
            <w:tcW w:w="914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Information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9C</w:t>
            </w:r>
          </w:p>
        </w:tc>
        <w:tc>
          <w:tcPr>
            <w:tcW w:w="9140" w:type="dxa"/>
            <w:vAlign w:val="bottom"/>
          </w:tcPr>
          <w:p>
            <w:pPr>
              <w:ind w:left="10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140" w:type="dxa"/>
            <w:vAlign w:val="bottom"/>
          </w:tcPr>
          <w:p>
            <w:pPr>
              <w:jc w:val="center"/>
              <w:ind w:left="490"/>
              <w:spacing w:after="0"/>
              <w:rPr>
                <w:sz w:val="20"/>
                <w:szCs w:val="20"/>
                <w:color w:val="auto"/>
              </w:rPr>
            </w:pPr>
            <w:r>
              <w:rPr>
                <w:rFonts w:ascii="Arial" w:cs="Arial" w:eastAsia="Arial" w:hAnsi="Arial"/>
                <w:sz w:val="18"/>
                <w:szCs w:val="18"/>
                <w:b w:val="1"/>
                <w:bCs w:val="1"/>
                <w:color w:val="auto"/>
              </w:rPr>
              <w:t>PART III</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10.</w:t>
            </w:r>
          </w:p>
        </w:tc>
        <w:tc>
          <w:tcPr>
            <w:tcW w:w="9140" w:type="dxa"/>
            <w:vAlign w:val="bottom"/>
          </w:tcPr>
          <w:p>
            <w:pPr>
              <w:ind w:left="100"/>
              <w:spacing w:after="0"/>
              <w:rPr>
                <w:sz w:val="20"/>
                <w:szCs w:val="20"/>
                <w:color w:val="auto"/>
              </w:rPr>
            </w:pPr>
            <w:r>
              <w:rPr>
                <w:rFonts w:ascii="Arial" w:cs="Arial" w:eastAsia="Arial" w:hAnsi="Arial"/>
                <w:sz w:val="18"/>
                <w:szCs w:val="18"/>
                <w:color w:val="auto"/>
              </w:rPr>
              <w:t>Directors, Executive Officers and Corporate Governance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Executive Compensation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12.</w:t>
            </w:r>
          </w:p>
        </w:tc>
        <w:tc>
          <w:tcPr>
            <w:tcW w:w="9140" w:type="dxa"/>
            <w:vAlign w:val="bottom"/>
          </w:tcPr>
          <w:p>
            <w:pPr>
              <w:ind w:left="1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14.</w:t>
            </w:r>
          </w:p>
        </w:tc>
        <w:tc>
          <w:tcPr>
            <w:tcW w:w="9140" w:type="dxa"/>
            <w:vAlign w:val="bottom"/>
          </w:tcPr>
          <w:p>
            <w:pPr>
              <w:ind w:left="100"/>
              <w:spacing w:after="0"/>
              <w:rPr>
                <w:sz w:val="20"/>
                <w:szCs w:val="20"/>
                <w:color w:val="auto"/>
              </w:rPr>
            </w:pPr>
            <w:r>
              <w:rPr>
                <w:rFonts w:ascii="Arial" w:cs="Arial" w:eastAsia="Arial" w:hAnsi="Arial"/>
                <w:sz w:val="18"/>
                <w:szCs w:val="18"/>
                <w:color w:val="auto"/>
              </w:rPr>
              <w:t>Principal Accounting Fees and Services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140" w:type="dxa"/>
            <w:vAlign w:val="bottom"/>
          </w:tcPr>
          <w:p>
            <w:pPr>
              <w:jc w:val="center"/>
              <w:ind w:left="490"/>
              <w:spacing w:after="0"/>
              <w:rPr>
                <w:sz w:val="20"/>
                <w:szCs w:val="20"/>
                <w:color w:val="auto"/>
              </w:rPr>
            </w:pPr>
            <w:r>
              <w:rPr>
                <w:rFonts w:ascii="Arial" w:cs="Arial" w:eastAsia="Arial" w:hAnsi="Arial"/>
                <w:sz w:val="18"/>
                <w:szCs w:val="18"/>
                <w:b w:val="1"/>
                <w:bCs w:val="1"/>
                <w:color w:val="auto"/>
              </w:rPr>
              <w:t>PART IV</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15.</w:t>
            </w:r>
          </w:p>
        </w:tc>
        <w:tc>
          <w:tcPr>
            <w:tcW w:w="9140" w:type="dxa"/>
            <w:vAlign w:val="bottom"/>
          </w:tcPr>
          <w:p>
            <w:pPr>
              <w:ind w:left="100"/>
              <w:spacing w:after="0"/>
              <w:rPr>
                <w:sz w:val="20"/>
                <w:szCs w:val="20"/>
                <w:color w:val="auto"/>
              </w:rPr>
            </w:pPr>
            <w:r>
              <w:rPr>
                <w:rFonts w:ascii="Arial" w:cs="Arial" w:eastAsia="Arial" w:hAnsi="Arial"/>
                <w:sz w:val="18"/>
                <w:szCs w:val="18"/>
                <w:color w:val="auto"/>
              </w:rPr>
              <w:t>Exhibits and Financial Statement Schedules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16.</w:t>
            </w: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Form 10-K Summary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8"/>
                <w:szCs w:val="18"/>
                <w:color w:val="auto"/>
              </w:rPr>
              <w:t>Index to Exhibits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Signatures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9140" w:type="dxa"/>
            <w:vAlign w:val="bottom"/>
          </w:tcPr>
          <w:p>
            <w:pPr>
              <w:ind w:left="100"/>
              <w:spacing w:after="0"/>
              <w:rPr>
                <w:sz w:val="20"/>
                <w:szCs w:val="20"/>
                <w:color w:val="auto"/>
              </w:rPr>
            </w:pPr>
            <w:r>
              <w:rPr>
                <w:rFonts w:ascii="Arial" w:cs="Arial" w:eastAsia="Arial" w:hAnsi="Arial"/>
                <w:sz w:val="18"/>
                <w:szCs w:val="18"/>
                <w:color w:val="auto"/>
              </w:rPr>
              <w:t>Index to Consolidated Financial Statements and Financial Statement Schedule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tcPr>
          <w:p>
            <w:pPr>
              <w:spacing w:after="0"/>
              <w:rPr>
                <w:sz w:val="24"/>
                <w:szCs w:val="24"/>
                <w:color w:val="auto"/>
              </w:rPr>
            </w:pPr>
          </w:p>
        </w:tc>
        <w:tc>
          <w:tcPr>
            <w:tcW w:w="9140" w:type="dxa"/>
            <w:vAlign w:val="bottom"/>
          </w:tcPr>
          <w:p>
            <w:pPr>
              <w:jc w:val="center"/>
              <w:ind w:left="490"/>
              <w:spacing w:after="0"/>
              <w:rPr>
                <w:sz w:val="20"/>
                <w:szCs w:val="20"/>
                <w:color w:val="auto"/>
              </w:rPr>
            </w:pPr>
            <w:r>
              <w:rPr>
                <w:rFonts w:ascii="Arial" w:cs="Arial" w:eastAsia="Arial" w:hAnsi="Arial"/>
                <w:sz w:val="18"/>
                <w:szCs w:val="18"/>
                <w:color w:val="auto"/>
                <w:w w:val="79"/>
              </w:rPr>
              <w:t>2</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auto"/>
            </w:tcBorders>
          </w:tcPr>
          <w:p>
            <w:pPr>
              <w:spacing w:after="0"/>
              <w:rPr>
                <w:sz w:val="10"/>
                <w:szCs w:val="10"/>
                <w:color w:val="auto"/>
              </w:rPr>
            </w:pPr>
          </w:p>
        </w:tc>
        <w:tc>
          <w:tcPr>
            <w:tcW w:w="9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 ENDED DECEMBER 31, 2022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From time to time, we make written or oral "forward-looking statements" within the meaning of the Private Securities Litigation Reform Act of 1995, as amended, including statements contained in our filings with the Securities and Exchange Commission (the “SEC”) (including this Annual Report on Form 10-K for the year ended December 31, 2022 (this “Report”)), in our annual report to stockholders and in other communications.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“believes,” “expects,” “intends,” “may,” “could,” “will,” “should,” “plans,” “depending,” “projects,” “forecasts,” “seeks,” “anticipates,” “goal,” “objective,” “target,” “estimates,” “future,” “outlook,” “strategy,” “vision,”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Such risks and uncertainties include, but are not limited to:</w:t>
      </w:r>
    </w:p>
    <w:p>
      <w:pPr>
        <w:spacing w:after="0" w:line="182"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execute on our 5-Point Strategy;</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grow our presence in the life sciences, security, industrial and international markets;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possibility of future acquisitions or dispositions and the successful integration of any acquired operations;</w:t>
      </w:r>
    </w:p>
    <w:p>
      <w:pPr>
        <w:spacing w:after="0" w:line="36" w:lineRule="exact"/>
        <w:rPr>
          <w:rFonts w:ascii="Arial" w:cs="Arial" w:eastAsia="Arial" w:hAnsi="Arial"/>
          <w:sz w:val="18"/>
          <w:szCs w:val="18"/>
          <w:color w:val="auto"/>
        </w:rPr>
      </w:pPr>
    </w:p>
    <w:p>
      <w:pPr>
        <w:ind w:left="980" w:right="240" w:hanging="324"/>
        <w:spacing w:after="0" w:line="258"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strategy to diversify our business by entering markets outside the semiconductor and automated test equipment (“ATE”) markets, collectively the “semi market”;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indications of a change in the market cycles in the semi market, or other markets we serve;</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and trends in the semi market, including changes in the demand for semiconductors;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convert backlog to sales and to ship product in a timely manner;</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any one or more of our largest customers, or a reduction in orders by a major customer;</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materials used to manufacture our products;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current global supply chain constraints or other interruptions in our supply chain caused by external factors;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sufficiency of cash balances, lines of credit and net cash from operations;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stock price fluctuations;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borrow funds or raise capital to finance potential acquisitions or for working capital;</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rate of, and timing of, capital expenditures by our customers;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COVID-19 on our business, liquidity, financial condition and results of operations;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effects of exchange rate fluctuations;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progress of product development programs;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anticipated market for our products;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and retention of key personnel or our ability to hire personnel at anticipated costs;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globally.</w:t>
      </w:r>
    </w:p>
    <w:p>
      <w:pPr>
        <w:spacing w:after="0" w:line="25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discuss many of these risks and uncertainties and others under Part I, Item 1A "Risk Factors," in this Report, and elsewhere in this Report. 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23"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OVERVIEW AND STRATEGY</w:t>
      </w:r>
    </w:p>
    <w:p>
      <w:pPr>
        <w:spacing w:after="0" w:line="225" w:lineRule="exact"/>
        <w:rPr>
          <w:sz w:val="20"/>
          <w:szCs w:val="20"/>
          <w:color w:val="auto"/>
        </w:rPr>
      </w:pPr>
    </w:p>
    <w:p>
      <w:pPr>
        <w:jc w:val="both"/>
        <w:ind w:left="680"/>
        <w:spacing w:after="0" w:line="263" w:lineRule="auto"/>
        <w:rPr>
          <w:sz w:val="20"/>
          <w:szCs w:val="20"/>
          <w:color w:val="auto"/>
        </w:rPr>
      </w:pPr>
      <w:r>
        <w:rPr>
          <w:rFonts w:ascii="Arial" w:cs="Arial" w:eastAsia="Arial" w:hAnsi="Arial"/>
          <w:sz w:val="18"/>
          <w:szCs w:val="18"/>
          <w:color w:val="auto"/>
        </w:rPr>
        <w:t>inTEST Corporation was incorporated in New Jersey in 1981 and reincorporated in Delaware in April 1997. The consolidated entity is comprised of inTEST Corporation and our wholly-owned subsidiaries. In this Report, "we," "us," "our," and the "Company" refer to inTEST Corporation and our consolidated subsidiaries.</w:t>
      </w:r>
    </w:p>
    <w:p>
      <w:pPr>
        <w:spacing w:after="0" w:line="184" w:lineRule="exact"/>
        <w:rPr>
          <w:sz w:val="20"/>
          <w:szCs w:val="20"/>
          <w:color w:val="auto"/>
        </w:rPr>
      </w:pPr>
    </w:p>
    <w:p>
      <w:pPr>
        <w:ind w:left="680"/>
        <w:spacing w:after="0" w:line="272" w:lineRule="auto"/>
        <w:rPr>
          <w:sz w:val="20"/>
          <w:szCs w:val="20"/>
          <w:color w:val="auto"/>
        </w:rPr>
      </w:pPr>
      <w:r>
        <w:rPr>
          <w:rFonts w:ascii="Arial" w:cs="Arial" w:eastAsia="Arial" w:hAnsi="Arial"/>
          <w:sz w:val="17"/>
          <w:szCs w:val="17"/>
          <w:color w:val="auto"/>
        </w:rPr>
        <w:t>We are a global supplier of innovative test and process solutions for use in manufacturing and testing across a wide range of markets including automotive, defense/aerospace, industrial, life sciences, security and semiconductors (“semi”). During the year ended December 31, 2021, we managed our business as two operating segments which were also our reportable segments and reporting units: Thermal Products ("Thermal") and Electromechanical Solutions ("EMS"). As discussed further in Note 19 to our consolidated financial statements in this Report, effective January 1, 2022, we reorganized our operating segments. Accordingly, for 2022, we have three operating segments which are also our reportable segments and reporting units: Electronic Test, Environmental Technologies and Process Technologies. Prior period information has been reclassified to be comparable to the current period’s presentation.</w:t>
      </w:r>
    </w:p>
    <w:p>
      <w:pPr>
        <w:spacing w:after="0" w:line="177" w:lineRule="exact"/>
        <w:rPr>
          <w:sz w:val="20"/>
          <w:szCs w:val="20"/>
          <w:color w:val="auto"/>
        </w:rPr>
      </w:pPr>
    </w:p>
    <w:p>
      <w:pPr>
        <w:ind w:left="680" w:right="20"/>
        <w:spacing w:after="0" w:line="288" w:lineRule="auto"/>
        <w:rPr>
          <w:sz w:val="20"/>
          <w:szCs w:val="20"/>
          <w:color w:val="auto"/>
        </w:rPr>
      </w:pPr>
      <w:r>
        <w:rPr>
          <w:rFonts w:ascii="Arial" w:cs="Arial" w:eastAsia="Arial" w:hAnsi="Arial"/>
          <w:sz w:val="16"/>
          <w:szCs w:val="16"/>
          <w:color w:val="auto"/>
        </w:rPr>
        <w:t>In early 2021, we launched our 5-Point Strategy, our new corporate vision and our mission statement. Our vision is to be the supplier of choice for innovative test and process technology solutions. Our mission is to leverage our deep industry knowledge and expertise to develop and deliver high quality, innovative customer solutions and superior support for complex global challenges. We are committed to becoming recognized as a leader in our markets for design and manufacturing capabilities that help solve our customers’ most complex challenges in their manufacturing and quality processes. Our products provide highly engineered, high quality and cost-effective test and process solutions which are delivered with a customer focus that are intended to drive a high level of customer satisfaction. Our strategy is to consistently develop unique and differentiated solutions through innovative new product development and acquisitions. We expect to expand our portfolio of products, services, and support to drive increased value to our customers to drive revenue and earnings growth. We believe by executing on our 5-Point Strategy, as described more fully below, that we can grow our annual revenue to between $200 million to $250 million by 2025, while maintaining our strong margin profile. We expect to do this through a combination of organic growth and acquisitions. Our 5-Point Strategy is as follows:</w:t>
      </w:r>
    </w:p>
    <w:p>
      <w:pPr>
        <w:spacing w:after="0" w:line="168" w:lineRule="exact"/>
        <w:rPr>
          <w:sz w:val="20"/>
          <w:szCs w:val="20"/>
          <w:color w:val="auto"/>
        </w:rPr>
      </w:pPr>
    </w:p>
    <w:p>
      <w:pPr>
        <w:ind w:left="3960"/>
        <w:spacing w:after="0" w:line="287" w:lineRule="auto"/>
        <w:rPr>
          <w:sz w:val="20"/>
          <w:szCs w:val="20"/>
          <w:color w:val="auto"/>
        </w:rPr>
      </w:pPr>
      <w:r>
        <w:rPr>
          <w:rFonts w:ascii="Arial" w:cs="Arial" w:eastAsia="Arial" w:hAnsi="Arial"/>
          <w:sz w:val="16"/>
          <w:szCs w:val="16"/>
          <w:i w:val="1"/>
          <w:iCs w:val="1"/>
          <w:color w:val="auto"/>
        </w:rPr>
        <w:t xml:space="preserve">Global and Market Expansion. </w:t>
      </w:r>
      <w:r>
        <w:rPr>
          <w:rFonts w:ascii="Arial" w:cs="Arial" w:eastAsia="Arial" w:hAnsi="Arial"/>
          <w:sz w:val="16"/>
          <w:szCs w:val="16"/>
          <w:color w:val="auto"/>
        </w:rPr>
        <w:t>We believe we can provide significant and sustainable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growth by expanding our serviceable addressable market (“SAM”) and building a larger installed product base. To capture this opportunity, we intend to make investments to drive further penetration in our existing markets. These investments may include initiatives to increase revenue both by leveraging our customer relationships to provide a broader array of our current portfolio of products to our existing customer base as well as by expanding our customer base within these markets. In addition, we intend to increase our global footprint and coverage to better serve new and existing customers. Finally, our strategy in this area includes targeting expansion into new markets with our existing product portfolio. During 2022, our businesses continued to gain new customers in both the semi market and in our other target markets and we have expanded our sales and support network to regions of the world where we identified gaps in coverage. Including the impact of the Q4 2021 acquisitions, we believe our SAM is now in excess of $2.0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-1169670</wp:posOffset>
            </wp:positionV>
            <wp:extent cx="2099945" cy="2425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9945" cy="2425700"/>
                    </a:xfrm>
                    <a:prstGeom prst="rect">
                      <a:avLst/>
                    </a:prstGeom>
                    <a:noFill/>
                  </pic:spPr>
                </pic:pic>
              </a:graphicData>
            </a:graphic>
          </wp:anchor>
        </w:drawing>
      </w:r>
    </w:p>
    <w:p>
      <w:pPr>
        <w:spacing w:after="0" w:line="148" w:lineRule="exact"/>
        <w:rPr>
          <w:sz w:val="20"/>
          <w:szCs w:val="20"/>
          <w:color w:val="auto"/>
        </w:rPr>
      </w:pPr>
    </w:p>
    <w:p>
      <w:pPr>
        <w:ind w:left="3960" w:right="120"/>
        <w:spacing w:after="0" w:line="287" w:lineRule="auto"/>
        <w:rPr>
          <w:sz w:val="20"/>
          <w:szCs w:val="20"/>
          <w:color w:val="auto"/>
        </w:rPr>
      </w:pPr>
      <w:r>
        <w:rPr>
          <w:rFonts w:ascii="Arial" w:cs="Arial" w:eastAsia="Arial" w:hAnsi="Arial"/>
          <w:sz w:val="16"/>
          <w:szCs w:val="16"/>
          <w:i w:val="1"/>
          <w:iCs w:val="1"/>
          <w:color w:val="auto"/>
        </w:rPr>
        <w:t>Innovation and Differentiation</w:t>
      </w:r>
      <w:r>
        <w:rPr>
          <w:rFonts w:ascii="Arial" w:cs="Arial" w:eastAsia="Arial" w:hAnsi="Arial"/>
          <w:sz w:val="16"/>
          <w:szCs w:val="16"/>
          <w:color w:val="auto"/>
        </w:rPr>
        <w:t>. Our 5-Point Strategy focuses on leveraging our engineering know-how and expertise to deliver innovative solutions which we believe will outperform those of our competitors. We continue to invest in engineering resources with the goal of developing new and unique solutions to help solve our customers’ most complex challenges in their manufacturing and quality processes. Designed to be broadly applicable through more standardized platforms, these solution platforms enable late-stage configuration to address each customers’ unique requirements. We believe creating more standardization to increase market availability will drive growth and reduce costs by enabling us to increase the breadth and depth of our customer base. In 2022, we launched our Eco-ThermoStream which we believe is more energy efficient and offers more advanced control technologies than competitive platforms and we expanded our automated manipulator portfolio with the mid-tier LSC model. We have also continued to see success with the adoption of our induction heating solution for Silicon-Carbide crystal growth.</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 w:name="page6"/>
    <w:bookmarkEnd w:id="5"/>
    <w:p>
      <w:pPr>
        <w:ind w:left="680" w:right="240"/>
        <w:spacing w:after="0" w:line="289" w:lineRule="auto"/>
        <w:rPr>
          <w:sz w:val="20"/>
          <w:szCs w:val="20"/>
          <w:color w:val="auto"/>
        </w:rPr>
      </w:pPr>
      <w:r>
        <w:rPr>
          <w:rFonts w:ascii="Arial" w:cs="Arial" w:eastAsia="Arial" w:hAnsi="Arial"/>
          <w:sz w:val="16"/>
          <w:szCs w:val="16"/>
          <w:i w:val="1"/>
          <w:iCs w:val="1"/>
          <w:color w:val="auto"/>
        </w:rPr>
        <w:t>Service and Support</w:t>
      </w:r>
      <w:r>
        <w:rPr>
          <w:rFonts w:ascii="Arial" w:cs="Arial" w:eastAsia="Arial" w:hAnsi="Arial"/>
          <w:sz w:val="16"/>
          <w:szCs w:val="16"/>
          <w:color w:val="auto"/>
        </w:rPr>
        <w:t>. We have strong customer relationships and believe service and support activities are valuable in strengthening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satisfaction, loyalty and retention. Through ensuring that we serve our customers’ needs, whether by expanding service coverage and decreasing response time or through expanding and enhancing service offerings, we believe we can drive revenue growth and strengthen our customer relationships. We expect to invest in resources to fill areas where we have identified gaps in service and support. We also plan to invest in technology to provide remote service capabilities to monitor the health of our products that are onsite at customer locations. As we expand our SAM and increase our market penetration, we also expect to identify opportunities to add more consumable products within our offerings. We believe that increasing the number of ways and the frequency with which we make customer contacts can drive growth in our business in the future. In 2022, we continued to expand our service partner network across the U.S., Canada and Asia. We are driving adoption of our master service agreements across our installed base to better support our customers’ operations and drive customer satisfaction.</w:t>
      </w:r>
    </w:p>
    <w:p>
      <w:pPr>
        <w:spacing w:after="0" w:line="166" w:lineRule="exact"/>
        <w:rPr>
          <w:sz w:val="20"/>
          <w:szCs w:val="20"/>
          <w:color w:val="auto"/>
        </w:rPr>
      </w:pPr>
    </w:p>
    <w:p>
      <w:pPr>
        <w:ind w:left="680" w:right="120"/>
        <w:spacing w:after="0" w:line="254" w:lineRule="auto"/>
        <w:rPr>
          <w:sz w:val="20"/>
          <w:szCs w:val="20"/>
          <w:color w:val="auto"/>
        </w:rPr>
      </w:pPr>
      <w:r>
        <w:rPr>
          <w:rFonts w:ascii="Arial" w:cs="Arial" w:eastAsia="Arial" w:hAnsi="Arial"/>
          <w:sz w:val="18"/>
          <w:szCs w:val="18"/>
          <w:i w:val="1"/>
          <w:iCs w:val="1"/>
          <w:color w:val="auto"/>
        </w:rPr>
        <w:t xml:space="preserve">Strategic Acquisitions &amp; Partnerships. </w:t>
      </w:r>
      <w:r>
        <w:rPr>
          <w:rFonts w:ascii="Arial" w:cs="Arial" w:eastAsia="Arial" w:hAnsi="Arial"/>
          <w:sz w:val="18"/>
          <w:szCs w:val="18"/>
          <w:color w:val="auto"/>
        </w:rPr>
        <w:t>In addition to driving organic growth, our strategy includes acquiring businesses, technologies or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complementary to our current product offerings. Our acquisition strategy is to add to our current solutions by expanding capabilities, such as expanded induction heating frequency or refrigeration temperature range, and to expand our geographic presence. We also will consider new technologies that replicate the highly engineered, high quality and differentiated solutions of our current product portfolio for test and process solutions. Our focus is on expanding our electronic test capabilities, widening our thermal test capabilities in areas such as environmental test, and building our processing technologies offerings with expanded imaging and heating capabilities. In 2022, we focused on the integration of the acquisitions that occurred in the fourth quarter of 2021. We continue to assess target companies to drive further inorganic growth in support of our 5-year plan.</w:t>
      </w:r>
    </w:p>
    <w:p>
      <w:pPr>
        <w:spacing w:after="0" w:line="192" w:lineRule="exact"/>
        <w:rPr>
          <w:sz w:val="20"/>
          <w:szCs w:val="20"/>
          <w:color w:val="auto"/>
        </w:rPr>
      </w:pPr>
    </w:p>
    <w:p>
      <w:pPr>
        <w:ind w:left="680" w:right="200"/>
        <w:spacing w:after="0" w:line="296" w:lineRule="auto"/>
        <w:rPr>
          <w:sz w:val="20"/>
          <w:szCs w:val="20"/>
          <w:color w:val="auto"/>
        </w:rPr>
      </w:pPr>
      <w:r>
        <w:rPr>
          <w:rFonts w:ascii="Arial" w:cs="Arial" w:eastAsia="Arial" w:hAnsi="Arial"/>
          <w:sz w:val="16"/>
          <w:szCs w:val="16"/>
          <w:i w:val="1"/>
          <w:iCs w:val="1"/>
          <w:color w:val="auto"/>
        </w:rPr>
        <w:t>Talent and Culture</w:t>
      </w:r>
      <w:r>
        <w:rPr>
          <w:rFonts w:ascii="Arial" w:cs="Arial" w:eastAsia="Arial" w:hAnsi="Arial"/>
          <w:sz w:val="16"/>
          <w:szCs w:val="16"/>
          <w:color w:val="auto"/>
        </w:rPr>
        <w:t>. We believe ensuring the right people are in the right roles and are empowered to deliver success is crucial to the achievement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core strategies. In addition, we have and will continue to create a culture and environment of openness, one that is results-oriented and drives accountability across the organization. Finally, we intend to foster diversity, equity and inclusion and provide opportunities for career development so as to maximize employee engagement, all of which is necessary to achieving our corporate vision. In 2022, we added a new HR leader at the corporate level to help drive these initiatives and advance the cultural transformation that is underway.</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ind w:left="680" w:right="340"/>
        <w:spacing w:after="0" w:line="272" w:lineRule="auto"/>
        <w:rPr>
          <w:sz w:val="20"/>
          <w:szCs w:val="20"/>
          <w:color w:val="auto"/>
        </w:rPr>
      </w:pPr>
      <w:r>
        <w:rPr>
          <w:rFonts w:ascii="Arial" w:cs="Arial" w:eastAsia="Arial" w:hAnsi="Arial"/>
          <w:sz w:val="17"/>
          <w:szCs w:val="17"/>
          <w:color w:val="auto"/>
        </w:rPr>
        <w:t>In line with our 5-Point Strategy, a key element of our growth is acquisitions. During 2021, we completed three acquisitions, Z-Sciences Corp. (“Z-Sciences”) (now North Sciences) on October 6, 2021, Videology Imaging Solutions Inc. and Videology Imaging Solutions (collectively, “Videology”) on October 28, 2021 and Acculogic Inc. and its affiliates (“Acculogic”) on December 21, 2021. These acquisitions expanded our technology offerings, diversified our markets and customers and expanded our presence into Europe. North Sciences is included in our Environmental Technologies segment, Videology is included in our Process Technologies segment and Acculogic is included in our Electronic Test segment. These acquisitions are discussed further in Note 3 to our consolidated financial statements in this Report. Their results have been included in our consolidated results as of their respective acquisition dates.</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MARKETS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jc w:val="both"/>
        <w:ind w:left="680" w:right="340"/>
        <w:spacing w:after="0" w:line="286" w:lineRule="auto"/>
        <w:rPr>
          <w:sz w:val="20"/>
          <w:szCs w:val="20"/>
          <w:color w:val="auto"/>
        </w:rPr>
      </w:pPr>
      <w:r>
        <w:rPr>
          <w:rFonts w:ascii="Arial" w:cs="Arial" w:eastAsia="Arial" w:hAnsi="Arial"/>
          <w:sz w:val="17"/>
          <w:szCs w:val="17"/>
          <w:color w:val="auto"/>
        </w:rPr>
        <w:t>We are focused on specific target markets which include automotive, defense/aerospace, industrial, life sciences, security and semi. Our largest market is semi. Products and equipment sold into semi are generally delineated as being part of either “front-end” or “back-end.” The roots of inTEST’s engineered product history are in the back-end of semi in integrated circuit (“IC”) testing.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in 000s)</w:t>
            </w:r>
          </w:p>
        </w:tc>
        <w:tc>
          <w:tcPr>
            <w:tcW w:w="3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Years Ended</w:t>
            </w:r>
          </w:p>
        </w:tc>
        <w:tc>
          <w:tcPr>
            <w:tcW w:w="6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12/31/2022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12/31/2021</w:t>
            </w:r>
          </w:p>
        </w:tc>
        <w:tc>
          <w:tcPr>
            <w:tcW w:w="6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Semi</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ind w:right="630"/>
              <w:spacing w:after="0"/>
              <w:rPr>
                <w:sz w:val="20"/>
                <w:szCs w:val="20"/>
                <w:color w:val="auto"/>
              </w:rPr>
            </w:pPr>
            <w:r>
              <w:rPr>
                <w:rFonts w:ascii="Arial" w:cs="Arial" w:eastAsia="Arial" w:hAnsi="Arial"/>
                <w:sz w:val="18"/>
                <w:szCs w:val="18"/>
                <w:color w:val="auto"/>
              </w:rPr>
              <w:t>68,422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58.6%</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70"/>
              <w:spacing w:after="0"/>
              <w:rPr>
                <w:sz w:val="20"/>
                <w:szCs w:val="20"/>
                <w:color w:val="auto"/>
              </w:rPr>
            </w:pPr>
            <w:r>
              <w:rPr>
                <w:rFonts w:ascii="Arial" w:cs="Arial" w:eastAsia="Arial" w:hAnsi="Arial"/>
                <w:sz w:val="18"/>
                <w:szCs w:val="18"/>
                <w:color w:val="auto"/>
              </w:rPr>
              <w:t>54,937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64.7%</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13,485</w:t>
            </w:r>
          </w:p>
        </w:tc>
        <w:tc>
          <w:tcPr>
            <w:tcW w:w="3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10,038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7,314</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2,724</w:t>
            </w: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Automotive/EV</w:t>
            </w:r>
          </w:p>
        </w:tc>
        <w:tc>
          <w:tcPr>
            <w:tcW w:w="320" w:type="dxa"/>
            <w:vAlign w:val="bottom"/>
          </w:tcPr>
          <w:p>
            <w:pPr>
              <w:spacing w:after="0"/>
              <w:rPr>
                <w:sz w:val="18"/>
                <w:szCs w:val="18"/>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color w:val="auto"/>
              </w:rPr>
              <w:t>10,776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ind w:right="670"/>
              <w:spacing w:after="0"/>
              <w:rPr>
                <w:sz w:val="20"/>
                <w:szCs w:val="20"/>
                <w:color w:val="auto"/>
              </w:rPr>
            </w:pPr>
            <w:r>
              <w:rPr>
                <w:rFonts w:ascii="Arial" w:cs="Arial" w:eastAsia="Arial" w:hAnsi="Arial"/>
                <w:sz w:val="18"/>
                <w:szCs w:val="18"/>
                <w:color w:val="auto"/>
              </w:rPr>
              <w:t>6,205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4,571</w:t>
            </w:r>
          </w:p>
        </w:tc>
        <w:tc>
          <w:tcPr>
            <w:tcW w:w="3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Life Sciences</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4,589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2,353</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2,236</w:t>
            </w: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Defense/Aerospace</w:t>
            </w:r>
          </w:p>
        </w:tc>
        <w:tc>
          <w:tcPr>
            <w:tcW w:w="320" w:type="dxa"/>
            <w:vAlign w:val="bottom"/>
          </w:tcPr>
          <w:p>
            <w:pPr>
              <w:spacing w:after="0"/>
              <w:rPr>
                <w:sz w:val="18"/>
                <w:szCs w:val="18"/>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color w:val="auto"/>
              </w:rPr>
              <w:t>7,006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ind w:right="670"/>
              <w:spacing w:after="0"/>
              <w:rPr>
                <w:sz w:val="20"/>
                <w:szCs w:val="20"/>
                <w:color w:val="auto"/>
              </w:rPr>
            </w:pPr>
            <w:r>
              <w:rPr>
                <w:rFonts w:ascii="Arial" w:cs="Arial" w:eastAsia="Arial" w:hAnsi="Arial"/>
                <w:sz w:val="18"/>
                <w:szCs w:val="18"/>
                <w:color w:val="auto"/>
              </w:rPr>
              <w:t>5,043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1,963</w:t>
            </w:r>
          </w:p>
        </w:tc>
        <w:tc>
          <w:tcPr>
            <w:tcW w:w="3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Security</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3,241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699</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2,542</w:t>
            </w: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color w:val="auto"/>
              </w:rPr>
              <w:t>12,756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ind w:right="670"/>
              <w:spacing w:after="0"/>
              <w:rPr>
                <w:sz w:val="20"/>
                <w:szCs w:val="20"/>
                <w:color w:val="auto"/>
              </w:rPr>
            </w:pPr>
            <w:r>
              <w:rPr>
                <w:rFonts w:ascii="Arial" w:cs="Arial" w:eastAsia="Arial" w:hAnsi="Arial"/>
                <w:sz w:val="18"/>
                <w:szCs w:val="18"/>
                <w:color w:val="auto"/>
              </w:rPr>
              <w:t>8,327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4,429</w:t>
            </w:r>
          </w:p>
        </w:tc>
        <w:tc>
          <w:tcPr>
            <w:tcW w:w="3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0" w:type="dxa"/>
            <w:vAlign w:val="bottom"/>
          </w:tcPr>
          <w:p>
            <w:pPr>
              <w:spacing w:after="0"/>
              <w:rPr>
                <w:sz w:val="21"/>
                <w:szCs w:val="21"/>
                <w:color w:val="auto"/>
              </w:rPr>
            </w:pPr>
          </w:p>
        </w:tc>
        <w:tc>
          <w:tcPr>
            <w:tcW w:w="246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116,828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84,878</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31,950</w:t>
            </w:r>
          </w:p>
        </w:tc>
        <w:tc>
          <w:tcPr>
            <w:tcW w:w="3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413"/>
        </w:trPr>
        <w:tc>
          <w:tcPr>
            <w:tcW w:w="660" w:type="dxa"/>
            <w:vAlign w:val="bottom"/>
          </w:tcPr>
          <w:p>
            <w:pPr>
              <w:spacing w:after="0"/>
              <w:rPr>
                <w:sz w:val="24"/>
                <w:szCs w:val="24"/>
                <w:color w:val="auto"/>
              </w:rPr>
            </w:pPr>
          </w:p>
        </w:tc>
        <w:tc>
          <w:tcPr>
            <w:tcW w:w="24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584" w:right="259" w:bottom="1440" w:gutter="0" w:footer="0" w:header="0"/>
        </w:sectPr>
      </w:pPr>
    </w:p>
    <w:bookmarkStart w:id="6" w:name="page7"/>
    <w:bookmarkEnd w:id="6"/>
    <w:p>
      <w:pPr>
        <w:ind w:right="260"/>
        <w:spacing w:after="0" w:line="296" w:lineRule="auto"/>
        <w:rPr>
          <w:sz w:val="20"/>
          <w:szCs w:val="20"/>
          <w:color w:val="auto"/>
        </w:rPr>
      </w:pPr>
      <w:r>
        <w:rPr>
          <w:rFonts w:ascii="Arial" w:cs="Arial" w:eastAsia="Arial" w:hAnsi="Arial"/>
          <w:sz w:val="16"/>
          <w:szCs w:val="16"/>
          <w:color w:val="auto"/>
        </w:rPr>
        <w:t>During 2022, our revenue from semi grew $13.5 million or 25%, primarily reflecting growth in demand for our front-end solutions used in the wafer manufacturing process. Revenue from sales of back-end product offerings also increased year over year as we continued to expand our product offerings and customer base. The increase in back-end semi reflects the impact of Acculogic as well as the success of new product offerings and refocused sales efforts by our legacy businesses. Growth in revenue to the automotive, defense/aerospace, industrial, life sciences and security markets were all reflective of the impact of the acquisitions we completed in the fourth quarter of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 Market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semi market includes both the broader semiconductor manufacturing industry as well as the more specialized wafer manufacturing (front-end) and semiconductor ATE (back-end) sectors within the broader semiconductor market. With our induction heating products, we serve the front-end of the semiconductor manufacturing process including silicon carbide ("SiC") crystal growth and epitaxial reactors. A variety of our electronic test and environmental technologies segments’ products are used in the back-end of the semiconductor manufacturing process, which includes the testing of ICs.</w:t>
      </w:r>
    </w:p>
    <w:p>
      <w:pPr>
        <w:spacing w:after="0" w:line="188"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i w:val="1"/>
          <w:iCs w:val="1"/>
          <w:color w:val="auto"/>
        </w:rPr>
        <w:t>IC Testing</w:t>
      </w:r>
      <w:r>
        <w:rPr>
          <w:rFonts w:ascii="Arial" w:cs="Arial" w:eastAsia="Arial" w:hAnsi="Arial"/>
          <w:sz w:val="16"/>
          <w:szCs w:val="16"/>
          <w:color w:val="auto"/>
        </w:rPr>
        <w:t>. Semiconductor manufacturers typically produce ICs in multiples of several hundred or more on a silicon wafer that is later separated</w:t>
      </w:r>
      <w:r>
        <w:rPr>
          <w:rFonts w:ascii="Arial" w:cs="Arial" w:eastAsia="Arial" w:hAnsi="Arial"/>
          <w:sz w:val="16"/>
          <w:szCs w:val="16"/>
          <w:i w:val="1"/>
          <w:iCs w:val="1"/>
          <w:color w:val="auto"/>
        </w:rPr>
        <w:t xml:space="preserve"> </w:t>
      </w:r>
      <w:r>
        <w:rPr>
          <w:rFonts w:ascii="Arial" w:cs="Arial" w:eastAsia="Arial" w:hAnsi="Arial"/>
          <w:sz w:val="16"/>
          <w:szCs w:val="16"/>
          <w:color w:val="auto"/>
        </w:rPr>
        <w:t>or "diced" into individual ICs. Extended leads are then attached to the individual ICs for later connection to other electrical components. In most cases, the ICs are then encapsulated in a plastic, ceramic or other protective housing. These process steps are called "packaging."</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Wafers are tested before being diced and packaged to ensure that only properly functioning ICs are packaged. This testing step has several names, including "front-end test," "wafer test," "wafer probe" or "wafer sort." In front-end test, an electronic handling device known as a wafer prober automatically positions the wafer under a probe card that is electronically connected to a "test head," which connects electrically to a test system. During front-end testing, there is a growing trend of thermally conditioning the wafer during test. Once the good ICs have been identified, they are packaged.</w:t>
      </w:r>
    </w:p>
    <w:p>
      <w:pPr>
        <w:spacing w:after="0" w:line="18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packaged ICs also require testing, called "back-end test" or "final test," to determine if they meet design and performance specifications. Packaged ICs are tested after loading into another type of electronic handling device called a "package handler" or "handler," which then transfers the packaged ICs into a test socket that is attached to the test head. These handlers may be temperature controlled for testing.</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Testers range in price from approximately $100,000 to over $2.0 million each, depending primarily on the complexity of the IC to be tested. Probers and handlers range in price from approximately $50,000 to $500,000 each. A typical test floor of a large semiconductor manufacturer may have 100 test heads and 100 probers or 250 handlers supplied by various vendors for use at any one time. While larger global semiconductor manufacturers typically purchase ATE to test the ICs they manufacture, there are a growing number of semiconductor manufacturers who outsource IC testing to third-party foundries, test and assembly providers.</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w:t>
      </w:r>
    </w:p>
    <w:p>
      <w:pPr>
        <w:spacing w:after="0" w:line="1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i w:val="1"/>
          <w:iCs w:val="1"/>
          <w:color w:val="auto"/>
        </w:rPr>
        <w:t>Market Trends</w:t>
      </w:r>
      <w:r>
        <w:rPr>
          <w:rFonts w:ascii="Arial" w:cs="Arial" w:eastAsia="Arial" w:hAnsi="Arial"/>
          <w:sz w:val="16"/>
          <w:szCs w:val="16"/>
          <w:color w:val="auto"/>
        </w:rPr>
        <w:t>. We believe the semi market, a highly cyclical industry historically, is currently undergoing strong growth as a result of billions of</w:t>
      </w:r>
      <w:r>
        <w:rPr>
          <w:rFonts w:ascii="Arial" w:cs="Arial" w:eastAsia="Arial" w:hAnsi="Arial"/>
          <w:sz w:val="16"/>
          <w:szCs w:val="16"/>
          <w:i w:val="1"/>
          <w:iCs w:val="1"/>
          <w:color w:val="auto"/>
        </w:rPr>
        <w:t xml:space="preserve"> </w:t>
      </w:r>
      <w:r>
        <w:rPr>
          <w:rFonts w:ascii="Arial" w:cs="Arial" w:eastAsia="Arial" w:hAnsi="Arial"/>
          <w:sz w:val="16"/>
          <w:szCs w:val="16"/>
          <w:color w:val="auto"/>
        </w:rPr>
        <w:t>dollars of investments in new fabrication (“fab”) facilities around the world. These investments are being driven by the continued growth of the use of electronics, the need for powering an ever-growing number of devices and the continued economic development of less wealthy nations. We believe the COVID-19 pandemic and geopolitical tensions have made the high concentration of semiconductor manufacturing in China and Taiwan very apparent to more wealthy nations and has spurred the investment in expansion of this industry in areas outside of these regions.</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that semiconductor manufacturers remain under pressure to maximize production yields and reduce testing costs. At the same time, the growing complexity of ICs has increased the difficulty of maximizing test yields. In order to address these market trends, we believe semiconductor manufacturers strive for more effective utilization of ATE, smaller test areas and increased wafer level testing which requires our differentiated solutions that include test head manipulators, test head docking stations and test interfaces. As technology advances and ICs become increasingly more complex, we believe the need for increased capabilities in the test process should drive greater demand for our equipment. We expect that more front-end testing is going to be required in order to ensure maximum yield from the massive capital investments being made in fab expansion.</w:t>
      </w:r>
    </w:p>
    <w:p>
      <w:pPr>
        <w:spacing w:after="0" w:line="19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t>Other Markets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provide a variety of solutions to our automotive, defense/aerospace, industrial, life sciences, and security markets. We believe a number of drivers are creating more opportunity for our highly-engineered solutions in these markets.</w:t>
      </w:r>
    </w:p>
    <w:p>
      <w:pPr>
        <w:spacing w:after="0" w:line="17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the automotive market, we provide solutions that help in the quality and productivity of electric vehicle (“EV”) manufacturing. Our solutions include induction heating solutions for motor manufacturing and automated test equipment for battery cells. We believe there is a strong global growth trend in EVs and that our differentiated solutions can be applied with more customers in more geographic regions.</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defense/aerospace industry, we provide ATE to prime and subcontract manufacturers to ensure quality control is maintained while also providing quicker, more accurate test times of electronic circuit boards.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life sciences industry, we provide image capture products, heating systems for medical device manufacturing and equipment for critical applications within the medical cold chain for pharmaceuticals.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security industry, our image capture and data management technologies are used in a broad variety of applications.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industrial market is the broadest, most diverse area we serve with a majority of our products serving a variety of applications. Applications for our induction heating products include annealing, bonding, brazing, curing, forging, heat treating, melting and shrink-fitting. Applications for our thermal test and process products include pressure-sensor testing and cold-trap cooling for industrial processes. We believe the trend toward the use of green energy, automation, increased productivity and expanding manufacturing technology present opportunities for us to help our customers solve their complex challenges.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SOLUTIONS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focus our development efforts on designing and producing high quality products that provide superior performance and cost-effectiveness. We seek to address each manufacturer's individual needs through innovative and customized designs, use of the best materials available, quality manufacturing practices and personalized service. We design solutions to overcome the evolving challenges facing the semi market and other markets that we serve, which we believe provide the following advantages: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Temperature-Controlled Testing</w:t>
      </w:r>
      <w:r>
        <w:rPr>
          <w:rFonts w:ascii="Arial" w:cs="Arial" w:eastAsia="Arial" w:hAnsi="Arial"/>
          <w:sz w:val="17"/>
          <w:szCs w:val="17"/>
          <w:color w:val="auto"/>
        </w:rPr>
        <w:t>. Our ThermoStream(R) products are used by manufacturers in a number of markets to stress test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semiconductor and electronic components, printed circuit boards and sub-assemblies. Factors motivating manufacturers to use temperature testing include design characterization, failure analysis and quality control, as well as determining performance under extreme operating temperatures, all of which contribute to manufacturing cost savings. Our thermal platforms and temperature chambers, sold under our Sigma Systems product line, can accommodate large thermal masses and are found in both laboratory and production environments. Thermonics' products provide a range of precision temperature forcing systems and have been melded into Temptronic's ATS ThermoStream product line. The Thermonics brand is now used to market a family of process chillers for test and industrial applications.</w:t>
      </w:r>
    </w:p>
    <w:p>
      <w:pPr>
        <w:spacing w:after="0" w:line="17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 xml:space="preserve">Ultra-Cold Storage Solutions. </w:t>
      </w:r>
      <w:r>
        <w:rPr>
          <w:rFonts w:ascii="Arial" w:cs="Arial" w:eastAsia="Arial" w:hAnsi="Arial"/>
          <w:sz w:val="18"/>
          <w:szCs w:val="18"/>
          <w:color w:val="auto"/>
        </w:rPr>
        <w:t>With our acquisition of Z-Sciences (now North Sciences) we have expanded our product offerings to include high-performance biomedical freezer, refrigerators and mobile storage solutions that meet versatile applications, including ultra-cold storage solutions for biological sample banks, blood safety, vaccine safety, medical supplies and reagent safety.</w:t>
      </w:r>
    </w:p>
    <w:p>
      <w:pPr>
        <w:spacing w:after="0" w:line="18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i w:val="1"/>
          <w:iCs w:val="1"/>
          <w:color w:val="auto"/>
        </w:rPr>
        <w:t xml:space="preserve">Induction Heating. </w:t>
      </w:r>
      <w:r>
        <w:rPr>
          <w:rFonts w:ascii="Arial" w:cs="Arial" w:eastAsia="Arial" w:hAnsi="Arial"/>
          <w:sz w:val="16"/>
          <w:szCs w:val="16"/>
          <w:color w:val="auto"/>
        </w:rPr>
        <w:t>Our induction heating products are used in process applications where precision-controlled heating is needed. Customers use</w:t>
      </w:r>
      <w:r>
        <w:rPr>
          <w:rFonts w:ascii="Arial" w:cs="Arial" w:eastAsia="Arial" w:hAnsi="Arial"/>
          <w:sz w:val="16"/>
          <w:szCs w:val="16"/>
          <w:i w:val="1"/>
          <w:iCs w:val="1"/>
          <w:color w:val="auto"/>
        </w:rPr>
        <w:t xml:space="preserve"> </w:t>
      </w:r>
      <w:r>
        <w:rPr>
          <w:rFonts w:ascii="Arial" w:cs="Arial" w:eastAsia="Arial" w:hAnsi="Arial"/>
          <w:sz w:val="16"/>
          <w:szCs w:val="16"/>
          <w:color w:val="auto"/>
        </w:rPr>
        <w:t>our induction heating products in conjunction with other technologies in various manufacturing environments to improve production efficiencies and reduce or eliminate greenhouse gas emissions. Applications for our EKOHEAT(R) or EASYHEAT™ induction heating products include annealing, bonding, brazing, curing, forging, heat treating, melting, shrink-fitting, crystal growing, semi-wafer heating and material testing.</w:t>
      </w:r>
    </w:p>
    <w:p>
      <w:pPr>
        <w:spacing w:after="0" w:line="15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 xml:space="preserve">Digital Streaming and Image Capturing Solutions. </w:t>
      </w:r>
      <w:r>
        <w:rPr>
          <w:rFonts w:ascii="Arial" w:cs="Arial" w:eastAsia="Arial" w:hAnsi="Arial"/>
          <w:sz w:val="18"/>
          <w:szCs w:val="18"/>
          <w:color w:val="auto"/>
        </w:rPr>
        <w:t>Our acquisition of Videology added industrial-grade circuit board mounted digital imaging</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Zoom Block cameras and complete image capture systems. Videology also offers OEMs imaging solutions designed to the customers’ specifications and that can interface with the customers’ software.</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Scalable, Universal, High Performance Interface Technology</w:t>
      </w:r>
      <w:r>
        <w:rPr>
          <w:rFonts w:ascii="Arial" w:cs="Arial" w:eastAsia="Arial" w:hAnsi="Arial"/>
          <w:sz w:val="17"/>
          <w:szCs w:val="17"/>
          <w:color w:val="auto"/>
        </w:rPr>
        <w:t>. Our universal test head manipulators provide a high degree of positioning</w:t>
      </w:r>
      <w:r>
        <w:rPr>
          <w:rFonts w:ascii="Arial" w:cs="Arial" w:eastAsia="Arial" w:hAnsi="Arial"/>
          <w:sz w:val="17"/>
          <w:szCs w:val="17"/>
          <w:i w:val="1"/>
          <w:iCs w:val="1"/>
          <w:color w:val="auto"/>
        </w:rPr>
        <w:t xml:space="preserve"> </w:t>
      </w:r>
      <w:r>
        <w:rPr>
          <w:rFonts w:ascii="Arial" w:cs="Arial" w:eastAsia="Arial" w:hAnsi="Arial"/>
          <w:sz w:val="17"/>
          <w:szCs w:val="17"/>
          <w:color w:val="auto"/>
        </w:rPr>
        <w:t>flexibility with a minimum amount of effort. As a result, our products can be used in virtually any test setting. Our manipulator products are designed to accommodate the increased size of test heads. Our docking hardware products offer precise control over the connection to test sockets, probing assemblies and interface boards, reducing downtime and minimizing costly damage to fragile components. Our newest manipulator and docking hardware designs offer automated capabilities that allow for reduced downtime and increased productivity through predictable and repeatable production setup with reduced risk of operator error. Our tester interface products optimize the integrity of the signals transmitted between the test head and the device under test by being virtually transparent to the test signals, which results in increased accuracy of the test data and may thus enable improved test yields.</w:t>
      </w:r>
    </w:p>
    <w:p>
      <w:pPr>
        <w:spacing w:after="0" w:line="17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4" w:right="339" w:bottom="1440" w:gutter="0" w:footer="0" w:header="0"/>
        </w:sectPr>
      </w:pPr>
    </w:p>
    <w:bookmarkStart w:id="8" w:name="page9"/>
    <w:bookmarkEnd w:id="8"/>
    <w:p>
      <w:pPr>
        <w:ind w:right="100"/>
        <w:spacing w:after="0" w:line="259" w:lineRule="auto"/>
        <w:rPr>
          <w:sz w:val="20"/>
          <w:szCs w:val="20"/>
          <w:color w:val="auto"/>
        </w:rPr>
      </w:pPr>
      <w:r>
        <w:rPr>
          <w:rFonts w:ascii="Arial" w:cs="Arial" w:eastAsia="Arial" w:hAnsi="Arial"/>
          <w:sz w:val="18"/>
          <w:szCs w:val="18"/>
          <w:i w:val="1"/>
          <w:iCs w:val="1"/>
          <w:color w:val="auto"/>
        </w:rPr>
        <w:t>Compatibility and Integration</w:t>
      </w:r>
      <w:r>
        <w:rPr>
          <w:rFonts w:ascii="Arial" w:cs="Arial" w:eastAsia="Arial" w:hAnsi="Arial"/>
          <w:sz w:val="18"/>
          <w:szCs w:val="18"/>
          <w:color w:val="auto"/>
        </w:rPr>
        <w:t>. A hallmark of our products has been, and continues to be, compatibility with a wide variety of ATE. Our</w:t>
      </w:r>
      <w:r>
        <w:rPr>
          <w:rFonts w:ascii="Arial" w:cs="Arial" w:eastAsia="Arial" w:hAnsi="Arial"/>
          <w:sz w:val="18"/>
          <w:szCs w:val="18"/>
          <w:i w:val="1"/>
          <w:iCs w:val="1"/>
          <w:color w:val="auto"/>
        </w:rPr>
        <w:t xml:space="preserve"> </w:t>
      </w:r>
      <w:r>
        <w:rPr>
          <w:rFonts w:ascii="Arial" w:cs="Arial" w:eastAsia="Arial" w:hAnsi="Arial"/>
          <w:sz w:val="18"/>
          <w:szCs w:val="18"/>
          <w:color w:val="auto"/>
        </w:rPr>
        <w:t>manipulator and docking hardware 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Robotics-Based Electronic Production Test Equipment. </w:t>
      </w:r>
      <w:r>
        <w:rPr>
          <w:rFonts w:ascii="Arial" w:cs="Arial" w:eastAsia="Arial" w:hAnsi="Arial"/>
          <w:sz w:val="18"/>
          <w:szCs w:val="18"/>
          <w:color w:val="auto"/>
        </w:rPr>
        <w:t>Our acquisition of Acculogic adds to our electronic test platform offerings beyond those</w:t>
      </w:r>
      <w:r>
        <w:rPr>
          <w:rFonts w:ascii="Arial" w:cs="Arial" w:eastAsia="Arial" w:hAnsi="Arial"/>
          <w:sz w:val="18"/>
          <w:szCs w:val="18"/>
          <w:i w:val="1"/>
          <w:iCs w:val="1"/>
          <w:color w:val="auto"/>
        </w:rPr>
        <w:t xml:space="preserve"> </w:t>
      </w:r>
      <w:r>
        <w:rPr>
          <w:rFonts w:ascii="Arial" w:cs="Arial" w:eastAsia="Arial" w:hAnsi="Arial"/>
          <w:sz w:val="18"/>
          <w:szCs w:val="18"/>
          <w:color w:val="auto"/>
        </w:rPr>
        <w:t>which exclusively serve semi. Acculogic designs and manufactures robotics-based electronic production test equipment and provides application support services which are sold to electronic manufacturers including OEM and contract electronic manufacturers as well as battery manufacturers.</w:t>
      </w:r>
    </w:p>
    <w:p>
      <w:pPr>
        <w:spacing w:after="0" w:line="18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i w:val="1"/>
          <w:iCs w:val="1"/>
          <w:color w:val="auto"/>
        </w:rPr>
        <w:t>Worldwide Customer Service and Support</w:t>
      </w:r>
      <w:r>
        <w:rPr>
          <w:rFonts w:ascii="Arial" w:cs="Arial" w:eastAsia="Arial" w:hAnsi="Arial"/>
          <w:sz w:val="18"/>
          <w:szCs w:val="18"/>
          <w:color w:val="auto"/>
        </w:rPr>
        <w:t>. We have long recognized the need to maintain a physical presence near our customers' facilities.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we had manufacturing facilities in the U.S. in Massachusetts, New Jersey, and New York as well as outside the U.S. in Canada, Germany and the Netherlands. We provided service to our customers from sales and service personnel based in the U.S., Europe and Asia.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SEGMENTS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noted above, during the year ended December 31, 2021, we managed our business as two operating segments, Thermal and EMS. Effective January 1, 2022, we reorganized our operating segments. Accordingly, for 2022, we have three operating segments which are also our reportable segments and reporting units: Electronic Test, Environmental Technologies and Process Technologies. Prior period information has been reclassified to be comparable to the current period’s presentation.</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Electronic Test segment consists of (i) inTEST EMS which has operations in New Jersey and California, and (ii) Acculogic, which has operations in Canada, California and Germany. Semiconductor manufacturers use our inTEST EMS solutions in back-end testing where our mechanical and electrical products serve production testing of wafers and specialized packaged ICs. These ICs include microprocessors, digital signal processing chips, mixed signal devices, MEMS (Micro-Electro-Mechanical Systems), application specific ICs and specialized memory ICs, and are used primarily in the automotive, consumer electronics, industrial, and mobile communication markets. Our products are a combination of standard designs based on industry requirements and those designed specifically to meet a customer's particular combination of ATE. With the acquisition of Acculogic, our Electronic Test segment now also includes robotics-based electronic test equipment and application support services used primarily in defense/aerospace, automotive, battery, life sciences and electronic manufacturing services industries.</w:t>
      </w:r>
    </w:p>
    <w:p>
      <w:pPr>
        <w:spacing w:after="0" w:line="16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Our Environmental Technologies segment consists of inTEST Thermal Solutions (“iTS”), which manufactures and sells products under the Temptronic, Sigma, Thermonics and North Sciences brand names and has operations in Massachusetts, Germany and Singapore. Customers use the thermal solutions produced by iTS for product development, characterization and production test. This segment also offers ultra-cold storage solutions for the life sciences cold chain market. Our Environmental Technologies segment provides these solutions across an array of markets including automotive, defense/aerospace, industrial, life sciences and semiconductor.</w:t>
      </w:r>
    </w:p>
    <w:p>
      <w:pPr>
        <w:spacing w:after="0" w:line="17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Process Technologies segment consists of (i) Ambrell which has operations in New York, the Netherlands and the U.K and (ii) Videology, which has operations in Massachusetts and the Netherlands. Ambrell provides customers with induction heating solutions for a wide variety of manufacturing processes. Videology is a designer, developer and manufacturer of digital streaming and image capturing solutions. Our Process Technologies segment provides these solutions across an array of markets including automotive, defense/aerospace, industrial, life sciences, security and semiconductor.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Electronic Test Products</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Manipulator Products. </w:t>
      </w:r>
      <w:r>
        <w:rPr>
          <w:rFonts w:ascii="Arial" w:cs="Arial" w:eastAsia="Arial" w:hAnsi="Arial"/>
          <w:sz w:val="18"/>
          <w:szCs w:val="18"/>
          <w:color w:val="auto"/>
        </w:rPr>
        <w:t>We offer three lines of manipulator products: the in2(R), the Cobal and the LS Series. These free-standing universal</w:t>
      </w:r>
      <w:r>
        <w:rPr>
          <w:rFonts w:ascii="Arial" w:cs="Arial" w:eastAsia="Arial" w:hAnsi="Arial"/>
          <w:sz w:val="18"/>
          <w:szCs w:val="18"/>
          <w:i w:val="1"/>
          <w:iCs w:val="1"/>
          <w:color w:val="auto"/>
        </w:rPr>
        <w:t xml:space="preserve"> </w:t>
      </w:r>
      <w:r>
        <w:rPr>
          <w:rFonts w:ascii="Arial" w:cs="Arial" w:eastAsia="Arial" w:hAnsi="Arial"/>
          <w:sz w:val="18"/>
          <w:szCs w:val="18"/>
          <w:color w:val="auto"/>
        </w:rPr>
        <w:t>manipulators can hold a variety of test heads and enable an operator to reposition a test head for alternate use with any one of several probers or handlers on a test floor.</w:t>
      </w:r>
    </w:p>
    <w:p>
      <w:pPr>
        <w:spacing w:after="0" w:line="18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84" w:right="359" w:bottom="1440" w:gutter="0" w:footer="0" w:header="0"/>
        </w:sectPr>
      </w:pPr>
    </w:p>
    <w:bookmarkStart w:id="9" w:name="page10"/>
    <w:bookmarkEnd w:id="9"/>
    <w:p>
      <w:pPr>
        <w:ind w:right="40"/>
        <w:spacing w:after="0" w:line="270" w:lineRule="auto"/>
        <w:rPr>
          <w:sz w:val="20"/>
          <w:szCs w:val="20"/>
          <w:color w:val="auto"/>
        </w:rPr>
      </w:pPr>
      <w:r>
        <w:rPr>
          <w:rFonts w:ascii="Arial" w:cs="Arial" w:eastAsia="Arial" w:hAnsi="Arial"/>
          <w:sz w:val="17"/>
          <w:szCs w:val="17"/>
          <w:color w:val="auto"/>
        </w:rPr>
        <w:t>Our manipulator products incorporate a balanced floating-head design. This design permits a test head weighing up to 1,760 pounds to be held in an effectively weightless state, so it can be moved manually or with optional powered assistance, up or down, right or left, forward or backward and rotated around each axis (known as six degrees of motion freedom) by an operator using a modest amount of force or with a computer controlled pendant. The same design features enable the operator to dock the test head without causing inadvertent damage to the fragile electrical contacts. As a result, after testing a particular production lot of ICs, the operator can quickly and easily disconnect a test head that is held in an in2(R) or Cobal Series manipulator and equipped with our docking hardware and dock it to another electronic device handler for testing either a subsequent lot of the same packaged ICs or to test different ICs. With the LS Series manipulators, the undocking, movement of the test head and redocking can be done automatically through the computer controlled pendant. Our manipulator products generally range in price from approximately $12,000 to $85,000.</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Docking Hardware Products</w:t>
      </w:r>
      <w:r>
        <w:rPr>
          <w:rFonts w:ascii="Arial" w:cs="Arial" w:eastAsia="Arial" w:hAnsi="Arial"/>
          <w:sz w:val="16"/>
          <w:szCs w:val="16"/>
          <w:color w:val="auto"/>
        </w:rPr>
        <w:t>. We offer two lines of docking hardware products: fixed manual docking and IntelliDock pin and cup docking. Both</w:t>
      </w:r>
      <w:r>
        <w:rPr>
          <w:rFonts w:ascii="Arial" w:cs="Arial" w:eastAsia="Arial" w:hAnsi="Arial"/>
          <w:sz w:val="16"/>
          <w:szCs w:val="16"/>
          <w:i w:val="1"/>
          <w:iCs w:val="1"/>
          <w:color w:val="auto"/>
        </w:rPr>
        <w:t xml:space="preserve"> </w:t>
      </w:r>
      <w:r>
        <w:rPr>
          <w:rFonts w:ascii="Arial" w:cs="Arial" w:eastAsia="Arial" w:hAnsi="Arial"/>
          <w:sz w:val="16"/>
          <w:szCs w:val="16"/>
          <w:color w:val="auto"/>
        </w:rPr>
        <w:t>types protect the delicate interface contacts and ensure proper repeatable and precise alignment between the test head's interface board and the prober's probing assembly or the handler's test socket as they are brought together, or "docked." Fixed manual docking includes a mechanical cam mechanism to dock and lock the test head to the prober or handler. IntelliDock is an automated docking solution that provides operator feedback for each docking step via a touchscreen display, and when coupled with the LS Series manipulator, redeployment of the test head can be done automatically and accurately via the computer pendant. Both types of docking hardware products eliminate motion of the test head relative to the prober or handler once docked. This minimizes deterioration of the interface boards, test sockets and probing assemblies that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optimized floor support and reduced repairs and replacements of expensive ATE interface products.</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our docking hardware products offer our customers the ability to make various competing brands of test heads compatible with various brands of probers and handlers by only changing interface boards. This is called "plug-compatibility." Plug-compatibility enables increased flexibility and utilization of test heads, probers and handlers purchased from various ATE manufacturers. We believe that because we do not compete with ATE manufacturers in the sale of probers, handlers or testers, ATE manufacturers are willing to provide us with the information that is integral to the design of plug-compatible products. Our docking hardware products generally range in price from approximately $2,000 to $25,000.</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Interface Products</w:t>
      </w:r>
      <w:r>
        <w:rPr>
          <w:rFonts w:ascii="Arial" w:cs="Arial" w:eastAsia="Arial" w:hAnsi="Arial"/>
          <w:sz w:val="17"/>
          <w:szCs w:val="17"/>
          <w:color w:val="auto"/>
        </w:rPr>
        <w:t>. Our tester interface products provide the electrical connections between the tester and the wafer prober or IC handler to carry</w:t>
      </w:r>
      <w:r>
        <w:rPr>
          <w:rFonts w:ascii="Arial" w:cs="Arial" w:eastAsia="Arial" w:hAnsi="Arial"/>
          <w:sz w:val="17"/>
          <w:szCs w:val="17"/>
          <w:i w:val="1"/>
          <w:iCs w:val="1"/>
          <w:color w:val="auto"/>
        </w:rPr>
        <w:t xml:space="preserve"> </w:t>
      </w:r>
      <w:r>
        <w:rPr>
          <w:rFonts w:ascii="Arial" w:cs="Arial" w:eastAsia="Arial" w:hAnsi="Arial"/>
          <w:sz w:val="17"/>
          <w:szCs w:val="17"/>
          <w:color w:val="auto"/>
        </w:rPr>
        <w:t>the electrical signals between the tester and the probe card on the prober or the test socket on the handler. Our designs optimize the integrity of the transmitted signal.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 such as analog, digital, mixed signal and radio frequency. For example, our Centaur(R) modular interface is designed to provide flexibility and scalability through the use of replaceable signal modules which can be easily changed on the test floor as our customers' testing requirements change. In addition to the Centaur(R) modular interface, we also offer over 200 different types of tester interface models that we custom designed for our customers' specific applications. These tester interface products generally range in price from approximately $7,000 to $175,000.</w:t>
      </w:r>
    </w:p>
    <w:p>
      <w:pPr>
        <w:spacing w:after="0" w:line="18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Acculogic Scorpion Flying Probe Test Systems. </w:t>
      </w:r>
      <w:r>
        <w:rPr>
          <w:rFonts w:ascii="Arial" w:cs="Arial" w:eastAsia="Arial" w:hAnsi="Arial"/>
          <w:sz w:val="16"/>
          <w:szCs w:val="16"/>
          <w:color w:val="auto"/>
        </w:rPr>
        <w:t>Acculogic designs and manufactures robotics-based electronic test equipment and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support services for OEMs, contract electronic manufacturers and battery manufacturers. These systems are used to structurally test an electronic device. Structural testing is a confirmation that the device was manufactured properly. Acculogic’s Scorpion Flying Probe system can be quickly programmed to test almost any printed circuit board. This programming is quickly done with a digitized drawing of the device to be tested. Traditional in-circuit testing systems require a dedicated fixture for each board to be tested. Acculogic’s Flying Probe system can test a virtually unlimited number of boards without any hardware modifications. These systems generally sell for between $200,000 and $600,000.</w:t>
      </w:r>
    </w:p>
    <w:p>
      <w:pPr>
        <w:spacing w:after="0" w:line="16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Acculogic BRiZ Automated Test and Programming Services</w:t>
      </w:r>
      <w:r>
        <w:rPr>
          <w:rFonts w:ascii="Arial" w:cs="Arial" w:eastAsia="Arial" w:hAnsi="Arial"/>
          <w:sz w:val="16"/>
          <w:szCs w:val="16"/>
          <w:color w:val="auto"/>
        </w:rPr>
        <w:t>: BRiZ is an automated test platform that can consolidate any variety of circuit board</w:t>
      </w:r>
      <w:r>
        <w:rPr>
          <w:rFonts w:ascii="Arial" w:cs="Arial" w:eastAsia="Arial" w:hAnsi="Arial"/>
          <w:sz w:val="16"/>
          <w:szCs w:val="16"/>
          <w:i w:val="1"/>
          <w:iCs w:val="1"/>
          <w:color w:val="auto"/>
        </w:rPr>
        <w:t xml:space="preserve"> </w:t>
      </w:r>
      <w:r>
        <w:rPr>
          <w:rFonts w:ascii="Arial" w:cs="Arial" w:eastAsia="Arial" w:hAnsi="Arial"/>
          <w:sz w:val="16"/>
          <w:szCs w:val="16"/>
          <w:color w:val="auto"/>
        </w:rPr>
        <w:t>test and programming into a single, compact, low-cost test station. These platforms generally sell for between $50,000 and $250,000.</w:t>
      </w:r>
    </w:p>
    <w:p>
      <w:pPr>
        <w:spacing w:after="0" w:line="12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auto"/>
        </w:rPr>
        <w:t>Environmental Technologies Products</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ThermoStream(R) Products</w:t>
      </w:r>
      <w:r>
        <w:rPr>
          <w:rFonts w:ascii="Arial" w:cs="Arial" w:eastAsia="Arial" w:hAnsi="Arial"/>
          <w:sz w:val="16"/>
          <w:szCs w:val="16"/>
          <w:color w:val="auto"/>
        </w:rPr>
        <w:t>: Our ThermoStream(R) products are used in the semi market as a stand-alone temperature management tool, or in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electronic test applications as part of our MobileTemp systems. ThermoStream(R) products provide a source of heated and cooled air that can be directed over the component or device under test. These systems are capable of controlling temperatures to within +/- 0.1 degree Celsius over a range of -100 degrees Celsius to as high as +300 degrees Celsius within 1.0 degree Celsius of accuracy. As a stand-alone tool, ThermoStreams(R) provide a temperature-controlled air stream to rapidly change and stabilize the temperature of packaged ICs and other devices.</w:t>
      </w:r>
    </w:p>
    <w:p>
      <w:pPr>
        <w:spacing w:after="0" w:line="16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MobileTemp Series combines our ThermoStream(R) products with our family of exclusive, high-speed ThermoChambers to offer thermal test systems with fast, uniform temperature control in a compact package enabling temperature testing at the test location. MobileTemp Systems are designed specifically for small thermal-mass applications beyond the semi market and have found application in the automotive, electronic, fiber optic and oil field service markets testing such things as electronic sub-assemblies, sensor assemblies, and printed circuit boards.</w:t>
      </w:r>
    </w:p>
    <w:p>
      <w:pPr>
        <w:spacing w:after="0" w:line="157" w:lineRule="exact"/>
        <w:rPr>
          <w:sz w:val="20"/>
          <w:szCs w:val="20"/>
          <w:color w:val="auto"/>
        </w:rPr>
      </w:pPr>
    </w:p>
    <w:p>
      <w:pPr>
        <w:ind w:right="960"/>
        <w:spacing w:after="0" w:line="342" w:lineRule="auto"/>
        <w:rPr>
          <w:sz w:val="20"/>
          <w:szCs w:val="20"/>
          <w:color w:val="auto"/>
        </w:rPr>
      </w:pPr>
      <w:r>
        <w:rPr>
          <w:rFonts w:ascii="Arial" w:cs="Arial" w:eastAsia="Arial" w:hAnsi="Arial"/>
          <w:sz w:val="16"/>
          <w:szCs w:val="16"/>
          <w:color w:val="auto"/>
        </w:rPr>
        <w:t>Traditionally, our customers use ThermoStream(R) products primarily in engineering, quality assurance and small-run manufacturing environments. ThermoStream(R) and MobileTemp products generally range in price from approximately $15,000 to $55,000.</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Thermal Chambers: </w:t>
      </w:r>
      <w:r>
        <w:rPr>
          <w:rFonts w:ascii="Arial" w:cs="Arial" w:eastAsia="Arial" w:hAnsi="Arial"/>
          <w:sz w:val="18"/>
          <w:szCs w:val="18"/>
          <w:color w:val="auto"/>
        </w:rPr>
        <w:t>Our thermal chamber products are available in a variety of sizes, from small bench-top units to chambers with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of twenty-seven cubic feet and greater and with temperature ranges as wide as from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generally priced from $18,000 to $150,000.</w:t>
      </w:r>
    </w:p>
    <w:p>
      <w:pPr>
        <w:spacing w:after="0" w:line="18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i w:val="1"/>
          <w:iCs w:val="1"/>
          <w:color w:val="auto"/>
        </w:rPr>
        <w:t xml:space="preserve">Thermal Platforms: </w:t>
      </w:r>
      <w:r>
        <w:rPr>
          <w:rFonts w:ascii="Arial" w:cs="Arial" w:eastAsia="Arial" w:hAnsi="Arial"/>
          <w:sz w:val="16"/>
          <w:szCs w:val="16"/>
          <w:color w:val="auto"/>
        </w:rPr>
        <w:t>Our thermal platforms are available in surface sizes ranging from 7.2 square inches to 616 square inches. They provide a flat,</w:t>
      </w:r>
      <w:r>
        <w:rPr>
          <w:rFonts w:ascii="Arial" w:cs="Arial" w:eastAsia="Arial" w:hAnsi="Arial"/>
          <w:sz w:val="16"/>
          <w:szCs w:val="16"/>
          <w:i w:val="1"/>
          <w:iCs w:val="1"/>
          <w:color w:val="auto"/>
        </w:rPr>
        <w:t xml:space="preserve"> </w:t>
      </w:r>
      <w:r>
        <w:rPr>
          <w:rFonts w:ascii="Arial" w:cs="Arial" w:eastAsia="Arial" w:hAnsi="Arial"/>
          <w:sz w:val="16"/>
          <w:szCs w:val="16"/>
          <w:color w:val="auto"/>
        </w:rPr>
        <w:t>thermally conductive, precisely temperature controllable surface that is ideal for conditioning of testing devices with a flat surface. Platforms are available with temperature ranges as broad as -100 degrees Celsius to +250 degrees 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 Platforms are generally priced from $6,500 to $65,000.</w:t>
      </w:r>
    </w:p>
    <w:p>
      <w:pPr>
        <w:spacing w:after="0" w:line="16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i w:val="1"/>
          <w:iCs w:val="1"/>
          <w:color w:val="auto"/>
        </w:rPr>
        <w:t xml:space="preserve">Thermonics(R) Products: </w:t>
      </w:r>
      <w:r>
        <w:rPr>
          <w:rFonts w:ascii="Arial" w:cs="Arial" w:eastAsia="Arial" w:hAnsi="Arial"/>
          <w:sz w:val="16"/>
          <w:szCs w:val="16"/>
          <w:color w:val="auto"/>
        </w:rPr>
        <w:t>Our Thermonics temperature conditioning products, which include our process chillers, provide tempered gas or fluid to</w:t>
      </w:r>
      <w:r>
        <w:rPr>
          <w:rFonts w:ascii="Arial" w:cs="Arial" w:eastAsia="Arial" w:hAnsi="Arial"/>
          <w:sz w:val="16"/>
          <w:szCs w:val="16"/>
          <w:i w:val="1"/>
          <w:iCs w:val="1"/>
          <w:color w:val="auto"/>
        </w:rPr>
        <w:t xml:space="preserve"> </w:t>
      </w:r>
      <w:r>
        <w:rPr>
          <w:rFonts w:ascii="Arial" w:cs="Arial" w:eastAsia="Arial" w:hAnsi="Arial"/>
          <w:sz w:val="16"/>
          <w:szCs w:val="16"/>
          <w:color w:val="auto"/>
        </w:rPr>
        <w:t>enable customers to maintain desired thermal conditions within their tool or process. Applications include general industrial, chemical processing, energy, electronics, automotive, defense/aerospace and semiconductor markets. Prices generally range from $25,000 to greater than $300,000.</w:t>
      </w:r>
    </w:p>
    <w:p>
      <w:pPr>
        <w:spacing w:after="0" w:line="14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Ultra-Cold Storage Solutions: </w:t>
      </w:r>
      <w:r>
        <w:rPr>
          <w:rFonts w:ascii="Arial" w:cs="Arial" w:eastAsia="Arial" w:hAnsi="Arial"/>
          <w:sz w:val="18"/>
          <w:szCs w:val="18"/>
          <w:color w:val="auto"/>
        </w:rPr>
        <w:t>Our high-performance biomedical freezers, refrigerators and mobile storage solutions meet versatile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ultra-cold storage solutions for biological sample banks, blood safety, vaccine safety, medical supplies and reagent safety. Prices generally range from $1,500 to $20,000.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 Technologies Products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EKOHEAT(R) Products: </w:t>
      </w:r>
      <w:r>
        <w:rPr>
          <w:rFonts w:ascii="Arial" w:cs="Arial" w:eastAsia="Arial" w:hAnsi="Arial"/>
          <w:sz w:val="18"/>
          <w:szCs w:val="18"/>
          <w:color w:val="auto"/>
        </w:rPr>
        <w:t>Our EKOHEAT(R) induction heating systems with power ratings from 10kW to 1 MW are manufactured by Ambrell</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used to conduct fast, efficient, repeatable non-contact heating of metals or other electrically conductive materials in order to transform raw materials into finished parts. Prices generally range from $25,000 to $250,000.</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EASYHEAT</w:t>
      </w:r>
      <w:r>
        <w:rPr>
          <w:rFonts w:ascii="Arial" w:cs="Arial" w:eastAsia="Arial" w:hAnsi="Arial"/>
          <w:sz w:val="18"/>
          <w:szCs w:val="18"/>
          <w:color w:val="auto"/>
        </w:rPr>
        <w:t>™</w:t>
      </w:r>
      <w:r>
        <w:rPr>
          <w:rFonts w:ascii="Arial" w:cs="Arial" w:eastAsia="Arial" w:hAnsi="Arial"/>
          <w:sz w:val="18"/>
          <w:szCs w:val="18"/>
          <w:i w:val="1"/>
          <w:iCs w:val="1"/>
          <w:color w:val="auto"/>
        </w:rPr>
        <w:t xml:space="preserve"> Products: </w:t>
      </w:r>
      <w:r>
        <w:rPr>
          <w:rFonts w:ascii="Arial" w:cs="Arial" w:eastAsia="Arial" w:hAnsi="Arial"/>
          <w:sz w:val="18"/>
          <w:szCs w:val="18"/>
          <w:color w:val="auto"/>
        </w:rPr>
        <w:t>Our compact EASYHEAT™ induction heating systems with power ratings from 0.5kW to 10kW are manufactured by</w:t>
      </w:r>
      <w:r>
        <w:rPr>
          <w:rFonts w:ascii="Arial" w:cs="Arial" w:eastAsia="Arial" w:hAnsi="Arial"/>
          <w:sz w:val="18"/>
          <w:szCs w:val="18"/>
          <w:i w:val="1"/>
          <w:iCs w:val="1"/>
          <w:color w:val="auto"/>
        </w:rPr>
        <w:t xml:space="preserve"> </w:t>
      </w:r>
      <w:r>
        <w:rPr>
          <w:rFonts w:ascii="Arial" w:cs="Arial" w:eastAsia="Arial" w:hAnsi="Arial"/>
          <w:sz w:val="18"/>
          <w:szCs w:val="18"/>
          <w:color w:val="auto"/>
        </w:rPr>
        <w:t>Ambrell and used to conduct fast, efficient, repeatable non-contact heating of metals or other electrically conductive materials in order to transform raw materials into finished parts. Prices generally range from $5,000 to $25,000.</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Applications for both EKOHEAT(R) and EASYHEAT™ products include annealing, bonding, brazing, curing, forging, heat treating, melting, shrink-fitting, soldering and testing.</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Digital Streaming and Image Capturing Solutions. </w:t>
      </w:r>
      <w:r>
        <w:rPr>
          <w:rFonts w:ascii="Arial" w:cs="Arial" w:eastAsia="Arial" w:hAnsi="Arial"/>
          <w:sz w:val="18"/>
          <w:szCs w:val="18"/>
          <w:color w:val="auto"/>
        </w:rPr>
        <w:t>Our industrial-grade imaging solutions are designed and manufactured by Videology. They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custom solutions for OEMs and end users and specialize in meeting customer’s design specifications for imaging systems. Per unit prices for these products can range from less than $100 to as much as $5,000 for a single unit. These products are generally purchased in higher volumes than our other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Information About Operating Segments and Geographic Areas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Please see Note 19 to the consolidated financial statements included in Item 8 of this Report for additional data regarding revenue, profit or loss and total assets of each of our segments and revenue attributable to foreign countries.</w:t>
      </w:r>
    </w:p>
    <w:p>
      <w:pPr>
        <w:spacing w:after="0" w:line="17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MARKETING, SALES AND CUSTOMER SUPPORT</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market and sell our products globally and across multiple markets, as previously discussed. North American and European semiconductor manufacturers, as well as third-party foundries, test and assembly providers, have located most of their back-end factories in Southeast Asia. The front-end wafer fabrication plants of U.S. semiconductor manufacturers are primarily in the U.S. Likewise, European, Taiwanese, South Korean and Japanese semiconductor manufacturers generally have located their wafer fabrication plants in their respective countries.</w:t>
      </w:r>
    </w:p>
    <w:p>
      <w:pPr>
        <w:spacing w:after="0" w:line="15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Electronic Test Products</w:t>
      </w:r>
      <w:r>
        <w:rPr>
          <w:rFonts w:ascii="Arial" w:cs="Arial" w:eastAsia="Arial" w:hAnsi="Arial"/>
          <w:sz w:val="18"/>
          <w:szCs w:val="18"/>
          <w:color w:val="auto"/>
        </w:rPr>
        <w:t>: In North America, we sell our inTEST EMS products to semiconductor manufacturers through internal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and independent, commissioned sales representatives. North American sales representatives also coordinate product installation and support with our technical staff and participate in trade shows.</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internal sales account managers handle sales to ATE manufacturers and are responsible for a portfolio of customer accounts and for managing certain independent sales representatives. In addition, our sales account managers are responsible for pricing, quotations, proposals and transaction negotiations, and they assist with applications engineering and custom product design. Technical support is provided to North American customers and independent sales representatives by employees based in New Jersey, California and Texas.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Europe, we sell to semiconductor and ATE manufacturers through our internal sales staff. Technical support is provided by our staff in the U.K. In China, Japan, the Philippines, South Korea, and Thailand, we sell through the use of independent sales representatives who are supervised by our internal sales staff. In Malaysia, Singapore and Taiwan, our sales are handled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76"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Our robotics-based electronic test equipment and automated test programming services are sold in North America through a combination of internal sales staff and manufacturer representatives. Customer support is supplied by a team located throughout North America. In Europe, these products and services are sold through manufacturer representatives and supported with direct employees based in our Hamburg, Germany facility. In Asia, these products and services are sold through a mixture of distributors and manufacturer representatives. Customer support is provided by trained distributors and supplemented by direct employees from North America and Europe.</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Environmental Technologies Products</w:t>
      </w:r>
      <w:r>
        <w:rPr>
          <w:rFonts w:ascii="Arial" w:cs="Arial" w:eastAsia="Arial" w:hAnsi="Arial"/>
          <w:sz w:val="17"/>
          <w:szCs w:val="17"/>
          <w:color w:val="auto"/>
        </w:rPr>
        <w:t>: We market our Temptronic, Sigma Thermonics, and North Sciences (formerly Z-Sciences) brands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umbrella name of inTEST Thermal Solutions and sales to ATE manufacturers are handled directly by our own sales force. Sales to life sciences customers worldwide are handled directly by our own sales force or by our network of independent representatives and distributors. Sales to semiconductor manufacturers and customers in other markets in the U.S. are handled through independent sales representative organizations. In Singapore and Malaysia, our sales and service are handled through our internal sales and service staff. In the rest of Asia, our sales are handled through distributors. In Europe, sales managers at our office in Germany, as well as regional distributors and independent sales representatives, sell to semiconductor manufacturers and customers in other markets. We communicate with our distributors regularly and have trained them to sell and service our thermal products.</w:t>
      </w:r>
    </w:p>
    <w:p>
      <w:pPr>
        <w:spacing w:after="0" w:line="17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Process Technologies Products</w:t>
      </w:r>
      <w:r>
        <w:rPr>
          <w:rFonts w:ascii="Arial" w:cs="Arial" w:eastAsia="Arial" w:hAnsi="Arial"/>
          <w:sz w:val="16"/>
          <w:szCs w:val="16"/>
          <w:color w:val="auto"/>
        </w:rPr>
        <w:t>: We market our EASYHEAT™ and EKOHEAT(R) precision induction heating equipment to manufacturers who</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specialized industrial heating in a wide array of industries, including automotive, aerospace and semiconductor, and are sold globally through a combination of regional sales managers and independent distributors. In North America, direct regional sales managers provide sales coverage augmented by independent sales representatives. In Europe, direct sales managers provide sales coverage augmented by independent distributors. In Asia, distributors have responsibility for sales and service of our products. We generate a significant portion of our sales leads through our website as well as through trade show attendance where we display our products and technology.</w:t>
      </w:r>
    </w:p>
    <w:p>
      <w:pPr>
        <w:spacing w:after="0" w:line="16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also provide induction heating product support through our SmartCARE Service offering, which includes equipment repairs and training, preventative maintenance, enhanced warranties and spare parts. Our field service engineers, located in the U.S. and Europe, provide service and support globally. Additionally, a number of distributors in Europe and Asia have factory-trained service technicians.</w:t>
      </w:r>
    </w:p>
    <w:p>
      <w:pPr>
        <w:spacing w:after="0" w:line="16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market our Videology industrial camera solutions to OEMs and end users both directly and through distributors. We have both manufacturing and service capabilities in the U.S. and the Netherlands. We acquire our sales from repeat long-term customers, new leads through our website, regional sales managers and distributors as well as through trade show attendance where we display our products and technology.</w:t>
      </w:r>
    </w:p>
    <w:p>
      <w:pPr>
        <w:spacing w:after="0" w:line="14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market our products to end users including semiconductor manufacturers, third-party foundries and test and assembly providers, as well as to OEMs, which include ATE manufacturers and their third-party outsource manufacturing partners. We also market our products to independent testers of semiconductors, manufacturers of automotive, defense/aerospace, industrial, life sciences and security products, semiconductor research facilities, and manufacturers and manufacturing process integrators for a variety of industrial process applications. Our customers use our products principally in production testing or process/manufacturing applications, although our ThermoStream(R) products traditionally have been used largely in engineering development and quality assurance. We believe that we sell to most of the major semiconductor manufacturers in the world.</w:t>
      </w:r>
    </w:p>
    <w:p>
      <w:pPr>
        <w:spacing w:after="0" w:line="16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During the year ended December 31, 2022, no customer accounted for 10% or more of our consolidated revenue. During the year ended December 31, 2021, one customer accounted for 13% of our consolidated revenue. This revenue was primarily generated by our Electronic Test segment. During the year ended December 31, 2021, no other customer accounted for 10% or more of our consolidated revenue. Our ten largest customers accounted for approximately 43% of our consolidated revenue in each of the years ended December 31, 2022 and 2021.</w:t>
      </w:r>
    </w:p>
    <w:p>
      <w:pPr>
        <w:spacing w:after="0" w:line="15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An important aspect of our 5-Point Strategy includes broadening and diversifying our customer base. We plan to do this both through acquisitions as well as through leveraging current customer relationships, increasing our portfolio of product offerings and expanding our global footprint to better serve existing and new customers. The list of our largest customers in any given period continues to shift as we advance the applications of our technologies, acquire new technologies and grow the business. The loss of any one or more of our largest customers, or a reduction in orders by a major customer, could materially reduce our revenue or otherwise materially affect our business, financial condition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 AND SUPPLY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December 31, 2022, our principal manufacturing operations consisted of assembly and testing at our facilities in in the U.S. (Massachusetts, New Jersey and New York), Canada, Germany and the Netherlands. We assemble most of our products from a combination of standard components and custom parts that have been fabricated to our specifications by either third-party manufacturers or our own facilities. Our practice is to use high quality raw materials and components in our products. The primary raw materials used in fabricated parts are widely available. Substantially all of our components are purchased from multiple suppliers; however, certain raw materials and components are sourced from single suppliers. Although, from time to time, certain components may be in short supply due to high demand or inability of vendors to meet quality or delivery requirements, we believe that all materials and components are available in adequate amounts from other sources.</w:t>
      </w:r>
    </w:p>
    <w:p>
      <w:pPr>
        <w:spacing w:after="0" w:line="16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pacing w:after="0" w:line="1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Each of our Massachusetts, New York, and Canada facilities is ISO 9001:2015 certified. Our New Jersey facility manufactures products only for the semiconductor industry where ISO certification is not required, so we do not maintain any ISO certifications there. However, this location does employ the practices embodied in the ISO 9001:2008.</w:t>
      </w:r>
    </w:p>
    <w:p>
      <w:pPr>
        <w:spacing w:after="0" w:line="18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Our Massachusetts facility and our Acculogic office in CA are ITAR compliant enabling them to support the specific requirement of the U.S. Department of Defense. Our Canadian facility is compliant with the Canadian version of ITAR, enabling them to support the Canadian Department of Defense.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ENGINEERING AND PRODUCT DEVELOPMENT</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success depends on our ability to provide our customers with products and solutions that are well engineered and to design those products and solutions before, or at least no later than, our competitors. At December 31, 2022, we employed a total of 77 engineers engaged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high-performance interfaces.</w:t>
      </w:r>
    </w:p>
    <w:p>
      <w:pPr>
        <w:spacing w:after="0" w:line="17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Since most of our products are customized, we consider substantially all of our engineering activities to be engineering and product development. In the years ended December 31, 2022 and 2021, we spent approximately $7.5 million and $5.5 million, respectively, on engineering and product development.</w:t>
      </w:r>
    </w:p>
    <w:p>
      <w:pPr>
        <w:spacing w:after="0" w:line="18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PATENTS AND OTHER PROPRIETARY RIGHTS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intend to protect our technology by filing patent applications for the technologies that we consider important to our business. We also rely on trademarks, trade secrets, copyrights and unpatented know-how to protect our proprietary rights.</w:t>
      </w:r>
    </w:p>
    <w:p>
      <w:pPr>
        <w:spacing w:after="0" w:line="1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In the absence of intellectual property protection, we may be vulnerable to competitors who attempt to copy or imitate our products or processes. For additional information regarding risks related to our intellectual property, see Part I, Item 1A "Risk Factors" in this Report.</w:t>
      </w:r>
    </w:p>
    <w:p>
      <w:pPr>
        <w:spacing w:after="0" w:line="157" w:lineRule="exact"/>
        <w:rPr>
          <w:sz w:val="20"/>
          <w:szCs w:val="20"/>
          <w:color w:val="auto"/>
        </w:rPr>
      </w:pPr>
    </w:p>
    <w:p>
      <w:pPr>
        <w:ind w:right="700"/>
        <w:spacing w:after="0" w:line="263" w:lineRule="auto"/>
        <w:rPr>
          <w:sz w:val="20"/>
          <w:szCs w:val="20"/>
          <w:color w:val="auto"/>
        </w:rPr>
      </w:pPr>
      <w:r>
        <w:rPr>
          <w:rFonts w:ascii="Arial" w:cs="Arial" w:eastAsia="Arial" w:hAnsi="Arial"/>
          <w:sz w:val="18"/>
          <w:szCs w:val="18"/>
          <w:color w:val="auto"/>
        </w:rPr>
        <w:t>While we believe that our patents and other proprietary rights are important to our business, we also believe that, due to the rapid pace of technological change in the markets we serve, the successful manufacture and sale of our products also depends upon our engineering, manufacturing, marketing and servicing skills.</w:t>
      </w:r>
    </w:p>
    <w:p>
      <w:pPr>
        <w:spacing w:after="0" w:line="18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December 31, 2022, we held 49 active U.S. patents and had three pending U.S. patent applications covering various aspects of our technology. Our U.S. patents expire at various times beginning in 2023 and extending through 2042. During 2022, two U.S. patents were issued and seven U.S. patents expired. We do not believe that the upcoming expiration of certain of our patents in 2023 will have a material impact on our business. We also hold foreign patents and file foreign patent applications, in selected cases corresponding to our U.S. patents and patent applications, to the extent management deems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operate in an increasingly competitive environment within all of our operating segments. Some of our competitors have greater financial resources and more extensive design and production capabilities than us. Certain markets in which we operate have become more fragmented, with smaller companies entering the market. These new smaller entrants typically have much lower levels of fixed operating overhead than us, which enables them to be profitable with lower priced products. In order to remain competitive with these and other companies, we must continue to commit a significant portion of our personnel, financial resources, research and development and customer support to developing new products and maintaining customer relationships worldwide.</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competitors include independent manufacturers, ATE manufacturers and, to a lesser extent, semiconductor manufacturers' in-house ATE interface groups. Competitive factors in the markets we serve include price, functionality, timely product delivery, customer service, applications support, product performance and reliability. We believe that our long-term relationships with our customers in the various markets we support and our commitment to, and reputation for, providing high quality products, are important elements in our ability to compete effectively in all of our markets.</w:t>
      </w:r>
    </w:p>
    <w:p>
      <w:pPr>
        <w:spacing w:after="0" w:line="18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principal competitors for manipulator products are Advantest Corporation, Esmo AG, Reid-Ashman Manufacturing and Teradyne, Inc. Our principal competitors for docking hardware products include Advantest Corporation, Esmo AG, Reid-Ashman Manufacturing and Teradyne, Inc. Our principal competitors for tester interface products are Advantest Corporation, Esmo AG, Reid-Ashman Manufacturing and Teradyne, Inc. Our principal competitors for Acculogic products are Digitaltest GmbH, Seica S.P.A., SPEC S.P.A., and Takaya Corporation.</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principal competitors for Thermostream(R) products are FTS Systems, a part of SP Industries, and MPI Corporation. Our principal competitors for environmental chambers are Cincinnati Sub-Zero Products, Inc., Espec Corp. and Thermotron Industries. Our principal competitor for thermal platforms is Environmental Stress Systems Inc. Our principal competitors for liquid chillers include Huber Kältemaschinenbau AG, Julabo GmbH, Boyd Corporation, and Advanced Thermal Sciences Corporation. Our principal competitors for life sciences products include Panasonic Health Care Holdings Corporation, Haier Group Corporation, Thermo Fisher Scientific Corporation, and Eppendoerf AG.</w:t>
      </w:r>
    </w:p>
    <w:p>
      <w:pPr>
        <w:spacing w:after="0" w:line="16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Our principal competitors for EKOHEAT(R) and EASYHEAT™ products are Inductotherm Corporation, Park-Ohio Holdings, EFD Induction Corporation, Trumpf Huettinger GmbH, Ultraflex Power Technologies and CEIA SpA. Our digital streaming and image capturing solutions products compete in a large space with multiple small competitors. There is no competitor that has over 5% share of the current market.</w:t>
      </w:r>
    </w:p>
    <w:p>
      <w:pPr>
        <w:spacing w:after="0" w:line="14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4" w:right="339" w:bottom="1440" w:gutter="0" w:footer="0" w:header="0"/>
        </w:sectPr>
      </w:pPr>
    </w:p>
    <w:bookmarkStart w:id="14" w:name="page15"/>
    <w:bookmarkEnd w:id="14"/>
    <w:p>
      <w:pPr>
        <w:ind w:left="680"/>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ind w:left="680" w:right="40"/>
        <w:spacing w:after="0" w:line="272" w:lineRule="auto"/>
        <w:rPr>
          <w:sz w:val="20"/>
          <w:szCs w:val="20"/>
          <w:color w:val="auto"/>
        </w:rPr>
      </w:pPr>
      <w:r>
        <w:rPr>
          <w:rFonts w:ascii="Arial" w:cs="Arial" w:eastAsia="Arial" w:hAnsi="Arial"/>
          <w:sz w:val="17"/>
          <w:szCs w:val="17"/>
          <w:color w:val="auto"/>
        </w:rPr>
        <w:t>At December 31, 2022, our backlog of unfilled orders for all products was $46.8 million compared with $34.1 million at December 31, 2021. Our backlog consists of purchase orders that we have accepted, substantially all of which we expect to deliver in 2023.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which has the effect of increasing backlog. As a result of these factors, our backlog at a particular date is not necessarily indicative of sales for any future period. See also the discussion of backlog in Part II, Item 7 under “Orders and Backlog.”</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ind w:left="680" w:right="20"/>
        <w:spacing w:after="0" w:line="279" w:lineRule="auto"/>
        <w:rPr>
          <w:sz w:val="20"/>
          <w:szCs w:val="20"/>
          <w:color w:val="auto"/>
        </w:rPr>
      </w:pPr>
      <w:r>
        <w:rPr>
          <w:rFonts w:ascii="Arial" w:cs="Arial" w:eastAsia="Arial" w:hAnsi="Arial"/>
          <w:sz w:val="17"/>
          <w:szCs w:val="17"/>
          <w:color w:val="auto"/>
        </w:rPr>
        <w:t>At December 31, 2022, we had 346 employees (327 of which were full-time), including 161 in manufacturing operations, 139 in customer support/operations and 46 in administration. Substantially all of our key employees are highly skilled and trained technical personnel. None of our employees are represented by a labor union, and we have never experienced a work stoppage. From time to time, we retain third-party contractors to assist us in manufacturing operations and engineering and product development projects.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COVID-19 PANDEMIC</w:t>
      </w:r>
    </w:p>
    <w:p>
      <w:pPr>
        <w:spacing w:after="0" w:line="225" w:lineRule="exact"/>
        <w:rPr>
          <w:sz w:val="20"/>
          <w:szCs w:val="20"/>
          <w:color w:val="auto"/>
        </w:rPr>
      </w:pPr>
    </w:p>
    <w:p>
      <w:pPr>
        <w:ind w:left="680" w:right="120"/>
        <w:spacing w:after="0" w:line="291" w:lineRule="auto"/>
        <w:rPr>
          <w:sz w:val="20"/>
          <w:szCs w:val="20"/>
          <w:color w:val="auto"/>
        </w:rPr>
      </w:pPr>
      <w:r>
        <w:rPr>
          <w:rFonts w:ascii="Arial" w:cs="Arial" w:eastAsia="Arial" w:hAnsi="Arial"/>
          <w:sz w:val="16"/>
          <w:szCs w:val="16"/>
          <w:color w:val="auto"/>
        </w:rPr>
        <w:t>We are following the guidance of the Centers for Disease Control and Prevention (the “CDC”) and the local regulatory authorities in regions outside the U.S. While we are no longer requiring employees to wear masks indoors in our domestic locations or conducting temperature screenings, we are encouraging all employees to receive COVID-19 vaccinations and boosters, if possible, and to stay home if they feel sick. We are continuing to allow employees to work remotely either part-time or full-time in circumstances when possible. We continue to monitor the situation closely in the regions in which we operate in the U.S. and abroad and will adjust our operations as necessary to protect the health and well-being of our employees. To the extent that further governmental mandates or restrictions are implemented in the future, we currently expect to be able to continue to operate our business in a manner similar to how we have operated over the past three years.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ADDITIONAL INFORMATION</w:t>
      </w:r>
    </w:p>
    <w:p>
      <w:pPr>
        <w:spacing w:after="0" w:line="225" w:lineRule="exact"/>
        <w:rPr>
          <w:sz w:val="20"/>
          <w:szCs w:val="20"/>
          <w:color w:val="auto"/>
        </w:rPr>
      </w:pPr>
    </w:p>
    <w:p>
      <w:pPr>
        <w:ind w:left="680"/>
        <w:spacing w:after="0" w:line="257" w:lineRule="auto"/>
        <w:rPr>
          <w:sz w:val="20"/>
          <w:szCs w:val="20"/>
          <w:color w:val="auto"/>
        </w:rPr>
      </w:pPr>
      <w:r>
        <w:rPr>
          <w:rFonts w:ascii="Arial" w:cs="Arial" w:eastAsia="Arial" w:hAnsi="Arial"/>
          <w:sz w:val="18"/>
          <w:szCs w:val="18"/>
          <w:color w:val="auto"/>
        </w:rPr>
        <w:t>Our Annual Report on Form 10-K, Quarterly Reports on Form 10-Q and Current Reports on Form 8-K, and amendments to these reports that are filed with the SEC pursuant to Section 13(a) or 15(d) of the Securities Exchange Act of 1934, as amended (“Exchange Act”), are available free of charge through our website (www.intest.com) as soon as reasonably practicable after we electronically file them with, or furnish them to, the SEC. We also routinely post press releases, presentations, webcasts and other information regarding the Company on our website. The information posted to our website is not part of this Report.</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680" w:right="160"/>
        <w:spacing w:after="0" w:line="275" w:lineRule="auto"/>
        <w:rPr>
          <w:sz w:val="20"/>
          <w:szCs w:val="20"/>
          <w:color w:val="auto"/>
        </w:rPr>
      </w:pPr>
      <w:r>
        <w:rPr>
          <w:rFonts w:ascii="Arial" w:cs="Arial" w:eastAsia="Arial" w:hAnsi="Arial"/>
          <w:sz w:val="17"/>
          <w:szCs w:val="17"/>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risks facing us and we cannot predict every event and circumstance that may adversely affect our business. However, these risks and uncertainties are the most significant factors that we have identified at this time. If one or more of these risks actually occurs, our business, results of operations and/or financial condition could suffer, and the price of our stock could be negatively affected.</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RISKS RELATED TO OUR ACQUISITION AND GROWTH STRATEGY</w:t>
      </w:r>
    </w:p>
    <w:p>
      <w:pPr>
        <w:spacing w:after="0" w:line="225" w:lineRule="exact"/>
        <w:rPr>
          <w:sz w:val="20"/>
          <w:szCs w:val="20"/>
          <w:color w:val="auto"/>
        </w:rPr>
      </w:pPr>
    </w:p>
    <w:p>
      <w:pPr>
        <w:ind w:left="680" w:right="20"/>
        <w:spacing w:after="0" w:line="266" w:lineRule="auto"/>
        <w:rPr>
          <w:sz w:val="20"/>
          <w:szCs w:val="20"/>
          <w:color w:val="auto"/>
        </w:rPr>
      </w:pPr>
      <w:r>
        <w:rPr>
          <w:rFonts w:ascii="Arial" w:cs="Arial" w:eastAsia="Arial" w:hAnsi="Arial"/>
          <w:sz w:val="18"/>
          <w:szCs w:val="18"/>
          <w:b w:val="1"/>
          <w:bCs w:val="1"/>
          <w:color w:val="auto"/>
        </w:rPr>
        <w:t>We seek to grow our business through the acquisition of additional businesses. If we are unable to do so, our future rate of growth may be reduced or limited. We may incur significant expenses related to due diligence or other transaction-related expenses for a proposed acquisition that may not be completed.</w:t>
      </w:r>
    </w:p>
    <w:p>
      <w:pPr>
        <w:spacing w:after="0" w:line="180" w:lineRule="exact"/>
        <w:rPr>
          <w:sz w:val="20"/>
          <w:szCs w:val="20"/>
          <w:color w:val="auto"/>
        </w:rPr>
      </w:pPr>
    </w:p>
    <w:p>
      <w:pPr>
        <w:ind w:left="680" w:right="140"/>
        <w:spacing w:after="0" w:line="279" w:lineRule="auto"/>
        <w:rPr>
          <w:sz w:val="20"/>
          <w:szCs w:val="20"/>
          <w:color w:val="auto"/>
        </w:rPr>
      </w:pPr>
      <w:r>
        <w:rPr>
          <w:rFonts w:ascii="Arial" w:cs="Arial" w:eastAsia="Arial" w:hAnsi="Arial"/>
          <w:sz w:val="17"/>
          <w:szCs w:val="17"/>
          <w:color w:val="auto"/>
        </w:rPr>
        <w:t>A key element of our growth strategy is to acquire businesses, technologies or products that are complementary to our current product offerings. For example, we completed the acquisitions of Z-Sciences (now North Sciences), Videology and Acculogic in 2021. We seek to make additional acquisitions that will further expand our product lines as well as strengthen our positions in served markets and provide expansion into new markets. We may not be able to execute our acquisition strategy and our future growth may be limited if:</w:t>
      </w:r>
    </w:p>
    <w:p>
      <w:pPr>
        <w:spacing w:after="0" w:line="17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unable to identify suitable businesses, technologies or products to acquire;</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do not have sufficient cash or access to required capital at the necessary time;</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unwilling or unable to outbid larger companies with greater resources; or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 w:name="page16"/>
    <w:bookmarkEnd w:id="15"/>
    <w:p>
      <w:pPr>
        <w:ind w:left="620" w:hanging="32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unable to successfully close proposed acquisitions.</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may incur significant expenses related to due diligence or other transaction-related expenses for a proposed acquisition that may not be completed, which may have a material adverse effect on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strategy involves financial and management risks which may adversely affect our results in the future.</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With respect to the acquisitions we completed in 2021 and if we acquire additional businesses, technologies or products, we will face the following additional risks:</w:t>
      </w:r>
    </w:p>
    <w:p>
      <w:pPr>
        <w:spacing w:after="0" w:line="170" w:lineRule="exact"/>
        <w:rPr>
          <w:sz w:val="20"/>
          <w:szCs w:val="20"/>
          <w:color w:val="auto"/>
        </w:rPr>
      </w:pPr>
    </w:p>
    <w:p>
      <w:pPr>
        <w:ind w:left="620" w:right="360" w:hanging="320"/>
        <w:spacing w:after="0" w:line="258"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could divert management's attention from daily operations or otherwise require additional management, operational and financial resources;</w:t>
      </w:r>
    </w:p>
    <w:p>
      <w:pPr>
        <w:spacing w:after="0" w:line="1" w:lineRule="exact"/>
        <w:rPr>
          <w:rFonts w:ascii="Arial" w:cs="Arial" w:eastAsia="Arial" w:hAnsi="Arial"/>
          <w:sz w:val="18"/>
          <w:szCs w:val="18"/>
          <w:color w:val="auto"/>
        </w:rPr>
      </w:pPr>
    </w:p>
    <w:p>
      <w:pPr>
        <w:ind w:left="620" w:hanging="32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might not be able to integrate acquisitions into our business successfully or operate acquired businesses profitably;</w:t>
      </w:r>
    </w:p>
    <w:p>
      <w:pPr>
        <w:spacing w:after="0" w:line="9" w:lineRule="exact"/>
        <w:rPr>
          <w:rFonts w:ascii="Arial" w:cs="Arial" w:eastAsia="Arial" w:hAnsi="Arial"/>
          <w:sz w:val="18"/>
          <w:szCs w:val="18"/>
          <w:color w:val="auto"/>
        </w:rPr>
      </w:pPr>
    </w:p>
    <w:p>
      <w:pPr>
        <w:ind w:left="620" w:hanging="32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realize substantial acquisition related expenses that would reduce our net earnings in future years;</w:t>
      </w:r>
    </w:p>
    <w:p>
      <w:pPr>
        <w:spacing w:after="0" w:line="9" w:lineRule="exact"/>
        <w:rPr>
          <w:rFonts w:ascii="Arial" w:cs="Arial" w:eastAsia="Arial" w:hAnsi="Arial"/>
          <w:sz w:val="18"/>
          <w:szCs w:val="18"/>
          <w:color w:val="auto"/>
        </w:rPr>
      </w:pPr>
    </w:p>
    <w:p>
      <w:pPr>
        <w:ind w:left="620" w:hanging="32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realize the expected benefits of such acquisitions;</w:t>
      </w:r>
    </w:p>
    <w:p>
      <w:pPr>
        <w:spacing w:after="0" w:line="9" w:lineRule="exact"/>
        <w:rPr>
          <w:rFonts w:ascii="Arial" w:cs="Arial" w:eastAsia="Arial" w:hAnsi="Arial"/>
          <w:sz w:val="18"/>
          <w:szCs w:val="18"/>
          <w:color w:val="auto"/>
        </w:rPr>
      </w:pPr>
    </w:p>
    <w:p>
      <w:pPr>
        <w:ind w:left="620" w:right="380" w:hanging="320"/>
        <w:spacing w:after="0" w:line="250"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investigation of potential acquisition candidates may not reveal problems and liabilities of the companies and businesses that we acquire;</w:t>
      </w:r>
    </w:p>
    <w:p>
      <w:pPr>
        <w:ind w:left="620" w:right="320" w:hanging="320"/>
        <w:spacing w:after="0" w:line="281"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acquisitions may pose risks associated with entry into new geographic markets, including outside the U.S., distribution channels, lines of business or product categories, where we may not have significant or any prior experience and where we may not be as successful or profitable as we are in businesses and geographic regions where we have greater familiarity and brand recognition;</w:t>
      </w:r>
    </w:p>
    <w:p>
      <w:pPr>
        <w:spacing w:after="0" w:line="1" w:lineRule="exact"/>
        <w:rPr>
          <w:rFonts w:ascii="Arial" w:cs="Arial" w:eastAsia="Arial" w:hAnsi="Arial"/>
          <w:sz w:val="16"/>
          <w:szCs w:val="16"/>
          <w:color w:val="auto"/>
        </w:rPr>
      </w:pPr>
    </w:p>
    <w:p>
      <w:pPr>
        <w:ind w:left="620" w:hanging="32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acquisition may result in disparate information technology, internal control, financial reporting and record-keeping systems;</w:t>
      </w:r>
    </w:p>
    <w:p>
      <w:pPr>
        <w:spacing w:after="0" w:line="20" w:lineRule="exact"/>
        <w:rPr>
          <w:rFonts w:ascii="Arial" w:cs="Arial" w:eastAsia="Arial" w:hAnsi="Arial"/>
          <w:sz w:val="17"/>
          <w:szCs w:val="17"/>
          <w:color w:val="auto"/>
        </w:rPr>
      </w:pPr>
    </w:p>
    <w:p>
      <w:pPr>
        <w:ind w:left="620" w:hanging="32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acquisition may result in employee anxiety, morale and/or engagement issues and employees not familiar with our business;</w:t>
      </w:r>
    </w:p>
    <w:p>
      <w:pPr>
        <w:spacing w:after="0" w:line="20" w:lineRule="exact"/>
        <w:rPr>
          <w:rFonts w:ascii="Arial" w:cs="Arial" w:eastAsia="Arial" w:hAnsi="Arial"/>
          <w:sz w:val="17"/>
          <w:szCs w:val="17"/>
          <w:color w:val="auto"/>
        </w:rPr>
      </w:pPr>
    </w:p>
    <w:p>
      <w:pPr>
        <w:ind w:left="620" w:hanging="32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acquisition may result in the loss of our or the acquired company’s key personnel, customers, distributors or suppliers; and</w:t>
      </w:r>
    </w:p>
    <w:p>
      <w:pPr>
        <w:spacing w:after="0" w:line="20" w:lineRule="exact"/>
        <w:rPr>
          <w:rFonts w:ascii="Arial" w:cs="Arial" w:eastAsia="Arial" w:hAnsi="Arial"/>
          <w:sz w:val="17"/>
          <w:szCs w:val="17"/>
          <w:color w:val="auto"/>
        </w:rPr>
      </w:pPr>
    </w:p>
    <w:p>
      <w:pPr>
        <w:ind w:left="620" w:hanging="32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become exposed to litigation or claims associated with an acquisition.</w:t>
      </w:r>
    </w:p>
    <w:p>
      <w:pPr>
        <w:spacing w:after="0" w:line="21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If any of the events described above occur, our earnings could be reduced and may adversely affect our financial condition, results of operations and ability to grow our business or otherwise achieve our financial and strategic objectives. If we issue shares of our stock or other rights to purchase our stock in connection with any future acquisitions, the issuance will dilute our existing stockholders' interests and our earnings per share may decrease. If we issue or incur debt in connection with any future acquisitions, lenders may require that we pledge our assets to secure repayment of such debt and impose covenants on us, which could, among other things, restrict our ability to increase capital expenditures or to acquire additional businesses.</w:t>
      </w:r>
    </w:p>
    <w:p>
      <w:pPr>
        <w:spacing w:after="0" w:line="18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We may attempt to acquire a business that would require us to issue equity or incur significant debt from third parties. If we are unable to secure sufficient financing at terms that are acceptable to us, we may not be able to close the proposed acquisition. Additionally, should we incur significant debt, we may not be able to achieve compliance with all covenants related to the debt depending on our financial results in future periods.</w:t>
      </w:r>
    </w:p>
    <w:p>
      <w:pPr>
        <w:spacing w:after="0" w:line="1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connection with our acquisition strategy, we may pursue potential acquisition opportunities which could require us to issue equity or obtain significant third-party financing to close the proposed transaction. We may encounter difficulties in securing necessary financing at terms that would be acceptable to us and may not be able to close on the proposed acquisition. In addition, should we incur significant third-party debt, our future financial results may be negatively impacted by external factors, such as an economic recession, which may impact our ability to achieve compliance with any covenants related to the debt as well as make the required payments under the terms of the indebtedness.</w:t>
      </w:r>
    </w:p>
    <w:p>
      <w:pPr>
        <w:spacing w:after="0" w:line="15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We may acquire businesses in the future and utilize an earnout structure as we have done in prior transactions we have closed. In connection with the earnout, we may be required to accrue significant increases or decreases to the contingent consideration liability we would establish. These adjustments to the contingent consideration liability could cause our results of operations to have increased variability, which may negatively impact our stock</w:t>
      </w:r>
      <w:r>
        <w:rPr>
          <w:rFonts w:ascii="Arial" w:cs="Arial" w:eastAsia="Arial" w:hAnsi="Arial"/>
          <w:sz w:val="18"/>
          <w:szCs w:val="18"/>
          <w:color w:val="auto"/>
        </w:rPr>
        <w:t>’</w:t>
      </w:r>
      <w:r>
        <w:rPr>
          <w:rFonts w:ascii="Arial" w:cs="Arial" w:eastAsia="Arial" w:hAnsi="Arial"/>
          <w:sz w:val="18"/>
          <w:szCs w:val="18"/>
          <w:b w:val="1"/>
          <w:bCs w:val="1"/>
          <w:color w:val="auto"/>
        </w:rPr>
        <w:t>s trading price.</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may utilize an earnout structure on future acquisitions as we have done in prior transactions we have closed. The initial contingent consideration liability is established as part of the accounting for the business combination. In subsequent periods, we are required to estimate the fair value of the contingent consideration associated with any earnout on a quarterly basis and record an adjustment to the contingent consideration liability in our results of operations for the period concerned. The contingent consideration adjustment we record quarterly may cause increased variability in our future results of operations, which may cause fluctuations in our stock price.</w:t>
      </w:r>
    </w:p>
    <w:p>
      <w:pPr>
        <w:spacing w:after="0" w:line="17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1000" w:top="584" w:right="379" w:bottom="1440" w:gutter="0" w:footer="0" w:header="0"/>
        </w:sectPr>
      </w:pPr>
    </w:p>
    <w:bookmarkStart w:id="16" w:name="page17"/>
    <w:bookmarkEnd w:id="16"/>
    <w:p>
      <w:pPr>
        <w:ind w:right="20"/>
        <w:spacing w:after="0" w:line="289" w:lineRule="auto"/>
        <w:rPr>
          <w:sz w:val="20"/>
          <w:szCs w:val="20"/>
          <w:color w:val="auto"/>
        </w:rPr>
      </w:pPr>
      <w:r>
        <w:rPr>
          <w:rFonts w:ascii="Arial" w:cs="Arial" w:eastAsia="Arial" w:hAnsi="Arial"/>
          <w:sz w:val="16"/>
          <w:szCs w:val="16"/>
          <w:color w:val="auto"/>
        </w:rPr>
        <w:t>In connection with our acquisition of Acculogic we have recorded a contingent consideration liability that represents the fair value of additional payments we may make to the seller of up to an additional CAD $5.0 million in the five-year period from 2022 through 2026. The additional payments will be based on a percent of net invoices for which payments have been received on systems sold to EV or battery customers in excess of CAD $2.5 million per year in each of the five years. The maximum payment is capped at CAD $5.0 million, which equates to approximately USD $3.7 million at December 31, 2022. There were no payments due for the year ended December 31, 2022. The fair value of this contingent consideration liability involves assessing the total amount of revenue we expect from sales to EV or battery customers during the applicable time periods as well as when we expect to receive payment for the related net invoices. At December 31, 2022, the contingent consideration liability on our balance sheet was USD $1.4 million which was its estimated fair value at that date. Any future adjustments to the estimated fair value of the contingent liability will be recorded in our results of operations for the period in which the adjustment occurs.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effectively manage our growth and operations, which could materially and adversely affect our business.</w:t>
      </w:r>
    </w:p>
    <w:p>
      <w:pPr>
        <w:spacing w:after="0" w:line="24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we implement our business strategy as intended, we have and may in the future experience rapid growth and development in a relatively short period of time. The management of this growth will require, among other things, continued development of our financial and management controls and management information systems, stringent control of costs, the ability to attract and retain qualified management personnel and the training of new personnel. Failure to successfully manage our possible growth and development could have a material adverse effect on our business.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is a risk that some or all of the anticipated strategic and financial benefits may fail to materialize, may not continue on their existing terms, or may not occur within the time period anticipated. Although we have conducted due diligence with respect to material aspects of the development of our business, there is no certainty that our due diligence procedures will reveal all of the risks and liabilities associated with our current plans. Although we are not aware of any specific liabilities, such liabilities may be unknown and, accordingly, the potential monetary cost of such liability is also unknown.</w:t>
      </w:r>
    </w:p>
    <w:p>
      <w:pPr>
        <w:spacing w:after="0" w:line="184" w:lineRule="exact"/>
        <w:rPr>
          <w:sz w:val="20"/>
          <w:szCs w:val="20"/>
          <w:color w:val="auto"/>
        </w:rPr>
      </w:pPr>
    </w:p>
    <w:p>
      <w:pPr>
        <w:ind w:left="60"/>
        <w:spacing w:after="0" w:line="282" w:lineRule="auto"/>
        <w:rPr>
          <w:sz w:val="20"/>
          <w:szCs w:val="20"/>
          <w:color w:val="auto"/>
        </w:rPr>
      </w:pPr>
      <w:r>
        <w:rPr>
          <w:rFonts w:ascii="Arial" w:cs="Arial" w:eastAsia="Arial" w:hAnsi="Arial"/>
          <w:sz w:val="18"/>
          <w:szCs w:val="18"/>
          <w:b w:val="1"/>
          <w:bCs w:val="1"/>
          <w:color w:val="auto"/>
        </w:rPr>
        <w:t>We may fail to effectively integrate acquired businesses into our operations or otherwise fail to realize the anticipated benefits of the acquisitions.</w:t>
      </w:r>
    </w:p>
    <w:p>
      <w:pPr>
        <w:spacing w:after="0" w:line="166" w:lineRule="exact"/>
        <w:rPr>
          <w:sz w:val="20"/>
          <w:szCs w:val="20"/>
          <w:color w:val="auto"/>
        </w:rPr>
      </w:pPr>
    </w:p>
    <w:p>
      <w:pPr>
        <w:ind w:left="60" w:right="340"/>
        <w:spacing w:after="0" w:line="263" w:lineRule="auto"/>
        <w:rPr>
          <w:sz w:val="20"/>
          <w:szCs w:val="20"/>
          <w:color w:val="auto"/>
        </w:rPr>
      </w:pPr>
      <w:r>
        <w:rPr>
          <w:rFonts w:ascii="Arial" w:cs="Arial" w:eastAsia="Arial" w:hAnsi="Arial"/>
          <w:sz w:val="18"/>
          <w:szCs w:val="18"/>
          <w:color w:val="auto"/>
        </w:rPr>
        <w:t>If we fail to accurately assess and successfully integrate any recent or future acquisitions, we may not achieve the anticipated benefits, which could result in lower revenue, unanticipated operating expenses, and increased losses. Successful integration involves many challenges, including:</w:t>
      </w:r>
    </w:p>
    <w:p>
      <w:pPr>
        <w:spacing w:after="0" w:line="184" w:lineRule="exact"/>
        <w:rPr>
          <w:sz w:val="20"/>
          <w:szCs w:val="20"/>
          <w:color w:val="auto"/>
        </w:rPr>
      </w:pPr>
    </w:p>
    <w:p>
      <w:pPr>
        <w:ind w:left="940" w:hanging="640"/>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integrating acquired operations and personnel with our existing operations;</w:t>
      </w:r>
    </w:p>
    <w:p>
      <w:pPr>
        <w:spacing w:after="0" w:line="36" w:lineRule="exact"/>
        <w:rPr>
          <w:rFonts w:ascii="Arial" w:cs="Arial" w:eastAsia="Arial" w:hAnsi="Arial"/>
          <w:sz w:val="18"/>
          <w:szCs w:val="18"/>
          <w:color w:val="auto"/>
        </w:rPr>
      </w:pPr>
    </w:p>
    <w:p>
      <w:pPr>
        <w:ind w:left="940" w:hanging="640"/>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developing, manufacturing, and marketing new products and services;</w:t>
      </w:r>
    </w:p>
    <w:p>
      <w:pPr>
        <w:spacing w:after="0" w:line="36" w:lineRule="exact"/>
        <w:rPr>
          <w:rFonts w:ascii="Arial" w:cs="Arial" w:eastAsia="Arial" w:hAnsi="Arial"/>
          <w:sz w:val="18"/>
          <w:szCs w:val="18"/>
          <w:color w:val="auto"/>
        </w:rPr>
      </w:pPr>
    </w:p>
    <w:p>
      <w:pPr>
        <w:ind w:left="940" w:hanging="640"/>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diversion of our management’s attention as a result of evaluating, negotiating and integrating acquisitions;</w:t>
      </w:r>
    </w:p>
    <w:p>
      <w:pPr>
        <w:spacing w:after="0" w:line="36" w:lineRule="exact"/>
        <w:rPr>
          <w:rFonts w:ascii="Arial" w:cs="Arial" w:eastAsia="Arial" w:hAnsi="Arial"/>
          <w:sz w:val="18"/>
          <w:szCs w:val="18"/>
          <w:color w:val="auto"/>
        </w:rPr>
      </w:pPr>
    </w:p>
    <w:p>
      <w:pPr>
        <w:ind w:left="940" w:hanging="640"/>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some cases, our exposure to unforeseen liabilities of acquired companies; and</w:t>
      </w:r>
    </w:p>
    <w:p>
      <w:pPr>
        <w:spacing w:after="0" w:line="36" w:lineRule="exact"/>
        <w:rPr>
          <w:rFonts w:ascii="Arial" w:cs="Arial" w:eastAsia="Arial" w:hAnsi="Arial"/>
          <w:sz w:val="18"/>
          <w:szCs w:val="18"/>
          <w:color w:val="auto"/>
        </w:rPr>
      </w:pPr>
    </w:p>
    <w:p>
      <w:pPr>
        <w:ind w:left="940" w:hanging="640"/>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key employees of an acquired business operation.</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addition, an acquisition could adversely impact cash flows, operating results, and stockholder interests, for many reasons, including:</w:t>
      </w:r>
    </w:p>
    <w:p>
      <w:pPr>
        <w:spacing w:after="0" w:line="237" w:lineRule="exact"/>
        <w:rPr>
          <w:sz w:val="20"/>
          <w:szCs w:val="20"/>
          <w:color w:val="auto"/>
        </w:rPr>
      </w:pPr>
    </w:p>
    <w:p>
      <w:pPr>
        <w:ind w:left="940" w:hanging="640"/>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contingent consideration payments;</w:t>
      </w:r>
    </w:p>
    <w:p>
      <w:pPr>
        <w:spacing w:after="0" w:line="36" w:lineRule="exact"/>
        <w:rPr>
          <w:rFonts w:ascii="Arial" w:cs="Arial" w:eastAsia="Arial" w:hAnsi="Arial"/>
          <w:sz w:val="18"/>
          <w:szCs w:val="18"/>
          <w:color w:val="auto"/>
        </w:rPr>
      </w:pPr>
    </w:p>
    <w:p>
      <w:pPr>
        <w:ind w:left="940" w:right="260" w:hanging="640"/>
        <w:spacing w:after="0" w:line="258"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issuance of securities in connection with an acquisition or new business venture that dilutes or lessens the rights of our current stockholders;</w:t>
      </w:r>
    </w:p>
    <w:p>
      <w:pPr>
        <w:spacing w:after="0" w:line="1" w:lineRule="exact"/>
        <w:rPr>
          <w:rFonts w:ascii="Arial" w:cs="Arial" w:eastAsia="Arial" w:hAnsi="Arial"/>
          <w:sz w:val="18"/>
          <w:szCs w:val="18"/>
          <w:color w:val="auto"/>
        </w:rPr>
      </w:pPr>
    </w:p>
    <w:p>
      <w:pPr>
        <w:ind w:left="940" w:hanging="640"/>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charges to our income to reflect the impairment of acquired intangible assets, including goodwill; and</w:t>
      </w:r>
    </w:p>
    <w:p>
      <w:pPr>
        <w:spacing w:after="0" w:line="21" w:lineRule="exact"/>
        <w:rPr>
          <w:rFonts w:ascii="Arial" w:cs="Arial" w:eastAsia="Arial" w:hAnsi="Arial"/>
          <w:sz w:val="18"/>
          <w:szCs w:val="18"/>
          <w:color w:val="auto"/>
        </w:rPr>
      </w:pPr>
    </w:p>
    <w:p>
      <w:pPr>
        <w:ind w:left="940" w:hanging="640"/>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interest costs and debt service requirements for any debt incurred in connection with an acquisition or new business venture.</w:t>
      </w:r>
    </w:p>
    <w:p>
      <w:pPr>
        <w:spacing w:after="0" w:line="2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anticipated benefit of any of our acquisitions may never materialize. Future acquisitions could result in potentially dilutive issuances of our equity securities, the incurrence of debt, contingent liabilities or amortization expenses, or write-offs of goodwill, any of which could harm our financial condition. Future acquisitions may require us to obtain additional equity or debt financing, which may not be available on favorable terms, or at all.</w:t>
      </w:r>
    </w:p>
    <w:p>
      <w:pPr>
        <w:spacing w:after="0" w:line="18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RISKS RELATED TO OUR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are affected by the cyclicality of the semi market, which causes our operating results to fluctuate significantly.</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 significant portion of our business depends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downturn. Conversely, semiconductor manufacturers increase capital expenditures when market demand requires the addition of new or expanded production capabilities or the reconfiguration of existing fabrication facilities to accommodate new products. These market changes have contributed in the past, and will likely continue to contribute in the future, to fluctuations in our operating results.</w:t>
      </w:r>
    </w:p>
    <w:p>
      <w:pPr>
        <w:spacing w:after="0" w:line="17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We seek to further diversify the markets for our products in order to increase the proportion of our sales attributable to markets which are less subject to cyclicality than the semi market. If we are unable to do so, our future performance will remain substantially exposed to the fluctuations of the cyclicality of the semi market.</w:t>
      </w:r>
    </w:p>
    <w:p>
      <w:pPr>
        <w:spacing w:after="0" w:line="18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sell certain of our products in markets other than the semi market, including the automotive, defense/aerospace, industrial, life sciences and security markets. During 2022 and 2021, our sales to markets other than the semi market were $48.0 million and $30.0 million, respectively, and represented 41% and 35% of our consolidated revenue, respectively. Our goal is to increase our sales to markets other than the semi market; however, in most cases, the expansion of our product sales into these new markets has occurred in the last several years, and we may experience difficulty in expanding our sales efforts further into these markets. These difficulties could include hiring sales and marketing staff with sufficient experience selling into these new markets and our ability to continue to develop products which meet the needs of customers in these markets and which are not currently offered by our competitors. In addition, due to the highly specialized nature of certain of our product offerings in these markets, we do not expect broad market penetration in many of these markets. If we are unable to expand these sales, our revenue and results of operations will remain substantially dependent upon the cycles of the semi market.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OPERATIONS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our suppliers do not meet product or delivery requirements, or inflationary pressures continue to increase and we cannot increase our prices to our customers, we could have reduced revenues and earnings.</w:t>
      </w:r>
    </w:p>
    <w:p>
      <w:pPr>
        <w:spacing w:after="0" w:line="16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During 2022, as global supply chain constraints became more pronounced, we experienced price increases and lack of availability from several of our normal suppliers for the materials needed to produce our products in a timely manner and/or with the level of margins we typically expect to achieve. Certain components of our products may continue to be in short supply from time to time because of high demand or the inability of some vendors to consistently meet our quality or delivery requirements. A significant portion of our material purchases require some custom work, and there are not always multiple suppliers capable of performing such custom work on a timely or cost-effective basis. If any of our suppliers were to cancel commitments or fail to meet quality or delivery requirements needed to satisfy customer orders for our products, we could lose time-sensitive customer orders, have reduced revenues and earnings, experience reputational harm and be subject to contractual penalties, any of which could have a material adverse effect on our business, results of operations and financial condition. Additionally, we may not be able to raise our prices to our customers in an amount or timeframe sufficient to offset the increases in price we are experiencing from our suppliers. This could result in a reduction in our earnings in future periods.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breach of our operational or security systems could negatively affect our business, our reputation and results of operations.</w:t>
      </w:r>
    </w:p>
    <w:p>
      <w:pPr>
        <w:spacing w:after="0" w:line="24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rely on various information technology networks and systems, some of which are managed by third parties, to process, transmit and store electronic information, including confidential data, and to carry out and support a variety of business activities, including manufacturing, research and development, supply chain management, sales and accounting. A failure in, or a breach of, our operational or security systems or infrastructure, or those of our suppliers and other service providers, including as a result of cyberattacks, could disrupt our business, result in the disclosure or misuse of proprietary or confidential information, result in litigation, damage our reputation, cause losses and significantly increase our costs. Although we have been the target of security breaches in the past, we have not experienced material losses to date related to such incidents. Nevertheless, there can be no assurance that we will not suffer such losses in the future. In addition, domestic and international regulatory agencies have implemented, and are continuing to implement, various reporting and remediation requirements that companies must comply with upon learning of a breach. While we have insurance that may protect us from incurring some of these costs, there is no assurance that such insurance coverage is adequate to cover all costs and damages incurred in connection with a cyberattack.</w:t>
      </w:r>
    </w:p>
    <w:p>
      <w:pPr>
        <w:spacing w:after="0" w:line="16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80"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We are subject to significant environmental, health and safety laws and regulations and related compliance expenditures and liabilities.</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businesses are subject to many foreign, federal, state and local environmental, health and safety laws and regulations, particularly with respect to the use, handling, treatment, storage, discharge and disposal of substances and hazardous wastes used or generated in our manufacturing processes. Compliance with these laws and regulations is a significant factor in our business. We have incurred and expect to continue to incur significant expenditures to comply with applicable environmental laws and regulations. Our failure to comply with applicable environmental laws and regulations and permit requirements could result in civil or criminal fines or penalties or enforcement actions, including regulatory or judicial orders enjoining or curtailing operations or requiring corrective measures, installation of pollution control equipment or remedial actions.</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to continue to be subject to increasingly stringent environmental and health and safety laws and regulations. It is difficult to predict the future interpretation and development of environmental and health and safety laws and regulations or their impact on our future earnings and operations. We anticipate that compliance will continue to require increased capital expenditures and operating costs. Any increase in these costs, or unanticipated liabilities arising from, among other things, discovery of previously unknown conditions or more aggressive enforcement actions, could adversely affect our results of operations, and there is no assurance that they will not exceed our reserves or have a material adverse effect on our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may suffer if we are unable to attract and retain key employees or hire personnel at the costs we currently project.</w:t>
      </w:r>
    </w:p>
    <w:p>
      <w:pPr>
        <w:spacing w:after="0" w:line="24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future success will depend largely upon the continued services of our senior management and other key employees or the development of successors with commensurate skills and talents in a timely fashion and at the costs we project. If we cannot continue to increase employee salaries and maintain employee benefits commensurate with competitive opportunities, we may not be able to retain our senior management and other key employees. The loss of key personnel could adversely affect our ability to manage our business effectively and could increase our costs in future periods.</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recently experienced difficulty in hiring personnel at the costs projected in our forecasts. This has resulted in the need to increase the labor rates offered for certain positions. If we cannot find savings in other areas or increase the price for which we sell our products in an amount sufficient to cover these additional labor costs, we may experience reduced margins in future periods.</w:t>
      </w:r>
    </w:p>
    <w:p>
      <w:pPr>
        <w:spacing w:after="0" w:line="18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have experienced and may continue to experience significant variability in our effective tax rates and may have exposure to additional tax liabilities and costs.</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subject to income taxes in the U.S. and various other countries in which we operate. Our effective tax rate is dependent on where our earnings are generated and the tax regulations and the interpretation and judgment of administrative tax or revenue entities in the U.S. and other countries. We are also subject to tax audits in the countries where we operate. Any material assessment resulting from an audit from an administrative tax or revenue entity could negatively affect our financial results.</w:t>
      </w:r>
    </w:p>
    <w:p>
      <w:pPr>
        <w:spacing w:after="0" w:line="183" w:lineRule="exact"/>
        <w:rPr>
          <w:sz w:val="20"/>
          <w:szCs w:val="20"/>
          <w:color w:val="auto"/>
        </w:rPr>
      </w:pPr>
    </w:p>
    <w:p>
      <w:pPr>
        <w:ind w:right="640"/>
        <w:spacing w:after="0" w:line="312" w:lineRule="auto"/>
        <w:rPr>
          <w:sz w:val="20"/>
          <w:szCs w:val="20"/>
          <w:color w:val="auto"/>
        </w:rPr>
      </w:pPr>
      <w:r>
        <w:rPr>
          <w:rFonts w:ascii="Arial" w:cs="Arial" w:eastAsia="Arial" w:hAnsi="Arial"/>
          <w:sz w:val="17"/>
          <w:szCs w:val="17"/>
          <w:b w:val="1"/>
          <w:bCs w:val="1"/>
          <w:color w:val="auto"/>
        </w:rPr>
        <w:t>The terms and covenants relating to our credit facility could adversely impact our ability to pursue our strategy and our financial performance and liquidity, and thus we may need additional financial resources to maintain our liquidity.</w:t>
      </w:r>
    </w:p>
    <w:p>
      <w:pPr>
        <w:spacing w:after="0" w:line="14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credit facility with M&amp;T Bank contains covenants requiring us to, among other things, provide financial and other information and to provide notice upon the occurrence of certain events affecting us or our business. These covenants also place restrictions on our ability to incur additional indebtedness, and enter into certain transactions, including selling assets, engaging in mergers or acquisitions, or engaging in transactions with affiliates. If we fail to satisfy one or more of the covenants under our credit facility, we would be in default thereunder, and may be required to repay such debt with capital from other sources or otherwise not be able to draw down against our facility. Under such circumstances, we may have difficulty in locating another lender that would be willing to extend credit to us, and other sources of capital may not be available to us on reasonable terms or at all. See “Management's Discussion and Analysis of Financial Condition and Results of Operations – Overview – Credit Facility” and Note 12 to our consolidated financial statements in this Report for a discussion of the material terms of our credit facility.</w:t>
      </w:r>
    </w:p>
    <w:p>
      <w:pPr>
        <w:spacing w:after="0" w:line="16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0" w:right="339" w:bottom="1440" w:gutter="0" w:footer="0" w:header="0"/>
        </w:sectPr>
      </w:pPr>
    </w:p>
    <w:bookmarkStart w:id="19" w:name="page20"/>
    <w:bookmarkEnd w:id="19"/>
    <w:p>
      <w:pPr>
        <w:spacing w:after="0" w:line="11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hold our cash and cash equivalents that we use to meet our working capital needs in deposit accounts that could be adversely affected if the financial institutions holding such funds fail.</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hold our cash and cash equivalents that we use to meet our working capital needs in deposit accounts at multiple financial institutions. The balance held in these accounts may exceed the Federal Deposit Insurance Corporation ("FDIC"), standard deposit insurance limit or similar government guarantee schemes.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obligations.</w:t>
      </w:r>
    </w:p>
    <w:p>
      <w:pPr>
        <w:spacing w:after="0" w:line="19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For example, on March 10, 2023, Silicon Valley Bank ("SVB"), and on March 12, 2023, Signature Bank, were closed by state regulators and the FDIC was appointed receiver for each bank. The FDIC created successor bridge banks and all deposits of SVB and Signature Bank were transferred to the bridge banks under a systemic risk exception approved by the United States Department of the Treasury, the Federal Reserve and the FDIC. If financial institutions in which we hold funds for working capital were to fail, we cannot provide any assurances that such governmental agencies would take action to protect our uninsured deposits in a similar manner.</w:t>
      </w:r>
    </w:p>
    <w:p>
      <w:pPr>
        <w:spacing w:after="0" w:line="1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also maintain investment accounts with other financial institutions in which we hold our investments and, if access to the funds we use for working capital is impaired, we may not be able to sell investments or transfer funds from our investment accounts to new accounts on a timely basis sufficient to meet our working capital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doing business in China.</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conduct sales and other business operations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intellectual property we develop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spacing w:after="0" w:line="182" w:lineRule="exact"/>
        <w:rPr>
          <w:sz w:val="20"/>
          <w:szCs w:val="20"/>
          <w:color w:val="auto"/>
        </w:rPr>
      </w:pPr>
    </w:p>
    <w:p>
      <w:pPr>
        <w:ind w:left="940" w:hanging="640"/>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Chinese government exerts substantial influence over the manner in which we must conduct our business activities;</w:t>
      </w:r>
    </w:p>
    <w:p>
      <w:pPr>
        <w:spacing w:after="0" w:line="36" w:lineRule="exact"/>
        <w:rPr>
          <w:rFonts w:ascii="Arial" w:cs="Arial" w:eastAsia="Arial" w:hAnsi="Arial"/>
          <w:sz w:val="18"/>
          <w:szCs w:val="18"/>
          <w:color w:val="auto"/>
        </w:rPr>
      </w:pPr>
    </w:p>
    <w:p>
      <w:pPr>
        <w:ind w:left="940" w:hanging="640"/>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currency exchange may limit our ability to receive, transfer and use our cash effectively;</w:t>
      </w:r>
    </w:p>
    <w:p>
      <w:pPr>
        <w:spacing w:after="0" w:line="36" w:lineRule="exact"/>
        <w:rPr>
          <w:rFonts w:ascii="Arial" w:cs="Arial" w:eastAsia="Arial" w:hAnsi="Arial"/>
          <w:sz w:val="18"/>
          <w:szCs w:val="18"/>
          <w:color w:val="auto"/>
        </w:rPr>
      </w:pPr>
    </w:p>
    <w:p>
      <w:pPr>
        <w:ind w:left="940" w:right="320" w:hanging="640"/>
        <w:spacing w:after="0" w:line="274" w:lineRule="auto"/>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uncertainties related to the enforcement of intellectual property rights including any intellectual property rights that we may license to a Chinese (or other emerging jurisdiction) entity, including any joint ventures we may form;</w:t>
      </w:r>
    </w:p>
    <w:p>
      <w:pPr>
        <w:ind w:left="940" w:hanging="640"/>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uncertainties relating to Chinese regulation of exports of products and technology to and from China;</w:t>
      </w:r>
    </w:p>
    <w:p>
      <w:pPr>
        <w:spacing w:after="0" w:line="21" w:lineRule="exact"/>
        <w:rPr>
          <w:rFonts w:ascii="Arial" w:cs="Arial" w:eastAsia="Arial" w:hAnsi="Arial"/>
          <w:sz w:val="18"/>
          <w:szCs w:val="18"/>
          <w:color w:val="auto"/>
        </w:rPr>
      </w:pPr>
    </w:p>
    <w:p>
      <w:pPr>
        <w:ind w:left="940" w:right="600" w:hanging="640"/>
        <w:spacing w:after="0" w:line="258"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and rapidly changing export and related trade regulations and restrictions imposed by U.S. and Chinese legislation, executive actions and regulations;</w:t>
      </w:r>
    </w:p>
    <w:p>
      <w:pPr>
        <w:spacing w:after="0" w:line="1" w:lineRule="exact"/>
        <w:rPr>
          <w:rFonts w:ascii="Arial" w:cs="Arial" w:eastAsia="Arial" w:hAnsi="Arial"/>
          <w:sz w:val="18"/>
          <w:szCs w:val="18"/>
          <w:color w:val="auto"/>
        </w:rPr>
      </w:pPr>
    </w:p>
    <w:p>
      <w:pPr>
        <w:ind w:left="940" w:right="380" w:hanging="640"/>
        <w:spacing w:after="0" w:line="250"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of travel to and from China (and to and from United States) arising from or related to the COVID-19 pandemic or any future pandemic;</w:t>
      </w:r>
    </w:p>
    <w:p>
      <w:pPr>
        <w:ind w:left="940" w:right="200" w:hanging="640"/>
        <w:spacing w:after="0" w:line="250"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Chinese government may favor its local businesses and make it more difficult for foreign businesses to operate in China on an equal footing, or create generally difficult conditions for foreign headquartered businesses to operate;</w:t>
      </w:r>
    </w:p>
    <w:p>
      <w:pPr>
        <w:ind w:left="940" w:hanging="640"/>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uncertainties related to the enforcement of contracts with certain parties;</w:t>
      </w:r>
    </w:p>
    <w:p>
      <w:pPr>
        <w:spacing w:after="0" w:line="21" w:lineRule="exact"/>
        <w:rPr>
          <w:rFonts w:ascii="Arial" w:cs="Arial" w:eastAsia="Arial" w:hAnsi="Arial"/>
          <w:sz w:val="18"/>
          <w:szCs w:val="18"/>
          <w:color w:val="auto"/>
        </w:rPr>
      </w:pPr>
    </w:p>
    <w:p>
      <w:pPr>
        <w:ind w:left="940" w:hanging="640"/>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More restrictive rules on foreign investment could adversely affect our ability to expand our operations in China; and</w:t>
      </w:r>
    </w:p>
    <w:p>
      <w:pPr>
        <w:spacing w:after="0" w:line="36" w:lineRule="exact"/>
        <w:rPr>
          <w:rFonts w:ascii="Arial" w:cs="Arial" w:eastAsia="Arial" w:hAnsi="Arial"/>
          <w:sz w:val="18"/>
          <w:szCs w:val="18"/>
          <w:color w:val="auto"/>
        </w:rPr>
      </w:pPr>
    </w:p>
    <w:p>
      <w:pPr>
        <w:ind w:left="940" w:right="500" w:hanging="640"/>
        <w:spacing w:after="0" w:line="308" w:lineRule="auto"/>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Geopolitical tensions between China on the one hand and the United States and/or the European Union on the other hand, may increase and may lead to increased export sanctions with Chinese entities and sanctions made against China.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our growing operations in China, these risks could harm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political and other risks conducting business in Taiwan particularly due to their tense relationships with China.</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customers located in Taiwan. Accordingly, our business, financial condition and results of operations may be affected by changes in governmental and economic policies in Taiwan, social instability and diplomatic and social developments in or affecting Taiwan due to its unique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CUSTOMER BASE</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auto"/>
        </w:rPr>
        <w:t>Changes in the buying patterns of our customers have affected, and may continue to affect, demand for our products and our gross and net operating margins. Such changes in patterns are difficult to predict and may not be immediately apparent.</w:t>
      </w:r>
    </w:p>
    <w:p>
      <w:pPr>
        <w:spacing w:after="0" w:line="14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to the cyclicality of the semi market, demand for our products and our gross and net operating margins have also been affected by changes in the buying patterns of our customers. Some of the changes in customer buying patterns that have impacted us in the past, and may continue to do so in the future, have included customers placing heightened emphasis on shorter lead times (which places increased demands on our available engineering and production capacity and may result in increasing unit costs) and ordering in smaller quantities (which prevents us from acquiring component materials in larger volumes at lower unit costs.) We have also experienced customer supply chain management groups demanding lower prices and spreading purchases across multiple vendors. We believe some of the changes in customer buying patterns are the result of changes within the semi market over the last several years, including, for example, changing product requirements and longer time periods between new product offerings by OEMs. Such shifts in market practices have had, and may continue to have, varying degrees of impact</w:t>
      </w:r>
    </w:p>
    <w:p>
      <w:pPr>
        <w:sectPr>
          <w:pgSz w:w="11900" w:h="16954" w:orient="portrait"/>
          <w:cols w:equalWidth="0" w:num="1">
            <w:col w:w="10560"/>
          </w:cols>
          <w:pgMar w:left="1000" w:top="580" w:right="339" w:bottom="0" w:gutter="0" w:footer="0" w:header="0"/>
        </w:sectPr>
      </w:pPr>
    </w:p>
    <w:bookmarkStart w:id="20" w:name="page21"/>
    <w:bookmarkEnd w:id="20"/>
    <w:p>
      <w:pPr>
        <w:spacing w:after="0" w:line="263" w:lineRule="auto"/>
        <w:rPr>
          <w:sz w:val="20"/>
          <w:szCs w:val="20"/>
          <w:color w:val="auto"/>
        </w:rPr>
      </w:pPr>
      <w:r>
        <w:rPr>
          <w:rFonts w:ascii="Arial" w:cs="Arial" w:eastAsia="Arial" w:hAnsi="Arial"/>
          <w:sz w:val="18"/>
          <w:szCs w:val="18"/>
          <w:color w:val="auto"/>
        </w:rPr>
        <w:t>on our revenue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w:t>
      </w:r>
    </w:p>
    <w:p>
      <w:pPr>
        <w:spacing w:after="0" w:line="18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1000" w:top="125" w:right="479" w:bottom="1440" w:gutter="0" w:footer="0" w:header="0"/>
        </w:sectPr>
      </w:pPr>
    </w:p>
    <w:bookmarkStart w:id="21" w:name="page22"/>
    <w:bookmarkEnd w:id="21"/>
    <w:p>
      <w:pPr>
        <w:ind w:right="300"/>
        <w:spacing w:after="0" w:line="282" w:lineRule="auto"/>
        <w:rPr>
          <w:sz w:val="20"/>
          <w:szCs w:val="20"/>
          <w:color w:val="auto"/>
        </w:rPr>
      </w:pPr>
      <w:r>
        <w:rPr>
          <w:rFonts w:ascii="Arial" w:cs="Arial" w:eastAsia="Arial" w:hAnsi="Arial"/>
          <w:sz w:val="18"/>
          <w:szCs w:val="18"/>
          <w:b w:val="1"/>
          <w:bCs w:val="1"/>
          <w:color w:val="auto"/>
        </w:rPr>
        <w:t>We generate a large portion of our sales from a small number of customers. If we were to lose one or more of our large customers, our operating results could suffer dramatically.</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year ended December 31, 2022, no customer accounted for 10% or more of our consolidated revenue. During the year ended December 31, 2021, one customer accounted for 13% of our consolidated revenue. This revenue was primarily generated by our Electronic Test segment. During the year ended December 31, 2021, no other customer accounted for 10% or more of our consolidated revenue. Our ten largest customers accounted for approximately 43% of our consolidated revenue in each of the years ended December 31, 2022 and 2021. The loss of any one or more of our largest customers, or a reduction in orders by a major customer could materially reduce our net revenues or otherwise materially affect our business,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COMPETITION</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Our business is subject to intense competition, which has in the past and could in the future, materially adversely affect our business, financial condition and results of operations.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face significant competition throughout the world in each of our operating segments. Some of our competitors have substantial financial resources and more extensive design and production capabilities than us. Some of our competitors are much smaller than we are, and therefore have much lower levels of overhead than us, which enables them to sell their competing products at lower prices. In order to remain competitive, we must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In the recent past, in response to significant declines in global demand for our products, some competitors have reduced their product pricing significantly, which has led to intensified price-based competition, which has and could continue to materially adversely affect our business, financial condition and results of operations.</w:t>
      </w:r>
    </w:p>
    <w:p>
      <w:pPr>
        <w:spacing w:after="0" w:line="17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Our markets are subject to rapid technological change, and our business prospects would be negatively affected if we are unable to quickly and effectively respond to innovation in the semi market or other markets that we serve.</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Technology, including semiconductor technology, continues to become more complex as the pace of innovation and development of new technology increases. In addition, manufacturers are incorporating ICs into an increasing variety of products. This trend, including the changes needed in automated testing systems to respond to developments in the semiconductor market,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FOREIGN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current conflict in the Ukraine could disrupt our supply chain or cause other adverse effects on our revenue and earnings.</w:t>
      </w:r>
    </w:p>
    <w:p>
      <w:pPr>
        <w:spacing w:after="0" w:line="24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late February 2022, Russia initiated significant military action against Ukraine. In response, the U.S. and certain other countries imposed significant sanctions and trade actions against Russia. The U.S. and certain other countries could impose further sanctions, trade restrictions and other retaliatory actions should the conflict continue or worsen. It is not possible to predict the broader consequences of the conflict, including related geopolitical tensions, and the measures and retaliatory actions taken by the U.S. and other countries in respect thereof, as well as any counter measures or retaliatory actions by Russia in response. At a minimum, the continuing conflict is likely to cause regional instability, geopolitical shifts and could materially adversely affect global trade, currency exchange rates, regional economies and the global economy, which could materially adversely affect our financial condition or results of operations. In addition, the conflict and actions taken in response to the conflict could increase our costs or disrupt our supply chain for certain material which Acculogic currently acquires from a key sole-source supplier in Belarus. If we cannot find an alternate supplier for this material, our revenue and earnings could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substantial portion of our customers are located outside the U.S., which exposes us to foreign political and economic risks.</w:t>
      </w:r>
    </w:p>
    <w:p>
      <w:pPr>
        <w:spacing w:after="0" w:line="24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operated internationally for many years and expect to expand our international operations to continue expansion of our sales and service to our non-U.S. customers. Our foreign subsidiaries generated 19% and 12% of consolidated revenue in 2022 and 2021, respectively. Revenue from foreign customers totaled $67.7 million, or 58% of consolidated revenue in 2022, and $58.1 million, or 68% of consolidated revenue in 2021. We expect our revenue from foreign customers will continue to represent a significant portion of total revenue.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78" w:lineRule="exact"/>
        <w:rPr>
          <w:sz w:val="20"/>
          <w:szCs w:val="20"/>
          <w:color w:val="auto"/>
        </w:rPr>
      </w:pPr>
    </w:p>
    <w:p>
      <w:pPr>
        <w:ind w:left="940" w:hanging="640"/>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COVID-19 on markets outside the U.S.;</w:t>
      </w:r>
    </w:p>
    <w:p>
      <w:pPr>
        <w:spacing w:after="0" w:line="25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80" w:right="359" w:bottom="1440" w:gutter="0" w:footer="0" w:header="0"/>
        </w:sectPr>
      </w:pPr>
    </w:p>
    <w:bookmarkStart w:id="22" w:name="page23"/>
    <w:bookmarkEnd w:id="22"/>
    <w:p>
      <w:pPr>
        <w:ind w:left="940" w:hanging="640"/>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effects of certain foreign customers being added to the list of restricted customers by the U.S. Department of Commerce;</w:t>
      </w:r>
    </w:p>
    <w:p>
      <w:pPr>
        <w:spacing w:after="0" w:line="47" w:lineRule="exact"/>
        <w:rPr>
          <w:rFonts w:ascii="Arial" w:cs="Arial" w:eastAsia="Arial" w:hAnsi="Arial"/>
          <w:sz w:val="17"/>
          <w:szCs w:val="17"/>
          <w:color w:val="auto"/>
        </w:rPr>
      </w:pPr>
    </w:p>
    <w:p>
      <w:pPr>
        <w:ind w:left="940" w:hanging="640"/>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implementation of trade tariffs by the U.S. and other countries that would impact our products;</w:t>
      </w:r>
    </w:p>
    <w:p>
      <w:pPr>
        <w:spacing w:after="0" w:line="36" w:lineRule="exact"/>
        <w:rPr>
          <w:rFonts w:ascii="Arial" w:cs="Arial" w:eastAsia="Arial" w:hAnsi="Arial"/>
          <w:sz w:val="18"/>
          <w:szCs w:val="18"/>
          <w:color w:val="auto"/>
        </w:rPr>
      </w:pPr>
    </w:p>
    <w:p>
      <w:pPr>
        <w:ind w:left="940" w:hanging="640"/>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instability in foreign countries;</w:t>
      </w:r>
    </w:p>
    <w:p>
      <w:pPr>
        <w:spacing w:after="0" w:line="36" w:lineRule="exact"/>
        <w:rPr>
          <w:rFonts w:ascii="Arial" w:cs="Arial" w:eastAsia="Arial" w:hAnsi="Arial"/>
          <w:sz w:val="18"/>
          <w:szCs w:val="18"/>
          <w:color w:val="auto"/>
        </w:rPr>
      </w:pPr>
    </w:p>
    <w:p>
      <w:pPr>
        <w:ind w:left="940" w:hanging="640"/>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imposition of financial and operational controls and regulatory restrictions by foreign governments;</w:t>
      </w:r>
    </w:p>
    <w:p>
      <w:pPr>
        <w:spacing w:after="0" w:line="36" w:lineRule="exact"/>
        <w:rPr>
          <w:rFonts w:ascii="Arial" w:cs="Arial" w:eastAsia="Arial" w:hAnsi="Arial"/>
          <w:sz w:val="18"/>
          <w:szCs w:val="18"/>
          <w:color w:val="auto"/>
        </w:rPr>
      </w:pPr>
    </w:p>
    <w:p>
      <w:pPr>
        <w:ind w:left="940" w:hanging="640"/>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comply with a wide variety of U.S. and foreign import and export laws;</w:t>
      </w:r>
    </w:p>
    <w:p>
      <w:pPr>
        <w:spacing w:after="0" w:line="36" w:lineRule="exact"/>
        <w:rPr>
          <w:rFonts w:ascii="Arial" w:cs="Arial" w:eastAsia="Arial" w:hAnsi="Arial"/>
          <w:sz w:val="18"/>
          <w:szCs w:val="18"/>
          <w:color w:val="auto"/>
        </w:rPr>
      </w:pPr>
    </w:p>
    <w:p>
      <w:pPr>
        <w:ind w:left="940" w:right="500" w:hanging="640"/>
        <w:spacing w:after="0" w:line="274" w:lineRule="auto"/>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ind w:left="940" w:hanging="640"/>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restrictions;</w:t>
      </w:r>
    </w:p>
    <w:p>
      <w:pPr>
        <w:spacing w:after="0" w:line="21" w:lineRule="exact"/>
        <w:rPr>
          <w:rFonts w:ascii="Arial" w:cs="Arial" w:eastAsia="Arial" w:hAnsi="Arial"/>
          <w:sz w:val="18"/>
          <w:szCs w:val="18"/>
          <w:color w:val="auto"/>
        </w:rPr>
      </w:pPr>
    </w:p>
    <w:p>
      <w:pPr>
        <w:ind w:left="940" w:hanging="640"/>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taxes;</w:t>
      </w:r>
    </w:p>
    <w:p>
      <w:pPr>
        <w:spacing w:after="0" w:line="36" w:lineRule="exact"/>
        <w:rPr>
          <w:rFonts w:ascii="Arial" w:cs="Arial" w:eastAsia="Arial" w:hAnsi="Arial"/>
          <w:sz w:val="18"/>
          <w:szCs w:val="18"/>
          <w:color w:val="auto"/>
        </w:rPr>
      </w:pPr>
    </w:p>
    <w:p>
      <w:pPr>
        <w:ind w:left="940" w:hanging="640"/>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36" w:lineRule="exact"/>
        <w:rPr>
          <w:rFonts w:ascii="Arial" w:cs="Arial" w:eastAsia="Arial" w:hAnsi="Arial"/>
          <w:sz w:val="18"/>
          <w:szCs w:val="18"/>
          <w:color w:val="auto"/>
        </w:rPr>
      </w:pPr>
    </w:p>
    <w:p>
      <w:pPr>
        <w:ind w:left="940" w:hanging="640"/>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36" w:lineRule="exact"/>
        <w:rPr>
          <w:rFonts w:ascii="Arial" w:cs="Arial" w:eastAsia="Arial" w:hAnsi="Arial"/>
          <w:sz w:val="18"/>
          <w:szCs w:val="18"/>
          <w:color w:val="auto"/>
        </w:rPr>
      </w:pPr>
    </w:p>
    <w:p>
      <w:pPr>
        <w:ind w:left="940" w:hanging="640"/>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greater difficulty of administering business abroad.</w:t>
      </w: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 significant portion of our cash position is maintained overseas and we may not be able to repatriate cash from overseas when necessary, which could have an adverse effect on our financial condition.</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While much of our cash is in the U.S., a significant portion is generated from and maintained by our foreign operations. At December 31, 2022, $5.0 million, or 37%, of our cash and cash equivalents was held by our foreign subsidiaries. We also had $1.1 million of restricted cash that is discussed in Note 2 to our consolidated financial statements in this Report that was held by one of our subsidiaries in the Netherlands. Our financial condition and results of operations could be adversely impacted if we are unable to maintain a sufficient level of cash flow in the U.S. to address our cash requirements and if we are unable to efficiently and timely repatriate cash from overseas. Any payment of distributions, loans or advances to us by our foreign subsidiaries could be subject to restrictions on, or taxation of, dividends or repatriation of earnings under applicable local law, monetary transfer restrictions and foreign currency exchange regulations in the jurisdictions in which our subsidiaries operate. If we are unable to repatriate the earnings of our subsidiaries, it could have an adverse impact on our ability to redeploy earnings in other jurisdictions where they could be used more profitably.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COVID-19</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and the market price of our common stock have been and may continue to be adversely affected by the COVID-19 pandemic.</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While the negative impact of COVID-19 on our business was further reduced in 2022, the spread of the virus or variants of the virus could worsen and one or more of our significant customers or suppliers could be impacted, or significant additional governmental regulations and restrictions could be imposed, thus negatively impacting our business in the future.</w:t>
      </w:r>
    </w:p>
    <w:p>
      <w:pPr>
        <w:spacing w:after="0" w:line="184" w:lineRule="exact"/>
        <w:rPr>
          <w:sz w:val="20"/>
          <w:szCs w:val="20"/>
          <w:color w:val="auto"/>
        </w:rPr>
      </w:pPr>
    </w:p>
    <w:p>
      <w:pPr>
        <w:jc w:val="both"/>
        <w:ind w:right="320"/>
        <w:spacing w:after="0" w:line="287" w:lineRule="auto"/>
        <w:rPr>
          <w:sz w:val="20"/>
          <w:szCs w:val="20"/>
          <w:color w:val="auto"/>
        </w:rPr>
      </w:pPr>
      <w:r>
        <w:rPr>
          <w:rFonts w:ascii="Arial" w:cs="Arial" w:eastAsia="Arial" w:hAnsi="Arial"/>
          <w:sz w:val="16"/>
          <w:szCs w:val="16"/>
          <w:color w:val="auto"/>
        </w:rPr>
        <w:t>We have had occasions where one or more employees have contracted COVID-19 and entered our facilities while infected. We have managed these occurrences with minimal disruption to our business while protecting other employees, but there can be no assurances that we can avoid similar occurrences in the future or that, in such cases, we can avoid significant disruption of our operations as a result of such occurrences.</w:t>
      </w:r>
    </w:p>
    <w:p>
      <w:pPr>
        <w:spacing w:after="0" w:line="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Should this occur, or should we have employees who become ill or otherwise are unable to work as a result of COVID-19, we may experience limitations in employee resources or may be required to close affected facilities for a time to clean and disinfect appropriately, and allow employees to quarantine, as appropriate.</w:t>
      </w:r>
    </w:p>
    <w:p>
      <w:pPr>
        <w:spacing w:after="0" w:line="19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rely on a relatively few number of customers for a significant portion of our sales. The spread of the virus or variants of the virus could worsen and one or more of our significant customers could be impacted. If one or more of our significant customers is negatively impacted, our business, results of operations and financial condition will be adversely affected. In addition, the aftermarket service and support that we provide to our customers has been adversely affected by COVID-19 in the past due to travel restrictions and limitations on visitors allowed into customer facilities, which resulted in some of these activities being reduced or suspended. If the spread of the virus or variants of the virus were to worsen and travel restrictions and limitations were to be reinstated, this portion of our business could be adversely affected in the future.</w:t>
      </w:r>
    </w:p>
    <w:p>
      <w:pPr>
        <w:spacing w:after="0" w:line="16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84" w:right="359" w:bottom="1440" w:gutter="0" w:footer="0" w:header="0"/>
        </w:sectPr>
      </w:pPr>
    </w:p>
    <w:bookmarkStart w:id="23" w:name="page24"/>
    <w:bookmarkEnd w:id="23"/>
    <w:p>
      <w:pPr>
        <w:ind w:right="160"/>
        <w:spacing w:after="0" w:line="279" w:lineRule="auto"/>
        <w:rPr>
          <w:sz w:val="20"/>
          <w:szCs w:val="20"/>
          <w:color w:val="auto"/>
        </w:rPr>
      </w:pPr>
      <w:r>
        <w:rPr>
          <w:rFonts w:ascii="Arial" w:cs="Arial" w:eastAsia="Arial" w:hAnsi="Arial"/>
          <w:sz w:val="17"/>
          <w:szCs w:val="17"/>
          <w:color w:val="auto"/>
        </w:rPr>
        <w:t>Generally, global supply chains and the timely availability of products have been materially disrupted by quarantines, factory slowdowns or shutdowns, border closings and travel restrictions resulting from COVID-19 in the past. If the spread of the virus or variants worsens and one or more of our significant suppliers is negatively impacted in the future, we could experience delays in receipt of materials or price increases in the future which could have a material negative impact on our business, results of operations and financial condition.</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adverse effects of COVID-19 on our business could be material in future periods, particularly if there are significant and prolonged economic slowdowns in regions where we derive a significant amount of our revenue or profit, or where our suppliers are located, or if we are forced to close facilities and limit or cease manufacturing operations for extended periods of time. We could experience delays in receipt of customer orders, cancellation or postponement of existing orders. Further, as a result of COVID-19, our ability to fulfill orders within the proposed parameters at the time of order, including within the approximated timeline and estimated cost, may be negatively affected. This could lead to a reduction in revenue and/or an increase in our cost of revenues in future periods and could have a material adverse effect on our business, results of operations and financial condition. COVID-19 has also led to extreme volatility in capital markets and has adversely affected, and may adversely affect, the market price of our common stock in the future. As a result of any negative impact of COVID-19 on our business, results of operations, financial condition and cash flows, we may determine that our goodwill and long-lived assets are impaired, which would result in recording an impairment charge. The amount of any such impairment charge could be 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of intellectual property infringement by or against us could seriously harm our businesses.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From time to time, we may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protect our intellectual property, we may lose a valuable asset or may incur costly litigation to protect our rights.</w:t>
      </w:r>
    </w:p>
    <w:p>
      <w:pPr>
        <w:spacing w:after="0" w:line="25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protect the technology that is incorporated in our products in several ways, including through patent, copyright, trademark and trade secret protection and by contractual agreement. However, even with these protections, our intellectual property may still be challenged, invalidated or subject to other infringement actions. While we believe that our intellectual property has value in the aggregate, no single element of our intellectual property is in itself essential. If a significant portion of our intellectual property is invalidated or ineffective, our business could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OPERATING RESULTS AND STOCK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often change significantly from quarter to quarter and may cause fluctuations in our stock price.</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Historically, our operating results have fluctuated significantly from quarter to quarter. We believe that these fluctuations occur primarily due to the cycles of demand in the semiconductor manufacturing industry. In addition to these changing cycles of demand, other factors that have caused our quarterly operating results to fluctuate in the past or that may cause fluctuations and losses in the future, include:</w:t>
      </w:r>
    </w:p>
    <w:p>
      <w:pPr>
        <w:spacing w:after="0" w:line="165" w:lineRule="exact"/>
        <w:rPr>
          <w:sz w:val="20"/>
          <w:szCs w:val="20"/>
          <w:color w:val="auto"/>
        </w:rPr>
      </w:pPr>
    </w:p>
    <w:p>
      <w:pPr>
        <w:ind w:left="940" w:hanging="640"/>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due diligence and transaction-related expenses for a proposed acquisition that does not get completed;</w:t>
      </w:r>
    </w:p>
    <w:p>
      <w:pPr>
        <w:spacing w:after="0" w:line="36" w:lineRule="exact"/>
        <w:rPr>
          <w:rFonts w:ascii="Arial" w:cs="Arial" w:eastAsia="Arial" w:hAnsi="Arial"/>
          <w:sz w:val="18"/>
          <w:szCs w:val="18"/>
          <w:color w:val="auto"/>
        </w:rPr>
      </w:pPr>
    </w:p>
    <w:p>
      <w:pPr>
        <w:ind w:left="940" w:hanging="640"/>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and timing of integration of our acquisitions and plant consolidations and relocations;</w:t>
      </w:r>
    </w:p>
    <w:p>
      <w:pPr>
        <w:spacing w:after="0" w:line="36" w:lineRule="exact"/>
        <w:rPr>
          <w:rFonts w:ascii="Arial" w:cs="Arial" w:eastAsia="Arial" w:hAnsi="Arial"/>
          <w:sz w:val="18"/>
          <w:szCs w:val="18"/>
          <w:color w:val="auto"/>
        </w:rPr>
      </w:pPr>
    </w:p>
    <w:p>
      <w:pPr>
        <w:ind w:left="940" w:right="560" w:hanging="640"/>
        <w:spacing w:after="0" w:line="258"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demand in the markets we serve including the automotive, defense/aerospace, industrial, life sciences and security markets;</w:t>
      </w:r>
    </w:p>
    <w:p>
      <w:pPr>
        <w:spacing w:after="0" w:line="1" w:lineRule="exact"/>
        <w:rPr>
          <w:rFonts w:ascii="Arial" w:cs="Arial" w:eastAsia="Arial" w:hAnsi="Arial"/>
          <w:sz w:val="18"/>
          <w:szCs w:val="18"/>
          <w:color w:val="auto"/>
        </w:rPr>
      </w:pPr>
    </w:p>
    <w:p>
      <w:pPr>
        <w:ind w:left="940" w:hanging="640"/>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state of the U.S. and global economies;</w:t>
      </w:r>
    </w:p>
    <w:p>
      <w:pPr>
        <w:spacing w:after="0" w:line="21" w:lineRule="exact"/>
        <w:rPr>
          <w:rFonts w:ascii="Arial" w:cs="Arial" w:eastAsia="Arial" w:hAnsi="Arial"/>
          <w:sz w:val="18"/>
          <w:szCs w:val="18"/>
          <w:color w:val="auto"/>
        </w:rPr>
      </w:pPr>
    </w:p>
    <w:p>
      <w:pPr>
        <w:ind w:left="940" w:hanging="640"/>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the buying patterns of our customers including any changes in the rate of, and timing of, purchases by our customers;</w:t>
      </w:r>
    </w:p>
    <w:p>
      <w:pPr>
        <w:spacing w:after="0" w:line="59" w:lineRule="exact"/>
        <w:rPr>
          <w:rFonts w:ascii="Arial" w:cs="Arial" w:eastAsia="Arial" w:hAnsi="Arial"/>
          <w:sz w:val="16"/>
          <w:szCs w:val="16"/>
          <w:color w:val="auto"/>
        </w:rPr>
      </w:pPr>
    </w:p>
    <w:p>
      <w:pPr>
        <w:ind w:left="940" w:hanging="640"/>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interruptions in our supply chain caused by external factors;</w:t>
      </w:r>
    </w:p>
    <w:p>
      <w:pPr>
        <w:spacing w:after="0" w:line="36" w:lineRule="exact"/>
        <w:rPr>
          <w:rFonts w:ascii="Arial" w:cs="Arial" w:eastAsia="Arial" w:hAnsi="Arial"/>
          <w:sz w:val="18"/>
          <w:szCs w:val="18"/>
          <w:color w:val="auto"/>
        </w:rPr>
      </w:pPr>
    </w:p>
    <w:p>
      <w:pPr>
        <w:ind w:left="940" w:hanging="640"/>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market share;</w:t>
      </w:r>
    </w:p>
    <w:p>
      <w:pPr>
        <w:spacing w:after="0" w:line="25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84" w:right="359" w:bottom="1440" w:gutter="0" w:footer="0" w:header="0"/>
        </w:sectPr>
      </w:pPr>
    </w:p>
    <w:bookmarkStart w:id="24" w:name="page25"/>
    <w:bookmarkEnd w:id="24"/>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COVID-19 or any other pandemic on our business;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technological obsolescence of our inventories;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quantities of our inventories greater than is reasonably likely to be utilized in future periods;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level of product warranty charges;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excess manufacturing capacity;</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control operating costs;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shipments of our products;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mix of our products sold;</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mix of customers and geographic regions where we sell our products;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level of our fixed costs;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the development of our proprietary technology;</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raw materials or fabricated parts when needed;</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costs of component materials;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cancellation or rescheduling of orders by our customers;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regulations; and</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geopolitical instability.</w:t>
      </w:r>
    </w:p>
    <w:p>
      <w:pPr>
        <w:spacing w:after="0" w:line="252" w:lineRule="exact"/>
        <w:rPr>
          <w:sz w:val="20"/>
          <w:szCs w:val="20"/>
          <w:color w:val="auto"/>
        </w:rPr>
      </w:pPr>
    </w:p>
    <w:p>
      <w:pPr>
        <w:ind w:left="680" w:right="20"/>
        <w:spacing w:after="0" w:line="277" w:lineRule="auto"/>
        <w:rPr>
          <w:sz w:val="20"/>
          <w:szCs w:val="20"/>
          <w:color w:val="auto"/>
        </w:rPr>
      </w:pPr>
      <w:r>
        <w:rPr>
          <w:rFonts w:ascii="Arial" w:cs="Arial" w:eastAsia="Arial" w:hAnsi="Arial"/>
          <w:sz w:val="18"/>
          <w:szCs w:val="18"/>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3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disclosure is not required as the Company is not an accelerated filer, large accelerated filer, nor a well-known seasoned issuer.</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color w:val="auto"/>
        </w:rPr>
        <w:t>At December 31, 2022, we leased thirteen facilities worldwide. The following chart provides information regarding each of our principal facilities that we leased at December 31, 2022:</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4"/>
              </w:rPr>
              <w:t>Approx.</w:t>
            </w:r>
          </w:p>
        </w:tc>
        <w:tc>
          <w:tcPr>
            <w:tcW w:w="59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960" w:type="dxa"/>
            <w:vAlign w:val="bottom"/>
          </w:tcPr>
          <w:p>
            <w:pPr>
              <w:ind w:left="860"/>
              <w:spacing w:after="0"/>
              <w:rPr>
                <w:sz w:val="20"/>
                <w:szCs w:val="20"/>
                <w:color w:val="auto"/>
              </w:rPr>
            </w:pPr>
            <w:r>
              <w:rPr>
                <w:rFonts w:ascii="Arial" w:cs="Arial" w:eastAsia="Arial" w:hAnsi="Arial"/>
                <w:sz w:val="18"/>
                <w:szCs w:val="18"/>
                <w:b w:val="1"/>
                <w:bCs w:val="1"/>
                <w:color w:val="auto"/>
              </w:rPr>
              <w:t>Lease</w:t>
            </w: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Square</w:t>
            </w:r>
          </w:p>
        </w:tc>
        <w:tc>
          <w:tcPr>
            <w:tcW w:w="5900" w:type="dxa"/>
            <w:vAlign w:val="bottom"/>
          </w:tcPr>
          <w:p>
            <w:pPr>
              <w:spacing w:after="0"/>
              <w:rPr>
                <w:sz w:val="18"/>
                <w:szCs w:val="18"/>
                <w:color w:val="auto"/>
              </w:rPr>
            </w:pPr>
          </w:p>
        </w:tc>
      </w:tr>
      <w:tr>
        <w:trPr>
          <w:trHeight w:val="234"/>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19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Expiration</w:t>
            </w:r>
          </w:p>
        </w:tc>
        <w:tc>
          <w:tcPr>
            <w:tcW w:w="11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8"/>
              </w:rPr>
              <w:t>Footage</w:t>
            </w:r>
          </w:p>
        </w:tc>
        <w:tc>
          <w:tcPr>
            <w:tcW w:w="59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Principal Uses</w:t>
            </w:r>
          </w:p>
        </w:tc>
      </w:tr>
      <w:tr>
        <w:trPr>
          <w:trHeight w:val="210"/>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Rochester, NY</w:t>
            </w:r>
          </w:p>
        </w:tc>
        <w:tc>
          <w:tcPr>
            <w:tcW w:w="1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April 2028</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79,150</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Process Technologies segment operations (principal facility for Ambrell)</w:t>
            </w:r>
          </w:p>
        </w:tc>
      </w:tr>
      <w:tr>
        <w:trPr>
          <w:trHeight w:val="202"/>
        </w:trPr>
        <w:tc>
          <w:tcPr>
            <w:tcW w:w="1420" w:type="dxa"/>
            <w:vAlign w:val="bottom"/>
          </w:tcPr>
          <w:p>
            <w:pPr>
              <w:spacing w:after="0" w:line="201" w:lineRule="exact"/>
              <w:rPr>
                <w:sz w:val="20"/>
                <w:szCs w:val="20"/>
                <w:color w:val="auto"/>
              </w:rPr>
            </w:pPr>
            <w:r>
              <w:rPr>
                <w:rFonts w:ascii="Arial" w:cs="Arial" w:eastAsia="Arial" w:hAnsi="Arial"/>
                <w:sz w:val="18"/>
                <w:szCs w:val="18"/>
                <w:color w:val="auto"/>
              </w:rPr>
              <w:t>Mansfield, MA</w:t>
            </w:r>
          </w:p>
        </w:tc>
        <w:tc>
          <w:tcPr>
            <w:tcW w:w="1960" w:type="dxa"/>
            <w:vAlign w:val="bottom"/>
          </w:tcPr>
          <w:p>
            <w:pPr>
              <w:ind w:left="260"/>
              <w:spacing w:after="0" w:line="201" w:lineRule="exact"/>
              <w:rPr>
                <w:sz w:val="20"/>
                <w:szCs w:val="20"/>
                <w:color w:val="auto"/>
              </w:rPr>
            </w:pPr>
            <w:r>
              <w:rPr>
                <w:rFonts w:ascii="Arial" w:cs="Arial" w:eastAsia="Arial" w:hAnsi="Arial"/>
                <w:sz w:val="18"/>
                <w:szCs w:val="18"/>
                <w:color w:val="auto"/>
              </w:rPr>
              <w:t>December 2024</w:t>
            </w:r>
          </w:p>
        </w:tc>
        <w:tc>
          <w:tcPr>
            <w:tcW w:w="116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0"/>
              </w:rPr>
              <w:t>52,700</w:t>
            </w:r>
          </w:p>
        </w:tc>
        <w:tc>
          <w:tcPr>
            <w:tcW w:w="5900" w:type="dxa"/>
            <w:vAlign w:val="bottom"/>
          </w:tcPr>
          <w:p>
            <w:pPr>
              <w:ind w:left="200"/>
              <w:spacing w:after="0" w:line="201" w:lineRule="exact"/>
              <w:rPr>
                <w:sz w:val="20"/>
                <w:szCs w:val="20"/>
                <w:color w:val="auto"/>
              </w:rPr>
            </w:pPr>
            <w:r>
              <w:rPr>
                <w:rFonts w:ascii="Arial" w:cs="Arial" w:eastAsia="Arial" w:hAnsi="Arial"/>
                <w:sz w:val="18"/>
                <w:szCs w:val="18"/>
                <w:color w:val="auto"/>
                <w:w w:val="95"/>
              </w:rPr>
              <w:t>Environmental Technologies segment operations (principal facility for iTS),</w:t>
            </w:r>
          </w:p>
        </w:tc>
      </w:tr>
      <w:tr>
        <w:trPr>
          <w:trHeight w:val="230"/>
        </w:trPr>
        <w:tc>
          <w:tcPr>
            <w:tcW w:w="14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w w:val="96"/>
              </w:rPr>
              <w:t>Process Technologies segment operations (principal facility for Videology)</w:t>
            </w:r>
          </w:p>
        </w:tc>
      </w:tr>
      <w:tr>
        <w:trPr>
          <w:trHeight w:val="216"/>
        </w:trPr>
        <w:tc>
          <w:tcPr>
            <w:tcW w:w="1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Mt. Laurel, NJ</w:t>
            </w:r>
          </w:p>
        </w:tc>
        <w:tc>
          <w:tcPr>
            <w:tcW w:w="1960" w:type="dxa"/>
            <w:vAlign w:val="bottom"/>
          </w:tcPr>
          <w:p>
            <w:pPr>
              <w:ind w:left="260"/>
              <w:spacing w:after="0"/>
              <w:rPr>
                <w:sz w:val="20"/>
                <w:szCs w:val="20"/>
                <w:color w:val="auto"/>
              </w:rPr>
            </w:pPr>
            <w:r>
              <w:rPr>
                <w:rFonts w:ascii="Arial" w:cs="Arial" w:eastAsia="Arial" w:hAnsi="Arial"/>
                <w:sz w:val="18"/>
                <w:szCs w:val="18"/>
                <w:color w:val="auto"/>
              </w:rPr>
              <w:t>April 2031</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33,650</w:t>
            </w:r>
          </w:p>
        </w:tc>
        <w:tc>
          <w:tcPr>
            <w:tcW w:w="5900" w:type="dxa"/>
            <w:vAlign w:val="bottom"/>
          </w:tcPr>
          <w:p>
            <w:pPr>
              <w:ind w:left="200"/>
              <w:spacing w:after="0"/>
              <w:rPr>
                <w:sz w:val="20"/>
                <w:szCs w:val="20"/>
                <w:color w:val="auto"/>
              </w:rPr>
            </w:pPr>
            <w:r>
              <w:rPr>
                <w:rFonts w:ascii="Arial" w:cs="Arial" w:eastAsia="Arial" w:hAnsi="Arial"/>
                <w:sz w:val="18"/>
                <w:szCs w:val="18"/>
                <w:color w:val="auto"/>
              </w:rPr>
              <w:t>Corporate headquarters and Electronic Test segment operations</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Ontario, Canada</w:t>
            </w:r>
          </w:p>
        </w:tc>
        <w:tc>
          <w:tcPr>
            <w:tcW w:w="1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February 2028</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16,437</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Electronic Test segment operations (primary facility for Acculogic Inc.)</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Fremont, CA</w:t>
            </w:r>
          </w:p>
        </w:tc>
        <w:tc>
          <w:tcPr>
            <w:tcW w:w="1960" w:type="dxa"/>
            <w:vAlign w:val="bottom"/>
          </w:tcPr>
          <w:p>
            <w:pPr>
              <w:ind w:left="260"/>
              <w:spacing w:after="0"/>
              <w:rPr>
                <w:sz w:val="20"/>
                <w:szCs w:val="20"/>
                <w:color w:val="auto"/>
              </w:rPr>
            </w:pPr>
            <w:r>
              <w:rPr>
                <w:rFonts w:ascii="Arial" w:cs="Arial" w:eastAsia="Arial" w:hAnsi="Arial"/>
                <w:sz w:val="18"/>
                <w:szCs w:val="18"/>
                <w:color w:val="auto"/>
              </w:rPr>
              <w:t>November 2025(1)</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15,746</w:t>
            </w:r>
          </w:p>
        </w:tc>
        <w:tc>
          <w:tcPr>
            <w:tcW w:w="5900" w:type="dxa"/>
            <w:vAlign w:val="bottom"/>
          </w:tcPr>
          <w:p>
            <w:pPr>
              <w:ind w:left="200"/>
              <w:spacing w:after="0"/>
              <w:rPr>
                <w:sz w:val="20"/>
                <w:szCs w:val="20"/>
                <w:color w:val="auto"/>
              </w:rPr>
            </w:pPr>
            <w:r>
              <w:rPr>
                <w:rFonts w:ascii="Arial" w:cs="Arial" w:eastAsia="Arial" w:hAnsi="Arial"/>
                <w:sz w:val="18"/>
                <w:szCs w:val="18"/>
                <w:color w:val="auto"/>
              </w:rPr>
              <w:t>Formerly Electronic Test segment sales and engineering</w:t>
            </w:r>
          </w:p>
        </w:tc>
      </w:tr>
    </w:tbl>
    <w:p>
      <w:pPr>
        <w:spacing w:after="0" w:line="18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All of our facilities have space to accommodate our needs for the foreseeable future.</w:t>
      </w:r>
    </w:p>
    <w:p>
      <w:pPr>
        <w:spacing w:after="0" w:line="225" w:lineRule="exact"/>
        <w:rPr>
          <w:sz w:val="20"/>
          <w:szCs w:val="20"/>
          <w:color w:val="auto"/>
        </w:rPr>
      </w:pPr>
    </w:p>
    <w:p>
      <w:pPr>
        <w:ind w:left="1280" w:right="340" w:hanging="543"/>
        <w:spacing w:after="0" w:line="263"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fourth quarter of 2020, we consolidated all manufacturing operations for our EMS segment into our facility in Mt. Laurel, New Jersey, as more fully discussed in Note 5 to our consolidated financial statements for the year ended December 31, 2022 in this Report. In August 2021, we subleased this facility for the balance of the term.</w:t>
      </w:r>
    </w:p>
    <w:p>
      <w:pPr>
        <w:spacing w:after="0" w:line="39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80" w:right="44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5" w:name="page26"/>
    <w:bookmarkEnd w:id="25"/>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Market for Common Stock</w:t>
      </w:r>
    </w:p>
    <w:p>
      <w:pPr>
        <w:spacing w:after="0" w:line="229" w:lineRule="exact"/>
        <w:rPr>
          <w:sz w:val="20"/>
          <w:szCs w:val="20"/>
          <w:color w:val="auto"/>
        </w:rPr>
      </w:pPr>
    </w:p>
    <w:p>
      <w:pPr>
        <w:ind w:left="680" w:right="160"/>
        <w:spacing w:after="0" w:line="263" w:lineRule="auto"/>
        <w:rPr>
          <w:sz w:val="20"/>
          <w:szCs w:val="20"/>
          <w:color w:val="auto"/>
        </w:rPr>
      </w:pPr>
      <w:r>
        <w:rPr>
          <w:rFonts w:ascii="Arial" w:cs="Arial" w:eastAsia="Arial" w:hAnsi="Arial"/>
          <w:sz w:val="18"/>
          <w:szCs w:val="18"/>
          <w:color w:val="auto"/>
        </w:rPr>
        <w:t>Our common stock is traded on NYSE American LLC (“NYSE American”) under the symbol "INTT." On March 15, 2023, the closing price for our common stock as reported on the NYSE American was $15.84. At March 15, we had 11,121,359 shares outstanding that were held by approximately 1,000 beneficial and record holders.</w:t>
      </w:r>
    </w:p>
    <w:p>
      <w:pPr>
        <w:spacing w:after="0" w:line="184" w:lineRule="exact"/>
        <w:rPr>
          <w:sz w:val="20"/>
          <w:szCs w:val="20"/>
          <w:color w:val="auto"/>
        </w:rPr>
      </w:pPr>
    </w:p>
    <w:p>
      <w:pPr>
        <w:jc w:val="both"/>
        <w:ind w:left="680" w:right="120"/>
        <w:spacing w:after="0" w:line="279" w:lineRule="auto"/>
        <w:rPr>
          <w:sz w:val="20"/>
          <w:szCs w:val="20"/>
          <w:color w:val="auto"/>
        </w:rPr>
      </w:pPr>
      <w:r>
        <w:rPr>
          <w:rFonts w:ascii="Arial" w:cs="Arial" w:eastAsia="Arial" w:hAnsi="Arial"/>
          <w:sz w:val="17"/>
          <w:szCs w:val="17"/>
          <w:color w:val="auto"/>
        </w:rPr>
        <w:t>No dividends were paid on our common stock in the years ended December 31, 2022 or 2021. We do not currently plan to pay cash dividends in the foreseeable future. Our current policy is to use any future earnings for reinvestment in the operation and expansion of our business, including possible acquisitions of other businesses, technologies or products and, when approved by our Board of Directors, to repurchase our outstanding common stock. Payment of any future dividends will be at the discretion of our Board of Directors.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200" w:lineRule="exact"/>
        <w:rPr>
          <w:sz w:val="20"/>
          <w:szCs w:val="20"/>
          <w:color w:val="auto"/>
        </w:rPr>
      </w:pPr>
    </w:p>
    <w:p>
      <w:pPr>
        <w:spacing w:after="0" w:line="24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There were no shares of our common stock repurchased by us or on our behalf during the three months ended December 31, 2022.</w:t>
      </w:r>
    </w:p>
    <w:p>
      <w:pPr>
        <w:spacing w:after="0" w:line="225" w:lineRule="exact"/>
        <w:rPr>
          <w:sz w:val="20"/>
          <w:szCs w:val="20"/>
          <w:color w:val="auto"/>
        </w:rPr>
      </w:pPr>
    </w:p>
    <w:p>
      <w:pPr>
        <w:ind w:left="680"/>
        <w:spacing w:after="0" w:line="284" w:lineRule="auto"/>
        <w:rPr>
          <w:sz w:val="20"/>
          <w:szCs w:val="20"/>
          <w:color w:val="auto"/>
        </w:rPr>
      </w:pPr>
      <w:r>
        <w:rPr>
          <w:rFonts w:ascii="Arial" w:cs="Arial" w:eastAsia="Arial" w:hAnsi="Arial"/>
          <w:sz w:val="16"/>
          <w:szCs w:val="16"/>
          <w:color w:val="auto"/>
        </w:rPr>
        <w:t>On July 31, 2019, our Board of Directors authorized the repurchase of up to $3 million of our common stock from time to time on the open market, in compliance with Rule 10b-18 under the Securities Exchange Act of 1934, as amended (the “Exchange Act”), or in privately negotiated transactions pursuant to a newly authorized stock repurchase plan (the “2019 Repurchase Plan”). Repurchases are to be made under a Rule 10b5-1 plan entered into with RW Baird &amp; Co., which permits shares to be repurchased when we might otherwise be precluded from doing so under insider trading laws and our internal trading windows. The 2019 Repurchase Plan does not obligate us to purchase any particular amount of common stock and can be suspended or discontinued at any time without prior notice. The 2019 Repurchase Plan is funded using our operating cash flow or available cash. Purchases began on September 18, 2019 under this plan. On March 2, 2020, we suspended repurchases under the</w:t>
      </w:r>
    </w:p>
    <w:p>
      <w:pPr>
        <w:spacing w:after="0" w:line="2" w:lineRule="exact"/>
        <w:rPr>
          <w:sz w:val="20"/>
          <w:szCs w:val="20"/>
          <w:color w:val="auto"/>
        </w:rPr>
      </w:pPr>
    </w:p>
    <w:p>
      <w:pPr>
        <w:ind w:left="680" w:right="360"/>
        <w:spacing w:after="0" w:line="290" w:lineRule="auto"/>
        <w:rPr>
          <w:sz w:val="20"/>
          <w:szCs w:val="20"/>
          <w:color w:val="auto"/>
        </w:rPr>
      </w:pPr>
      <w:r>
        <w:rPr>
          <w:rFonts w:ascii="Arial" w:cs="Arial" w:eastAsia="Arial" w:hAnsi="Arial"/>
          <w:sz w:val="17"/>
          <w:szCs w:val="17"/>
          <w:color w:val="auto"/>
        </w:rPr>
        <w:t>2019 Repurchase Plan. From the adoption of the 2019 Repurchase Plan through the suspension of the plan, we repurchased a total of 243,075 shares at a cost of $1.2 million, which includes fees paid to our broker of $6,000. All of the repurchased shares were retired.</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Securities Authorized for Issuance Under Equity Compensation Plan</w:t>
      </w:r>
    </w:p>
    <w:p>
      <w:pPr>
        <w:spacing w:after="0" w:line="229" w:lineRule="exact"/>
        <w:rPr>
          <w:sz w:val="20"/>
          <w:szCs w:val="20"/>
          <w:color w:val="auto"/>
        </w:rPr>
      </w:pPr>
    </w:p>
    <w:p>
      <w:pPr>
        <w:ind w:left="680" w:right="100"/>
        <w:spacing w:after="0" w:line="308" w:lineRule="auto"/>
        <w:rPr>
          <w:sz w:val="20"/>
          <w:szCs w:val="20"/>
          <w:color w:val="auto"/>
        </w:rPr>
      </w:pPr>
      <w:r>
        <w:rPr>
          <w:rFonts w:ascii="Arial" w:cs="Arial" w:eastAsia="Arial" w:hAnsi="Arial"/>
          <w:sz w:val="17"/>
          <w:szCs w:val="17"/>
          <w:color w:val="auto"/>
        </w:rPr>
        <w:t>Information regarding securities authorized for issuance under equity compensation plans is included in Item 12. “Security Ownership of Certain Beneficial Owners and Management and Related Stockholder Matters” under the caption “Equity Compensation Plan Information.”</w:t>
      </w:r>
    </w:p>
    <w:p>
      <w:pPr>
        <w:spacing w:after="0" w:line="200" w:lineRule="exact"/>
        <w:rPr>
          <w:sz w:val="20"/>
          <w:szCs w:val="20"/>
          <w:color w:val="auto"/>
        </w:rPr>
      </w:pP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680" w:right="140"/>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and quantitative and qualitative disclosures should be read in conjunction with our audited consolidated financial statements and related notes included in this Annual Report on Form 10-K for the year ended December 31, 2022. In addition, please refer to the discussion of our business and markets contained in Part I, Item 1 of this Report. Management's Discussion and Analysis of Financial Condition and Results of Operations contains a number of forward-looking statements that reflect our plans, estimates, and beliefs, all of which are based on our current expectations and could be affected by certain uncertainties, risks, and other factors described under Cautionary Statement Regarding Forward-Looking Statements, Risk Factors, and elsewhere throughout this Annual Report. Our actual results could differ materially from those discussed in the forward-looking statements or from our prior results.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are a global supplier of innovative test and process solutions for use in manufacturing and testing across a wide range of markets including automotive, defense/aerospace, industrial, life sciences, security and semiconductor. During the year ended December 31, 2021, we managed our business as two operating segments which were also our reportable segments and reporting units: Thermal and EMS. Effective January 1, 2022, we reorganized our operating segments to better align with our plan to manage and report our business going forward. This change in our operating and reporting structure reflects the evolution of our business, particularly as a result of the broadening of our product portfolio through the acquisitions we completed in the fourth quarter of 2021, which are discussed more fully in Note 3 to our consolidated financial statements in this Report. Accordingly, for 2022, we have three operating segments which are also our reportable segments and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 Prior period information has been reclassified to be comparable to the current period’s presentation.</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discussed further in Part I, Item 1 “Markets”, we are focused on specific target markets which include automotive, defense/aerospace, industrial, life sciences, security as well as both the front-end and back-end of the semiconductor manufacturing industry.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78"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The portion of our business that is derived from the semi market is substantially dependent upon the demand for ATE by semiconductor manufacturers and companies that specialize in the testing of ICs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6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8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80" w:right="359" w:bottom="1440" w:gutter="0" w:footer="0" w:header="0"/>
        </w:sectPr>
      </w:pPr>
    </w:p>
    <w:bookmarkStart w:id="27" w:name="page28"/>
    <w:bookmarkEnd w:id="27"/>
    <w:p>
      <w:pPr>
        <w:ind w:left="20" w:right="180"/>
        <w:spacing w:after="0" w:line="293" w:lineRule="auto"/>
        <w:rPr>
          <w:sz w:val="20"/>
          <w:szCs w:val="20"/>
          <w:color w:val="auto"/>
        </w:rPr>
      </w:pPr>
      <w:r>
        <w:rPr>
          <w:rFonts w:ascii="Arial" w:cs="Arial" w:eastAsia="Arial" w:hAnsi="Arial"/>
          <w:sz w:val="16"/>
          <w:szCs w:val="16"/>
          <w:color w:val="auto"/>
        </w:rPr>
        <w:t>As discussed further in Part I, Item 1 “Overview and Strategy”,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the automotive, defense/aerospace, industrial, life sciences and security markets.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spacing w:after="0" w:line="164" w:lineRule="exact"/>
        <w:rPr>
          <w:sz w:val="20"/>
          <w:szCs w:val="20"/>
          <w:color w:val="auto"/>
        </w:rPr>
      </w:pPr>
    </w:p>
    <w:p>
      <w:pPr>
        <w:ind w:left="20" w:right="120"/>
        <w:spacing w:after="0" w:line="301" w:lineRule="auto"/>
        <w:rPr>
          <w:sz w:val="20"/>
          <w:szCs w:val="20"/>
          <w:color w:val="auto"/>
        </w:rPr>
      </w:pPr>
      <w:r>
        <w:rPr>
          <w:rFonts w:ascii="Arial" w:cs="Arial" w:eastAsia="Arial" w:hAnsi="Arial"/>
          <w:sz w:val="16"/>
          <w:szCs w:val="16"/>
          <w:color w:val="auto"/>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25" w:lineRule="exact"/>
        <w:rPr>
          <w:sz w:val="20"/>
          <w:szCs w:val="20"/>
          <w:color w:val="auto"/>
        </w:rPr>
      </w:pPr>
    </w:p>
    <w:p>
      <w:pPr>
        <w:ind w:left="20" w:right="240"/>
        <w:spacing w:after="0" w:line="291" w:lineRule="auto"/>
        <w:rPr>
          <w:sz w:val="20"/>
          <w:szCs w:val="20"/>
          <w:color w:val="auto"/>
        </w:rPr>
      </w:pPr>
      <w:r>
        <w:rPr>
          <w:rFonts w:ascii="Arial" w:cs="Arial" w:eastAsia="Arial" w:hAnsi="Arial"/>
          <w:sz w:val="16"/>
          <w:szCs w:val="16"/>
          <w:color w:val="auto"/>
        </w:rPr>
        <w:t>During 2021, we completed three acquisitions, North Sciences on October 6, 2021, Videology on October 28, 2021 and Acculogic on December 21, 2021. These acquisitions expanded our technology offerings, diversified our markets and customers and expanded our presence into Europe. North Sciences is included in our Environmental Technologies segment, Videology is included in our Process Technologies segment and Acculogic is included in our Electronic Test segment. These acquisitions are discussed further in Note 3 to our consolidated financial statements in this Report. Their results have been included in our consolidated results as of their respective acquisition dates. In order to fund a portion of these acquisitions, we utilized our delayed draw term note that is part of our credit facility. This credit facility is discussed further in Note 12 to our consolidated financial statements in this Report and in Liquidity and Capital Resources below.</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Revenue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for the periods indicated, a breakdown of the revenue by market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Years Ended</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20"/>
                <w:szCs w:val="20"/>
                <w:color w:val="auto"/>
              </w:rPr>
            </w:pPr>
          </w:p>
        </w:tc>
        <w:tc>
          <w:tcPr>
            <w:tcW w:w="138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Semi</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68,422</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54,937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13,485</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10,038</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7,314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Auto/EV</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10,776</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6,205</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4,571</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Life Sciences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Defense/Aerospace</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7,006</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5,043</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1,963</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12,756</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8,327</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4,429</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53.2%</w:t>
            </w:r>
          </w:p>
        </w:tc>
      </w:tr>
      <w:tr>
        <w:trPr>
          <w:trHeight w:val="20"/>
        </w:trPr>
        <w:tc>
          <w:tcPr>
            <w:tcW w:w="5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116,828</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84,878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31,950</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20" w:right="240"/>
        <w:spacing w:after="0" w:line="263" w:lineRule="auto"/>
        <w:rPr>
          <w:sz w:val="20"/>
          <w:szCs w:val="20"/>
          <w:color w:val="auto"/>
        </w:rPr>
      </w:pPr>
      <w:r>
        <w:rPr>
          <w:rFonts w:ascii="Arial" w:cs="Arial" w:eastAsia="Arial" w:hAnsi="Arial"/>
          <w:sz w:val="18"/>
          <w:szCs w:val="18"/>
          <w:color w:val="auto"/>
        </w:rPr>
        <w:t>Total consolidated revenue for the year ended December 31, 2022 was $116.8 million compared to $84.9 million in 2021, an increase of $32.0 million or 38% as compared to 2021. Revenue from acquired businesses in 2021 (from the respective dates of acquisition through December 31, 2021) was $1.5 million. Revenue from acquired businesses in 2022 was $19.7 million.</w:t>
      </w:r>
    </w:p>
    <w:p>
      <w:pPr>
        <w:spacing w:after="0" w:line="184" w:lineRule="exact"/>
        <w:rPr>
          <w:sz w:val="20"/>
          <w:szCs w:val="20"/>
          <w:color w:val="auto"/>
        </w:rPr>
      </w:pPr>
    </w:p>
    <w:p>
      <w:pPr>
        <w:ind w:left="20" w:right="380"/>
        <w:spacing w:after="0" w:line="263" w:lineRule="auto"/>
        <w:rPr>
          <w:sz w:val="20"/>
          <w:szCs w:val="20"/>
          <w:color w:val="auto"/>
        </w:rPr>
      </w:pPr>
      <w:r>
        <w:rPr>
          <w:rFonts w:ascii="Arial" w:cs="Arial" w:eastAsia="Arial" w:hAnsi="Arial"/>
          <w:sz w:val="18"/>
          <w:szCs w:val="18"/>
          <w:color w:val="auto"/>
        </w:rPr>
        <w:t>Acquired businesses contributed significantly to the increases in industrial, auto/EV, life sciences, defense/aerospace and security in 2022 as compared to 2021. The $13.5 million increase in revenue from the semi market primarily reflects strength in demand for our induction heating technology solutions for silicon carbide (SiC) crystal growth applications.</w:t>
      </w:r>
    </w:p>
    <w:p>
      <w:pPr>
        <w:spacing w:after="0" w:line="18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84" w:right="259" w:bottom="1440" w:gutter="0" w:footer="0" w:header="0"/>
        </w:sectPr>
      </w:pPr>
    </w:p>
    <w:bookmarkStart w:id="28" w:name="page29"/>
    <w:bookmarkEnd w:id="28"/>
    <w:p>
      <w:pPr>
        <w:ind w:left="2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20" w:right="80"/>
        <w:spacing w:after="0" w:line="287" w:lineRule="auto"/>
        <w:rPr>
          <w:sz w:val="20"/>
          <w:szCs w:val="20"/>
          <w:color w:val="auto"/>
        </w:rPr>
      </w:pPr>
      <w:r>
        <w:rPr>
          <w:rFonts w:ascii="Arial" w:cs="Arial" w:eastAsia="Arial" w:hAnsi="Arial"/>
          <w:sz w:val="16"/>
          <w:szCs w:val="16"/>
          <w:color w:val="auto"/>
        </w:rPr>
        <w:t>We use the following key performance metrics to analyze and measure our financial performance and results of operations: orders and backlog.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net revenue that we expect to realize for unfilled orders received as of that date. We believe backlog is useful and use this information for similar reasons to those detailed above for orders. The majority of our backlog at any given time is expected to be fulfilled 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 a quantitative reconciliation for each is not required or provided.</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for the periods indicated, a breakdown of the orders received by market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Years Ended</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20"/>
                <w:szCs w:val="20"/>
                <w:color w:val="auto"/>
              </w:rPr>
            </w:pPr>
          </w:p>
        </w:tc>
        <w:tc>
          <w:tcPr>
            <w:tcW w:w="138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Semi</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73,070</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68,464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4,606</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10,554</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Auto/EV</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9,899</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7,466</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2,433</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Life Sciences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Defense/Aerospace</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10,261</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4,904</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5,357</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109.2%</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15,701</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8,003</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7,698</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96.2%</w:t>
            </w:r>
          </w:p>
        </w:tc>
      </w:tr>
      <w:tr>
        <w:trPr>
          <w:trHeight w:val="20"/>
        </w:trPr>
        <w:tc>
          <w:tcPr>
            <w:tcW w:w="5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129,576</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101,942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27,634</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20" w:right="360"/>
        <w:spacing w:after="0" w:line="263" w:lineRule="auto"/>
        <w:rPr>
          <w:sz w:val="20"/>
          <w:szCs w:val="20"/>
          <w:color w:val="auto"/>
        </w:rPr>
      </w:pPr>
      <w:r>
        <w:rPr>
          <w:rFonts w:ascii="Arial" w:cs="Arial" w:eastAsia="Arial" w:hAnsi="Arial"/>
          <w:sz w:val="18"/>
          <w:szCs w:val="18"/>
          <w:color w:val="auto"/>
        </w:rPr>
        <w:t>Total consolidated orders for the year ended December 31, 2022 were $129.6 million compared to $101.9 million in 2021, an increase of $27.6 million, or 27%. Orders from acquired businesses in 2021 (from the respective dates of acquisition through December 31, 2021) totaled $2.5 million. Orders from acquired businesses in 2022 totaled $21.8 million.</w:t>
      </w:r>
    </w:p>
    <w:p>
      <w:pPr>
        <w:spacing w:after="0" w:line="184" w:lineRule="exact"/>
        <w:rPr>
          <w:sz w:val="20"/>
          <w:szCs w:val="20"/>
          <w:color w:val="auto"/>
        </w:rPr>
      </w:pPr>
    </w:p>
    <w:p>
      <w:pPr>
        <w:ind w:left="20" w:right="220"/>
        <w:spacing w:after="0" w:line="259" w:lineRule="auto"/>
        <w:rPr>
          <w:sz w:val="20"/>
          <w:szCs w:val="20"/>
          <w:color w:val="auto"/>
        </w:rPr>
      </w:pPr>
      <w:r>
        <w:rPr>
          <w:rFonts w:ascii="Arial" w:cs="Arial" w:eastAsia="Arial" w:hAnsi="Arial"/>
          <w:sz w:val="18"/>
          <w:szCs w:val="18"/>
          <w:color w:val="auto"/>
        </w:rPr>
        <w:t>Acquired businesses contributed significantly to the increases in industrial, auto/EV, life sciences, defense/aerospace and security in 2022 as compared to 2021. The $4.6 million increase in orders from the semi market primarily reflects strength in demand for our products used in back-end test as well as the impact of the acquisition of Acculogic, which accounted for approximately $1.3 million of orders from the semi market in 2022.</w:t>
      </w:r>
    </w:p>
    <w:p>
      <w:pPr>
        <w:spacing w:after="0" w:line="187" w:lineRule="exact"/>
        <w:rPr>
          <w:sz w:val="20"/>
          <w:szCs w:val="20"/>
          <w:color w:val="auto"/>
        </w:rPr>
      </w:pPr>
    </w:p>
    <w:p>
      <w:pPr>
        <w:ind w:left="20" w:right="100"/>
        <w:spacing w:after="0" w:line="271" w:lineRule="auto"/>
        <w:rPr>
          <w:sz w:val="20"/>
          <w:szCs w:val="20"/>
          <w:color w:val="auto"/>
        </w:rPr>
      </w:pPr>
      <w:r>
        <w:rPr>
          <w:rFonts w:ascii="Arial" w:cs="Arial" w:eastAsia="Arial" w:hAnsi="Arial"/>
          <w:sz w:val="17"/>
          <w:szCs w:val="17"/>
          <w:color w:val="auto"/>
        </w:rPr>
        <w:t>At December 31, 2022, our backlog of unfilled orders for all products was approximately $46.8 million compared with approximately $34.1 million at December 31, 2021. The increase in our backlog reflects increased demand for our products and, to a lesser extent, longer lead times for many of our products which has lead to our customers placing orders with us earlier than had been their historical practice. Our backlog includes customer orders that we have accepted, substantially all of which we expect to deliver in 2023.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War in Ukraine, Inflation and Global Supply Chain Constraints</w:t>
      </w:r>
    </w:p>
    <w:p>
      <w:pPr>
        <w:spacing w:after="0" w:line="229" w:lineRule="exact"/>
        <w:rPr>
          <w:sz w:val="20"/>
          <w:szCs w:val="20"/>
          <w:color w:val="auto"/>
        </w:rPr>
      </w:pPr>
    </w:p>
    <w:p>
      <w:pPr>
        <w:jc w:val="both"/>
        <w:ind w:left="20" w:right="140"/>
        <w:spacing w:after="0" w:line="257" w:lineRule="auto"/>
        <w:rPr>
          <w:sz w:val="20"/>
          <w:szCs w:val="20"/>
          <w:color w:val="auto"/>
        </w:rPr>
      </w:pPr>
      <w:r>
        <w:rPr>
          <w:rFonts w:ascii="Arial" w:cs="Arial" w:eastAsia="Arial" w:hAnsi="Arial"/>
          <w:sz w:val="18"/>
          <w:szCs w:val="18"/>
          <w:color w:val="auto"/>
        </w:rPr>
        <w:t>The ongoing war between Russia and Ukraine continues to contribute to global inflationary pressures and the availability of certain raw materials produced in that region, further exacerbating global supply chain challenges that emerged after the onset of the COVID-19 pandemic as described below. Acculogic purchases certain material from a key sole-source supplier in Belarus, which is bordered by Russia to the east and northeast and Ukraine to the south. We estimate that we currently have a six-to-nine-month supply of this material. We are currently in the process of qualifying an alternate supplier for this material.</w:t>
      </w:r>
    </w:p>
    <w:p>
      <w:pPr>
        <w:spacing w:after="0" w:line="188" w:lineRule="exact"/>
        <w:rPr>
          <w:sz w:val="20"/>
          <w:szCs w:val="20"/>
          <w:color w:val="auto"/>
        </w:rPr>
      </w:pPr>
    </w:p>
    <w:p>
      <w:pPr>
        <w:ind w:left="20" w:right="100"/>
        <w:spacing w:after="0" w:line="290" w:lineRule="auto"/>
        <w:rPr>
          <w:sz w:val="20"/>
          <w:szCs w:val="20"/>
          <w:color w:val="auto"/>
        </w:rPr>
      </w:pPr>
      <w:r>
        <w:rPr>
          <w:rFonts w:ascii="Arial" w:cs="Arial" w:eastAsia="Arial" w:hAnsi="Arial"/>
          <w:sz w:val="16"/>
          <w:szCs w:val="16"/>
          <w:color w:val="auto"/>
        </w:rPr>
        <w:t>In addition, while we have been able to mitigate a significant portion of the supply chain and logistics challenges that we encountered in 2022, we expect to continue to experience increased prices, lack of availability and logistics delays to varying degrees for the foreseeable future. The actions we are taking to mitigate these risks include qualifying new vendors as alternate sources in our supply chain, increasing our inventory of raw materials and ordering further in advance of when we expect to need materials than has been our practice in the past. We have increased, and may further increase, the prices that we charge our customers as a result of increased raw material expenses. We are also working with our customers to find alternate options for the shipment of products where they control aspects of the logistics process. However, the situation is evolving and shifting rapidly at times, and the success of our efforts to mitigate and address the impacts on our business may not be successful. As a result, we could see increases in our costs or reduced revenue which would impact the level of our earnings in future periods.</w:t>
      </w:r>
    </w:p>
    <w:p>
      <w:pPr>
        <w:spacing w:after="0" w:line="16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84" w:right="259" w:bottom="1440" w:gutter="0" w:footer="0" w:header="0"/>
        </w:sectPr>
      </w:pPr>
    </w:p>
    <w:bookmarkStart w:id="29" w:name="page30"/>
    <w:bookmarkEnd w:id="29"/>
    <w:p>
      <w:pPr>
        <w:ind w:right="220"/>
        <w:spacing w:after="0" w:line="277" w:lineRule="auto"/>
        <w:rPr>
          <w:sz w:val="20"/>
          <w:szCs w:val="20"/>
          <w:color w:val="auto"/>
        </w:rPr>
      </w:pPr>
      <w:r>
        <w:rPr>
          <w:rFonts w:ascii="Arial" w:cs="Arial" w:eastAsia="Arial" w:hAnsi="Arial"/>
          <w:sz w:val="18"/>
          <w:szCs w:val="18"/>
          <w:color w:val="auto"/>
        </w:rPr>
        <w:t>Please refer to Part I, Item 1A of our 2021 Form 10-K for further discussion of the risks associated with our business operations, including risks associated with foreign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Pandemic</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following the guidance of the Centers for Disease Control and Prevention (the “CDC”) and the local regulatory authorities in regions outside the U.S. While we are no longer requiring employees to wear masks indoors in our domestic locations or conducting temperature screenings, we are encouraging all employees to receive COVID-19 vaccinations and boosters, if possible, and to stay home if they feel sick. We are continuing to allow employees to work remotely either part-time or full-time in circumstances when possible. We continue to monitor the situation closely in the regions in which we operate in the U.S. and abroad and will adjust our operations as necessary to protect the health and well-being of our employees. To the extent that further governmental mandates or restrictions are implemented in the future, we currently expect to be able to continue to operate our business in a manner similar to how we have operated over the past two years. See “Risks Related to COVID-19” under Item 1A “Risk Factors”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results of operations for our three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a particular operating segment where significant to an understanding of that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2022 Compared to Year Ended December 31, 2021</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was $116.8 million for the year ended December 31, 2022 compared to $84.9 million in 2021, an increase of $32.0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38%. We believe this increase reflects the factors previously discussed in the Overview section above.</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was 46% for the year ended December 31, 2022 compared to 49% in 2021. The decrease in our gross margin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reflects an increase in our component material costs as a percentage of revenue, reflecting changes in product, customer and sales channel mix. During 2022, our fixed operating costs increased $3.5 million compared to 2021, however, these costs represented 12% of revenue in both 2022 and 2021 as they were better absorbed by the higher revenue levels in 2022. Approximately $2.0 million of this increase is attributable to acquired businesses. The remaining $1.5 million increase primarily reflects higher levels of salary and benefits expense as we made headcount investments to support the higher revenue levels in 2022 and the execution of our 5-Point Strategy.</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Selling Expense. </w:t>
      </w:r>
      <w:r>
        <w:rPr>
          <w:rFonts w:ascii="Arial" w:cs="Arial" w:eastAsia="Arial" w:hAnsi="Arial"/>
          <w:sz w:val="17"/>
          <w:szCs w:val="17"/>
          <w:color w:val="auto"/>
        </w:rPr>
        <w:t>Selling expense was $15.9 million for the year ended December 31, 2022 compared to $11.1 million in 2021, an increase of $4.8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44%. The acquired businesses account for approximately $2.9 million of this increase. The remaining increase primarily reflects headcount investments, higher levels of commission expense and increased travel and advertising costs across all our segments.</w:t>
      </w:r>
    </w:p>
    <w:p>
      <w:pPr>
        <w:spacing w:after="0" w:line="16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$7.5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2022 compared to $5.5 million in 2021, an increase of $2.0 million, or 36%. The acquired businesses account for approximately $1.7 million of this increase. The remaining increase primarily reflects headcount investments.</w:t>
      </w:r>
    </w:p>
    <w:p>
      <w:pPr>
        <w:spacing w:after="0" w:line="18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 was $19.3 million for the year ended December 31, 2022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$15.9 million in 2021, an increase of $3.4 million, or 22%. The acquired businesses account for approximately $2.0 million of this increase, excluding amortization expense. During 2021, we incurred $1.9 million of transaction expenses related to acquisitions and costs associated with financing activities. There were no similar expenses in 2022. The decrease in transaction and financing related expenses was offset by higher levels of amortization expense, increased salary and benefits costs as a result of headcount investments and higher stock-based compensation expense. The increase in stock-based compensation expense was primarily a result of changes in our estimate of the probable vesting percentage for certain of our performance-based awards that vest in August 2023.</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Restructuring and Other Charges. </w:t>
      </w:r>
      <w:r>
        <w:rPr>
          <w:rFonts w:ascii="Arial" w:cs="Arial" w:eastAsia="Arial" w:hAnsi="Arial"/>
          <w:sz w:val="16"/>
          <w:szCs w:val="16"/>
          <w:color w:val="auto"/>
        </w:rPr>
        <w:t>There were no restructuring and other charges in 2022. For the year ended December 31, 2021, we recorded</w:t>
      </w:r>
    </w:p>
    <w:p>
      <w:pPr>
        <w:spacing w:after="0" w:line="46"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$286,000 in restructuring and other charges. Of this amount, $169,000 was related to finalizing the consolidation of the manufacturing operations for certain of our Electronic Test products. The remainder of the charges in 2021 were primarily related to the retirement of our former CFO. These actions are discussed in more detail in Note 5 to our consolidated financial statements in this Report.</w:t>
      </w:r>
    </w:p>
    <w:p>
      <w:pPr>
        <w:spacing w:after="0" w:line="17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4" w:right="339" w:bottom="1440" w:gutter="0" w:footer="0" w:header="0"/>
        </w:sectPr>
      </w:pPr>
    </w:p>
    <w:bookmarkStart w:id="30" w:name="page31"/>
    <w:bookmarkEnd w:id="30"/>
    <w:p>
      <w:pPr>
        <w:ind w:right="120"/>
        <w:spacing w:after="0" w:line="30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year ended December 31, 2022, we recorded income tax expense of $1.7 million compared to $1.1 million in 2021.</w:t>
      </w:r>
      <w:r>
        <w:rPr>
          <w:rFonts w:ascii="Arial" w:cs="Arial" w:eastAsia="Arial" w:hAnsi="Arial"/>
          <w:sz w:val="16"/>
          <w:szCs w:val="16"/>
          <w:i w:val="1"/>
          <w:iCs w:val="1"/>
          <w:color w:val="auto"/>
        </w:rPr>
        <w:t xml:space="preserve"> </w:t>
      </w:r>
      <w:r>
        <w:rPr>
          <w:rFonts w:ascii="Arial" w:cs="Arial" w:eastAsia="Arial" w:hAnsi="Arial"/>
          <w:sz w:val="16"/>
          <w:szCs w:val="16"/>
          <w:color w:val="auto"/>
        </w:rPr>
        <w:t>Our effective tax rate was 17% for 2022 compared to 13% for 2021. On a quarterly basis, we record income tax expense or benefit based on the expected annualized effective tax rate for the various taxing jurisdictions in which we operate our businesses. See Note 13 to our consolidated financial statements for further detail of the difference between our effective tax rates in 2022 and 2021 and the statutory tax rate of 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Facility</w:t>
      </w:r>
    </w:p>
    <w:p>
      <w:pPr>
        <w:spacing w:after="0" w:line="225"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As discussed in the Overview and in Note 12 to our consolidated financial statements in this Report, on October 15, 2021, we entered into the Loan Agreement with M&amp;T. The Loan Agreement includes a $25 million non-revolving delayed draw term note (the “Term Note”) and a $10 million revolving credit facility (the “Revolving Facility and together with the Term Note, the “Credit Facility”). The Credit Facility had a five year contract period that began on the Closing Date and expired on October 15, 2026, and draws under the Term Note were permissible for two years.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September 20, 2022, we further amended the Loan Agreement by entering into a Third Amendment to Amended and Restated Loan and Security Agreement (the Loan Agreement as amended by the Third Amendment, the “Amended Loan Agreement”) and the Third Amended and Restated Delayed Draw Term Note 1A. Under the Amended Loan Agreement, the maximum loan amount that we may borrow under the Term Note increased from $25 million to $50.5 million, which raises the available funding at December 31, 2022 to $30 million. Under the Amended Loan Agreement, the maturity date of the Term Note and Revolving Facility were also extended to September 19, 2027 (the “Contract Period”). At December 31, 2022, we had not borrowed any amounts under the $10 million Revolving Facility. Our borrowings under the Term Note are discussed below and occurred prior to entering into the Amended Loan Agreement. The principal balance of the Revolving Facility and the principal balance of any amount drawn under the Term Note accrues interest based on the Secured Overnight Financing Rate or a bank-defined base rate plus an applicable margin, depending on leverage. The Amended Loan Agreement includes customary affirmative, negative and financial covenants, including a maximum ratio of consolidated funded debt to consolidated EBITDA of not more than 3.0 to 1.0 and a fixed charge coverage ratio of not less than 1.25 to 1.0. Our obligations under the Amended Loan Agreement are secured by liens on substantially all of our tangible and intangible assets. At December 31, 2022, we were in compliance with all of the covenants included in the Credit Facility. At this date, our consolidated funded debt to consolidated EBITDA ratio was 1.0 and our fixed charge coverage ratio was 3.1.</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28, 2021, we drew $12 million under the Term Note to finance the acquisition of Videology.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December 31, 2022 it was approximately 4.0% based on current leverage. Effective March 1, 2023, this rate had increased to approximately 6.7%.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years ended December 31, 2022 and 2021 was $635,000 and $89,000, respectively.</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84"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40" w:type="dxa"/>
            <w:vAlign w:val="bottom"/>
            <w:gridSpan w:val="2"/>
          </w:tcPr>
          <w:p>
            <w:pPr>
              <w:spacing w:after="0"/>
              <w:rPr>
                <w:sz w:val="20"/>
                <w:szCs w:val="20"/>
                <w:color w:val="auto"/>
              </w:rPr>
            </w:pPr>
            <w:r>
              <w:rPr>
                <w:rFonts w:ascii="Arial" w:cs="Arial" w:eastAsia="Arial" w:hAnsi="Arial"/>
                <w:sz w:val="18"/>
                <w:szCs w:val="18"/>
                <w:i w:val="1"/>
                <w:iCs w:val="1"/>
                <w:color w:val="auto"/>
              </w:rPr>
              <w:t>Liquidity</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Our cash and cash equivalents and working capital were as follows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13,434</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21,195</w:t>
            </w:r>
          </w:p>
        </w:tc>
      </w:tr>
      <w:tr>
        <w:trPr>
          <w:trHeight w:val="230"/>
        </w:trPr>
        <w:tc>
          <w:tcPr>
            <w:tcW w:w="7360" w:type="dxa"/>
            <w:vAlign w:val="bottom"/>
            <w:gridSpan w:val="3"/>
          </w:tcPr>
          <w:p>
            <w:pPr>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33,182</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27,005</w:t>
            </w:r>
          </w:p>
        </w:tc>
      </w:tr>
    </w:tbl>
    <w:p>
      <w:pPr>
        <w:spacing w:after="0" w:line="187" w:lineRule="exact"/>
        <w:rPr>
          <w:sz w:val="20"/>
          <w:szCs w:val="20"/>
          <w:color w:val="auto"/>
        </w:rPr>
      </w:pPr>
    </w:p>
    <w:p>
      <w:pPr>
        <w:ind w:left="20" w:right="160"/>
        <w:spacing w:after="0" w:line="296" w:lineRule="auto"/>
        <w:rPr>
          <w:sz w:val="20"/>
          <w:szCs w:val="20"/>
          <w:color w:val="auto"/>
        </w:rPr>
      </w:pPr>
      <w:r>
        <w:rPr>
          <w:rFonts w:ascii="Arial" w:cs="Arial" w:eastAsia="Arial" w:hAnsi="Arial"/>
          <w:sz w:val="16"/>
          <w:szCs w:val="16"/>
          <w:color w:val="auto"/>
        </w:rPr>
        <w:t>At December 31, 2022, $5.0 million, or 37%, of our cash and cash equivalents was held by our foreign subsidiaries. We also had $1.1 million of restricted cash that is discussed in Note 2 to our consolidated financial statements in this Report that was held by one of our subsidiaries in the Netherlands. We currently expect our cash and cash equivalents, in combination with the borrowing capacity available under our Revolving Facility and the anticipated net cash to be provided by our operations in the next twelve months to be sufficient to support our short-term working capital requirements and other corporate requirements. Our Revolving Facility is discussed in Note 12 to our consolidated financial statements.</w:t>
      </w:r>
    </w:p>
    <w:p>
      <w:pPr>
        <w:spacing w:after="0" w:line="161" w:lineRule="exact"/>
        <w:rPr>
          <w:sz w:val="20"/>
          <w:szCs w:val="20"/>
          <w:color w:val="auto"/>
        </w:rPr>
      </w:pPr>
    </w:p>
    <w:p>
      <w:pPr>
        <w:ind w:left="20" w:right="120"/>
        <w:spacing w:after="0" w:line="270" w:lineRule="auto"/>
        <w:rPr>
          <w:sz w:val="20"/>
          <w:szCs w:val="20"/>
          <w:color w:val="auto"/>
        </w:rPr>
      </w:pPr>
      <w:r>
        <w:rPr>
          <w:rFonts w:ascii="Arial" w:cs="Arial" w:eastAsia="Arial" w:hAnsi="Arial"/>
          <w:sz w:val="17"/>
          <w:szCs w:val="17"/>
          <w:color w:val="auto"/>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During 2022, in connection with the increasing level of our backlog, we have made additional investments in inventory which now comprises a greater portion of our total working capital at December 31, 2022 than at December 31, 2021. We also anticipate making investments in our business in the next twelve months including hiring of additional staff, updates to our website and other systems and investments related to our geographic and market expansion efforts. We estimate that our minimum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w:t>
      </w:r>
    </w:p>
    <w:p>
      <w:pPr>
        <w:spacing w:after="0" w:line="181" w:lineRule="exact"/>
        <w:rPr>
          <w:sz w:val="20"/>
          <w:szCs w:val="20"/>
          <w:color w:val="auto"/>
        </w:rPr>
      </w:pPr>
    </w:p>
    <w:p>
      <w:pPr>
        <w:ind w:left="20" w:right="100"/>
        <w:spacing w:after="0" w:line="293" w:lineRule="auto"/>
        <w:rPr>
          <w:sz w:val="20"/>
          <w:szCs w:val="20"/>
          <w:color w:val="auto"/>
        </w:rPr>
      </w:pPr>
      <w:r>
        <w:rPr>
          <w:rFonts w:ascii="Arial" w:cs="Arial" w:eastAsia="Arial" w:hAnsi="Arial"/>
          <w:sz w:val="16"/>
          <w:szCs w:val="16"/>
          <w:color w:val="auto"/>
        </w:rPr>
        <w:t>Our current strategy for growth includes pursuing acquisition opportunities for complementary businesses, technologies or products. As discussed further in the Overview, on October 28, 2021, we acquired substantially all of the assets of Videology and on December 21, 2021, we completed the acquisition of Acculogic. We utilized $20.5 million under the Term Note to finance these acquisitions. As previously discussed, we currently anticipate that any additional long-term cash requirements related to our strategy would be funded through a combination of our cash and cash equivalents, the remaining availability under the Term Note or by issuing equity. The borrowing availability under the Term Note was expanded in September 2022 as discussed above and in Note 12 to our consolidated financial statements in this Report.</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20" w:right="120"/>
        <w:spacing w:after="0" w:line="270"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Net cash used in operations for the year ended December 31, 2022 was $1.4 million. For the year ended December 31, 2022,</w:t>
      </w:r>
      <w:r>
        <w:rPr>
          <w:rFonts w:ascii="Arial" w:cs="Arial" w:eastAsia="Arial" w:hAnsi="Arial"/>
          <w:sz w:val="17"/>
          <w:szCs w:val="17"/>
          <w:i w:val="1"/>
          <w:iCs w:val="1"/>
          <w:color w:val="auto"/>
        </w:rPr>
        <w:t xml:space="preserve"> </w:t>
      </w:r>
      <w:r>
        <w:rPr>
          <w:rFonts w:ascii="Arial" w:cs="Arial" w:eastAsia="Arial" w:hAnsi="Arial"/>
          <w:sz w:val="17"/>
          <w:szCs w:val="17"/>
          <w:color w:val="auto"/>
        </w:rPr>
        <w:t>we recorded net earnings of $8.5 million. During this same period, we had non-cash charges of $4.7 million for depreciation and amortization (which included $1.2 million of amortization related to right-of-use ("ROU") assets) and $1.8 million for deferred compensation expense related to stock-based awards. We also recorded a $1.7 million deferred income tax benefit during 2022. Accounts receivable increased $4.9 million, inventories increased $10.6 million and accounts payable increased $2.9 million during 2022, reflecting the higher level of business activity in 2022 and investments in inventory in order to secure availability of critical parts. Customer deposits and deferred revenue decreased $1.5 million in 2022 as we started shipping against the $10.0 million order received by our Process Technologies segment in the fourth quarter of 2021, which had significantly increased the level of customer deposits on hand at the end of 2021. Operating lease liabilities decreased $1.4 million during 2022, reflecting payments made under our various lease agreements.</w:t>
      </w:r>
    </w:p>
    <w:p>
      <w:pPr>
        <w:spacing w:after="0" w:line="181" w:lineRule="exact"/>
        <w:rPr>
          <w:sz w:val="20"/>
          <w:szCs w:val="20"/>
          <w:color w:val="auto"/>
        </w:rPr>
      </w:pPr>
    </w:p>
    <w:p>
      <w:pPr>
        <w:ind w:left="20" w:right="140"/>
        <w:spacing w:after="0" w:line="288"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Net cash used in investing activities for year ended December 31, 2022 was $1.2 million. In April 2022, we used $3.5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to purchase U.S. treasury bills, which matured in October 2022. During 2022, we received a refund from the seller of approximately $371,000 of the purchase price for Acculogic. This refund reflects the final post-closing working capital adjustment. During 2022, we also paid out $179,000 of contingent consideration related to the acquisition of Z-Sciences as discussed further in Note 3 to our consolidated financial statements in this Report. During 2022, purchases of property and equipment were $1.4 million, primarily reflecting leasehold improvements to our facility in Mansfield, Massachusetts for the space that our Videology subsidiary occupied in the second quarter of 2022 and the purchase of new software tools to assist in the consolidation and reporting of our business operations. These purchases were funded using our working capital. We have no significant commitments for capital expenditures for 2023;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Credit Facility.</w:t>
      </w:r>
    </w:p>
    <w:p>
      <w:pPr>
        <w:spacing w:after="0" w:line="168" w:lineRule="exact"/>
        <w:rPr>
          <w:sz w:val="20"/>
          <w:szCs w:val="20"/>
          <w:color w:val="auto"/>
        </w:rPr>
      </w:pPr>
    </w:p>
    <w:p>
      <w:pPr>
        <w:ind w:left="20" w:right="200"/>
        <w:spacing w:after="0" w:line="255"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for the year ended December 31, 2022 was $3.7 million. During 2022, we made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payments on our Term Note totaling $4.0 million. During this same period we received $197,000 as a result of purchases of our stock that were made by our employees under the the inTEST Corporation Employee Stock Purchase Plan and $38,000 as a result of the exercise of options to purchase our stock by employees. We also acquired $10,000 of stock as a result of shares withheld by us from employees to satisfy tax liabilities incurred by them as a result of vesting of restricted stock awards. These shares are classified as treasury stock on our consolidated balance sheets.</w:t>
      </w:r>
    </w:p>
    <w:p>
      <w:pPr>
        <w:spacing w:after="0" w:line="19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67"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Note 2 to the consolidated financial statements for information concerning the implementation and impact of new or recently adopted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 Valuation</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Effective January 1, 2021, our criteria identify obsolete material as material that has not been used in a work order during the prior twenty-four months. Prior to January 1, 2021, these criteria identified obsolete material as material that had not been used in a work order during the prior twelve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During 2022 and 2021, we recorded inventory obsolescence charges for excess and obsolete inventory of $771,000 and $203,000,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Intangible and Long-Lived Assets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account for goodwill and intangible assets in accordance with Accounting Standards Codification ("ASC") Topic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this is the case, we are required to perform a goodwill impairment test to identify potential goodwill impairment and measure the amount of goodwill impairment loss to be recognized. The test is discussed below. If, as a result of our qualitative assessment, we determine that it is more-likely-than-not that the fair value of the reporting unit is greater than its carrying amounts, the goodwill impairment test is not required.</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quantitative goodwill impairment test, used to identify both the existence of impairment and the amount of impairment loss,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shall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 At December 31, 2022 and 2021, goodwill was $21.6 million and $21.4 million, respectively. We did not record any impairment charges related to our goodwill during 2022 or 2021.</w:t>
      </w:r>
    </w:p>
    <w:p>
      <w:pPr>
        <w:spacing w:after="0" w:line="17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580" w:right="359" w:bottom="1440" w:gutter="0" w:footer="0" w:header="0"/>
        </w:sectPr>
      </w:pPr>
    </w:p>
    <w:bookmarkStart w:id="33" w:name="page34"/>
    <w:bookmarkEnd w:id="33"/>
    <w:p>
      <w:pPr>
        <w:spacing w:after="0" w:line="253" w:lineRule="auto"/>
        <w:rPr>
          <w:sz w:val="20"/>
          <w:szCs w:val="20"/>
          <w:color w:val="auto"/>
        </w:rPr>
      </w:pPr>
      <w:r>
        <w:rPr>
          <w:rFonts w:ascii="Arial" w:cs="Arial" w:eastAsia="Arial" w:hAnsi="Arial"/>
          <w:sz w:val="18"/>
          <w:szCs w:val="18"/>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 Our indefinite-lived intangible assets were trademarks and trade names carried at $8.4 million at each of December 31, 2022 and 2021, respectively. We did not record any impairment charges related to our indefinite-lived intangible assets during 2022 or 2021.</w:t>
      </w:r>
    </w:p>
    <w:p>
      <w:pPr>
        <w:spacing w:after="0" w:line="19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Long-lived assets, which consist of finite-lived intangible assets, property and equipment and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At December 31, 2022 and 2021, finite-lived intangibles and long-lived assets were $19.1 million and $21.8 million, respectively. We did not record any impairment charges related to our long-lived assets during 2022 or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 Liabilities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contingent consideration liabilities on our balance sheet are accounted for in accordance with the guidance in ASC 820 (Fair Value Measurement). ASC 820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contingent consideration liabilities are a result of our acquisitions of Z-Sciences on October 6, 2021, and Acculogic on December 21, 2021. The contingent consideration for Z-Sciences represents the fair value of the balance of the purchase price less the working capital adjustment and is payable on the one-year anniversary of the acquisition if the founder remains an employee or consultant for us at that time. The fair value of this Level 3 instrument involves assessing whether we expect this to occur. At December 31, 2021, the contingent consideration liability on our balance sheet was $179,000 and was included in Other Current Liabilities. This liability was paid out in October 2022. The contingent consideration for Acculogic represents the fair value of additional payments we may make to the seller of up to an additional CAD $5.0 million in the five-year period from 2022 through 2026. The additional payments will be based on a percent of net invoices for which payments have been received on systems sold to EV or battery customers in excess of CAD $2.5 million per year in each of the five years. There was no payment due to the seller for the year ended December 31, 2022. The maximum payment over the five-year period is capped at CAD $5.0 million, which equates to approximately $3.7 million at December 31, 2022. The fair value of this Level 3 instrument involves assessing the total amount of revenue we expect from sales to EV or battery customers during the applicable time period as well as when we expect to receive payment for the related net invoices. At December 31, 2022 and 2021, the contingent consideration liability on our balance sheet was $1.4 million and $930,000, respectively. The current portion of this liability at December 31, 2022 and 2021 was $324,000 and $0, respectively, and was included in Other Current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w:t>
      </w:r>
    </w:p>
    <w:p>
      <w:pPr>
        <w:spacing w:after="0" w:line="16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At December 31, 2022 we had a net deferred tax asset of $280,000. At December 31, 2021, we had a net deferred tax liability of $1.4 million. Our deferred tax valuation allowance at December 31, 2022 and 2021 was $180,000 and $64,000, respectively.</w:t>
      </w:r>
    </w:p>
    <w:p>
      <w:pPr>
        <w:spacing w:after="0" w:line="16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4" w:right="339" w:bottom="1440" w:gutter="0" w:footer="0" w:header="0"/>
        </w:sectPr>
      </w:pPr>
    </w:p>
    <w:bookmarkStart w:id="34" w:name="page35"/>
    <w:bookmarkEnd w:id="34"/>
    <w:p>
      <w:pPr>
        <w:ind w:left="74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ind w:left="740" w:right="160"/>
        <w:spacing w:after="0" w:line="263" w:lineRule="auto"/>
        <w:rPr>
          <w:sz w:val="20"/>
          <w:szCs w:val="20"/>
          <w:color w:val="auto"/>
        </w:rPr>
      </w:pPr>
      <w:r>
        <w:rPr>
          <w:rFonts w:ascii="Arial" w:cs="Arial" w:eastAsia="Arial" w:hAnsi="Arial"/>
          <w:sz w:val="18"/>
          <w:szCs w:val="18"/>
          <w:color w:val="auto"/>
        </w:rPr>
        <w:t>There were no off-balance sheet arrangements during the year ended December 31, 2022 that have or are reasonably likely to have, a material current or future effect on our financial condition, changes in financial condition, revenues or expenses, results of operations, liquidity, cash requirements or capital resources.</w:t>
      </w:r>
    </w:p>
    <w:p>
      <w:pPr>
        <w:spacing w:after="0" w:line="18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center"/>
        <w:ind w:right="506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financial statements are set forth in this Report beginning at page F-1 and are incorporated by reference into this Item 8.</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660" w:right="14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4" w:lineRule="exact"/>
        <w:rPr>
          <w:sz w:val="20"/>
          <w:szCs w:val="20"/>
          <w:color w:val="auto"/>
        </w:rPr>
      </w:pPr>
    </w:p>
    <w:p>
      <w:pPr>
        <w:ind w:left="660" w:right="60"/>
        <w:spacing w:after="0" w:line="281" w:lineRule="auto"/>
        <w:rPr>
          <w:sz w:val="20"/>
          <w:szCs w:val="20"/>
          <w:color w:val="auto"/>
        </w:rPr>
      </w:pPr>
      <w:r>
        <w:rPr>
          <w:rFonts w:ascii="Arial" w:cs="Arial" w:eastAsia="Arial" w:hAnsi="Arial"/>
          <w:sz w:val="17"/>
          <w:szCs w:val="17"/>
          <w:b w:val="1"/>
          <w:bCs w:val="1"/>
          <w:color w:val="auto"/>
        </w:rPr>
        <w:t>CEO/CFO Conclusions about the Effectiveness of the Disclosure Controls and Procedures</w:t>
      </w:r>
      <w:r>
        <w:rPr>
          <w:rFonts w:ascii="Arial" w:cs="Arial" w:eastAsia="Arial" w:hAnsi="Arial"/>
          <w:sz w:val="17"/>
          <w:szCs w:val="17"/>
          <w:color w:val="auto"/>
        </w:rPr>
        <w:t>. As required by Rule 13a-15(b) of the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Act, 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29" w:lineRule="exact"/>
        <w:rPr>
          <w:sz w:val="20"/>
          <w:szCs w:val="20"/>
          <w:color w:val="auto"/>
        </w:rPr>
      </w:pPr>
    </w:p>
    <w:p>
      <w:pPr>
        <w:ind w:left="660"/>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6" w:lineRule="exact"/>
        <w:rPr>
          <w:sz w:val="20"/>
          <w:szCs w:val="20"/>
          <w:color w:val="auto"/>
        </w:rPr>
      </w:pPr>
    </w:p>
    <w:p>
      <w:pPr>
        <w:ind w:left="5540" w:right="220" w:hanging="4884"/>
        <w:spacing w:after="0" w:line="559" w:lineRule="auto"/>
        <w:tabs>
          <w:tab w:leader="none" w:pos="9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35" w:name="page36"/>
    <w:bookmarkEnd w:id="35"/>
    <w:p>
      <w:pPr>
        <w:ind w:left="980" w:right="20" w:hanging="324"/>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83"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ind w:left="680"/>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680" w:right="40"/>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at December 31, 2022. In making this assessment, management used the criteria set forth by the Committee of Sponsoring Organizations of the Treadway Commission (COSO) on Internal Control-Integrated 2013 Framework</w:t>
      </w:r>
      <w:r>
        <w:rPr>
          <w:rFonts w:ascii="Arial" w:cs="Arial" w:eastAsia="Arial" w:hAnsi="Arial"/>
          <w:sz w:val="18"/>
          <w:szCs w:val="18"/>
          <w:i w:val="1"/>
          <w:iCs w:val="1"/>
          <w:color w:val="auto"/>
        </w:rPr>
        <w:t>.</w:t>
      </w:r>
      <w:r>
        <w:rPr>
          <w:rFonts w:ascii="Arial" w:cs="Arial" w:eastAsia="Arial" w:hAnsi="Arial"/>
          <w:sz w:val="18"/>
          <w:szCs w:val="18"/>
          <w:color w:val="auto"/>
        </w:rPr>
        <w:t xml:space="preserve"> Based upon this assessment, management believes that, at December 31, 2022, our internal control over financial reporting is effective at a reasonable assurance level.</w:t>
      </w:r>
    </w:p>
    <w:p>
      <w:pPr>
        <w:spacing w:after="0" w:line="187" w:lineRule="exact"/>
        <w:rPr>
          <w:sz w:val="20"/>
          <w:szCs w:val="20"/>
          <w:color w:val="auto"/>
        </w:rPr>
      </w:pPr>
    </w:p>
    <w:p>
      <w:pPr>
        <w:ind w:left="680" w:right="160"/>
        <w:spacing w:after="0" w:line="342" w:lineRule="auto"/>
        <w:rPr>
          <w:sz w:val="20"/>
          <w:szCs w:val="20"/>
          <w:color w:val="auto"/>
        </w:rPr>
      </w:pPr>
      <w:r>
        <w:rPr>
          <w:rFonts w:ascii="Arial" w:cs="Arial" w:eastAsia="Arial" w:hAnsi="Arial"/>
          <w:sz w:val="16"/>
          <w:szCs w:val="16"/>
          <w:color w:val="auto"/>
        </w:rPr>
        <w:t>This annual report does not include an attestation report of our independent registered public accounting firm regarding our internal control over financial reporting, as an attestation is not required pursuant to rules of the SEC applicable to registrants that are non-accelerated filers.</w:t>
      </w:r>
    </w:p>
    <w:p>
      <w:pPr>
        <w:spacing w:after="0" w:line="3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left="680" w:right="560"/>
        <w:spacing w:after="0" w:line="277" w:lineRule="auto"/>
        <w:rPr>
          <w:sz w:val="20"/>
          <w:szCs w:val="20"/>
          <w:color w:val="auto"/>
        </w:rPr>
      </w:pPr>
      <w:r>
        <w:rPr>
          <w:rFonts w:ascii="Arial" w:cs="Arial" w:eastAsia="Arial" w:hAnsi="Arial"/>
          <w:sz w:val="18"/>
          <w:szCs w:val="18"/>
          <w:color w:val="auto"/>
        </w:rPr>
        <w:t>The information required by this Item 10 is incorporated by reference from our definitive proxy statement for our 2023 Annual Meeting of Stockholders to be filed with the SEC within 120 days after the end of the fiscal year covered by this Report.</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Code of Ethics</w:t>
      </w:r>
    </w:p>
    <w:p>
      <w:pPr>
        <w:spacing w:after="0" w:line="225" w:lineRule="exact"/>
        <w:rPr>
          <w:sz w:val="20"/>
          <w:szCs w:val="20"/>
          <w:color w:val="auto"/>
        </w:rPr>
      </w:pPr>
    </w:p>
    <w:p>
      <w:pPr>
        <w:jc w:val="both"/>
        <w:ind w:left="680" w:right="260"/>
        <w:spacing w:after="0" w:line="311" w:lineRule="auto"/>
        <w:rPr>
          <w:sz w:val="20"/>
          <w:szCs w:val="20"/>
          <w:color w:val="auto"/>
        </w:rPr>
      </w:pPr>
      <w:r>
        <w:rPr>
          <w:rFonts w:ascii="Arial" w:cs="Arial" w:eastAsia="Arial" w:hAnsi="Arial"/>
          <w:sz w:val="16"/>
          <w:szCs w:val="16"/>
          <w:color w:val="auto"/>
        </w:rPr>
        <w:t>We have adopted a Code of Ethics (the “Code”) as a guide to the standards of business conduct to which our employees, officers and directors must adhere. A copy of the Code can be found on our website at https://intestcorp.gcs-web.com/corporate-governance. We intend to satisfy the disclosure requirements of the SEC regarding amendments to, or waivers from, the Code by posting such information on the same website.</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680" w:right="580"/>
        <w:spacing w:after="0" w:line="277" w:lineRule="auto"/>
        <w:rPr>
          <w:sz w:val="20"/>
          <w:szCs w:val="20"/>
          <w:color w:val="auto"/>
        </w:rPr>
      </w:pPr>
      <w:r>
        <w:rPr>
          <w:rFonts w:ascii="Arial" w:cs="Arial" w:eastAsia="Arial" w:hAnsi="Arial"/>
          <w:sz w:val="18"/>
          <w:szCs w:val="18"/>
          <w:color w:val="auto"/>
        </w:rPr>
        <w:t>The information required by this Item 11 is incorporated by reference from our definitive proxy statement for our 2023 Annual Meeting of Stockholders to be filed with the SEC within 120 days after the end of the fiscal year covered by this Report.</w:t>
      </w:r>
    </w:p>
    <w:p>
      <w:pPr>
        <w:spacing w:after="0" w:line="166" w:lineRule="exact"/>
        <w:rPr>
          <w:sz w:val="20"/>
          <w:szCs w:val="20"/>
          <w:color w:val="auto"/>
        </w:rPr>
      </w:pPr>
    </w:p>
    <w:p>
      <w:pPr>
        <w:ind w:left="980" w:right="3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left="680" w:right="140"/>
        <w:spacing w:after="0" w:line="263" w:lineRule="auto"/>
        <w:rPr>
          <w:sz w:val="20"/>
          <w:szCs w:val="20"/>
          <w:color w:val="auto"/>
        </w:rPr>
      </w:pPr>
      <w:r>
        <w:rPr>
          <w:rFonts w:ascii="Arial" w:cs="Arial" w:eastAsia="Arial" w:hAnsi="Arial"/>
          <w:sz w:val="18"/>
          <w:szCs w:val="18"/>
          <w:color w:val="auto"/>
        </w:rPr>
        <w:t>The information required by Item 201(d) of Regulation S-K is set forth below. The remainder of the information required by this Item 12 is incorporated by reference from our definitive proxy statement for our 2023 Annual Meeting of Stockholders to be filed with the SEC within 120 days after the end of the fiscal year covered by this Report.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6" w:name="page37"/>
    <w:bookmarkEnd w:id="36"/>
    <w:p>
      <w:pPr>
        <w:ind w:left="680" w:right="840"/>
        <w:spacing w:after="0" w:line="277"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at December 31, 2022:</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80" w:type="dxa"/>
            <w:vAlign w:val="bottom"/>
            <w:gridSpan w:val="6"/>
          </w:tcPr>
          <w:p>
            <w:pPr>
              <w:jc w:val="right"/>
              <w:spacing w:after="0"/>
              <w:rPr>
                <w:sz w:val="20"/>
                <w:szCs w:val="20"/>
                <w:color w:val="auto"/>
              </w:rPr>
            </w:pPr>
            <w:r>
              <w:rPr>
                <w:rFonts w:ascii="Arial" w:cs="Arial" w:eastAsia="Arial" w:hAnsi="Arial"/>
                <w:sz w:val="18"/>
                <w:szCs w:val="18"/>
                <w:b w:val="1"/>
                <w:bCs w:val="1"/>
                <w:color w:val="auto"/>
              </w:rPr>
              <w:t>Equity Compensation Plan Information</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Number of securities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to be issued upon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Weighted-average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outstanding 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exercise price of</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future issuance under</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warrants and</w:t>
            </w:r>
          </w:p>
        </w:tc>
        <w:tc>
          <w:tcPr>
            <w:tcW w:w="100" w:type="dxa"/>
            <w:vAlign w:val="bottom"/>
          </w:tcPr>
          <w:p>
            <w:pPr>
              <w:spacing w:after="0"/>
              <w:rPr>
                <w:sz w:val="18"/>
                <w:szCs w:val="18"/>
                <w:color w:val="auto"/>
              </w:rPr>
            </w:pPr>
          </w:p>
        </w:tc>
        <w:tc>
          <w:tcPr>
            <w:tcW w:w="1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outstanding options,</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equity compensation</w:t>
            </w:r>
          </w:p>
        </w:tc>
      </w:tr>
      <w:tr>
        <w:trPr>
          <w:trHeight w:val="234"/>
        </w:trPr>
        <w:tc>
          <w:tcPr>
            <w:tcW w:w="20" w:type="dxa"/>
            <w:vAlign w:val="bottom"/>
          </w:tcPr>
          <w:p>
            <w:pPr>
              <w:spacing w:after="0"/>
              <w:rPr>
                <w:sz w:val="20"/>
                <w:szCs w:val="20"/>
                <w:color w:val="auto"/>
              </w:rPr>
            </w:pPr>
          </w:p>
        </w:tc>
        <w:tc>
          <w:tcPr>
            <w:tcW w:w="484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Plan Category</w:t>
            </w:r>
          </w:p>
        </w:tc>
        <w:tc>
          <w:tcPr>
            <w:tcW w:w="8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rights(1)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warrants and rights</w:t>
            </w:r>
          </w:p>
        </w:tc>
        <w:tc>
          <w:tcPr>
            <w:tcW w:w="20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plans(2)</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580,419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8.91</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1,149,967</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8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580,419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8.91</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1,149,967</w:t>
            </w: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securities that may be issued are shares of inTEST common stock, issuable upon exercise of outstanding stock options.</w:t>
      </w:r>
    </w:p>
    <w:p>
      <w:pPr>
        <w:spacing w:after="0" w:line="36" w:lineRule="exact"/>
        <w:rPr>
          <w:rFonts w:ascii="Arial" w:cs="Arial" w:eastAsia="Arial" w:hAnsi="Arial"/>
          <w:sz w:val="18"/>
          <w:szCs w:val="18"/>
          <w:color w:val="auto"/>
        </w:rPr>
      </w:pPr>
    </w:p>
    <w:p>
      <w:pPr>
        <w:ind w:left="1300" w:right="32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securities that remain available for future issuance include 931,119 that are issuable pursuant to the Third Amended and Restated 2014 Stock Plan, as amended, and 218,848 that are issuable pursuant to the inTEST Corporation Employee Stock Purchase Plan.</w:t>
      </w:r>
    </w:p>
    <w:p>
      <w:pPr>
        <w:spacing w:after="0" w:line="1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left="680" w:right="580"/>
        <w:spacing w:after="0" w:line="277" w:lineRule="auto"/>
        <w:rPr>
          <w:sz w:val="20"/>
          <w:szCs w:val="20"/>
          <w:color w:val="auto"/>
        </w:rPr>
      </w:pPr>
      <w:r>
        <w:rPr>
          <w:rFonts w:ascii="Arial" w:cs="Arial" w:eastAsia="Arial" w:hAnsi="Arial"/>
          <w:sz w:val="18"/>
          <w:szCs w:val="18"/>
          <w:color w:val="auto"/>
        </w:rPr>
        <w:t>The information required by this Item 13 is incorporated by reference from our definitive proxy statement for our 2023 Annual Meeting of Stockholders to be filed with the SEC within 120 days after the end of the fiscal year covered by this Report.</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680" w:right="580"/>
        <w:spacing w:after="0" w:line="277" w:lineRule="auto"/>
        <w:rPr>
          <w:sz w:val="20"/>
          <w:szCs w:val="20"/>
          <w:color w:val="auto"/>
        </w:rPr>
      </w:pPr>
      <w:r>
        <w:rPr>
          <w:rFonts w:ascii="Arial" w:cs="Arial" w:eastAsia="Arial" w:hAnsi="Arial"/>
          <w:sz w:val="18"/>
          <w:szCs w:val="18"/>
          <w:color w:val="auto"/>
        </w:rPr>
        <w:t>The information required by this Item 14 is incorporated by reference from our definitive proxy statement for our 2023 Annual Meeting of Stockholders to be filed with the SEC within 120 days after the end of the fiscal year covered by this Report.</w:t>
      </w:r>
    </w:p>
    <w:p>
      <w:pPr>
        <w:spacing w:after="0" w:line="382"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documents filed as part of this Annual Report on Form 10-K are:</w:t>
      </w:r>
    </w:p>
    <w:p>
      <w:pPr>
        <w:spacing w:after="0" w:line="252" w:lineRule="exact"/>
        <w:rPr>
          <w:rFonts w:ascii="Arial" w:cs="Arial" w:eastAsia="Arial" w:hAnsi="Arial"/>
          <w:sz w:val="18"/>
          <w:szCs w:val="18"/>
          <w:color w:val="auto"/>
        </w:rPr>
      </w:pPr>
    </w:p>
    <w:p>
      <w:pPr>
        <w:ind w:left="1120" w:right="820" w:firstLine="4"/>
        <w:spacing w:after="0" w:line="258" w:lineRule="auto"/>
        <w:tabs>
          <w:tab w:leader="none" w:pos="1515" w:val="left"/>
        </w:tabs>
        <w:numPr>
          <w:ilvl w:val="1"/>
          <w:numId w:val="16"/>
        </w:numPr>
        <w:rPr>
          <w:rFonts w:ascii="Arial" w:cs="Arial" w:eastAsia="Arial" w:hAnsi="Arial"/>
          <w:sz w:val="18"/>
          <w:szCs w:val="18"/>
          <w:color w:val="auto"/>
        </w:rPr>
      </w:pPr>
      <w:r>
        <w:rPr>
          <w:rFonts w:ascii="Arial" w:cs="Arial" w:eastAsia="Arial" w:hAnsi="Arial"/>
          <w:sz w:val="18"/>
          <w:szCs w:val="18"/>
          <w:color w:val="auto"/>
        </w:rPr>
        <w:t>Our consolidated financial statements and notes thereto as well as the applicable report of our independent registered public accounting firm are included in Part II, Item 8 of this Annual Report on Form 10-K.</w:t>
      </w:r>
    </w:p>
    <w:p>
      <w:pPr>
        <w:spacing w:after="0" w:line="1" w:lineRule="exact"/>
        <w:rPr>
          <w:rFonts w:ascii="Arial" w:cs="Arial" w:eastAsia="Arial" w:hAnsi="Arial"/>
          <w:sz w:val="18"/>
          <w:szCs w:val="18"/>
          <w:color w:val="auto"/>
        </w:rPr>
      </w:pPr>
    </w:p>
    <w:p>
      <w:pPr>
        <w:ind w:left="1120" w:firstLine="4"/>
        <w:spacing w:after="0" w:line="250" w:lineRule="auto"/>
        <w:tabs>
          <w:tab w:leader="none" w:pos="151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following financial statement schedule should be read in conjunction with the consolidated financial statements set forth in Part II, Item 8 of this Annual Report on Form 10-K:</w:t>
      </w:r>
    </w:p>
    <w:p>
      <w:pPr>
        <w:ind w:left="1840"/>
        <w:spacing w:after="0"/>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9" w:lineRule="exact"/>
        <w:rPr>
          <w:rFonts w:ascii="Arial" w:cs="Arial" w:eastAsia="Arial" w:hAnsi="Arial"/>
          <w:sz w:val="18"/>
          <w:szCs w:val="18"/>
          <w:color w:val="auto"/>
        </w:rPr>
      </w:pPr>
    </w:p>
    <w:p>
      <w:pPr>
        <w:ind w:left="1520" w:hanging="396"/>
        <w:spacing w:after="0"/>
        <w:tabs>
          <w:tab w:leader="none" w:pos="1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are included under Item 15(b) of this Annual Report on Form 10-K.</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252" w:lineRule="exact"/>
        <w:rPr>
          <w:sz w:val="20"/>
          <w:szCs w:val="20"/>
          <w:color w:val="auto"/>
        </w:rPr>
      </w:pPr>
    </w:p>
    <w:p>
      <w:pPr>
        <w:ind w:left="680" w:right="20"/>
        <w:spacing w:after="0" w:line="277"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preceding the signature page, which Index to Exhibits is incorporated herein by reference.</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80" w:type="dxa"/>
            <w:vAlign w:val="bottom"/>
            <w:gridSpan w:val="39"/>
          </w:tcPr>
          <w:p>
            <w:pPr>
              <w:ind w:left="1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218"/>
        </w:trPr>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10400" w:type="dxa"/>
            <w:vAlign w:val="bottom"/>
            <w:gridSpan w:val="54"/>
          </w:tcPr>
          <w:p>
            <w:pPr>
              <w:ind w:left="200"/>
              <w:spacing w:after="0" w:line="194" w:lineRule="exact"/>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60" w:type="dxa"/>
            <w:vAlign w:val="bottom"/>
            <w:tcBorders>
              <w:bottom w:val="single" w:sz="8" w:color="0000EE"/>
            </w:tcBorders>
            <w:gridSpan w:val="43"/>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Asset Purchase Agreement among inTEST Corporation, Videology Imaging Corporation, Videology Imaging Solutions, Inc. and Carol</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44">
              <w:r>
                <w:rPr>
                  <w:rFonts w:ascii="Arial" w:cs="Arial" w:eastAsia="Arial" w:hAnsi="Arial"/>
                  <w:sz w:val="18"/>
                  <w:szCs w:val="18"/>
                  <w:color w:val="0000EE"/>
                  <w:w w:val="89"/>
                </w:rPr>
                <w:t>Ethier dated October 28, 2021. (1)(+)</w:t>
              </w:r>
            </w:hyperlink>
          </w:p>
        </w:tc>
        <w:tc>
          <w:tcPr>
            <w:tcW w:w="7380" w:type="dxa"/>
            <w:vAlign w:val="bottom"/>
            <w:gridSpan w:val="4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bottom w:val="single" w:sz="8" w:color="0000EE"/>
            </w:tcBorders>
            <w:gridSpan w:val="47"/>
          </w:tcPr>
          <w:p>
            <w:pPr>
              <w:spacing w:after="0" w:line="19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Asset Purchase Agreement among Ambrell B.V., Videology Imaging Solutions Europe B.V. and Carol Ethier dated October 28, 2021. (1)</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3"/>
          </w:tcPr>
          <w:p>
            <w:pPr>
              <w:ind w:left="320"/>
              <w:spacing w:after="0" w:line="196" w:lineRule="exact"/>
              <w:rPr>
                <w:rFonts w:ascii="Arial" w:cs="Arial" w:eastAsia="Arial" w:hAnsi="Arial"/>
                <w:sz w:val="18"/>
                <w:szCs w:val="18"/>
                <w:color w:val="0000EE"/>
                <w:w w:val="70"/>
              </w:rPr>
            </w:pPr>
            <w:hyperlink r:id="rId45">
              <w:r>
                <w:rPr>
                  <w:rFonts w:ascii="Arial" w:cs="Arial" w:eastAsia="Arial" w:hAnsi="Arial"/>
                  <w:sz w:val="18"/>
                  <w:szCs w:val="18"/>
                  <w:color w:val="0000EE"/>
                  <w:w w:val="70"/>
                </w:rPr>
                <w:t>(+)</w:t>
              </w:r>
            </w:hyperlink>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0" w:type="dxa"/>
            <w:vAlign w:val="bottom"/>
            <w:tcBorders>
              <w:bottom w:val="single" w:sz="8" w:color="0000EE"/>
            </w:tcBorders>
            <w:gridSpan w:val="45"/>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Securities Purchase Agreement, by and among inTEST Corporation, inTEST Canada Incorporated and Saeed Taheri, dated December 9,</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7"/>
          </w:tcPr>
          <w:p>
            <w:pPr>
              <w:ind w:left="320"/>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2021. (2)(+)</w:t>
              </w:r>
            </w:hyperlink>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Certificate of Incorporation. (3)</w:t>
              </w:r>
            </w:hyperlink>
          </w:p>
        </w:tc>
        <w:tc>
          <w:tcPr>
            <w:tcW w:w="7800" w:type="dxa"/>
            <w:vAlign w:val="bottom"/>
            <w:gridSpan w:val="4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48">
              <w:r>
                <w:rPr>
                  <w:rFonts w:ascii="Arial" w:cs="Arial" w:eastAsia="Arial" w:hAnsi="Arial"/>
                  <w:sz w:val="18"/>
                  <w:szCs w:val="18"/>
                  <w:color w:val="0000EE"/>
                  <w:w w:val="89"/>
                </w:rPr>
                <w:t>Bylaws as amended and restated on April 23, 2018. (4)</w:t>
              </w:r>
            </w:hyperlink>
          </w:p>
        </w:tc>
        <w:tc>
          <w:tcPr>
            <w:tcW w:w="612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Description of Securities. (3)</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Lease Agreement between Exeter 804 East Gate, LLC and the Company dated May 10, 2010. (5)</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EE"/>
            </w:tcBorders>
            <w:gridSpan w:val="44"/>
          </w:tcPr>
          <w:p>
            <w:pPr>
              <w:spacing w:after="0" w:line="196" w:lineRule="exact"/>
              <w:rPr>
                <w:rFonts w:ascii="Arial" w:cs="Arial" w:eastAsia="Arial" w:hAnsi="Arial"/>
                <w:sz w:val="18"/>
                <w:szCs w:val="18"/>
                <w:color w:val="0000EE"/>
                <w:w w:val="89"/>
              </w:rPr>
            </w:pPr>
            <w:hyperlink r:id="rId51">
              <w:r>
                <w:rPr>
                  <w:rFonts w:ascii="Arial" w:cs="Arial" w:eastAsia="Arial" w:hAnsi="Arial"/>
                  <w:sz w:val="18"/>
                  <w:szCs w:val="18"/>
                  <w:color w:val="0000EE"/>
                  <w:w w:val="89"/>
                </w:rPr>
                <w:t>First Amendment to Lease Agreement, dated September 22, 2020, by and between inTEST Corporation and Exeter 804 East Gate 2018,</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51">
              <w:r>
                <w:rPr>
                  <w:rFonts w:ascii="Arial" w:cs="Arial" w:eastAsia="Arial" w:hAnsi="Arial"/>
                  <w:sz w:val="18"/>
                  <w:szCs w:val="18"/>
                  <w:color w:val="0000EE"/>
                  <w:w w:val="92"/>
                </w:rPr>
                <w:t>LLC. (6)</w:t>
              </w:r>
            </w:hyperlink>
          </w:p>
        </w:tc>
        <w:tc>
          <w:tcPr>
            <w:tcW w:w="9440" w:type="dxa"/>
            <w:vAlign w:val="bottom"/>
            <w:gridSpan w:val="5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Second Amendment to Lease Agreement, dated April 7, 2021, by and between inTEST Corporation and Exeter 804 East Gate 2018, LLC.</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3"/>
          </w:tcPr>
          <w:p>
            <w:pPr>
              <w:ind w:left="320"/>
              <w:spacing w:after="0" w:line="196" w:lineRule="exact"/>
              <w:rPr>
                <w:rFonts w:ascii="Arial" w:cs="Arial" w:eastAsia="Arial" w:hAnsi="Arial"/>
                <w:sz w:val="18"/>
                <w:szCs w:val="18"/>
                <w:color w:val="0000EE"/>
                <w:w w:val="72"/>
              </w:rPr>
            </w:pPr>
            <w:hyperlink r:id="rId52">
              <w:r>
                <w:rPr>
                  <w:rFonts w:ascii="Arial" w:cs="Arial" w:eastAsia="Arial" w:hAnsi="Arial"/>
                  <w:sz w:val="18"/>
                  <w:szCs w:val="18"/>
                  <w:color w:val="0000EE"/>
                  <w:w w:val="72"/>
                </w:rPr>
                <w:t>(7)</w:t>
              </w:r>
            </w:hyperlink>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tcBorders>
              <w:bottom w:val="single" w:sz="8" w:color="0000EE"/>
            </w:tcBorders>
            <w:gridSpan w:val="50"/>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Lease Agreement between AMB-SGP Seattle/Boston, LLC and Temptronic Corporation (a subsidiary of the Company), dated October 25,</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5"/>
          </w:tcPr>
          <w:p>
            <w:pPr>
              <w:ind w:left="320"/>
              <w:spacing w:after="0" w:line="196" w:lineRule="exact"/>
              <w:rPr>
                <w:rFonts w:ascii="Arial" w:cs="Arial" w:eastAsia="Arial" w:hAnsi="Arial"/>
                <w:sz w:val="18"/>
                <w:szCs w:val="18"/>
                <w:color w:val="0000EE"/>
                <w:w w:val="88"/>
              </w:rPr>
            </w:pPr>
            <w:hyperlink r:id="rId53">
              <w:r>
                <w:rPr>
                  <w:rFonts w:ascii="Arial" w:cs="Arial" w:eastAsia="Arial" w:hAnsi="Arial"/>
                  <w:sz w:val="18"/>
                  <w:szCs w:val="18"/>
                  <w:color w:val="0000EE"/>
                  <w:w w:val="88"/>
                </w:rPr>
                <w:t>2010. (8)</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Second Amendment to Lease between James Campbell Company, LLC and Temptronic Corporation dated April 8, 2019. (9)</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w w:val="94"/>
              </w:rPr>
            </w:pPr>
            <w:hyperlink r:id="rId55">
              <w:r>
                <w:rPr>
                  <w:rFonts w:ascii="Arial" w:cs="Arial" w:eastAsia="Arial" w:hAnsi="Arial"/>
                  <w:sz w:val="18"/>
                  <w:szCs w:val="18"/>
                  <w:color w:val="0000EE"/>
                  <w:w w:val="94"/>
                </w:rPr>
                <w:t>Lease Agreement between Columbia California Warm Springs Industrial, LLC and inTEST Silicon Valley Corporation dated January 9,</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6"/>
          </w:tcPr>
          <w:p>
            <w:pPr>
              <w:ind w:left="320"/>
              <w:spacing w:after="0" w:line="196" w:lineRule="exact"/>
              <w:rPr>
                <w:rFonts w:ascii="Arial" w:cs="Arial" w:eastAsia="Arial" w:hAnsi="Arial"/>
                <w:sz w:val="18"/>
                <w:szCs w:val="18"/>
                <w:color w:val="0000EE"/>
                <w:w w:val="87"/>
              </w:rPr>
            </w:pPr>
            <w:hyperlink r:id="rId55">
              <w:r>
                <w:rPr>
                  <w:rFonts w:ascii="Arial" w:cs="Arial" w:eastAsia="Arial" w:hAnsi="Arial"/>
                  <w:sz w:val="18"/>
                  <w:szCs w:val="18"/>
                  <w:color w:val="0000EE"/>
                  <w:w w:val="87"/>
                </w:rPr>
                <w:t>2012. (10)</w:t>
              </w:r>
            </w:hyperlink>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tcBorders>
              <w:bottom w:val="single" w:sz="8" w:color="0000EE"/>
            </w:tcBorders>
            <w:gridSpan w:val="51"/>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First Amendment to Lease Agreement between Columbia California Warm Springs Industrial, LLC and inTEST Silicon Valley Corporation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dated November 18, 2016. (11)</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w w:val="95"/>
              </w:rPr>
            </w:pPr>
            <w:hyperlink r:id="rId57">
              <w:r>
                <w:rPr>
                  <w:rFonts w:ascii="Arial" w:cs="Arial" w:eastAsia="Arial" w:hAnsi="Arial"/>
                  <w:sz w:val="18"/>
                  <w:szCs w:val="18"/>
                  <w:color w:val="0000EE"/>
                  <w:w w:val="95"/>
                </w:rPr>
                <w:t>Second Amendment to Standard Lease Agreement, dated January 23, 2020, by and between inTEST Silicon Valley Corporation and</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Fremont Business Center, LLC. (12)</w:t>
              </w:r>
            </w:hyperlink>
          </w:p>
        </w:tc>
        <w:tc>
          <w:tcPr>
            <w:tcW w:w="5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0" w:type="dxa"/>
            <w:vAlign w:val="bottom"/>
            <w:gridSpan w:val="10"/>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tcBorders>
              <w:bottom w:val="single" w:sz="8" w:color="0000EE"/>
            </w:tcBorders>
            <w:gridSpan w:val="46"/>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Guaranty Agreements between Columbia California Warm Springs Industrial, LLC and inTEST Corporation dated January 9, 2012. (10)</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8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Lease Agreement between Maguire Family Properties, Inc. and Ambrell Corporation dated December 19, 2017. (13)</w:t>
              </w:r>
            </w:hyperlink>
          </w:p>
        </w:tc>
        <w:tc>
          <w:tcPr>
            <w:tcW w:w="16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Guaranty of Lease between Maguire Family Properties, Inc. and Ambrell Corporation dated December 19, 2017. (13)</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40" w:type="dxa"/>
            <w:vAlign w:val="bottom"/>
            <w:tcBorders>
              <w:top w:val="single" w:sz="8" w:color="0000EE"/>
            </w:tcBorders>
            <w:gridSpan w:val="33"/>
          </w:tcPr>
          <w:p>
            <w:pPr>
              <w:spacing w:after="0" w:line="196" w:lineRule="exact"/>
              <w:rPr>
                <w:rFonts w:ascii="Arial" w:cs="Arial" w:eastAsia="Arial" w:hAnsi="Arial"/>
                <w:sz w:val="18"/>
                <w:szCs w:val="18"/>
                <w:color w:val="0000EE"/>
                <w:w w:val="96"/>
              </w:rPr>
            </w:pPr>
            <w:hyperlink r:id="rId61">
              <w:r>
                <w:rPr>
                  <w:rFonts w:ascii="Arial" w:cs="Arial" w:eastAsia="Arial" w:hAnsi="Arial"/>
                  <w:sz w:val="18"/>
                  <w:szCs w:val="18"/>
                  <w:color w:val="0000EE"/>
                  <w:w w:val="96"/>
                </w:rPr>
                <w:t>Lease Agreement between Apple Creek Properties Limited and Acculogic Inc. dated November 30, 2022. (24)</w:t>
              </w:r>
            </w:hyperlink>
          </w:p>
        </w:tc>
        <w:tc>
          <w:tcPr>
            <w:tcW w:w="16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160" w:type="dxa"/>
            <w:vAlign w:val="bottom"/>
            <w:gridSpan w:val="1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tcBorders>
              <w:bottom w:val="single" w:sz="8" w:color="0000EE"/>
            </w:tcBorders>
            <w:gridSpan w:val="50"/>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Amended and Restated Loan and Security Agreement dated October 15, 2021, among inTEST Corporation, Ambrell Corporation, inTEST</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2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r:id="rId62">
              <w:r>
                <w:rPr>
                  <w:rFonts w:ascii="Arial" w:cs="Arial" w:eastAsia="Arial" w:hAnsi="Arial"/>
                  <w:sz w:val="18"/>
                  <w:szCs w:val="18"/>
                  <w:color w:val="0000EE"/>
                  <w:w w:val="93"/>
                </w:rPr>
                <w:t>Silicon Valley Corporation, inTEST EMS, LLC, Temptronic Corporation and M&amp;T Bank. (25)</w:t>
              </w:r>
            </w:hyperlink>
          </w:p>
        </w:tc>
        <w:tc>
          <w:tcPr>
            <w:tcW w:w="32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bottom w:val="single" w:sz="8" w:color="0000EE"/>
            </w:tcBorders>
            <w:gridSpan w:val="41"/>
          </w:tcPr>
          <w:p>
            <w:pPr>
              <w:spacing w:after="0" w:line="196" w:lineRule="exact"/>
              <w:rPr>
                <w:rFonts w:ascii="Arial" w:cs="Arial" w:eastAsia="Arial" w:hAnsi="Arial"/>
                <w:sz w:val="18"/>
                <w:szCs w:val="18"/>
                <w:color w:val="0000EE"/>
                <w:w w:val="89"/>
              </w:rPr>
            </w:pPr>
            <w:hyperlink r:id="rId63">
              <w:r>
                <w:rPr>
                  <w:rFonts w:ascii="Arial" w:cs="Arial" w:eastAsia="Arial" w:hAnsi="Arial"/>
                  <w:sz w:val="18"/>
                  <w:szCs w:val="18"/>
                  <w:color w:val="0000EE"/>
                  <w:w w:val="89"/>
                </w:rPr>
                <w:t>Joinder and Second Amendment to Amended and Restated Loan and Security Agreement, dated December 30, 2021, among inTEST</w:t>
              </w:r>
            </w:hyperlink>
          </w:p>
        </w:tc>
        <w:tc>
          <w:tcPr>
            <w:tcW w:w="5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w w:val="94"/>
              </w:rPr>
            </w:pPr>
            <w:hyperlink r:id="rId63">
              <w:r>
                <w:rPr>
                  <w:rFonts w:ascii="Arial" w:cs="Arial" w:eastAsia="Arial" w:hAnsi="Arial"/>
                  <w:sz w:val="18"/>
                  <w:szCs w:val="18"/>
                  <w:color w:val="0000EE"/>
                  <w:w w:val="94"/>
                </w:rPr>
                <w:t>Corporation, Ambrell Corporation, inTEST Silicon Valley Corporation, inTEST EMS, LLC, Temptronic Corporation, Videology Imaging</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Corporation, Acculogic Ltd., Acculogic Inc. and M&amp;T Bank. (14)</w:t>
              </w:r>
            </w:hyperlink>
          </w:p>
        </w:tc>
        <w:tc>
          <w:tcPr>
            <w:tcW w:w="5180" w:type="dxa"/>
            <w:vAlign w:val="bottom"/>
            <w:tcBorders>
              <w:top w:val="single" w:sz="8" w:color="0000EE"/>
            </w:tcBorders>
            <w:gridSpan w:val="30"/>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40" w:type="dxa"/>
            <w:vAlign w:val="bottom"/>
            <w:tcBorders>
              <w:bottom w:val="single" w:sz="8" w:color="0000EE"/>
            </w:tcBorders>
            <w:gridSpan w:val="40"/>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Third Amendment to Amended and Restated Loan and Security Agreement, dated September 20, 2022, among inTEST Corporation,</w:t>
              </w:r>
            </w:hyperlink>
          </w:p>
        </w:tc>
        <w:tc>
          <w:tcPr>
            <w:tcW w:w="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w w:val="94"/>
              </w:rPr>
            </w:pPr>
            <w:hyperlink r:id="rId64">
              <w:r>
                <w:rPr>
                  <w:rFonts w:ascii="Arial" w:cs="Arial" w:eastAsia="Arial" w:hAnsi="Arial"/>
                  <w:sz w:val="18"/>
                  <w:szCs w:val="18"/>
                  <w:color w:val="0000EE"/>
                  <w:w w:val="94"/>
                </w:rPr>
                <w:t>Ambrell Corporation, inTEST Silicon Valley Corporation, inTEST EMS, LLC, Temptronic Corporation, Videology Imaging Corporation,</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r:id="rId64">
              <w:r>
                <w:rPr>
                  <w:rFonts w:ascii="Arial" w:cs="Arial" w:eastAsia="Arial" w:hAnsi="Arial"/>
                  <w:sz w:val="18"/>
                  <w:szCs w:val="18"/>
                  <w:color w:val="0000EE"/>
                  <w:w w:val="94"/>
                </w:rPr>
                <w:t>Acculogic Ltd., Acculogic Inc. and M&amp;T Bank. (26)</w:t>
              </w:r>
            </w:hyperlink>
          </w:p>
        </w:tc>
        <w:tc>
          <w:tcPr>
            <w:tcW w:w="6140" w:type="dxa"/>
            <w:vAlign w:val="bottom"/>
            <w:tcBorders>
              <w:top w:val="single" w:sz="8" w:color="0000EE"/>
            </w:tcBorders>
            <w:gridSpan w:val="36"/>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Amended and Restated Delayed Draw Term Note 1, dated October 28, 2021. (1)</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160" w:type="dxa"/>
            <w:vAlign w:val="bottom"/>
            <w:gridSpan w:val="1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2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66">
              <w:r>
                <w:rPr>
                  <w:rFonts w:ascii="Arial" w:cs="Arial" w:eastAsia="Arial" w:hAnsi="Arial"/>
                  <w:sz w:val="18"/>
                  <w:szCs w:val="18"/>
                  <w:color w:val="0000EE"/>
                  <w:w w:val="89"/>
                </w:rPr>
                <w:t>Second Amended and Restated Delayed Draw Term Note 1A, dated December 30, 2021. (14)</w:t>
              </w:r>
            </w:hyperlink>
          </w:p>
        </w:tc>
        <w:tc>
          <w:tcPr>
            <w:tcW w:w="33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2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67">
              <w:r>
                <w:rPr>
                  <w:rFonts w:ascii="Arial" w:cs="Arial" w:eastAsia="Arial" w:hAnsi="Arial"/>
                  <w:sz w:val="18"/>
                  <w:szCs w:val="18"/>
                  <w:color w:val="0000EE"/>
                  <w:w w:val="89"/>
                </w:rPr>
                <w:t>Third Amended and Restated Delayed Draw Term Note 1A, dated September 30, 2022. (26)</w:t>
              </w:r>
            </w:hyperlink>
          </w:p>
        </w:tc>
        <w:tc>
          <w:tcPr>
            <w:tcW w:w="34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68">
              <w:r>
                <w:rPr>
                  <w:rFonts w:ascii="Arial" w:cs="Arial" w:eastAsia="Arial" w:hAnsi="Arial"/>
                  <w:sz w:val="18"/>
                  <w:szCs w:val="18"/>
                  <w:color w:val="0000EE"/>
                  <w:w w:val="89"/>
                </w:rPr>
                <w:t>Delayed Draw Term Note 1B, dated December 30, 2021. (14)</w:t>
              </w:r>
            </w:hyperlink>
          </w:p>
        </w:tc>
        <w:tc>
          <w:tcPr>
            <w:tcW w:w="564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2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Guarantee and Indemnity Agreement, dated December 30, 2021, among inTEST Corporation, Acculogic Inc. and M&amp;T Bank. (14)</w:t>
              </w:r>
            </w:hyperlink>
          </w:p>
        </w:tc>
        <w:tc>
          <w:tcPr>
            <w:tcW w:w="6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Pledge Agreement, dated December 30, 2021, between inTEST Corporation and M&amp;T Bank. (14)</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160" w:type="dxa"/>
            <w:vAlign w:val="bottom"/>
            <w:gridSpan w:val="1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General Security Agreement, dated December 30, 2021, among inTEST Corporation, Acculogic Inc. and M&amp;T Bank. (14)</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160" w:type="dxa"/>
            <w:vAlign w:val="bottom"/>
            <w:gridSpan w:val="1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Second Amended and Restated Patents, Trademarks, Copyrights and Licenses Security Agreement, dated December 30, 2021, among</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160" w:type="dxa"/>
            <w:vAlign w:val="bottom"/>
            <w:gridSpan w:val="1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tcBorders>
              <w:bottom w:val="single" w:sz="8" w:color="0000EE"/>
            </w:tcBorders>
            <w:gridSpan w:val="48"/>
          </w:tcPr>
          <w:p>
            <w:pPr>
              <w:spacing w:after="0" w:line="196" w:lineRule="exact"/>
              <w:rPr>
                <w:rFonts w:ascii="Arial" w:cs="Arial" w:eastAsia="Arial" w:hAnsi="Arial"/>
                <w:sz w:val="18"/>
                <w:szCs w:val="18"/>
                <w:color w:val="0000EE"/>
                <w:w w:val="93"/>
              </w:rPr>
            </w:pPr>
            <w:hyperlink r:id="rId72">
              <w:r>
                <w:rPr>
                  <w:rFonts w:ascii="Arial" w:cs="Arial" w:eastAsia="Arial" w:hAnsi="Arial"/>
                  <w:sz w:val="18"/>
                  <w:szCs w:val="18"/>
                  <w:color w:val="0000EE"/>
                  <w:w w:val="93"/>
                </w:rPr>
                <w:t>inTEST Corporation, Ambrell Corporation, inTEST Silicon Valley Corporation, inTEST EMS, LLC, Temptronic Corporation, Videology</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72">
              <w:r>
                <w:rPr>
                  <w:rFonts w:ascii="Arial" w:cs="Arial" w:eastAsia="Arial" w:hAnsi="Arial"/>
                  <w:sz w:val="18"/>
                  <w:szCs w:val="18"/>
                  <w:color w:val="0000EE"/>
                  <w:w w:val="93"/>
                </w:rPr>
                <w:t>Imaging Corporation, Acculogic Ltd. and M&amp;T Bank. (14)</w:t>
              </w:r>
            </w:hyperlink>
          </w:p>
        </w:tc>
        <w:tc>
          <w:tcPr>
            <w:tcW w:w="582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8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Second Amended and Restated Surety Agreement, dated December 30, 2021, among Ambrell Corporation, inTEST Silicon Valley</w:t>
              </w:r>
            </w:hyperlink>
          </w:p>
        </w:tc>
        <w:tc>
          <w:tcPr>
            <w:tcW w:w="6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Corporation, inTEST EMS, LLC, Temptronic Corporation, Videology Imaging Corporation, Acculogic Ltd. and M&amp;T Bank. (14)</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r:id="rId74">
              <w:r>
                <w:rPr>
                  <w:rFonts w:ascii="Arial" w:cs="Arial" w:eastAsia="Arial" w:hAnsi="Arial"/>
                  <w:sz w:val="18"/>
                  <w:szCs w:val="18"/>
                  <w:color w:val="0000EE"/>
                  <w:w w:val="89"/>
                </w:rPr>
                <w:t>Second Amended and Restated Revolver Note, dated October 15, 2021. (15)</w:t>
              </w:r>
            </w:hyperlink>
          </w:p>
        </w:tc>
        <w:tc>
          <w:tcPr>
            <w:tcW w:w="3820" w:type="dxa"/>
            <w:vAlign w:val="bottom"/>
            <w:tcBorders>
              <w:top w:val="single" w:sz="8" w:color="0000EE"/>
            </w:tcBorders>
            <w:gridSpan w:val="14"/>
          </w:tcPr>
          <w:p>
            <w:pPr>
              <w:spacing w:after="0"/>
              <w:rPr>
                <w:sz w:val="17"/>
                <w:szCs w:val="17"/>
                <w:color w:val="auto"/>
              </w:rPr>
            </w:pPr>
          </w:p>
        </w:tc>
        <w:tc>
          <w:tcPr>
            <w:tcW w:w="7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75">
              <w:r>
                <w:rPr>
                  <w:rFonts w:ascii="Arial" w:cs="Arial" w:eastAsia="Arial" w:hAnsi="Arial"/>
                  <w:sz w:val="18"/>
                  <w:szCs w:val="18"/>
                  <w:color w:val="0000EE"/>
                  <w:w w:val="93"/>
                </w:rPr>
                <w:t>Form of Indemnification Agreement (16)(*)</w:t>
              </w:r>
            </w:hyperlink>
          </w:p>
        </w:tc>
        <w:tc>
          <w:tcPr>
            <w:tcW w:w="6900" w:type="dxa"/>
            <w:vAlign w:val="bottom"/>
            <w:gridSpan w:val="4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inTEST Corporation Fourth Amended and Restated 2014 Stock Plan (19)(*)</w:t>
              </w:r>
            </w:hyperlink>
          </w:p>
        </w:tc>
        <w:tc>
          <w:tcPr>
            <w:tcW w:w="45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inTEST Corporation Employee Stock Purchase Plan. (18)(*)</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340" w:type="dxa"/>
            <w:vAlign w:val="bottom"/>
            <w:gridSpan w:val="17"/>
            <w:shd w:val="clear" w:color="auto" w:fill="0000EE"/>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12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Letter Agreement between the Company and Richard N. Grant, Jr. dated July 24, 2020 (20)(*)</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10.30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Letter Agreement between the Company and Duncan Gilmour dated June 10, 2021(21)</w:t>
              </w:r>
            </w:hyperlink>
          </w:p>
        </w:tc>
        <w:tc>
          <w:tcPr>
            <w:tcW w:w="500" w:type="dxa"/>
            <w:vAlign w:val="bottom"/>
            <w:tcBorders>
              <w:top w:val="single" w:sz="8" w:color="0000EE"/>
            </w:tcBorders>
            <w:gridSpan w:val="3"/>
          </w:tcPr>
          <w:p>
            <w:pPr>
              <w:spacing w:after="0"/>
              <w:rPr>
                <w:sz w:val="17"/>
                <w:szCs w:val="17"/>
                <w:color w:val="auto"/>
              </w:rPr>
            </w:pPr>
          </w:p>
        </w:tc>
        <w:tc>
          <w:tcPr>
            <w:tcW w:w="33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10.31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52"/>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Change of Control Agreement dated August 11, 2020 between the Company and Richard N. Grant, Jr. (17)(*)</w:t>
              </w:r>
            </w:hyperlink>
          </w:p>
        </w:tc>
        <w:tc>
          <w:tcPr>
            <w:tcW w:w="0" w:type="dxa"/>
            <w:vAlign w:val="bottom"/>
          </w:tcPr>
          <w:p>
            <w:pPr>
              <w:spacing w:after="0"/>
              <w:rPr>
                <w:sz w:val="1"/>
                <w:szCs w:val="1"/>
                <w:color w:val="auto"/>
              </w:rPr>
            </w:pPr>
          </w:p>
        </w:tc>
      </w:tr>
      <w:tr>
        <w:trPr>
          <w:trHeight w:val="452"/>
        </w:trPr>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4740" w:type="dxa"/>
            <w:vAlign w:val="bottom"/>
            <w:tcBorders>
              <w:top w:val="single" w:sz="8" w:color="0000EE"/>
            </w:tcBorders>
            <w:gridSpan w:val="19"/>
          </w:tcPr>
          <w:p>
            <w:pPr>
              <w:jc w:val="right"/>
              <w:ind w:right="200"/>
              <w:spacing w:after="0"/>
              <w:rPr>
                <w:sz w:val="20"/>
                <w:szCs w:val="20"/>
                <w:color w:val="auto"/>
              </w:rPr>
            </w:pPr>
            <w:r>
              <w:rPr>
                <w:rFonts w:ascii="Arial" w:cs="Arial" w:eastAsia="Arial" w:hAnsi="Arial"/>
                <w:sz w:val="18"/>
                <w:szCs w:val="18"/>
                <w:color w:val="auto"/>
              </w:rPr>
              <w:t>36</w:t>
            </w:r>
          </w:p>
        </w:tc>
        <w:tc>
          <w:tcPr>
            <w:tcW w:w="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40" w:type="dxa"/>
            <w:vAlign w:val="bottom"/>
            <w:tcBorders>
              <w:bottom w:val="single" w:sz="8" w:color="auto"/>
            </w:tcBorders>
            <w:gridSpan w:val="56"/>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690"/>
              <w:spacing w:after="0"/>
              <w:rPr>
                <w:sz w:val="20"/>
                <w:szCs w:val="20"/>
                <w:color w:val="auto"/>
              </w:rPr>
            </w:pPr>
            <w:r>
              <w:rPr>
                <w:rFonts w:ascii="Arial" w:cs="Arial" w:eastAsia="Arial" w:hAnsi="Arial"/>
                <w:sz w:val="18"/>
                <w:szCs w:val="18"/>
                <w:color w:val="auto"/>
                <w:w w:val="88"/>
              </w:rPr>
              <w:t>10.32</w:t>
            </w:r>
          </w:p>
        </w:tc>
        <w:tc>
          <w:tcPr>
            <w:tcW w:w="7480" w:type="dxa"/>
            <w:vAlign w:val="bottom"/>
            <w:tcBorders>
              <w:bottom w:val="single" w:sz="8" w:color="0000EE"/>
            </w:tcBorders>
            <w:gridSpan w:val="9"/>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Change of Control Agreement dated June 10, 2021 between the Company and Duncan Gilmour. (27)(*)</w:t>
              </w:r>
            </w:hyperlink>
          </w:p>
        </w:tc>
      </w:tr>
      <w:tr>
        <w:trPr>
          <w:trHeight w:val="196"/>
        </w:trPr>
        <w:tc>
          <w:tcPr>
            <w:tcW w:w="1200" w:type="dxa"/>
            <w:vAlign w:val="bottom"/>
          </w:tcPr>
          <w:p>
            <w:pPr>
              <w:jc w:val="right"/>
              <w:ind w:right="690"/>
              <w:spacing w:after="0" w:line="196" w:lineRule="exact"/>
              <w:rPr>
                <w:sz w:val="20"/>
                <w:szCs w:val="20"/>
                <w:color w:val="auto"/>
              </w:rPr>
            </w:pPr>
            <w:r>
              <w:rPr>
                <w:rFonts w:ascii="Arial" w:cs="Arial" w:eastAsia="Arial" w:hAnsi="Arial"/>
                <w:sz w:val="18"/>
                <w:szCs w:val="18"/>
                <w:color w:val="auto"/>
                <w:w w:val="88"/>
              </w:rPr>
              <w:t>10.33</w:t>
            </w:r>
          </w:p>
        </w:tc>
        <w:tc>
          <w:tcPr>
            <w:tcW w:w="380" w:type="dxa"/>
            <w:vAlign w:val="bottom"/>
          </w:tcPr>
          <w:p>
            <w:pPr>
              <w:spacing w:after="0" w:line="19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2021</w:t>
              </w:r>
            </w:hyperlink>
          </w:p>
        </w:tc>
        <w:tc>
          <w:tcPr>
            <w:tcW w:w="7100" w:type="dxa"/>
            <w:vAlign w:val="bottom"/>
            <w:gridSpan w:val="8"/>
          </w:tcPr>
          <w:p>
            <w:pPr>
              <w:ind w:left="20"/>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Executive Compensation Plan. (22)(*)</w:t>
              </w:r>
            </w:hyperlink>
          </w:p>
        </w:tc>
      </w:tr>
      <w:tr>
        <w:trPr>
          <w:trHeight w:val="20"/>
        </w:trPr>
        <w:tc>
          <w:tcPr>
            <w:tcW w:w="1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1200" w:type="dxa"/>
            <w:vAlign w:val="bottom"/>
          </w:tcPr>
          <w:p>
            <w:pPr>
              <w:jc w:val="right"/>
              <w:ind w:right="690"/>
              <w:spacing w:after="0" w:line="196" w:lineRule="exact"/>
              <w:rPr>
                <w:sz w:val="20"/>
                <w:szCs w:val="20"/>
                <w:color w:val="auto"/>
              </w:rPr>
            </w:pPr>
            <w:r>
              <w:rPr>
                <w:rFonts w:ascii="Arial" w:cs="Arial" w:eastAsia="Arial" w:hAnsi="Arial"/>
                <w:sz w:val="18"/>
                <w:szCs w:val="18"/>
                <w:color w:val="auto"/>
                <w:w w:val="88"/>
              </w:rPr>
              <w:t>10.34</w:t>
            </w:r>
          </w:p>
        </w:tc>
        <w:tc>
          <w:tcPr>
            <w:tcW w:w="3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2022</w:t>
              </w:r>
            </w:hyperlink>
          </w:p>
        </w:tc>
        <w:tc>
          <w:tcPr>
            <w:tcW w:w="358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Executive Officer Compensation Plan. (23)(*)(+)</w:t>
              </w:r>
            </w:hyperlink>
          </w:p>
        </w:tc>
        <w:tc>
          <w:tcPr>
            <w:tcW w:w="3520" w:type="dxa"/>
            <w:vAlign w:val="bottom"/>
            <w:gridSpan w:val="4"/>
          </w:tcPr>
          <w:p>
            <w:pPr>
              <w:spacing w:after="0"/>
              <w:rPr>
                <w:sz w:val="17"/>
                <w:szCs w:val="17"/>
                <w:color w:val="auto"/>
              </w:rPr>
            </w:pPr>
          </w:p>
        </w:tc>
      </w:tr>
      <w:tr>
        <w:trPr>
          <w:trHeight w:val="196"/>
        </w:trPr>
        <w:tc>
          <w:tcPr>
            <w:tcW w:w="1200" w:type="dxa"/>
            <w:vAlign w:val="bottom"/>
          </w:tcPr>
          <w:p>
            <w:pPr>
              <w:jc w:val="right"/>
              <w:ind w:right="690"/>
              <w:spacing w:after="0" w:line="196" w:lineRule="exact"/>
              <w:rPr>
                <w:sz w:val="20"/>
                <w:szCs w:val="20"/>
                <w:color w:val="auto"/>
              </w:rPr>
            </w:pPr>
            <w:r>
              <w:rPr>
                <w:rFonts w:ascii="Arial" w:cs="Arial" w:eastAsia="Arial" w:hAnsi="Arial"/>
                <w:sz w:val="18"/>
                <w:szCs w:val="18"/>
                <w:color w:val="auto"/>
                <w:w w:val="88"/>
              </w:rPr>
              <w:t>10.35</w:t>
            </w:r>
          </w:p>
        </w:tc>
        <w:tc>
          <w:tcPr>
            <w:tcW w:w="48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Form of Restricted Stock Award Agreement for Employees. (17)(*)</w:t>
              </w:r>
            </w:hyperlink>
          </w:p>
        </w:tc>
        <w:tc>
          <w:tcPr>
            <w:tcW w:w="2600" w:type="dxa"/>
            <w:vAlign w:val="bottom"/>
          </w:tcPr>
          <w:p>
            <w:pPr>
              <w:spacing w:after="0"/>
              <w:rPr>
                <w:sz w:val="17"/>
                <w:szCs w:val="17"/>
                <w:color w:val="auto"/>
              </w:rPr>
            </w:pPr>
          </w:p>
        </w:tc>
      </w:tr>
      <w:tr>
        <w:trPr>
          <w:trHeight w:val="196"/>
        </w:trPr>
        <w:tc>
          <w:tcPr>
            <w:tcW w:w="1200" w:type="dxa"/>
            <w:vAlign w:val="bottom"/>
          </w:tcPr>
          <w:p>
            <w:pPr>
              <w:jc w:val="right"/>
              <w:ind w:right="690"/>
              <w:spacing w:after="0" w:line="196" w:lineRule="exact"/>
              <w:rPr>
                <w:sz w:val="20"/>
                <w:szCs w:val="20"/>
                <w:color w:val="auto"/>
              </w:rPr>
            </w:pPr>
            <w:r>
              <w:rPr>
                <w:rFonts w:ascii="Arial" w:cs="Arial" w:eastAsia="Arial" w:hAnsi="Arial"/>
                <w:sz w:val="18"/>
                <w:szCs w:val="18"/>
                <w:color w:val="auto"/>
                <w:w w:val="88"/>
              </w:rPr>
              <w:t>10.36</w:t>
            </w:r>
          </w:p>
        </w:tc>
        <w:tc>
          <w:tcPr>
            <w:tcW w:w="7480" w:type="dxa"/>
            <w:vAlign w:val="bottom"/>
            <w:gridSpan w:val="9"/>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Form of Restricted Stock Award Agreement for Directors. (17)(*)</w:t>
              </w:r>
            </w:hyperlink>
          </w:p>
        </w:tc>
      </w:tr>
      <w:tr>
        <w:trPr>
          <w:trHeight w:val="196"/>
        </w:trPr>
        <w:tc>
          <w:tcPr>
            <w:tcW w:w="1200" w:type="dxa"/>
            <w:vAlign w:val="bottom"/>
          </w:tcPr>
          <w:p>
            <w:pPr>
              <w:jc w:val="right"/>
              <w:ind w:right="690"/>
              <w:spacing w:after="0" w:line="196" w:lineRule="exact"/>
              <w:rPr>
                <w:sz w:val="20"/>
                <w:szCs w:val="20"/>
                <w:color w:val="auto"/>
              </w:rPr>
            </w:pPr>
            <w:r>
              <w:rPr>
                <w:rFonts w:ascii="Arial" w:cs="Arial" w:eastAsia="Arial" w:hAnsi="Arial"/>
                <w:sz w:val="18"/>
                <w:szCs w:val="18"/>
                <w:color w:val="auto"/>
                <w:w w:val="88"/>
              </w:rPr>
              <w:t>10.37</w:t>
            </w:r>
          </w:p>
        </w:tc>
        <w:tc>
          <w:tcPr>
            <w:tcW w:w="4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Form of Non-Qualified Stock Option Agreement. (22)(*)</w:t>
              </w:r>
            </w:hyperlink>
          </w:p>
        </w:tc>
        <w:tc>
          <w:tcPr>
            <w:tcW w:w="620" w:type="dxa"/>
            <w:vAlign w:val="bottom"/>
            <w:tcBorders>
              <w:top w:val="single" w:sz="8" w:color="0000EE"/>
            </w:tcBorders>
          </w:tcPr>
          <w:p>
            <w:pPr>
              <w:spacing w:after="0"/>
              <w:rPr>
                <w:sz w:val="17"/>
                <w:szCs w:val="17"/>
                <w:color w:val="auto"/>
              </w:rPr>
            </w:pPr>
          </w:p>
        </w:tc>
        <w:tc>
          <w:tcPr>
            <w:tcW w:w="2740" w:type="dxa"/>
            <w:vAlign w:val="bottom"/>
            <w:gridSpan w:val="2"/>
          </w:tcPr>
          <w:p>
            <w:pPr>
              <w:spacing w:after="0"/>
              <w:rPr>
                <w:sz w:val="17"/>
                <w:szCs w:val="17"/>
                <w:color w:val="auto"/>
              </w:rPr>
            </w:pPr>
          </w:p>
        </w:tc>
      </w:tr>
      <w:tr>
        <w:trPr>
          <w:trHeight w:val="196"/>
        </w:trPr>
        <w:tc>
          <w:tcPr>
            <w:tcW w:w="1200" w:type="dxa"/>
            <w:vAlign w:val="bottom"/>
          </w:tcPr>
          <w:p>
            <w:pPr>
              <w:jc w:val="right"/>
              <w:ind w:right="690"/>
              <w:spacing w:after="0" w:line="196" w:lineRule="exact"/>
              <w:rPr>
                <w:sz w:val="20"/>
                <w:szCs w:val="20"/>
                <w:color w:val="auto"/>
              </w:rPr>
            </w:pPr>
            <w:r>
              <w:rPr>
                <w:rFonts w:ascii="Arial" w:cs="Arial" w:eastAsia="Arial" w:hAnsi="Arial"/>
                <w:sz w:val="18"/>
                <w:szCs w:val="18"/>
                <w:color w:val="auto"/>
                <w:w w:val="88"/>
              </w:rPr>
              <w:t>10.38</w:t>
            </w:r>
          </w:p>
        </w:tc>
        <w:tc>
          <w:tcPr>
            <w:tcW w:w="37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Form of Incentive Stock Option Agreement. (22)(*)</w:t>
              </w:r>
            </w:hyperlink>
          </w:p>
        </w:tc>
        <w:tc>
          <w:tcPr>
            <w:tcW w:w="3740" w:type="dxa"/>
            <w:vAlign w:val="bottom"/>
            <w:gridSpan w:val="5"/>
          </w:tcPr>
          <w:p>
            <w:pPr>
              <w:spacing w:after="0"/>
              <w:rPr>
                <w:sz w:val="17"/>
                <w:szCs w:val="17"/>
                <w:color w:val="auto"/>
              </w:rPr>
            </w:pPr>
          </w:p>
        </w:tc>
      </w:tr>
      <w:tr>
        <w:trPr>
          <w:trHeight w:val="196"/>
        </w:trPr>
        <w:tc>
          <w:tcPr>
            <w:tcW w:w="1200" w:type="dxa"/>
            <w:vAlign w:val="bottom"/>
          </w:tcPr>
          <w:p>
            <w:pPr>
              <w:jc w:val="right"/>
              <w:ind w:right="690"/>
              <w:spacing w:after="0" w:line="196" w:lineRule="exact"/>
              <w:rPr>
                <w:sz w:val="20"/>
                <w:szCs w:val="20"/>
                <w:color w:val="auto"/>
              </w:rPr>
            </w:pPr>
            <w:r>
              <w:rPr>
                <w:rFonts w:ascii="Arial" w:cs="Arial" w:eastAsia="Arial" w:hAnsi="Arial"/>
                <w:sz w:val="18"/>
                <w:szCs w:val="18"/>
                <w:color w:val="auto"/>
                <w:w w:val="88"/>
              </w:rPr>
              <w:t>10.39</w:t>
            </w:r>
          </w:p>
        </w:tc>
        <w:tc>
          <w:tcPr>
            <w:tcW w:w="33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Compensatory Arrangements of Directors. (*)</w:t>
            </w:r>
          </w:p>
        </w:tc>
        <w:tc>
          <w:tcPr>
            <w:tcW w:w="4160" w:type="dxa"/>
            <w:vAlign w:val="bottom"/>
            <w:gridSpan w:val="6"/>
          </w:tcPr>
          <w:p>
            <w:pPr>
              <w:spacing w:after="0"/>
              <w:rPr>
                <w:sz w:val="17"/>
                <w:szCs w:val="17"/>
                <w:color w:val="auto"/>
              </w:rPr>
            </w:pPr>
          </w:p>
        </w:tc>
      </w:tr>
    </w:tbl>
    <w:p>
      <w:pPr>
        <w:spacing w:after="0" w:line="13" w:lineRule="exact"/>
        <w:rPr>
          <w:sz w:val="20"/>
          <w:szCs w:val="20"/>
          <w:color w:val="auto"/>
        </w:rPr>
      </w:pPr>
    </w:p>
    <w:p>
      <w:pPr>
        <w:ind w:left="1200" w:hanging="1192"/>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0000EE"/>
        </w:rPr>
        <w:t>Subsidiaries of the Company.</w:t>
      </w:r>
    </w:p>
    <w:p>
      <w:pPr>
        <w:spacing w:after="0" w:line="23" w:lineRule="exact"/>
        <w:rPr>
          <w:sz w:val="20"/>
          <w:szCs w:val="20"/>
          <w:color w:val="auto"/>
        </w:rPr>
      </w:pPr>
    </w:p>
    <w:p>
      <w:pPr>
        <w:ind w:left="1200" w:hanging="1192"/>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0000EE"/>
        </w:rPr>
        <w:t>Consent of RSM US LLP.</w:t>
      </w:r>
    </w:p>
    <w:tbl>
      <w:tblPr>
        <w:tblLayout w:type="fixed"/>
        <w:tblInd w:w="0" w:type="dxa"/>
        <w:tblCellMar>
          <w:top w:w="0" w:type="dxa"/>
          <w:left w:w="0" w:type="dxa"/>
          <w:bottom w:w="0" w:type="dxa"/>
          <w:right w:w="0" w:type="dxa"/>
        </w:tblCellMar>
      </w:tblPr>
      <w:tr>
        <w:trPr>
          <w:trHeight w:val="185"/>
        </w:trPr>
        <w:tc>
          <w:tcPr>
            <w:tcW w:w="1200" w:type="dxa"/>
            <w:vAlign w:val="bottom"/>
          </w:tcPr>
          <w:p>
            <w:pPr>
              <w:spacing w:after="0" w:line="184" w:lineRule="exact"/>
              <w:rPr>
                <w:sz w:val="20"/>
                <w:szCs w:val="20"/>
                <w:color w:val="auto"/>
              </w:rPr>
            </w:pPr>
            <w:r>
              <w:rPr>
                <w:rFonts w:ascii="Arial" w:cs="Arial" w:eastAsia="Arial" w:hAnsi="Arial"/>
                <w:sz w:val="18"/>
                <w:szCs w:val="18"/>
                <w:color w:val="auto"/>
              </w:rPr>
              <w:t>31.1</w:t>
            </w:r>
          </w:p>
        </w:tc>
        <w:tc>
          <w:tcPr>
            <w:tcW w:w="4900" w:type="dxa"/>
            <w:vAlign w:val="bottom"/>
            <w:tcBorders>
              <w:bottom w:val="single" w:sz="8" w:color="0000EE"/>
            </w:tcBorders>
            <w:gridSpan w:val="2"/>
          </w:tcPr>
          <w:p>
            <w:pPr>
              <w:spacing w:after="0" w:line="184" w:lineRule="exact"/>
              <w:rPr>
                <w:sz w:val="20"/>
                <w:szCs w:val="20"/>
                <w:color w:val="auto"/>
              </w:rPr>
            </w:pPr>
            <w:r>
              <w:rPr>
                <w:rFonts w:ascii="Arial" w:cs="Arial" w:eastAsia="Arial" w:hAnsi="Arial"/>
                <w:sz w:val="18"/>
                <w:szCs w:val="18"/>
                <w:color w:val="0000EE"/>
                <w:w w:val="92"/>
              </w:rPr>
              <w:t>Certification of Chief Executive Officer pursuant to Rule 13a-14(a).</w:t>
            </w:r>
          </w:p>
        </w:tc>
        <w:tc>
          <w:tcPr>
            <w:tcW w:w="2320" w:type="dxa"/>
            <w:vAlign w:val="bottom"/>
            <w:gridSpan w:val="2"/>
          </w:tcPr>
          <w:p>
            <w:pPr>
              <w:spacing w:after="0"/>
              <w:rPr>
                <w:sz w:val="16"/>
                <w:szCs w:val="16"/>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7220" w:type="dxa"/>
            <w:vAlign w:val="bottom"/>
            <w:gridSpan w:val="4"/>
          </w:tcPr>
          <w:p>
            <w:pPr>
              <w:spacing w:after="0" w:line="196" w:lineRule="exact"/>
              <w:rPr>
                <w:sz w:val="20"/>
                <w:szCs w:val="20"/>
                <w:color w:val="auto"/>
              </w:rPr>
            </w:pPr>
            <w:r>
              <w:rPr>
                <w:rFonts w:ascii="Arial" w:cs="Arial" w:eastAsia="Arial" w:hAnsi="Arial"/>
                <w:sz w:val="18"/>
                <w:szCs w:val="18"/>
                <w:color w:val="0000EE"/>
              </w:rPr>
              <w:t>Certification of Chief Financial Officer pursuant to Rule 13a-14(a).</w:t>
            </w:r>
          </w:p>
        </w:tc>
      </w:tr>
      <w:tr>
        <w:trPr>
          <w:trHeight w:val="20"/>
        </w:trPr>
        <w:tc>
          <w:tcPr>
            <w:tcW w:w="1200" w:type="dxa"/>
            <w:vAlign w:val="bottom"/>
          </w:tcPr>
          <w:p>
            <w:pPr>
              <w:spacing w:after="0" w:line="20" w:lineRule="exact"/>
              <w:rPr>
                <w:sz w:val="1"/>
                <w:szCs w:val="1"/>
                <w:color w:val="auto"/>
              </w:rPr>
            </w:pPr>
          </w:p>
        </w:tc>
        <w:tc>
          <w:tcPr>
            <w:tcW w:w="4840" w:type="dxa"/>
            <w:vAlign w:val="bottom"/>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72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Certification of Chief Executive Officer pursuant to Section 906 of the Sarbanes-Oxley Act of 2002.</w:t>
            </w: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71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 Section 906 of the Sarbanes-Oxley Act of 2002.</w:t>
            </w:r>
          </w:p>
        </w:tc>
        <w:tc>
          <w:tcPr>
            <w:tcW w:w="40" w:type="dxa"/>
            <w:vAlign w:val="bottom"/>
          </w:tcPr>
          <w:p>
            <w:pPr>
              <w:spacing w:after="0"/>
              <w:rPr>
                <w:sz w:val="17"/>
                <w:szCs w:val="17"/>
                <w:color w:val="auto"/>
              </w:rPr>
            </w:pP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7220" w:type="dxa"/>
            <w:vAlign w:val="bottom"/>
            <w:gridSpan w:val="4"/>
          </w:tcPr>
          <w:p>
            <w:pPr>
              <w:spacing w:after="0"/>
              <w:rPr>
                <w:sz w:val="20"/>
                <w:szCs w:val="20"/>
                <w:color w:val="auto"/>
              </w:rPr>
            </w:pPr>
            <w:r>
              <w:rPr>
                <w:rFonts w:ascii="Arial" w:cs="Arial" w:eastAsia="Arial" w:hAnsi="Arial"/>
                <w:sz w:val="18"/>
                <w:szCs w:val="18"/>
                <w:color w:val="auto"/>
              </w:rPr>
              <w:t>Inline XBRL Taxonomy Instance Document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722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722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722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722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722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200" w:right="420" w:hanging="1192"/>
        <w:spacing w:after="0" w:line="260"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data file does not appear in Exhibit 104 because its Inline XBRL tags are embedded within the Inline XBRL document).</w:t>
      </w:r>
    </w:p>
    <w:p>
      <w:pPr>
        <w:spacing w:after="0" w:line="185" w:lineRule="exact"/>
        <w:rPr>
          <w:sz w:val="20"/>
          <w:szCs w:val="20"/>
          <w:color w:val="auto"/>
        </w:rPr>
      </w:pPr>
    </w:p>
    <w:p>
      <w:pPr>
        <w:ind w:left="620" w:right="200" w:hanging="612"/>
        <w:spacing w:after="0" w:line="258"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28, 2021, File No. 001-36117, filed November 2, 2021, and incorporated herein by reference.</w:t>
      </w:r>
    </w:p>
    <w:p>
      <w:pPr>
        <w:spacing w:after="0" w:line="1" w:lineRule="exact"/>
        <w:rPr>
          <w:rFonts w:ascii="Arial" w:cs="Arial" w:eastAsia="Arial" w:hAnsi="Arial"/>
          <w:sz w:val="18"/>
          <w:szCs w:val="18"/>
          <w:color w:val="auto"/>
        </w:rPr>
      </w:pPr>
    </w:p>
    <w:p>
      <w:pPr>
        <w:ind w:left="620" w:right="12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December 9, 2021, File No. 001-36117, filed December 13, 2021, and incorporated herein by reference.</w:t>
      </w:r>
    </w:p>
    <w:p>
      <w:pPr>
        <w:ind w:left="620" w:right="38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2019, File No. 001-36117, filed March 23, 2020, and incorporated herein by reference.</w:t>
      </w:r>
    </w:p>
    <w:p>
      <w:pPr>
        <w:ind w:left="620" w:right="40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23, 2018, File No. 001-36117, filed April 25, 2018, and incorporated herein by reference.</w:t>
      </w:r>
    </w:p>
    <w:p>
      <w:pPr>
        <w:ind w:left="620" w:right="6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May 10, 2010, File No. 000-22529, filed May 13, 2010, and incorporated herein by reference.</w:t>
      </w:r>
    </w:p>
    <w:p>
      <w:pPr>
        <w:ind w:left="62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September 22, 2020, File No. 001-36117, filed September 24, 2020, and incorporated herein by reference.</w:t>
      </w:r>
    </w:p>
    <w:p>
      <w:pPr>
        <w:ind w:left="620" w:right="6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7, 2021, File No. 001-36117, filed April 13, 2021, and incorporated herein by reference.</w:t>
      </w:r>
    </w:p>
    <w:p>
      <w:pPr>
        <w:ind w:left="620" w:right="18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27, 2010, File No. 000-22529, filed October 29, 2010, and incorporated herein by reference.</w:t>
      </w:r>
    </w:p>
    <w:p>
      <w:pPr>
        <w:ind w:left="620" w:right="6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8, 2019, File No. 001-36117, filed April 12, 2019, and incorporated herein by reference.</w:t>
      </w:r>
    </w:p>
    <w:p>
      <w:pPr>
        <w:ind w:left="620" w:hanging="612"/>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Previously filed by the Company as an exhibit to the Company’s Form 10-Q Amendment No. 1 for the quarter ended March 31, 2012, File No.</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000-22529, filed May 15, 2012, and incorporated herein by reference.</w:t>
      </w:r>
    </w:p>
    <w:p>
      <w:pPr>
        <w:spacing w:after="0" w:line="9" w:lineRule="exact"/>
        <w:rPr>
          <w:rFonts w:ascii="Arial" w:cs="Arial" w:eastAsia="Arial" w:hAnsi="Arial"/>
          <w:sz w:val="16"/>
          <w:szCs w:val="16"/>
          <w:color w:val="auto"/>
        </w:rPr>
      </w:pPr>
    </w:p>
    <w:p>
      <w:pPr>
        <w:ind w:left="620" w:right="2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November 18, 2016, File No. 001-36117, filed November 22, 2016, and incorporated herein by reference.</w:t>
      </w:r>
    </w:p>
    <w:p>
      <w:pPr>
        <w:ind w:left="620" w:right="22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January 23, 2020, File No. 001-36117, filed January 28, 2020, and incorporated herein by reference.</w:t>
      </w:r>
    </w:p>
    <w:p>
      <w:pPr>
        <w:ind w:left="620" w:right="4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December 19, 2017, File No. 001-36117, filed December 22, 2017, and incorporated herein by reference.</w:t>
      </w:r>
    </w:p>
    <w:p>
      <w:pPr>
        <w:ind w:left="620" w:right="4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December 30, 2021, File No. 001-36117, filed January 6, 2022, and incorporated herein by reference.</w:t>
      </w:r>
    </w:p>
    <w:p>
      <w:pPr>
        <w:ind w:left="620" w:right="20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15, 2021, File No. 001-36117, filed October 20, 2021, and incorporated herein by reference.</w:t>
      </w:r>
    </w:p>
    <w:p>
      <w:pPr>
        <w:ind w:left="620" w:right="6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June 24, 2020, File No. 001-36117, filed June 29, 2020, and incorporated herein by reference.</w:t>
      </w:r>
    </w:p>
    <w:p>
      <w:pPr>
        <w:ind w:left="620" w:right="16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September 30, 2020, File No. 001-36117, filed November 12, 2020, and incorporated herein by reference.</w:t>
      </w:r>
    </w:p>
    <w:p>
      <w:pPr>
        <w:ind w:left="620" w:right="20" w:hanging="612"/>
        <w:spacing w:after="0" w:line="25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2021, File No. 001-36117, filed August 12, 2021, and incorporated herein by reference.</w:t>
      </w:r>
    </w:p>
    <w:p>
      <w:pPr>
        <w:ind w:left="620" w:right="60" w:hanging="612"/>
        <w:spacing w:after="0" w:line="260"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June 22, 2022, File No. 001-36117, filed June 27, 2022, and incorporated herein by reference.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39" w:name="page40"/>
    <w:bookmarkEnd w:id="39"/>
    <w:p>
      <w:pPr>
        <w:ind w:left="612" w:right="340" w:hanging="612"/>
        <w:spacing w:after="0" w:line="258"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August 6, 2020, File No. 001-36117, filed August 11, 2020, and incorporated herein by reference.</w:t>
      </w:r>
    </w:p>
    <w:p>
      <w:pPr>
        <w:spacing w:after="0" w:line="1" w:lineRule="exact"/>
        <w:rPr>
          <w:rFonts w:ascii="Arial" w:cs="Arial" w:eastAsia="Arial" w:hAnsi="Arial"/>
          <w:sz w:val="18"/>
          <w:szCs w:val="18"/>
          <w:color w:val="auto"/>
        </w:rPr>
      </w:pPr>
    </w:p>
    <w:p>
      <w:pPr>
        <w:ind w:left="612" w:right="60" w:hanging="612"/>
        <w:spacing w:after="0" w:line="250"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June 10, 2021, File No. 001-36117, filed June 14, 2021, and incorporated herein by reference.</w:t>
      </w:r>
    </w:p>
    <w:p>
      <w:pPr>
        <w:ind w:left="612" w:right="300" w:hanging="612"/>
        <w:spacing w:after="0" w:line="250"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March 10, 2021, File No. 001-36117, filed March 16, 2021, and incorporated herein by reference.</w:t>
      </w:r>
    </w:p>
    <w:p>
      <w:pPr>
        <w:ind w:left="612" w:right="400" w:hanging="612"/>
        <w:spacing w:after="0" w:line="250"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March 9, 2022, File No. 001-36117, filed March 15, 2022, and incorporated herein by reference.</w:t>
      </w:r>
    </w:p>
    <w:p>
      <w:pPr>
        <w:ind w:left="612" w:right="20" w:hanging="612"/>
        <w:spacing w:after="0" w:line="250"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November 30, 2022, File No. 001-36117, filed December 6, 2022, and incorporated herein by reference.</w:t>
      </w:r>
    </w:p>
    <w:p>
      <w:pPr>
        <w:ind w:left="612" w:right="200" w:hanging="612"/>
        <w:spacing w:after="0" w:line="250"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15, 2021, File No. 001-36117, filed October 20, 2021, and incorporated herein by reference.</w:t>
      </w:r>
    </w:p>
    <w:p>
      <w:pPr>
        <w:ind w:left="612" w:hanging="612"/>
        <w:spacing w:after="0" w:line="250"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September 20, 2022, File No. 001-36117, filed September 26, 2022, and incorporated herein by reference</w:t>
      </w:r>
    </w:p>
    <w:p>
      <w:pPr>
        <w:ind w:left="612" w:right="280" w:hanging="612"/>
        <w:spacing w:after="0" w:line="260"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Annual Report on Form 10-K for the year ended December 31, 2021, File No. 001-36117, filed March 23, 2022, and incorporated herein by reference.</w:t>
      </w:r>
    </w:p>
    <w:p>
      <w:pPr>
        <w:spacing w:after="0" w:line="185" w:lineRule="exact"/>
        <w:rPr>
          <w:sz w:val="20"/>
          <w:szCs w:val="20"/>
          <w:color w:val="auto"/>
        </w:rPr>
      </w:pPr>
    </w:p>
    <w:p>
      <w:pPr>
        <w:ind w:left="612" w:hanging="612"/>
        <w:spacing w:after="0"/>
        <w:tabs>
          <w:tab w:leader="none" w:pos="6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directors or executive officers participate.</w:t>
      </w:r>
    </w:p>
    <w:p>
      <w:pPr>
        <w:spacing w:after="0" w:line="23" w:lineRule="exact"/>
        <w:rPr>
          <w:sz w:val="20"/>
          <w:szCs w:val="20"/>
          <w:color w:val="auto"/>
        </w:rPr>
      </w:pPr>
    </w:p>
    <w:p>
      <w:pPr>
        <w:ind w:left="612" w:right="120" w:hanging="612"/>
        <w:spacing w:after="0" w:line="260" w:lineRule="auto"/>
        <w:tabs>
          <w:tab w:leader="none" w:pos="6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filing omits exhibits and schedules pursuant to Item 601(a)(5) of Regulation S-K, which the registrant agrees to furnish supplementary to the Securities and Exchange Commission upon request.</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4" w:right="359" w:bottom="1440" w:gutter="0" w:footer="0" w:header="0"/>
        </w:sectPr>
      </w:pPr>
    </w:p>
    <w:bookmarkStart w:id="40" w:name="page41"/>
    <w:bookmarkEnd w:id="40"/>
    <w:p>
      <w:pPr>
        <w:jc w:val="center"/>
        <w:ind w:right="-25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300" w:right="1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By:  /s/ Richard N. Grant, Jr.</w:t>
            </w:r>
          </w:p>
        </w:tc>
        <w:tc>
          <w:tcPr>
            <w:tcW w:w="1140" w:type="dxa"/>
            <w:vAlign w:val="bottom"/>
          </w:tcPr>
          <w:p>
            <w:pPr>
              <w:spacing w:after="0"/>
              <w:rPr>
                <w:sz w:val="20"/>
                <w:szCs w:val="20"/>
                <w:color w:val="auto"/>
              </w:rPr>
            </w:pPr>
            <w:r>
              <w:rPr>
                <w:rFonts w:ascii="Arial" w:cs="Arial" w:eastAsia="Arial" w:hAnsi="Arial"/>
                <w:sz w:val="18"/>
                <w:szCs w:val="18"/>
                <w:color w:val="auto"/>
                <w:w w:val="89"/>
              </w:rPr>
              <w:t>March 22, 2023</w:t>
            </w:r>
          </w:p>
        </w:tc>
      </w:tr>
      <w:tr>
        <w:trPr>
          <w:trHeight w:val="222"/>
        </w:trPr>
        <w:tc>
          <w:tcPr>
            <w:tcW w:w="460" w:type="dxa"/>
            <w:vAlign w:val="bottom"/>
          </w:tcPr>
          <w:p>
            <w:pPr>
              <w:spacing w:after="0"/>
              <w:rPr>
                <w:sz w:val="19"/>
                <w:szCs w:val="19"/>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N. Grant, Jr.</w:t>
            </w:r>
          </w:p>
        </w:tc>
        <w:tc>
          <w:tcPr>
            <w:tcW w:w="43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14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300" w:right="780"/>
        <w:spacing w:after="0" w:line="277" w:lineRule="auto"/>
        <w:rPr>
          <w:sz w:val="20"/>
          <w:szCs w:val="20"/>
          <w:color w:val="auto"/>
        </w:rPr>
      </w:pPr>
      <w:r>
        <w:rPr>
          <w:rFonts w:ascii="Arial" w:cs="Arial" w:eastAsia="Arial" w:hAnsi="Arial"/>
          <w:sz w:val="18"/>
          <w:szCs w:val="18"/>
          <w:color w:val="auto"/>
        </w:rPr>
        <w:t>Pursuant to the requirements of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gridSpan w:val="5"/>
          </w:tcPr>
          <w:p>
            <w:pPr>
              <w:spacing w:after="0"/>
              <w:rPr>
                <w:sz w:val="20"/>
                <w:szCs w:val="20"/>
                <w:color w:val="auto"/>
              </w:rPr>
            </w:pPr>
            <w:r>
              <w:rPr>
                <w:rFonts w:ascii="Arial" w:cs="Arial" w:eastAsia="Arial" w:hAnsi="Arial"/>
                <w:sz w:val="18"/>
                <w:szCs w:val="18"/>
                <w:color w:val="auto"/>
              </w:rPr>
              <w:t>/s/ Richard N. Grant, Jr.</w:t>
            </w:r>
          </w:p>
        </w:tc>
        <w:tc>
          <w:tcPr>
            <w:tcW w:w="6220" w:type="dxa"/>
            <w:vAlign w:val="bottom"/>
            <w:gridSpan w:val="3"/>
          </w:tcPr>
          <w:p>
            <w:pPr>
              <w:ind w:left="1340"/>
              <w:spacing w:after="0"/>
              <w:rPr>
                <w:sz w:val="20"/>
                <w:szCs w:val="20"/>
                <w:color w:val="auto"/>
              </w:rPr>
            </w:pPr>
            <w:r>
              <w:rPr>
                <w:rFonts w:ascii="Arial" w:cs="Arial" w:eastAsia="Arial" w:hAnsi="Arial"/>
                <w:sz w:val="18"/>
                <w:szCs w:val="18"/>
                <w:color w:val="auto"/>
              </w:rPr>
              <w:t>March 22, 2023</w:t>
            </w:r>
          </w:p>
        </w:tc>
      </w:tr>
      <w:tr>
        <w:trPr>
          <w:trHeight w:val="20"/>
        </w:trPr>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2"/>
        </w:trPr>
        <w:tc>
          <w:tcPr>
            <w:tcW w:w="5020" w:type="dxa"/>
            <w:vAlign w:val="bottom"/>
            <w:gridSpan w:val="5"/>
          </w:tcPr>
          <w:p>
            <w:pPr>
              <w:spacing w:after="0"/>
              <w:rPr>
                <w:sz w:val="20"/>
                <w:szCs w:val="20"/>
                <w:color w:val="auto"/>
              </w:rPr>
            </w:pPr>
            <w:r>
              <w:rPr>
                <w:rFonts w:ascii="Arial" w:cs="Arial" w:eastAsia="Arial" w:hAnsi="Arial"/>
                <w:sz w:val="18"/>
                <w:szCs w:val="18"/>
                <w:color w:val="auto"/>
              </w:rPr>
              <w:t>Richard N. Grant, Jr., President,</w:t>
            </w: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16"/>
        </w:trPr>
        <w:tc>
          <w:tcPr>
            <w:tcW w:w="5020" w:type="dxa"/>
            <w:vAlign w:val="bottom"/>
            <w:gridSpan w:val="5"/>
          </w:tcPr>
          <w:p>
            <w:pPr>
              <w:spacing w:after="0"/>
              <w:rPr>
                <w:sz w:val="20"/>
                <w:szCs w:val="20"/>
                <w:color w:val="auto"/>
              </w:rPr>
            </w:pPr>
            <w:r>
              <w:rPr>
                <w:rFonts w:ascii="Arial" w:cs="Arial" w:eastAsia="Arial" w:hAnsi="Arial"/>
                <w:sz w:val="18"/>
                <w:szCs w:val="18"/>
                <w:color w:val="auto"/>
              </w:rPr>
              <w:t>Chief Executive Officer and Director</w:t>
            </w: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30"/>
        </w:trPr>
        <w:tc>
          <w:tcPr>
            <w:tcW w:w="5020" w:type="dxa"/>
            <w:vAlign w:val="bottom"/>
            <w:gridSpan w:val="5"/>
          </w:tcPr>
          <w:p>
            <w:pPr>
              <w:spacing w:after="0"/>
              <w:rPr>
                <w:sz w:val="20"/>
                <w:szCs w:val="20"/>
                <w:color w:val="auto"/>
              </w:rPr>
            </w:pPr>
            <w:r>
              <w:rPr>
                <w:rFonts w:ascii="Arial" w:cs="Arial" w:eastAsia="Arial" w:hAnsi="Arial"/>
                <w:sz w:val="18"/>
                <w:szCs w:val="18"/>
                <w:color w:val="auto"/>
              </w:rPr>
              <w:t>(Principal Executive Officer)</w:t>
            </w: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823"/>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Duncan Gilmour.</w:t>
            </w:r>
          </w:p>
        </w:tc>
        <w:tc>
          <w:tcPr>
            <w:tcW w:w="3540" w:type="dxa"/>
            <w:vAlign w:val="bottom"/>
            <w:gridSpan w:val="3"/>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March 22, 2023</w:t>
            </w:r>
          </w:p>
        </w:tc>
        <w:tc>
          <w:tcPr>
            <w:tcW w:w="3720" w:type="dxa"/>
            <w:vAlign w:val="bottom"/>
          </w:tcPr>
          <w:p>
            <w:pPr>
              <w:spacing w:after="0"/>
              <w:rPr>
                <w:sz w:val="24"/>
                <w:szCs w:val="24"/>
                <w:color w:val="auto"/>
              </w:rPr>
            </w:pPr>
          </w:p>
        </w:tc>
      </w:tr>
      <w:tr>
        <w:trPr>
          <w:trHeight w:val="222"/>
        </w:trPr>
        <w:tc>
          <w:tcPr>
            <w:tcW w:w="5020" w:type="dxa"/>
            <w:vAlign w:val="bottom"/>
            <w:gridSpan w:val="5"/>
          </w:tcPr>
          <w:p>
            <w:pPr>
              <w:spacing w:after="0"/>
              <w:rPr>
                <w:sz w:val="20"/>
                <w:szCs w:val="20"/>
                <w:color w:val="auto"/>
              </w:rPr>
            </w:pPr>
            <w:r>
              <w:rPr>
                <w:rFonts w:ascii="Arial" w:cs="Arial" w:eastAsia="Arial" w:hAnsi="Arial"/>
                <w:sz w:val="18"/>
                <w:szCs w:val="18"/>
                <w:color w:val="auto"/>
              </w:rPr>
              <w:t>Duncan Gilmour, Chief Financial Officer, Treasurer</w:t>
            </w: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16"/>
        </w:trPr>
        <w:tc>
          <w:tcPr>
            <w:tcW w:w="5020" w:type="dxa"/>
            <w:vAlign w:val="bottom"/>
            <w:gridSpan w:val="5"/>
          </w:tcPr>
          <w:p>
            <w:pPr>
              <w:spacing w:after="0"/>
              <w:rPr>
                <w:sz w:val="20"/>
                <w:szCs w:val="20"/>
                <w:color w:val="auto"/>
              </w:rPr>
            </w:pPr>
            <w:r>
              <w:rPr>
                <w:rFonts w:ascii="Arial" w:cs="Arial" w:eastAsia="Arial" w:hAnsi="Arial"/>
                <w:sz w:val="18"/>
                <w:szCs w:val="18"/>
                <w:color w:val="auto"/>
              </w:rPr>
              <w:t>and Secretary</w:t>
            </w: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30"/>
        </w:trPr>
        <w:tc>
          <w:tcPr>
            <w:tcW w:w="5020" w:type="dxa"/>
            <w:vAlign w:val="bottom"/>
            <w:gridSpan w:val="5"/>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823"/>
        </w:trPr>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/s/ Joseph W. Dews IV</w:t>
            </w:r>
          </w:p>
        </w:tc>
        <w:tc>
          <w:tcPr>
            <w:tcW w:w="3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March 22, 2023</w:t>
            </w:r>
          </w:p>
        </w:tc>
        <w:tc>
          <w:tcPr>
            <w:tcW w:w="3720" w:type="dxa"/>
            <w:vAlign w:val="bottom"/>
          </w:tcPr>
          <w:p>
            <w:pPr>
              <w:spacing w:after="0"/>
              <w:rPr>
                <w:sz w:val="24"/>
                <w:szCs w:val="24"/>
                <w:color w:val="auto"/>
              </w:rPr>
            </w:pPr>
          </w:p>
        </w:tc>
      </w:tr>
      <w:tr>
        <w:trPr>
          <w:trHeight w:val="237"/>
        </w:trPr>
        <w:tc>
          <w:tcPr>
            <w:tcW w:w="5020" w:type="dxa"/>
            <w:vAlign w:val="bottom"/>
            <w:gridSpan w:val="5"/>
          </w:tcPr>
          <w:p>
            <w:pPr>
              <w:spacing w:after="0"/>
              <w:rPr>
                <w:sz w:val="20"/>
                <w:szCs w:val="20"/>
                <w:color w:val="auto"/>
              </w:rPr>
            </w:pPr>
            <w:r>
              <w:rPr>
                <w:rFonts w:ascii="Arial" w:cs="Arial" w:eastAsia="Arial" w:hAnsi="Arial"/>
                <w:sz w:val="18"/>
                <w:szCs w:val="18"/>
                <w:color w:val="auto"/>
              </w:rPr>
              <w:t>Joseph W. Dews IV, Chairman</w:t>
            </w: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823"/>
        </w:trPr>
        <w:tc>
          <w:tcPr>
            <w:tcW w:w="5020" w:type="dxa"/>
            <w:vAlign w:val="bottom"/>
            <w:gridSpan w:val="5"/>
          </w:tcPr>
          <w:p>
            <w:pPr>
              <w:spacing w:after="0"/>
              <w:rPr>
                <w:sz w:val="20"/>
                <w:szCs w:val="20"/>
                <w:color w:val="auto"/>
              </w:rPr>
            </w:pPr>
            <w:r>
              <w:rPr>
                <w:rFonts w:ascii="Arial" w:cs="Arial" w:eastAsia="Arial" w:hAnsi="Arial"/>
                <w:sz w:val="18"/>
                <w:szCs w:val="18"/>
                <w:color w:val="auto"/>
              </w:rPr>
              <w:t>/s/ Steven J. Abrams</w:t>
            </w:r>
          </w:p>
        </w:tc>
        <w:tc>
          <w:tcPr>
            <w:tcW w:w="6220" w:type="dxa"/>
            <w:vAlign w:val="bottom"/>
            <w:gridSpan w:val="3"/>
          </w:tcPr>
          <w:p>
            <w:pPr>
              <w:ind w:left="1340"/>
              <w:spacing w:after="0"/>
              <w:rPr>
                <w:sz w:val="20"/>
                <w:szCs w:val="20"/>
                <w:color w:val="auto"/>
              </w:rPr>
            </w:pPr>
            <w:r>
              <w:rPr>
                <w:rFonts w:ascii="Arial" w:cs="Arial" w:eastAsia="Arial" w:hAnsi="Arial"/>
                <w:sz w:val="18"/>
                <w:szCs w:val="18"/>
                <w:color w:val="auto"/>
              </w:rPr>
              <w:t>March 22, 2023</w:t>
            </w:r>
          </w:p>
        </w:tc>
      </w:tr>
      <w:tr>
        <w:trPr>
          <w:trHeight w:val="20"/>
        </w:trPr>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37"/>
        </w:trPr>
        <w:tc>
          <w:tcPr>
            <w:tcW w:w="5020" w:type="dxa"/>
            <w:vAlign w:val="bottom"/>
            <w:gridSpan w:val="5"/>
          </w:tcPr>
          <w:p>
            <w:pPr>
              <w:spacing w:after="0"/>
              <w:rPr>
                <w:sz w:val="20"/>
                <w:szCs w:val="20"/>
                <w:color w:val="auto"/>
              </w:rPr>
            </w:pPr>
            <w:r>
              <w:rPr>
                <w:rFonts w:ascii="Arial" w:cs="Arial" w:eastAsia="Arial" w:hAnsi="Arial"/>
                <w:sz w:val="18"/>
                <w:szCs w:val="18"/>
                <w:color w:val="auto"/>
              </w:rPr>
              <w:t>Steven J. Abrams, Esq., Director</w:t>
            </w: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823"/>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Jeffrey A. Beck</w:t>
            </w:r>
          </w:p>
        </w:tc>
        <w:tc>
          <w:tcPr>
            <w:tcW w:w="3660" w:type="dxa"/>
            <w:vAlign w:val="bottom"/>
            <w:gridSpan w:val="4"/>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March 22, 2023</w:t>
            </w:r>
          </w:p>
        </w:tc>
        <w:tc>
          <w:tcPr>
            <w:tcW w:w="3720" w:type="dxa"/>
            <w:vAlign w:val="bottom"/>
          </w:tcPr>
          <w:p>
            <w:pPr>
              <w:spacing w:after="0"/>
              <w:rPr>
                <w:sz w:val="24"/>
                <w:szCs w:val="24"/>
                <w:color w:val="auto"/>
              </w:rPr>
            </w:pPr>
          </w:p>
        </w:tc>
      </w:tr>
      <w:tr>
        <w:trPr>
          <w:trHeight w:val="237"/>
        </w:trPr>
        <w:tc>
          <w:tcPr>
            <w:tcW w:w="5020" w:type="dxa"/>
            <w:vAlign w:val="bottom"/>
            <w:gridSpan w:val="5"/>
          </w:tcPr>
          <w:p>
            <w:pPr>
              <w:spacing w:after="0"/>
              <w:rPr>
                <w:sz w:val="20"/>
                <w:szCs w:val="20"/>
                <w:color w:val="auto"/>
              </w:rPr>
            </w:pPr>
            <w:r>
              <w:rPr>
                <w:rFonts w:ascii="Arial" w:cs="Arial" w:eastAsia="Arial" w:hAnsi="Arial"/>
                <w:sz w:val="18"/>
                <w:szCs w:val="18"/>
                <w:color w:val="auto"/>
              </w:rPr>
              <w:t>Jeffrey A. Beck, Director</w:t>
            </w: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823"/>
        </w:trPr>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/s/ Gerald J. Maginnis</w:t>
            </w:r>
          </w:p>
        </w:tc>
        <w:tc>
          <w:tcPr>
            <w:tcW w:w="338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March 22, 2023</w:t>
            </w:r>
          </w:p>
        </w:tc>
        <w:tc>
          <w:tcPr>
            <w:tcW w:w="3720" w:type="dxa"/>
            <w:vAlign w:val="bottom"/>
          </w:tcPr>
          <w:p>
            <w:pPr>
              <w:spacing w:after="0"/>
              <w:rPr>
                <w:sz w:val="24"/>
                <w:szCs w:val="24"/>
                <w:color w:val="auto"/>
              </w:rPr>
            </w:pPr>
          </w:p>
        </w:tc>
      </w:tr>
      <w:tr>
        <w:trPr>
          <w:trHeight w:val="237"/>
        </w:trPr>
        <w:tc>
          <w:tcPr>
            <w:tcW w:w="5020" w:type="dxa"/>
            <w:vAlign w:val="bottom"/>
            <w:gridSpan w:val="5"/>
          </w:tcPr>
          <w:p>
            <w:pPr>
              <w:spacing w:after="0"/>
              <w:rPr>
                <w:sz w:val="20"/>
                <w:szCs w:val="20"/>
                <w:color w:val="auto"/>
              </w:rPr>
            </w:pPr>
            <w:r>
              <w:rPr>
                <w:rFonts w:ascii="Arial" w:cs="Arial" w:eastAsia="Arial" w:hAnsi="Arial"/>
                <w:sz w:val="18"/>
                <w:szCs w:val="18"/>
                <w:color w:val="auto"/>
              </w:rPr>
              <w:t>Gerald J. Maginnis, Director</w:t>
            </w: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39</w:t>
            </w:r>
          </w:p>
        </w:tc>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41" w:name="page42"/>
    <w:bookmarkEnd w:id="41"/>
    <w:p>
      <w:pPr>
        <w:jc w:val="center"/>
        <w:ind w:right="-29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INDEX TO CONSOLIDATED FINANCIAL STATEMENTS AND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FINANCIAL STATEMENT SCHEDULE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20" w:type="dxa"/>
            <w:vAlign w:val="bottom"/>
          </w:tcPr>
          <w:p>
            <w:pPr>
              <w:spacing w:after="0"/>
              <w:rPr>
                <w:sz w:val="20"/>
                <w:szCs w:val="20"/>
                <w:color w:val="auto"/>
              </w:rPr>
            </w:pPr>
          </w:p>
        </w:tc>
        <w:tc>
          <w:tcPr>
            <w:tcW w:w="1820" w:type="dxa"/>
            <w:vAlign w:val="bottom"/>
          </w:tcPr>
          <w:p>
            <w:pPr>
              <w:jc w:val="center"/>
              <w:ind w:left="1050"/>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(RSM US LLP PCAOB No. 49)</w:t>
            </w:r>
          </w:p>
        </w:tc>
        <w:tc>
          <w:tcPr>
            <w:tcW w:w="182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1"/>
              </w:rPr>
              <w:t>F - 1</w:t>
            </w: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182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9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Balance Sheets as of December 31, 2022 and 2021</w:t>
            </w:r>
          </w:p>
        </w:tc>
        <w:tc>
          <w:tcPr>
            <w:tcW w:w="182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1"/>
              </w:rPr>
              <w:t>F - 3</w:t>
            </w: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9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Operations for the years ended December 31, 2022 and 2021</w:t>
            </w:r>
          </w:p>
        </w:tc>
        <w:tc>
          <w:tcPr>
            <w:tcW w:w="182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1"/>
              </w:rPr>
              <w:t>F - 4</w:t>
            </w: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9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Comprehensive Earnings for the years ended December 31, 2022 and 2021</w:t>
            </w:r>
          </w:p>
        </w:tc>
        <w:tc>
          <w:tcPr>
            <w:tcW w:w="182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1"/>
              </w:rPr>
              <w:t>F - 5</w:t>
            </w: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9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Stockholders' Equity for the years ended December 31, 2022 and 2021</w:t>
            </w:r>
          </w:p>
        </w:tc>
        <w:tc>
          <w:tcPr>
            <w:tcW w:w="182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1"/>
              </w:rPr>
              <w:t>F - 6</w:t>
            </w: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9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Cash Flows for the years ended December 31, 2022 and 2021</w:t>
            </w:r>
          </w:p>
        </w:tc>
        <w:tc>
          <w:tcPr>
            <w:tcW w:w="182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1"/>
              </w:rPr>
              <w:t>F - 7</w:t>
            </w: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9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82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1"/>
              </w:rPr>
              <w:t>F - 8</w:t>
            </w: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 SCHEDULE</w:t>
            </w:r>
          </w:p>
        </w:tc>
        <w:tc>
          <w:tcPr>
            <w:tcW w:w="182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9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Schedule II - Valuation and Qualifying Accounts</w:t>
            </w:r>
          </w:p>
        </w:tc>
        <w:tc>
          <w:tcPr>
            <w:tcW w:w="182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93"/>
              </w:rPr>
              <w:t>F - 35</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inTEST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We have audited the accompanying consolidated balance sheets of inTEST Corporation and its subsidiaries (the Company) as of December 31, 2022 and 2021, the related consolidated statements of operations, comprehensive earnings, stockholders' equity and cash flows for the years then ended, and the related notes to the consolidated financial statements and schedule (collectively,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disclosed in Notes 2 and 6 to the Company’s consolidated financial statements, during 2022 the Company had three operating segments which are also its reporting units – Electronic Test, Environmental Technologies, and Process Technologies. As of December 31, 2022, the Company’s goodwill balance of approximately $21.6 million was allocated across the three reporting units as follows: $3.4 million to Electronic Test, $1.8 million to Environmental Technologies and $16.4 million to Process Technologies. The Company performed an annual goodwill impairment test as of October 1, 2022 using a quantitative evaluation for each of its reporting units. The Company determines the fair value of its reporting units using the income approach, based on a discounted cash flow valuation model. To test for goodwill impairment, the Company compares the fair value of each reporting unit to its carrying value.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3" w:name="page44"/>
    <w:bookmarkEnd w:id="43"/>
    <w:p>
      <w:pPr>
        <w:ind w:right="20"/>
        <w:spacing w:after="0" w:line="279" w:lineRule="auto"/>
        <w:rPr>
          <w:sz w:val="20"/>
          <w:szCs w:val="20"/>
          <w:color w:val="auto"/>
        </w:rPr>
      </w:pPr>
      <w:r>
        <w:rPr>
          <w:rFonts w:ascii="Arial" w:cs="Arial" w:eastAsia="Arial" w:hAnsi="Arial"/>
          <w:sz w:val="17"/>
          <w:szCs w:val="17"/>
          <w:color w:val="auto"/>
        </w:rPr>
        <w:t>Given the significant estimates and assumptions management makes to determine the fair value of the reporting units, we identified management’s assumptions related to revenue growth rates, projected operating margins, and discount rates utilized in the valuation of the reporting units quantitatively tested for goodwill impairment as a critical audit matter. Auditing the reasonableness of management’s estimates and assumptions required a high degree of auditor judgment and an increased extent of effort, including the need to involve our fair value specialists.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assessment of the valuation of goodwill included, among other procedures, the following:</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obtained an understanding of management’s process for developing the fair value estimate.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tested the completeness, accuracy, and relevance of certain underlying data used in the discounted cash flow model.</w:t>
      </w:r>
    </w:p>
    <w:p>
      <w:pPr>
        <w:spacing w:after="0" w:line="225" w:lineRule="exact"/>
        <w:rPr>
          <w:rFonts w:ascii="Arial" w:cs="Arial" w:eastAsia="Arial" w:hAnsi="Arial"/>
          <w:sz w:val="18"/>
          <w:szCs w:val="18"/>
          <w:color w:val="auto"/>
        </w:rPr>
      </w:pPr>
    </w:p>
    <w:p>
      <w:pPr>
        <w:ind w:left="340" w:right="7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compared and assessed the historical accuracy of management’s estimates, including forecasted revenue streams and margins, to identify, understand, and evaluate the reasonableness of the forecasts as compared to the Company’s historical results.</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evaluated the reasonableness of management’s forecasts of revenue and margins by comparing the forecasts to (1) the historical results, (2) external market and industry data and (3) internal communications to management and the Board of Directors.</w:t>
      </w:r>
    </w:p>
    <w:p>
      <w:pPr>
        <w:spacing w:after="0" w:line="170"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evaluated the reasonableness of management’s valuation methodology and significant assumptions by:</w:t>
      </w:r>
    </w:p>
    <w:p>
      <w:pPr>
        <w:spacing w:after="0" w:line="170" w:lineRule="exact"/>
        <w:rPr>
          <w:sz w:val="20"/>
          <w:szCs w:val="20"/>
          <w:color w:val="auto"/>
        </w:rPr>
      </w:pPr>
    </w:p>
    <w:p>
      <w:pPr>
        <w:ind w:left="1300" w:right="10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reasonableness of the discount rate by comparing the underlying source information to publicly available market data and verifying the accuracy of the calculations.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control premiums utilized within the reconciliation to the Company’s market capitalization.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appropriateness of the valuation methods used by management and testing their mathematical accuracy.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2023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jc w:val="center"/>
        <w:ind w:right="-29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receivable, net of allowance for doubtful accounts of $496 and $213, respectively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12,863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52,077</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5,733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Gross property and equipment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8,734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(6,046)</w:t>
            </w:r>
          </w:p>
        </w:tc>
      </w:tr>
      <w:tr>
        <w:trPr>
          <w:trHeight w:val="210"/>
        </w:trPr>
        <w:tc>
          <w:tcPr>
            <w:tcW w:w="80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property and equipment</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21,448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Restricted certificates of deposit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110,066</w:t>
            </w: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103,905</w:t>
            </w:r>
          </w:p>
        </w:tc>
      </w:tr>
      <w:tr>
        <w:trPr>
          <w:trHeight w:val="196"/>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Term Note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wages and benefits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4,080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professional fees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Customer deposits and deferred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6,038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sales commission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Domestic and foreign income taxes payable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2,024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Term Note, net of current portion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49,082</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stock, $0.01 par value; 20,000,000 shares authorized; 11,063,271 and 10,910,460 shares issued,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24,393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earnings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Treasury stock, at cost; 34,308 and 33,077 shares, respectively</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110,066</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103,905</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5" w:name="page46"/>
    <w:bookmarkEnd w:id="45"/>
    <w:p>
      <w:pPr>
        <w:jc w:val="center"/>
        <w:ind w:right="-29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Years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116,828</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84,878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53,440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41,224</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Selling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15,903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11,083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19,287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15,865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other charges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42,719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32,765</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10,721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8,459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10,145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8,402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8,461</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7,283</w:t>
            </w:r>
          </w:p>
        </w:tc>
      </w:tr>
      <w:tr>
        <w:trPr>
          <w:trHeight w:val="196"/>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0.79</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10,673,017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10,462,246</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0.78</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and common share equivalents outstanding – diluted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10,862,538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10,729,862</w:t>
            </w:r>
          </w:p>
        </w:tc>
      </w:tr>
      <w:tr>
        <w:trPr>
          <w:trHeight w:val="432"/>
        </w:trPr>
        <w:tc>
          <w:tcPr>
            <w:tcW w:w="8320" w:type="dxa"/>
            <w:vAlign w:val="bottom"/>
            <w:gridSpan w:val="2"/>
          </w:tcPr>
          <w:p>
            <w:pPr>
              <w:ind w:left="3480"/>
              <w:spacing w:after="0"/>
              <w:rPr>
                <w:sz w:val="20"/>
                <w:szCs w:val="20"/>
                <w:color w:val="auto"/>
              </w:rPr>
            </w:pPr>
            <w:r>
              <w:rPr>
                <w:rFonts w:ascii="Arial" w:cs="Arial" w:eastAsia="Arial" w:hAnsi="Arial"/>
                <w:sz w:val="18"/>
                <w:szCs w:val="18"/>
                <w:color w:val="auto"/>
                <w:w w:val="93"/>
              </w:rPr>
              <w:t>See accompanying Notes to Consolidated Financial Statements.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ind w:left="5500"/>
              <w:spacing w:after="0"/>
              <w:rPr>
                <w:sz w:val="20"/>
                <w:szCs w:val="20"/>
                <w:color w:val="auto"/>
              </w:rPr>
            </w:pPr>
            <w:r>
              <w:rPr>
                <w:rFonts w:ascii="Arial" w:cs="Arial" w:eastAsia="Arial" w:hAnsi="Arial"/>
                <w:sz w:val="18"/>
                <w:szCs w:val="18"/>
                <w:color w:val="auto"/>
              </w:rPr>
              <w:t>F-4</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46" w:name="page47"/>
    <w:bookmarkEnd w:id="46"/>
    <w:p>
      <w:pPr>
        <w:jc w:val="center"/>
        <w:ind w:right="-29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7"/>
              </w:rPr>
              <w:t>Years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2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57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8,461</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7,283</w:t>
            </w:r>
          </w:p>
        </w:tc>
      </w:tr>
      <w:tr>
        <w:trPr>
          <w:trHeight w:val="216"/>
        </w:trPr>
        <w:tc>
          <w:tcPr>
            <w:tcW w:w="80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gain (loss) on interest rate swap agreement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w w:val="98"/>
              </w:rPr>
              <w:t>Foreign currency translation adjustments</w:t>
            </w:r>
          </w:p>
        </w:tc>
        <w:tc>
          <w:tcPr>
            <w:tcW w:w="4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r>
      <w:tr>
        <w:trPr>
          <w:trHeight w:val="210"/>
        </w:trPr>
        <w:tc>
          <w:tcPr>
            <w:tcW w:w="32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Comprehensive earnings</w:t>
            </w:r>
          </w:p>
        </w:tc>
        <w:tc>
          <w:tcPr>
            <w:tcW w:w="4780" w:type="dxa"/>
            <w:vAlign w:val="bottom"/>
          </w:tcPr>
          <w:p>
            <w:pPr>
              <w:spacing w:after="0"/>
              <w:rPr>
                <w:sz w:val="18"/>
                <w:szCs w:val="18"/>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220" w:type="dxa"/>
            <w:vAlign w:val="bottom"/>
          </w:tcPr>
          <w:p>
            <w:pPr>
              <w:spacing w:after="0"/>
              <w:rPr>
                <w:sz w:val="24"/>
                <w:szCs w:val="24"/>
                <w:color w:val="auto"/>
              </w:rPr>
            </w:pPr>
          </w:p>
        </w:tc>
        <w:tc>
          <w:tcPr>
            <w:tcW w:w="5760" w:type="dxa"/>
            <w:vAlign w:val="bottom"/>
            <w:gridSpan w:val="2"/>
          </w:tcPr>
          <w:p>
            <w:pPr>
              <w:jc w:val="right"/>
              <w:ind w:right="850"/>
              <w:spacing w:after="0"/>
              <w:rPr>
                <w:sz w:val="20"/>
                <w:szCs w:val="20"/>
                <w:color w:val="auto"/>
              </w:rPr>
            </w:pPr>
            <w:r>
              <w:rPr>
                <w:rFonts w:ascii="Arial" w:cs="Arial" w:eastAsia="Arial" w:hAnsi="Arial"/>
                <w:sz w:val="18"/>
                <w:szCs w:val="18"/>
                <w:color w:val="auto"/>
                <w:w w:val="94"/>
              </w:rPr>
              <w:t>See accompanying Notes to Consolidated Financial Statements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20" w:type="dxa"/>
            <w:vAlign w:val="bottom"/>
          </w:tcPr>
          <w:p>
            <w:pPr>
              <w:spacing w:after="0"/>
              <w:rPr>
                <w:sz w:val="24"/>
                <w:szCs w:val="24"/>
                <w:color w:val="auto"/>
              </w:rPr>
            </w:pPr>
          </w:p>
        </w:tc>
        <w:tc>
          <w:tcPr>
            <w:tcW w:w="5760" w:type="dxa"/>
            <w:vAlign w:val="bottom"/>
            <w:gridSpan w:val="2"/>
          </w:tcPr>
          <w:p>
            <w:pPr>
              <w:jc w:val="right"/>
              <w:ind w:right="3150"/>
              <w:spacing w:after="0"/>
              <w:rPr>
                <w:sz w:val="20"/>
                <w:szCs w:val="20"/>
                <w:color w:val="auto"/>
              </w:rPr>
            </w:pPr>
            <w:r>
              <w:rPr>
                <w:rFonts w:ascii="Arial" w:cs="Arial" w:eastAsia="Arial" w:hAnsi="Arial"/>
                <w:sz w:val="18"/>
                <w:szCs w:val="18"/>
                <w:color w:val="auto"/>
              </w:rPr>
              <w:t>F-5</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2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47" w:name="page48"/>
    <w:bookmarkEnd w:id="47"/>
    <w:p>
      <w:pPr>
        <w:jc w:val="center"/>
        <w:ind w:right="-29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2100" w:type="dxa"/>
            <w:vAlign w:val="bottom"/>
            <w:gridSpan w:val="7"/>
            <w:vMerge w:val="restart"/>
          </w:tcPr>
          <w:p>
            <w:pPr>
              <w:ind w:left="4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3180" w:type="dxa"/>
            <w:vAlign w:val="bottom"/>
          </w:tcPr>
          <w:p>
            <w:pPr>
              <w:spacing w:after="0"/>
              <w:rPr>
                <w:sz w:val="19"/>
                <w:szCs w:val="19"/>
                <w:color w:val="auto"/>
              </w:rPr>
            </w:pPr>
          </w:p>
        </w:tc>
        <w:tc>
          <w:tcPr>
            <w:tcW w:w="2100" w:type="dxa"/>
            <w:vAlign w:val="bottom"/>
            <w:gridSpan w:val="7"/>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06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Earnings</w:t>
            </w: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10,562,200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related to stock-based awards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stock</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131,209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(18,125)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231,185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9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3,991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Purchase Plan</w:t>
            </w: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10,910,460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54,823</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related to stock-based awards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stock</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123,533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(5,944)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Purchase Plan</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27,162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7"/>
              </w:rPr>
              <w:t>Shares surrendered to satisfy tax liability</w:t>
            </w: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3180" w:type="dxa"/>
            <w:vAlign w:val="bottom"/>
          </w:tcPr>
          <w:p>
            <w:pPr>
              <w:spacing w:after="0"/>
              <w:rPr>
                <w:sz w:val="20"/>
                <w:szCs w:val="20"/>
                <w:color w:val="auto"/>
              </w:rPr>
            </w:pPr>
            <w:r>
              <w:rPr>
                <w:rFonts w:ascii="Arial" w:cs="Arial" w:eastAsia="Arial" w:hAnsi="Arial"/>
                <w:sz w:val="18"/>
                <w:szCs w:val="18"/>
                <w:color w:val="auto"/>
              </w:rPr>
              <w:t>at vesting of stock-based awards</w:t>
            </w: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Balance, December 31, 2022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11,063,271</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31,987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32,854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64,956</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80" w:type="dxa"/>
            <w:vAlign w:val="bottom"/>
          </w:tcPr>
          <w:p>
            <w:pPr>
              <w:spacing w:after="0"/>
              <w:rPr>
                <w:sz w:val="24"/>
                <w:szCs w:val="24"/>
                <w:color w:val="auto"/>
              </w:rPr>
            </w:pPr>
          </w:p>
        </w:tc>
        <w:tc>
          <w:tcPr>
            <w:tcW w:w="5820" w:type="dxa"/>
            <w:vAlign w:val="bottom"/>
            <w:gridSpan w:val="18"/>
          </w:tcPr>
          <w:p>
            <w:pPr>
              <w:jc w:val="right"/>
              <w:ind w:right="960"/>
              <w:spacing w:after="0"/>
              <w:rPr>
                <w:sz w:val="20"/>
                <w:szCs w:val="20"/>
                <w:color w:val="auto"/>
              </w:rPr>
            </w:pPr>
            <w:r>
              <w:rPr>
                <w:rFonts w:ascii="Arial" w:cs="Arial" w:eastAsia="Arial" w:hAnsi="Arial"/>
                <w:sz w:val="18"/>
                <w:szCs w:val="18"/>
                <w:color w:val="auto"/>
                <w:w w:val="95"/>
              </w:rPr>
              <w:t>See accompanying Notes to Consolidated Financial Statements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680"/>
              <w:spacing w:after="0"/>
              <w:rPr>
                <w:sz w:val="20"/>
                <w:szCs w:val="20"/>
                <w:color w:val="auto"/>
              </w:rPr>
            </w:pPr>
            <w:r>
              <w:rPr>
                <w:rFonts w:ascii="Arial" w:cs="Arial" w:eastAsia="Arial" w:hAnsi="Arial"/>
                <w:sz w:val="18"/>
                <w:szCs w:val="18"/>
                <w:color w:val="auto"/>
                <w:w w:val="81"/>
              </w:rPr>
              <w:t>F-6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jc w:val="center"/>
              <w:ind w:left="3450"/>
              <w:spacing w:after="0"/>
              <w:rPr>
                <w:sz w:val="20"/>
                <w:szCs w:val="20"/>
                <w:color w:val="auto"/>
              </w:rPr>
            </w:pPr>
            <w:r>
              <w:rPr>
                <w:rFonts w:ascii="Arial" w:cs="Arial" w:eastAsia="Arial" w:hAnsi="Arial"/>
                <w:sz w:val="18"/>
                <w:szCs w:val="18"/>
                <w:b w:val="1"/>
                <w:bCs w:val="1"/>
                <w:color w:val="auto"/>
                <w:w w:val="99"/>
              </w:rPr>
              <w:t>inTEST CORPORATION</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00" w:type="dxa"/>
            <w:vAlign w:val="bottom"/>
          </w:tcPr>
          <w:p>
            <w:pPr>
              <w:jc w:val="center"/>
              <w:ind w:left="34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jc w:val="center"/>
              <w:ind w:left="3450"/>
              <w:spacing w:after="0"/>
              <w:rPr>
                <w:sz w:val="20"/>
                <w:szCs w:val="20"/>
                <w:color w:val="auto"/>
              </w:rPr>
            </w:pPr>
            <w:r>
              <w:rPr>
                <w:rFonts w:ascii="Arial" w:cs="Arial" w:eastAsia="Arial" w:hAnsi="Arial"/>
                <w:sz w:val="18"/>
                <w:szCs w:val="18"/>
                <w:color w:val="auto"/>
                <w:w w:val="88"/>
              </w:rPr>
              <w:t>(In thousands)</w:t>
            </w:r>
          </w:p>
        </w:tc>
        <w:tc>
          <w:tcPr>
            <w:tcW w:w="920" w:type="dxa"/>
            <w:vAlign w:val="bottom"/>
          </w:tcPr>
          <w:p>
            <w:pPr>
              <w:spacing w:after="0"/>
              <w:rPr>
                <w:sz w:val="20"/>
                <w:szCs w:val="20"/>
                <w:color w:val="auto"/>
              </w:rPr>
            </w:pPr>
          </w:p>
        </w:tc>
        <w:tc>
          <w:tcPr>
            <w:tcW w:w="1240" w:type="dxa"/>
            <w:vAlign w:val="bottom"/>
            <w:gridSpan w:val="4"/>
            <w:vMerge w:val="restart"/>
          </w:tcPr>
          <w:p>
            <w:pPr>
              <w:jc w:val="right"/>
              <w:ind w:right="100"/>
              <w:spacing w:after="0"/>
              <w:rPr>
                <w:sz w:val="20"/>
                <w:szCs w:val="20"/>
                <w:color w:val="auto"/>
              </w:rPr>
            </w:pPr>
            <w:r>
              <w:rPr>
                <w:rFonts w:ascii="Arial" w:cs="Arial" w:eastAsia="Arial" w:hAnsi="Arial"/>
                <w:sz w:val="18"/>
                <w:szCs w:val="18"/>
                <w:b w:val="1"/>
                <w:bCs w:val="1"/>
                <w:color w:val="auto"/>
              </w:rPr>
              <w:t>Years Ended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gridSpan w:val="4"/>
            <w:vMerge w:val="continue"/>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9"/>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8,461</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provided by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4,734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Provision for excess and obsolete 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Foreign exchange loss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Discount on shares sold under Employee Stock Purchase Plan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sale of demonstration equipment, net of gain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 benefit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 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(10,631)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Restricted certificates of deposit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Operating lease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(1,363)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Accrued wages and benefits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professional fees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Customer deposits and deferred revenue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sales commission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Domestic and foreign income taxes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Other liabilities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Acquisitions of businesses, net of cash acquired</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(20,378)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 related to Z-Sciences acquisition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Refund of final working capital adjustment related to Acculogic</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 of short term investments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(3,494)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short term investments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(1,173)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(21,372)</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Term Note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Repayments of Term Note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(3,958)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options exercised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shares sold under Employee Stock Purchase Plan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treasury stock-shares surrendered by employees to satisfy tax liability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(3,733)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21,725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Effects of exchange rates on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all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21,195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14,576</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21,195</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Cash payments for:</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 and foreign income taxes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3,924</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Issuance of unvested shares of restricted stock</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1,138</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Forfeiture of unvested shares of restricted stock</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23" w:right="3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Details of acquisitions (Note 3):</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Fair value of assets acquired, net of cash</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Liabilities assumed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Contingent consideration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 resulting from acquisitions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Net cash paid for acquisitions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4520" w:type="dxa"/>
        <w:tblCellMar>
          <w:top w:w="0" w:type="dxa"/>
          <w:left w:w="0" w:type="dxa"/>
          <w:bottom w:w="0" w:type="dxa"/>
          <w:right w:w="0" w:type="dxa"/>
        </w:tblCellMar>
      </w:tblPr>
      <w:tr>
        <w:trPr>
          <w:trHeight w:val="216"/>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17,717</w:t>
            </w:r>
          </w:p>
        </w:tc>
      </w:tr>
      <w:tr>
        <w:trPr>
          <w:trHeight w:val="216"/>
        </w:trPr>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(3,849)</w:t>
            </w:r>
          </w:p>
        </w:tc>
      </w:tr>
      <w:tr>
        <w:trPr>
          <w:trHeight w:val="216"/>
        </w:trPr>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(1,109)</w:t>
            </w:r>
          </w:p>
        </w:tc>
      </w:tr>
      <w:tr>
        <w:trPr>
          <w:trHeight w:val="230"/>
        </w:trPr>
        <w:tc>
          <w:tcPr>
            <w:tcW w:w="6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7,619</w:t>
            </w:r>
          </w:p>
        </w:tc>
      </w:tr>
      <w:tr>
        <w:trPr>
          <w:trHeight w:val="209"/>
        </w:trPr>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20,378</w:t>
            </w:r>
          </w:p>
        </w:tc>
        <w:tc>
          <w:tcPr>
            <w:tcW w:w="60" w:type="dxa"/>
            <w:vAlign w:val="bottom"/>
          </w:tcPr>
          <w:p>
            <w:pPr>
              <w:spacing w:after="0"/>
              <w:rPr>
                <w:sz w:val="18"/>
                <w:szCs w:val="18"/>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-856615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-582295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-307975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F-7</w:t>
      </w:r>
    </w:p>
    <w:p>
      <w:pPr>
        <w:sectPr>
          <w:pgSz w:w="11900" w:h="16838" w:orient="portrait"/>
          <w:cols w:equalWidth="0" w:num="2">
            <w:col w:w="3080" w:space="400"/>
            <w:col w:w="7760"/>
          </w:cols>
          <w:pgMar w:left="320" w:top="823" w:right="339" w:bottom="0" w:gutter="0" w:footer="0" w:header="0"/>
          <w:type w:val="continuous"/>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ind w:right="-31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3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p>
      <w:pPr>
        <w:ind w:left="652" w:hanging="652"/>
        <w:spacing w:after="0"/>
        <w:tabs>
          <w:tab w:leader="none" w:pos="6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ind w:left="672"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are a global supplier of innovative test and process solutions for use in manufacturing and testing across a wide range of markets including automotive, defense/aerospace, industrial, life sciences, security and semiconductor. During the year ended December 31, 2021, we managed our business as two operating segments which were also our reportable segments and reporting units: Thermal Products ("Thermal") and Electromechanical Solutions ("EMS"). As discussed further in Note 19, effective January 1, 2022, we reorganized our operating segments. Accordingly, for 2022, we have three operating segments which are also our reportable segments and reporting units: Electronic Test, Environmental Technologies and Process Technologies. Prior period information has been reclassified to be comparable to the current period’s presentation.</w:t>
      </w:r>
    </w:p>
    <w:p>
      <w:pPr>
        <w:spacing w:after="0" w:line="194" w:lineRule="exact"/>
        <w:rPr>
          <w:rFonts w:ascii="Arial" w:cs="Arial" w:eastAsia="Arial" w:hAnsi="Arial"/>
          <w:sz w:val="18"/>
          <w:szCs w:val="18"/>
          <w:b w:val="1"/>
          <w:bCs w:val="1"/>
          <w:color w:val="auto"/>
        </w:rPr>
      </w:pPr>
    </w:p>
    <w:p>
      <w:pPr>
        <w:ind w:left="672" w:right="5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consolidated entity is comprised of inTEST Corporation and our wholly-owned subsidiaries. We manufacture our products in the U.S., Canada and the Netherlands. Marketing and support activities are conducted worldwide from our facilities in the U.S., Canada, Germany, Singapore, the Netherlands and the U.K. We operate our business worldwide and sell our products both domestically and internationally.</w:t>
      </w:r>
    </w:p>
    <w:p>
      <w:pPr>
        <w:spacing w:after="0" w:line="148" w:lineRule="exact"/>
        <w:rPr>
          <w:rFonts w:ascii="Arial" w:cs="Arial" w:eastAsia="Arial" w:hAnsi="Arial"/>
          <w:sz w:val="18"/>
          <w:szCs w:val="18"/>
          <w:b w:val="1"/>
          <w:bCs w:val="1"/>
          <w:color w:val="auto"/>
        </w:rPr>
      </w:pPr>
    </w:p>
    <w:p>
      <w:pPr>
        <w:ind w:left="672" w:right="18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spacing w:after="0" w:line="161" w:lineRule="exact"/>
        <w:rPr>
          <w:rFonts w:ascii="Arial" w:cs="Arial" w:eastAsia="Arial" w:hAnsi="Arial"/>
          <w:sz w:val="18"/>
          <w:szCs w:val="18"/>
          <w:b w:val="1"/>
          <w:bCs w:val="1"/>
          <w:color w:val="auto"/>
        </w:rPr>
      </w:pPr>
    </w:p>
    <w:p>
      <w:pPr>
        <w:ind w:left="67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semiconductor market (“semi” or the “semi market”) which includes both the broader semiconductor market, as well as the more specialized automated test equipment (“ATE”) and wafer production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66" w:lineRule="exact"/>
        <w:rPr>
          <w:rFonts w:ascii="Arial" w:cs="Arial" w:eastAsia="Arial" w:hAnsi="Arial"/>
          <w:sz w:val="18"/>
          <w:szCs w:val="18"/>
          <w:b w:val="1"/>
          <w:bCs w:val="1"/>
          <w:color w:val="auto"/>
        </w:rPr>
      </w:pPr>
    </w:p>
    <w:p>
      <w:pPr>
        <w:ind w:left="672" w:right="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Our Electronic Test segment sells its products to semiconductor manufacturers and third-party test and assembly houses (end user sales) and to ATE manufacturers (original equipment manufacturer (“OEM”) sales), who ultimately resell our equipment with theirs to both semiconductor manufacturers and third-party test and assembly houses. These sales all fall within the ATE sector of the semi market. With the acquisition of Acculogic in December 2021, our Electronic Test segment also sells its products to customers in markets outside the semi market including the automotive, defense/aerospace, industrial and life sciences markets. Our Environmental Technologies segment sells its products to end users and OEMs within the ATE sector of the semi market. It also sells its products to customers in a variety of other markets other than the semi market, including the automotive, defense/aerospace, industrial and life sciences markets. Our Process Technologies segment sells its products to customers in the wafer production sector within the semi market. It also sells its products to customers in a variety of other markets other than the semi market, including the automotive, defense/aerospace, industrial, life sciences and security markets.</w:t>
      </w:r>
    </w:p>
    <w:p>
      <w:pPr>
        <w:spacing w:after="0" w:line="166" w:lineRule="exact"/>
        <w:rPr>
          <w:rFonts w:ascii="Arial" w:cs="Arial" w:eastAsia="Arial" w:hAnsi="Arial"/>
          <w:sz w:val="18"/>
          <w:szCs w:val="18"/>
          <w:b w:val="1"/>
          <w:bCs w:val="1"/>
          <w:color w:val="auto"/>
        </w:rPr>
      </w:pPr>
    </w:p>
    <w:p>
      <w:pPr>
        <w:ind w:left="672" w:right="1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51" w:name="page52"/>
    <w:bookmarkEnd w:id="51"/>
    <w:p>
      <w:pPr>
        <w:ind w:left="672"/>
        <w:spacing w:after="0"/>
        <w:rPr>
          <w:sz w:val="20"/>
          <w:szCs w:val="20"/>
          <w:color w:val="auto"/>
        </w:rPr>
      </w:pPr>
      <w:r>
        <w:rPr>
          <w:rFonts w:ascii="Arial" w:cs="Arial" w:eastAsia="Arial" w:hAnsi="Arial"/>
          <w:sz w:val="18"/>
          <w:szCs w:val="18"/>
          <w:b w:val="1"/>
          <w:bCs w:val="1"/>
          <w:i w:val="1"/>
          <w:iCs w:val="1"/>
          <w:u w:val="single" w:color="auto"/>
          <w:color w:val="auto"/>
        </w:rPr>
        <w:t>COVID-19 Pandemic</w:t>
      </w:r>
    </w:p>
    <w:p>
      <w:pPr>
        <w:spacing w:after="0" w:line="225" w:lineRule="exact"/>
        <w:rPr>
          <w:sz w:val="20"/>
          <w:szCs w:val="20"/>
          <w:color w:val="auto"/>
        </w:rPr>
      </w:pPr>
    </w:p>
    <w:p>
      <w:pPr>
        <w:ind w:left="672" w:right="140"/>
        <w:spacing w:after="0" w:line="291" w:lineRule="auto"/>
        <w:rPr>
          <w:sz w:val="20"/>
          <w:szCs w:val="20"/>
          <w:color w:val="auto"/>
        </w:rPr>
      </w:pPr>
      <w:r>
        <w:rPr>
          <w:rFonts w:ascii="Arial" w:cs="Arial" w:eastAsia="Arial" w:hAnsi="Arial"/>
          <w:sz w:val="16"/>
          <w:szCs w:val="16"/>
          <w:color w:val="auto"/>
        </w:rPr>
        <w:t>We are following the guidance of the Centers for Disease Control and Prevention (the “CDC”) and the local regulatory authorities in regions outside the U.S. While we are no longer requiring employees to wear masks indoors in our domestic locations or conducting temperature screenings, we are encouraging all employees to receive COVID-19 vaccinations and boosters, if possible, and to stay home if they feel sick. We are continuing to allow employees to work remotely either part-time or full-time in circumstances when possible. We continue to monitor the situation closely in the regions in which we operate in the U.S. and abroad and will adjust our operations as necessary to protect the health and well-being of our employees. To the extent that further governmental mandates or restrictions are implemented in the future, we currently expect to be able to continue to operate our business in a manner similar to how we have operated over the past three years.</w:t>
      </w:r>
    </w:p>
    <w:p>
      <w:pPr>
        <w:spacing w:after="0" w:line="200" w:lineRule="exact"/>
        <w:rPr>
          <w:sz w:val="20"/>
          <w:szCs w:val="20"/>
          <w:color w:val="auto"/>
        </w:rPr>
      </w:pPr>
    </w:p>
    <w:p>
      <w:pPr>
        <w:spacing w:after="0" w:line="205" w:lineRule="exact"/>
        <w:rPr>
          <w:sz w:val="20"/>
          <w:szCs w:val="20"/>
          <w:color w:val="auto"/>
        </w:rPr>
      </w:pPr>
    </w:p>
    <w:p>
      <w:pPr>
        <w:ind w:left="672" w:right="5900" w:hanging="672"/>
        <w:spacing w:after="0" w:line="503" w:lineRule="auto"/>
        <w:tabs>
          <w:tab w:leader="none" w:pos="65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ind w:left="672"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77" w:lineRule="exact"/>
        <w:rPr>
          <w:rFonts w:ascii="Arial" w:cs="Arial" w:eastAsia="Arial" w:hAnsi="Arial"/>
          <w:sz w:val="18"/>
          <w:szCs w:val="18"/>
          <w:b w:val="1"/>
          <w:bCs w:val="1"/>
          <w:color w:val="auto"/>
        </w:rPr>
      </w:pPr>
    </w:p>
    <w:p>
      <w:pPr>
        <w:ind w:left="67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Reclassifications</w:t>
      </w:r>
    </w:p>
    <w:p>
      <w:pPr>
        <w:spacing w:after="0" w:line="225" w:lineRule="exact"/>
        <w:rPr>
          <w:rFonts w:ascii="Arial" w:cs="Arial" w:eastAsia="Arial" w:hAnsi="Arial"/>
          <w:sz w:val="18"/>
          <w:szCs w:val="18"/>
          <w:b w:val="1"/>
          <w:bCs w:val="1"/>
          <w:color w:val="auto"/>
        </w:rPr>
      </w:pPr>
    </w:p>
    <w:p>
      <w:pPr>
        <w:ind w:left="672"/>
        <w:spacing w:after="0"/>
        <w:rPr>
          <w:rFonts w:ascii="Arial" w:cs="Arial" w:eastAsia="Arial" w:hAnsi="Arial"/>
          <w:sz w:val="18"/>
          <w:szCs w:val="18"/>
          <w:b w:val="1"/>
          <w:bCs w:val="1"/>
          <w:color w:val="auto"/>
        </w:rPr>
      </w:pPr>
      <w:r>
        <w:rPr>
          <w:rFonts w:ascii="Arial" w:cs="Arial" w:eastAsia="Arial" w:hAnsi="Arial"/>
          <w:sz w:val="18"/>
          <w:szCs w:val="18"/>
          <w:color w:val="auto"/>
        </w:rPr>
        <w:t>Certain prior year amounts have been reclassified to be comparable with the current year's presentation.</w:t>
      </w:r>
    </w:p>
    <w:p>
      <w:pPr>
        <w:spacing w:after="0" w:line="225" w:lineRule="exact"/>
        <w:rPr>
          <w:rFonts w:ascii="Arial" w:cs="Arial" w:eastAsia="Arial" w:hAnsi="Arial"/>
          <w:sz w:val="18"/>
          <w:szCs w:val="18"/>
          <w:b w:val="1"/>
          <w:bCs w:val="1"/>
          <w:color w:val="auto"/>
        </w:rPr>
      </w:pPr>
    </w:p>
    <w:p>
      <w:pPr>
        <w:ind w:left="67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rFonts w:ascii="Arial" w:cs="Arial" w:eastAsia="Arial" w:hAnsi="Arial"/>
          <w:sz w:val="18"/>
          <w:szCs w:val="18"/>
          <w:b w:val="1"/>
          <w:bCs w:val="1"/>
          <w:color w:val="auto"/>
        </w:rPr>
      </w:pPr>
    </w:p>
    <w:p>
      <w:pPr>
        <w:ind w:left="672" w:righ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year ended December 31, 2022.</w:t>
      </w:r>
    </w:p>
    <w:p>
      <w:pPr>
        <w:spacing w:after="0" w:line="170" w:lineRule="exact"/>
        <w:rPr>
          <w:rFonts w:ascii="Arial" w:cs="Arial" w:eastAsia="Arial" w:hAnsi="Arial"/>
          <w:sz w:val="18"/>
          <w:szCs w:val="18"/>
          <w:b w:val="1"/>
          <w:bCs w:val="1"/>
          <w:color w:val="auto"/>
        </w:rPr>
      </w:pPr>
    </w:p>
    <w:p>
      <w:pPr>
        <w:ind w:left="67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rFonts w:ascii="Arial" w:cs="Arial" w:eastAsia="Arial" w:hAnsi="Arial"/>
          <w:sz w:val="18"/>
          <w:szCs w:val="18"/>
          <w:b w:val="1"/>
          <w:bCs w:val="1"/>
          <w:color w:val="auto"/>
        </w:rPr>
      </w:pPr>
    </w:p>
    <w:p>
      <w:pPr>
        <w:ind w:left="672"/>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66" w:lineRule="exact"/>
        <w:rPr>
          <w:rFonts w:ascii="Arial" w:cs="Arial" w:eastAsia="Arial" w:hAnsi="Arial"/>
          <w:sz w:val="18"/>
          <w:szCs w:val="18"/>
          <w:b w:val="1"/>
          <w:bCs w:val="1"/>
          <w:color w:val="auto"/>
        </w:rPr>
      </w:pPr>
    </w:p>
    <w:p>
      <w:pPr>
        <w:ind w:left="67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rFonts w:ascii="Arial" w:cs="Arial" w:eastAsia="Arial" w:hAnsi="Arial"/>
          <w:sz w:val="18"/>
          <w:szCs w:val="18"/>
          <w:b w:val="1"/>
          <w:bCs w:val="1"/>
          <w:color w:val="auto"/>
        </w:rPr>
      </w:pPr>
    </w:p>
    <w:p>
      <w:pPr>
        <w:ind w:left="672" w:right="1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In accordance with the guidance in Accounting Standards Codification (“ASC”) Topic 420 (Exit or Disposal Cost Obligations), we recognize a liability for restructuring costs at fair value only when the liability is incurred. Workforce-related charges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right-of-use (“ROU”)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future cash flows related to the expected future remaining use and ultimate sale or disposal of the asset, and, in the case of our ROU assets, would include expected future sublease rental income, if applicable. These estimates are derived using the guidance in ASC Topic 842 (Leases), ASC Topic 360 (Property, Plant and Equipment) and ASC Topic 350 (Intangibles - Goodwill and Other).</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11" w:right="339" w:bottom="1440" w:gutter="0" w:footer="0" w:header="0"/>
        </w:sectPr>
      </w:pPr>
    </w:p>
    <w:bookmarkStart w:id="52" w:name="page53"/>
    <w:bookmarkEnd w:id="52"/>
    <w:p>
      <w:pPr>
        <w:ind w:left="80"/>
        <w:spacing w:after="0"/>
        <w:rPr>
          <w:sz w:val="20"/>
          <w:szCs w:val="20"/>
          <w:color w:val="auto"/>
        </w:rPr>
      </w:pPr>
      <w:r>
        <w:rPr>
          <w:rFonts w:ascii="Arial" w:cs="Arial" w:eastAsia="Arial" w:hAnsi="Arial"/>
          <w:sz w:val="18"/>
          <w:szCs w:val="18"/>
          <w:b w:val="1"/>
          <w:bCs w:val="1"/>
          <w:i w:val="1"/>
          <w:iCs w:val="1"/>
          <w:u w:val="single" w:color="auto"/>
          <w:color w:val="auto"/>
        </w:rPr>
        <w:t>Cash, Cash Equivalents and Restricted Cash</w:t>
      </w:r>
    </w:p>
    <w:p>
      <w:pPr>
        <w:spacing w:after="0" w:line="225" w:lineRule="exact"/>
        <w:rPr>
          <w:sz w:val="20"/>
          <w:szCs w:val="20"/>
          <w:color w:val="auto"/>
        </w:rPr>
      </w:pPr>
    </w:p>
    <w:p>
      <w:pPr>
        <w:ind w:left="20" w:right="220"/>
        <w:spacing w:after="0" w:line="311" w:lineRule="auto"/>
        <w:rPr>
          <w:sz w:val="20"/>
          <w:szCs w:val="20"/>
          <w:color w:val="auto"/>
        </w:rPr>
      </w:pPr>
      <w:r>
        <w:rPr>
          <w:rFonts w:ascii="Arial" w:cs="Arial" w:eastAsia="Arial" w:hAnsi="Arial"/>
          <w:sz w:val="16"/>
          <w:szCs w:val="16"/>
          <w:color w:val="auto"/>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spacing w:after="0" w:line="149" w:lineRule="exact"/>
        <w:rPr>
          <w:sz w:val="20"/>
          <w:szCs w:val="20"/>
          <w:color w:val="auto"/>
        </w:rPr>
      </w:pPr>
    </w:p>
    <w:p>
      <w:pPr>
        <w:ind w:left="20" w:right="400"/>
        <w:spacing w:after="0" w:line="311" w:lineRule="auto"/>
        <w:rPr>
          <w:sz w:val="20"/>
          <w:szCs w:val="20"/>
          <w:color w:val="auto"/>
        </w:rPr>
      </w:pPr>
      <w:r>
        <w:rPr>
          <w:rFonts w:ascii="Arial" w:cs="Arial" w:eastAsia="Arial" w:hAnsi="Arial"/>
          <w:sz w:val="16"/>
          <w:szCs w:val="16"/>
          <w:color w:val="auto"/>
        </w:rPr>
        <w:t>Restricted cash represents amounts deposited at our bank in the Netherlands to support a bank guarantee which one of the customers of our induction heating products required as a condition of paying a deposit on a large order they placed with us in 2022. The amount of the deposit, and, accordingly, the guarantee, was EUR 1,160. At December 31, 2022 this amount was $1,142. The related order is Euro denominated.</w:t>
      </w:r>
    </w:p>
    <w:p>
      <w:pPr>
        <w:spacing w:after="0" w:line="149" w:lineRule="exact"/>
        <w:rPr>
          <w:sz w:val="20"/>
          <w:szCs w:val="20"/>
          <w:color w:val="auto"/>
        </w:rPr>
      </w:pPr>
    </w:p>
    <w:p>
      <w:pPr>
        <w:ind w:left="20" w:right="1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and the 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7"/>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13,434</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21,195</w:t>
            </w: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Arial" w:cs="Arial" w:eastAsia="Arial" w:hAnsi="Arial"/>
                <w:sz w:val="18"/>
                <w:szCs w:val="18"/>
                <w:color w:val="auto"/>
              </w:rPr>
              <w:t>Restricted cash</w:t>
            </w:r>
          </w:p>
        </w:tc>
        <w:tc>
          <w:tcPr>
            <w:tcW w:w="9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14,576</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6"/>
              </w:rPr>
              <w:t>Trade Accounts Receivable and Allowance for Doubtful Accounts</w:t>
            </w:r>
          </w:p>
        </w:tc>
        <w:tc>
          <w:tcPr>
            <w:tcW w:w="2460" w:type="dxa"/>
            <w:vAlign w:val="bottom"/>
            <w:vMerge w:val="restart"/>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0" w:type="dxa"/>
            <w:vAlign w:val="bottom"/>
          </w:tcPr>
          <w:p>
            <w:pPr>
              <w:spacing w:after="0"/>
              <w:rPr>
                <w:sz w:val="24"/>
                <w:szCs w:val="24"/>
                <w:color w:val="auto"/>
              </w:rPr>
            </w:pPr>
          </w:p>
        </w:tc>
        <w:tc>
          <w:tcPr>
            <w:tcW w:w="4880" w:type="dxa"/>
            <w:vAlign w:val="bottom"/>
            <w:tcBorders>
              <w:bottom w:val="single" w:sz="8" w:color="auto"/>
            </w:tcBorders>
            <w:vMerge w:val="continue"/>
          </w:tcPr>
          <w:p>
            <w:pPr>
              <w:spacing w:after="0"/>
              <w:rPr>
                <w:sz w:val="24"/>
                <w:szCs w:val="24"/>
                <w:color w:val="auto"/>
              </w:rPr>
            </w:pPr>
          </w:p>
        </w:tc>
        <w:tc>
          <w:tcPr>
            <w:tcW w:w="24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 w:right="80"/>
        <w:spacing w:after="0" w:line="269" w:lineRule="auto"/>
        <w:rPr>
          <w:sz w:val="20"/>
          <w:szCs w:val="20"/>
          <w:color w:val="auto"/>
        </w:rPr>
      </w:pPr>
      <w:r>
        <w:rPr>
          <w:rFonts w:ascii="Arial" w:cs="Arial" w:eastAsia="Arial" w:hAnsi="Arial"/>
          <w:sz w:val="17"/>
          <w:szCs w:val="17"/>
          <w:color w:val="auto"/>
        </w:rPr>
        <w:t>Trade accounts receivable are recorded at the invoiced amount and do not bear interest. We grant credit to customers and generally require no collateral. To minimize our risk, we perform ongoing credit evaluations of our customers' financial condition. The allowance for doubtful accounts is our best estimate of the amount of probable credit losses in our existing accounts receivable. We determine the allowance based on historical write-off experience and the aging of such receivables, among other factors. Account balances are charged off against the allowance after all means of collection have been exhausted and the potential for recovery is considered remote. We do not have any significant off-balance sheet credit exposure related to our customers. Bad debt recoveries totaled $470 for the year ended December 31, 2022. These amounts had all been fully written off in a prior period or pre-acquisition, in the case of recently acquired businesses, and were no longer in our accounts receivable balance. Bad debt expense to reserve for items currently in our accounts receivable balance which we do not expect to collect totaled $286k for the year. There was no bad debt expense (recovery) recorded for the year ended December 31, 2021. Cash flows from accounts receivable are recorded in operating cash flows.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25" w:lineRule="exact"/>
        <w:rPr>
          <w:sz w:val="20"/>
          <w:szCs w:val="20"/>
          <w:color w:val="auto"/>
        </w:rPr>
      </w:pPr>
    </w:p>
    <w:p>
      <w:pPr>
        <w:ind w:left="20" w:right="140"/>
        <w:spacing w:after="0" w:line="288" w:lineRule="auto"/>
        <w:rPr>
          <w:sz w:val="20"/>
          <w:szCs w:val="20"/>
          <w:color w:val="auto"/>
        </w:rPr>
      </w:pPr>
      <w:r>
        <w:rPr>
          <w:rFonts w:ascii="Arial" w:cs="Arial" w:eastAsia="Arial" w:hAnsi="Arial"/>
          <w:sz w:val="16"/>
          <w:szCs w:val="16"/>
          <w:color w:val="auto"/>
        </w:rPr>
        <w:t>Our financial instruments include cash and cash equivalents,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 maturities of the accounts. Our credit facility and our interest rate swap are discussed further below and in Note 12. Our liabilities for contingent consideration are accounted for in accordance with the guidance in Accounting Standards Codification ASC 820 (Fair Value Measurement). ASC 820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Note 4 for further disclosures related to the fair value of our liabilities for contingent consideration.</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20" w:right="180"/>
        <w:spacing w:after="0" w:line="259" w:lineRule="auto"/>
        <w:rPr>
          <w:sz w:val="20"/>
          <w:szCs w:val="20"/>
          <w:color w:val="auto"/>
        </w:rPr>
      </w:pPr>
      <w:r>
        <w:rPr>
          <w:rFonts w:ascii="Arial" w:cs="Arial" w:eastAsia="Arial" w:hAnsi="Arial"/>
          <w:sz w:val="18"/>
          <w:szCs w:val="18"/>
          <w:color w:val="auto"/>
        </w:rPr>
        <w:t>As discussed in Notes 1 and 19, during the year ended December 31, 2021, we managed our business as two operating segments which were also our reportable segments and reporting units: Thermal and EMS. Effective January 1, 2022, we reorganized our operating segments. Accordingly, for 2022, we have three operating segments which are also our reportable segments and reporting units: Electronic Test, Environmental Technologies and Process Technologies.</w:t>
      </w:r>
    </w:p>
    <w:p>
      <w:pPr>
        <w:spacing w:after="0" w:line="18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611" w:right="259" w:bottom="1440" w:gutter="0" w:footer="0" w:header="0"/>
        </w:sectPr>
      </w:pPr>
    </w:p>
    <w:bookmarkStart w:id="53" w:name="page54"/>
    <w:bookmarkEnd w:id="53"/>
    <w:p>
      <w:pPr>
        <w:ind w:right="20"/>
        <w:spacing w:after="0" w:line="269" w:lineRule="auto"/>
        <w:rPr>
          <w:sz w:val="20"/>
          <w:szCs w:val="20"/>
          <w:color w:val="auto"/>
        </w:rPr>
      </w:pPr>
      <w:r>
        <w:rPr>
          <w:rFonts w:ascii="Arial" w:cs="Arial" w:eastAsia="Arial" w:hAnsi="Arial"/>
          <w:sz w:val="17"/>
          <w:szCs w:val="17"/>
          <w:color w:val="auto"/>
        </w:rPr>
        <w:t>We account for goodwill and intangible assets in accordance with Accounting Standards Codification (“ASC”) Topic 350 (Intangibles - Goodwill and Other).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8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7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Long-lived assets, which consist of finite-lived intangible assets, property and equipment and right-of-use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global supplier of innovative test and process solutions for use in manufacturing and testing in targeted markets including automotive, defense/aerospace, industrial, life sciences, security and semiconductor. We sell thermal management products including ThermoStreams, ThermoChambers, process chillers, refrigerators and freezers, which we sell under our Temptronic, Sigma, Thermonics and North Sciences (formerly Z-Sciences) product lines, and Ambrell Corporation’s (“Ambrell”) precision induction heating systems, including EKOHEAT and EASYHEAT products. As a result of the acquisition of Videology, we sell industrial-grade circuit board mounted video digital cameras and related devices, systems and software. We sell semiconductor ATE interface solutions which include manipulators, docking hardware and electrical interface products. As a result of the acquisition of Acculogic, we sell robotics-based electronic production test equipment. We provide post-warranty service and support for the equipment we sell. We sell semiconductor ATE interface solutions and certain thermal management products to the semi market. We also sell many of our products to various other markets including the automotive, defense/aerospace, industrial, life sciences and security markets.</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611" w:right="339" w:bottom="1440" w:gutter="0" w:footer="0" w:header="0"/>
        </w:sectPr>
      </w:pPr>
    </w:p>
    <w:bookmarkStart w:id="54" w:name="page55"/>
    <w:bookmarkEnd w:id="54"/>
    <w:p>
      <w:pPr>
        <w:ind w:right="220"/>
        <w:spacing w:after="0" w:line="277"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Contracts with Customers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7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Notes 7 and 19 for further information about our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$771 and $203 for the years ended December 31, 2022 and 2021, respectively.</w:t>
      </w:r>
    </w:p>
    <w:p>
      <w:pPr>
        <w:spacing w:after="0" w:line="16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61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Machinery and equipment are stated at cost, except for machinery and equipment acquired in a business combination, which are stated at fair value at the time of acquisition. As previously discussed above under "Goodwill, Intangible and Long-Lived Assets,"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 Total depreciation expense was $809 and $666 for the years ended December 31, 2022 and 2021,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account for leases in accordance with ASC Topic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Topic 842. Operating leases are included in operating lease ROU assets and operating lease liabilities in our consolidated balance sheets. Finance leases are included in property and equipment and financing lease liabilities. We do not currently have any financing leases.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further disclosures regarding our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exposed to interest rate risk on our floating-rate debt. We have entered into an interest rate swap agreement to effectively convert our floating-rate debt to a fixed-rate basis for a portion of our floating rate debt, as discussed further in Notes 4 and 12. The principal objective of this agreement is to eliminate the variability of the cash flows for interest payments associated with our floating-rate debt, thus reducing the impact of interest rate changes on future interest payment cash flows. We have elected to apply the hedge accounting rules in accordance with ASC Topic 815 (Derivatives and Hedging). Further, we have determined that this agreement qualifies for the shortcut method of hedge accounting. Changes in the fair value of interest rate swap agreements designated as cash flow hedges are recorded as a component of accumulated other comprehensive income (loss) within stockholders’ equity and are amortized to interest expense over the term of the related debt.</w:t>
      </w:r>
    </w:p>
    <w:p>
      <w:pPr>
        <w:spacing w:after="0" w:line="16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611"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Funds Received</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leasing a facility in Rochester, New York, which our subsidiary, Ambrell, occupied in May 2018, we entered into agreements with the city of Rochester and the state of New York under which we received grants totaling $550 to help offset a portion of the cost of the leasehold improvements we made to this facility. The final payment of $87 was received during the three months ended March 31, 2022. In exchange for the funds we received under these agreements, we are required to create and maintain specified levels of employment in this location through various dates ending in 2024. If we fail to meet these employment targets, we may be required to repay a proportionate share of the proceeds. At December 31, 2022, $285 of the total proceeds received could still be required to be repaid if we do not meet the targets. We have recorded this amount as a contingent liability which is included in other liabilities on our consolidated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$208 at December 31, 2022. At December 31, 2022, we were in compliance with the employment targets as specified in the grant agreement with the city of Rochester.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Engineering and Product Development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Engineering and product development costs, which consist primarily of the salary and related benefits costs of our technical staff, as well as the cost of materials used in product development,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our foreign subsidiaries whose functional currencies are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years ended December 31, 2022 and 2021, foreign currency transaction losses were $109 and $34,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 See Note 13 for additional information regarding income taxes.</w:t>
      </w:r>
    </w:p>
    <w:p>
      <w:pPr>
        <w:spacing w:after="0" w:line="17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611" w:right="359" w:bottom="1440" w:gutter="0" w:footer="0" w:header="0"/>
        </w:sectPr>
      </w:pPr>
    </w:p>
    <w:bookmarkStart w:id="57" w:name="page58"/>
    <w:bookmarkEnd w:id="57"/>
    <w:p>
      <w:pPr>
        <w:ind w:left="680"/>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left="680" w:right="140"/>
        <w:spacing w:after="0" w:line="257"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8" w:lineRule="exact"/>
        <w:rPr>
          <w:sz w:val="20"/>
          <w:szCs w:val="20"/>
          <w:color w:val="auto"/>
        </w:rPr>
      </w:pPr>
    </w:p>
    <w:p>
      <w:pPr>
        <w:jc w:val="both"/>
        <w:ind w:left="680" w:right="160"/>
        <w:spacing w:after="0" w:line="263"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(loss) per share because their effect was anti-dilutive:</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22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9"/>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60" w:type="dxa"/>
            <w:vAlign w:val="bottom"/>
          </w:tcPr>
          <w:p>
            <w:pPr>
              <w:spacing w:after="0"/>
              <w:rPr>
                <w:sz w:val="20"/>
                <w:szCs w:val="20"/>
                <w:color w:val="auto"/>
              </w:rPr>
            </w:pPr>
          </w:p>
        </w:tc>
        <w:tc>
          <w:tcPr>
            <w:tcW w:w="220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90"/>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60" w:type="dxa"/>
            <w:vAlign w:val="bottom"/>
          </w:tcPr>
          <w:p>
            <w:pPr>
              <w:spacing w:after="0"/>
              <w:rPr>
                <w:sz w:val="18"/>
                <w:szCs w:val="18"/>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10,673,017</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10,462,246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Unvested shares of restricted stock and employee stock options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189,521</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267,616</w:t>
            </w:r>
          </w:p>
        </w:tc>
      </w:tr>
      <w:tr>
        <w:trPr>
          <w:trHeight w:val="20"/>
        </w:trPr>
        <w:tc>
          <w:tcPr>
            <w:tcW w:w="73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 outstanding–diluted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10,862,538</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10,729,862</w:t>
            </w:r>
          </w:p>
        </w:tc>
      </w:tr>
      <w:tr>
        <w:trPr>
          <w:trHeight w:val="20"/>
        </w:trPr>
        <w:tc>
          <w:tcPr>
            <w:tcW w:w="73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number of potentially dilutive securities excluded from calculation</w:t>
            </w:r>
          </w:p>
        </w:tc>
        <w:tc>
          <w:tcPr>
            <w:tcW w:w="17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478,024</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231,938</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680" w:right="80"/>
        <w:spacing w:after="0" w:line="271" w:lineRule="auto"/>
        <w:rPr>
          <w:sz w:val="20"/>
          <w:szCs w:val="20"/>
          <w:color w:val="auto"/>
        </w:rPr>
      </w:pPr>
      <w:r>
        <w:rPr>
          <w:rFonts w:ascii="Arial" w:cs="Arial" w:eastAsia="Arial" w:hAnsi="Arial"/>
          <w:sz w:val="17"/>
          <w:szCs w:val="17"/>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are effective for us for reporting periods beginning after December 15, 2022. The amendments replace the incurred loss impairment methodology under current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plan to adopt the amendments when they become effective for us on January 1, 2023. The adoption of these amendments will not have a material impact on our consolidated financial statements.</w:t>
      </w:r>
    </w:p>
    <w:p>
      <w:pPr>
        <w:spacing w:after="0" w:line="200" w:lineRule="exact"/>
        <w:rPr>
          <w:sz w:val="20"/>
          <w:szCs w:val="20"/>
          <w:color w:val="auto"/>
        </w:rPr>
      </w:pPr>
    </w:p>
    <w:p>
      <w:pPr>
        <w:spacing w:after="0" w:line="217" w:lineRule="exact"/>
        <w:rPr>
          <w:sz w:val="20"/>
          <w:szCs w:val="20"/>
          <w:color w:val="auto"/>
        </w:rPr>
      </w:pPr>
    </w:p>
    <w:p>
      <w:pPr>
        <w:ind w:left="680" w:right="9340" w:hanging="672"/>
        <w:spacing w:after="0" w:line="503" w:lineRule="auto"/>
        <w:tabs>
          <w:tab w:leader="none" w:pos="66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b w:val="1"/>
          <w:bCs w:val="1"/>
          <w:i w:val="1"/>
          <w:iCs w:val="1"/>
          <w:u w:val="single" w:color="auto"/>
          <w:color w:val="auto"/>
        </w:rPr>
        <w:t>Z-Sciences</w:t>
      </w:r>
    </w:p>
    <w:p>
      <w:pPr>
        <w:ind w:left="680" w:right="1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On October 6, 2021, we acquired substantially all of the assets of Z-Sciences, a developer of ultra-cold storage solutions for the medical cold chain market. The acquisition of this technology enhanced our medical offerings and increases our presence in the life sciences market which is a key target market for us. Z-Sciences was founded in 2004. Its founder joined us as a consultant and is expected to become an employee in 2023. The purchase price for Z-Sciences was $500 in cash, subject to a customary post-closing working capital adjustment, $300 of which was paid at closing. The remaining balance of the purchase price was paid on the one-year anniversary of closing. In addition to his salary, in connection with his prospective employment, the Z-Sciences founder will receive a multi-year restricted stock award with vesting provisions which would be contingent upon achieving future performance milestones related to sales growth and profitability of products related to the Z-Sciences business for the fiscal years from 2022 through 2026. The award will be valued at a maximum of $1,800. The actual numbers of shares to be awarded will be based on the stock price on the date of grant with a cap of 200,000 shares at the 100% attainment level of the vesting provisions that are defined in the restricted stock award agreement. The value of the award will be recorded as compensation expense in our statement of operations on a straight-line basis over the period in which the shares vest. Total acquisition costs incurred to complete this transaction were $82. Acquisition costs were expensed as incurred and included in general and administrative expense in 2021.</w:t>
      </w:r>
    </w:p>
    <w:p>
      <w:pPr>
        <w:spacing w:after="0" w:line="167" w:lineRule="exact"/>
        <w:rPr>
          <w:rFonts w:ascii="Arial" w:cs="Arial" w:eastAsia="Arial" w:hAnsi="Arial"/>
          <w:sz w:val="18"/>
          <w:szCs w:val="18"/>
          <w:b w:val="1"/>
          <w:bCs w:val="1"/>
          <w:color w:val="auto"/>
        </w:rPr>
      </w:pPr>
    </w:p>
    <w:p>
      <w:pPr>
        <w:jc w:val="both"/>
        <w:ind w:left="680" w:right="4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acquisition of Z-Sciences has been accounted for as a business combination using purchase accounting, and, accordingly, the results of Z-Sciences have been included in our consolidated results of operations from the date of acquisition. The allocation of the Z-Sciences’ purchase price was based on estimated fair values at October 6, 2021.</w:t>
      </w:r>
    </w:p>
    <w:p>
      <w:pPr>
        <w:spacing w:after="0" w:line="183" w:lineRule="exact"/>
        <w:rPr>
          <w:rFonts w:ascii="Arial" w:cs="Arial" w:eastAsia="Arial" w:hAnsi="Arial"/>
          <w:sz w:val="18"/>
          <w:szCs w:val="18"/>
          <w:b w:val="1"/>
          <w:bCs w:val="1"/>
          <w:color w:val="auto"/>
        </w:rPr>
      </w:pPr>
    </w:p>
    <w:p>
      <w:pPr>
        <w:ind w:left="680" w:right="7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excess of the purchase price over the identifiable intangible and net tangible assets was allocated to goodwill and is deductible for tax purposes. Goodwill is attributed to synergies that are expected to result from the operations of the combined businesses.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total purchase price of $479, which includes $179 for the estimated fair value of contingent consideration, has been allocated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7"/>
              </w:rPr>
              <w:t>Identifiable intangible asset – Customer Relationships</w:t>
            </w:r>
          </w:p>
        </w:tc>
        <w:tc>
          <w:tcPr>
            <w:tcW w:w="4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 and liabilities assumed:</w:t>
            </w:r>
          </w:p>
        </w:tc>
        <w:tc>
          <w:tcPr>
            <w:tcW w:w="4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Trade accounts receivable</w:t>
            </w:r>
          </w:p>
        </w:tc>
        <w:tc>
          <w:tcPr>
            <w:tcW w:w="4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4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4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purchase price</w:t>
            </w:r>
          </w:p>
        </w:tc>
        <w:tc>
          <w:tcPr>
            <w:tcW w:w="4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980" w:type="dxa"/>
            <w:vAlign w:val="bottom"/>
            <w:gridSpan w:val="2"/>
          </w:tcPr>
          <w:p>
            <w:pPr>
              <w:jc w:val="right"/>
              <w:ind w:right="4320"/>
              <w:spacing w:after="0"/>
              <w:rPr>
                <w:sz w:val="20"/>
                <w:szCs w:val="20"/>
                <w:color w:val="auto"/>
              </w:rPr>
            </w:pPr>
            <w:r>
              <w:rPr>
                <w:rFonts w:ascii="Arial" w:cs="Arial" w:eastAsia="Arial" w:hAnsi="Arial"/>
                <w:sz w:val="18"/>
                <w:szCs w:val="18"/>
                <w:color w:val="auto"/>
              </w:rPr>
              <w:t>F- 15</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320"/>
          </w:cols>
          <w:pgMar w:left="320" w:top="611" w:right="259" w:bottom="190" w:gutter="0" w:footer="0" w:header="0"/>
        </w:sectPr>
      </w:pPr>
    </w:p>
    <w:bookmarkStart w:id="58" w:name="page59"/>
    <w:bookmarkEnd w:id="58"/>
    <w:p>
      <w:pPr>
        <w:ind w:right="200"/>
        <w:spacing w:after="0" w:line="263" w:lineRule="auto"/>
        <w:rPr>
          <w:sz w:val="20"/>
          <w:szCs w:val="20"/>
          <w:color w:val="auto"/>
        </w:rPr>
      </w:pPr>
      <w:r>
        <w:rPr>
          <w:rFonts w:ascii="Arial" w:cs="Arial" w:eastAsia="Arial" w:hAnsi="Arial"/>
          <w:sz w:val="18"/>
          <w:szCs w:val="18"/>
          <w:color w:val="auto"/>
        </w:rPr>
        <w:t>We estimated the fair value of Z-Sciences identifiable intangible asset, which represents customer relationships, using an income approach. The weighted average estimated useful life of this asset is fourteen years. We are amortizing this asset over its estimated useful life based on the pattern in which the economic benefits of the asset are expected to be consumed.</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the period from October 6, 2021 to December 31, 2021, Z-Sciences contributed $15 of revenue. Subsequent to the date of acquisition, Z-Sciences was re-branded as North Sciences and is being operated as a product line of our iTS subsidiary. As such, net earnings are not separately tracked.</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Unaudited pro forma information which would give effect to the acquisition of Z-Sciences as if the acquisition occurred on January 1, 2020 is not presented because the financial results for Z-Sciences prior to our acquisition are considered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Videology</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October 28, 2021, we acquired substantially all of the assets of Videology, a global designer, developer and manufacturer of OEM digital streaming and image capturing solutions. The acquisition of Videology expanded our process technology solutions, diversified our reach into key targeted markets and broadened our customer base. It also builds on our process technology platforms by expanding our automation capabilities to add future product solutions with imaging data and analytical tools. The purchase price for Videology was $12,000 paid in cash at closing subject to a customary post-closing working capital adjustment. Total acquisition costs incurred to complete this transaction were $288. Acquisition costs were expensed as incurred and included in general and administrative expense in 2021.</w:t>
      </w:r>
    </w:p>
    <w:p>
      <w:pPr>
        <w:spacing w:after="0" w:line="17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acquisition of Videology has been accounted for as a business combination using purchase accounting, and, accordingly, the results of Videology have been included in our consolidated results of operations from the date of acquisition. The allocation of the Videology purchase price was based on estimated fair values at October 27, 2021.</w:t>
      </w:r>
    </w:p>
    <w:p>
      <w:pPr>
        <w:spacing w:after="0" w:line="184"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excess of the purchase price over the identifiable intangible and net tangible assets was allocated to goodwill and is deductible for tax purposes. Goodwill is attributed to synergies that are expected to result from the operations of the combined businesses.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The total purchase price of $12,094 has been allocated as follows:</w:t>
            </w: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w:t>
            </w:r>
          </w:p>
        </w:tc>
      </w:tr>
      <w:tr>
        <w:trPr>
          <w:trHeight w:val="216"/>
        </w:trPr>
        <w:tc>
          <w:tcPr>
            <w:tcW w:w="30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5,246</w:t>
            </w:r>
          </w:p>
        </w:tc>
      </w:tr>
      <w:tr>
        <w:trPr>
          <w:trHeight w:val="216"/>
        </w:trPr>
        <w:tc>
          <w:tcPr>
            <w:tcW w:w="30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 and liabilities assumed:</w:t>
            </w: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Cash</w:t>
            </w: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30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r>
      <w:tr>
        <w:trPr>
          <w:trHeight w:val="216"/>
        </w:trPr>
        <w:tc>
          <w:tcPr>
            <w:tcW w:w="30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1,726</w:t>
            </w:r>
          </w:p>
        </w:tc>
      </w:tr>
      <w:tr>
        <w:trPr>
          <w:trHeight w:val="216"/>
        </w:trPr>
        <w:tc>
          <w:tcPr>
            <w:tcW w:w="30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30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30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r>
              <w:rPr>
                <w:rFonts w:ascii="Arial" w:cs="Arial" w:eastAsia="Arial" w:hAnsi="Arial"/>
                <w:sz w:val="18"/>
                <w:szCs w:val="18"/>
                <w:b w:val="1"/>
                <w:bCs w:val="1"/>
                <w:color w:val="auto"/>
              </w:rPr>
              <w:t>)</w:t>
            </w:r>
          </w:p>
        </w:tc>
      </w:tr>
      <w:tr>
        <w:trPr>
          <w:trHeight w:val="216"/>
        </w:trPr>
        <w:tc>
          <w:tcPr>
            <w:tcW w:w="30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r>
              <w:rPr>
                <w:rFonts w:ascii="Arial" w:cs="Arial" w:eastAsia="Arial" w:hAnsi="Arial"/>
                <w:sz w:val="18"/>
                <w:szCs w:val="18"/>
                <w:b w:val="1"/>
                <w:bCs w:val="1"/>
                <w:color w:val="auto"/>
              </w:rPr>
              <w:t>)</w:t>
            </w:r>
          </w:p>
        </w:tc>
      </w:tr>
      <w:tr>
        <w:trPr>
          <w:trHeight w:val="20"/>
        </w:trPr>
        <w:tc>
          <w:tcPr>
            <w:tcW w:w="3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12,094</w:t>
            </w:r>
          </w:p>
        </w:tc>
      </w:tr>
      <w:tr>
        <w:trPr>
          <w:trHeight w:val="20"/>
        </w:trPr>
        <w:tc>
          <w:tcPr>
            <w:tcW w:w="300" w:type="dxa"/>
            <w:vAlign w:val="bottom"/>
          </w:tcPr>
          <w:p>
            <w:pPr>
              <w:spacing w:after="0" w:line="20" w:lineRule="exact"/>
              <w:rPr>
                <w:sz w:val="1"/>
                <w:szCs w:val="1"/>
                <w:color w:val="auto"/>
              </w:rPr>
            </w:pPr>
          </w:p>
        </w:tc>
        <w:tc>
          <w:tcPr>
            <w:tcW w:w="64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We estimated the fair value of identifiable intangible assets acquired using the income approach. Identifiable intangible assets acquired include customer relationships, customer backlog, technology and a tradename. We are amortizing the finite-lived intangible assets acquired over their estimated useful lives based on the pattern in which the economic benefits of the intangible asset are expected to be consumed.</w:t>
      </w:r>
    </w:p>
    <w:p>
      <w:pPr>
        <w:spacing w:after="0" w:line="14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611" w:right="359" w:bottom="1440" w:gutter="0" w:footer="0" w:header="0"/>
        </w:sectPr>
      </w:pPr>
    </w:p>
    <w:bookmarkStart w:id="59" w:name="page60"/>
    <w:bookmarkEnd w:id="59"/>
    <w:p>
      <w:pPr>
        <w:ind w:left="120" w:right="240"/>
        <w:spacing w:after="0" w:line="277" w:lineRule="auto"/>
        <w:rPr>
          <w:sz w:val="20"/>
          <w:szCs w:val="20"/>
          <w:color w:val="auto"/>
        </w:rPr>
      </w:pPr>
      <w:r>
        <w:rPr>
          <w:rFonts w:ascii="Arial" w:cs="Arial" w:eastAsia="Arial" w:hAnsi="Arial"/>
          <w:sz w:val="18"/>
          <w:szCs w:val="18"/>
          <w:color w:val="auto"/>
        </w:rPr>
        <w:t>The following table summarizes the estimated fair value of Videology’s identifiable intangible assets and their estimated useful lives as of the acquisition date:</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8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b w:val="1"/>
                <w:bCs w:val="1"/>
                <w:color w:val="auto"/>
              </w:rPr>
              <w:t>Fair</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67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Useful Life</w:t>
            </w:r>
          </w:p>
        </w:tc>
      </w:tr>
      <w:tr>
        <w:trPr>
          <w:trHeight w:val="210"/>
        </w:trPr>
        <w:tc>
          <w:tcPr>
            <w:tcW w:w="67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040" w:type="dxa"/>
            <w:vAlign w:val="bottom"/>
          </w:tcPr>
          <w:p>
            <w:pPr>
              <w:jc w:val="right"/>
              <w:ind w:right="878"/>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2,960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Customer backlog</w:t>
            </w:r>
          </w:p>
        </w:tc>
        <w:tc>
          <w:tcPr>
            <w:tcW w:w="10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0"/>
        </w:trPr>
        <w:tc>
          <w:tcPr>
            <w:tcW w:w="67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4,396</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09"/>
        </w:trPr>
        <w:tc>
          <w:tcPr>
            <w:tcW w:w="678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Tradename</w:t>
            </w:r>
          </w:p>
        </w:tc>
        <w:tc>
          <w:tcPr>
            <w:tcW w:w="10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5,246</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period from October 27, 2021 to December 31, 2021, Videology contributed $1,434 of revenue and had a net loss of $146.</w:t>
      </w:r>
    </w:p>
    <w:p>
      <w:pPr>
        <w:spacing w:after="0" w:line="225"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following unaudited pro forma information gives effect to the acquisition of Videology as if the acquisition occurred on January 1, 2021. These proforma results do not reflect any operating efficiencies or costs savings that may be achieved by the combined businesses. These pro forma results reflect the impact on general and administrative expense of investment advisory costs, legal costs and other costs of $288 incurred by us as a direct result of the transaction as those costs were actually incurred. No adjustment to the timing or amount of these costs have been made in these proforma results. These proforma results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9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49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1"/>
              </w:rPr>
              <w:t>December 31, 2021</w:t>
            </w:r>
          </w:p>
        </w:tc>
      </w:tr>
      <w:tr>
        <w:trPr>
          <w:trHeight w:val="209"/>
        </w:trPr>
        <w:tc>
          <w:tcPr>
            <w:tcW w:w="49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92,591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earnings</w:t>
            </w:r>
          </w:p>
        </w:tc>
        <w:tc>
          <w:tcPr>
            <w:tcW w:w="3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9,024</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Acculogic</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December 21, 2021, we completed our acquisition of Acculogic, a global manufacturer of robotics-based electronic production test equipment and application support services. The Acculogic acquisition added electronics test capabilities with new technologies and services as well as broadened our customer base, furthered our end market diversification and expanded our international footprint. The purchase price for Acculogic was approximately $8,500 paid in cash at closing subject to a customary post-closing working capital adjustment. During the quarter ended June 30, 2022, the post-closing working capital adjustment was finalized and resulted in a reduction in the purchase price of $371 as a result of a reduction in the estimated fair value of accounts receivable acquired. In addition, we may pay the seller up to an additional CAD $5,000 in the five-year period from 2022 through 2026. The additional payments will be based on a percent of net invoices for which payments have been received on systems sold to EV or battery customers in excess of CAD $2,500 per year in each of the five years. The maximum payment is capped at CAD $5,000, which equates to approximately $3,700 at December 31, 2022. There was no payment due to the seller for the year ended December 31, 2022. To estimate the fair value of the contingent consideration at the acquisition date, an option-based income approach using a Monte Carlo simulation model was utilized due to the non-linear payout structure. As of the acquisition date, this resulted in an estimated fair value of $1,430. This amount was recorded as a contingent consideration liability and included in the purchase price as of the acquisition date. We reassess the estimated fair value of this liability annually using this same approach, or more frequently, if we determine that there have been material changes to the assumptions used in the calculation of the probable payout. Changes in the amount of the estimated fair value of the earnouts since the acquisition date will be recorded as operating expenses in our consolidated statement of operations in the quarter in which they occur. At December 31, 2022, there has been no material change in the estimated fair value of the contingent consideration since the date of acquisition. Changes in the fair value represent the impact of changes in foreign exchange rates. The acquisition was completed by acquiring all of the outstanding capital stock of Acculogic. Total acquisition costs incurred to complete this transaction were $1,297. Acquisition costs were expensed as incurred and included in general and administrative expense in 2021.</w:t>
      </w:r>
    </w:p>
    <w:p>
      <w:pPr>
        <w:spacing w:after="0" w:line="16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611" w:right="339" w:bottom="1440" w:gutter="0" w:footer="0" w:header="0"/>
        </w:sectPr>
      </w:pPr>
    </w:p>
    <w:bookmarkStart w:id="60" w:name="page61"/>
    <w:bookmarkEnd w:id="60"/>
    <w:p>
      <w:pPr>
        <w:ind w:left="680" w:right="380"/>
        <w:spacing w:after="0" w:line="263" w:lineRule="auto"/>
        <w:rPr>
          <w:sz w:val="20"/>
          <w:szCs w:val="20"/>
          <w:color w:val="auto"/>
        </w:rPr>
      </w:pPr>
      <w:r>
        <w:rPr>
          <w:rFonts w:ascii="Arial" w:cs="Arial" w:eastAsia="Arial" w:hAnsi="Arial"/>
          <w:sz w:val="18"/>
          <w:szCs w:val="18"/>
          <w:color w:val="auto"/>
        </w:rPr>
        <w:t>The acquisition of Acculogic has been accounted for as a business combination using purchase accounting, and, accordingly, the results of Acculogic have been included in our consolidated results of operations from the date of acquisition. The allocation of the Acculogic purchase price was based on estimated fair values at December 21, 2021.</w:t>
      </w:r>
    </w:p>
    <w:p>
      <w:pPr>
        <w:spacing w:after="0" w:line="184" w:lineRule="exact"/>
        <w:rPr>
          <w:sz w:val="20"/>
          <w:szCs w:val="20"/>
          <w:color w:val="auto"/>
        </w:rPr>
      </w:pPr>
    </w:p>
    <w:p>
      <w:pPr>
        <w:ind w:left="680" w:right="360"/>
        <w:spacing w:after="0" w:line="308" w:lineRule="auto"/>
        <w:rPr>
          <w:sz w:val="20"/>
          <w:szCs w:val="20"/>
          <w:color w:val="auto"/>
        </w:rPr>
      </w:pPr>
      <w:r>
        <w:rPr>
          <w:rFonts w:ascii="Arial" w:cs="Arial" w:eastAsia="Arial" w:hAnsi="Arial"/>
          <w:sz w:val="17"/>
          <w:szCs w:val="17"/>
          <w:color w:val="auto"/>
        </w:rPr>
        <w:t>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total purchase price of $9,426, which includes $1,430 for the estimated fair value of contingent consideration, has been allocated as follows:</w:t>
      </w:r>
    </w:p>
    <w:p>
      <w:pPr>
        <w:spacing w:after="0" w:line="26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5,123</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 and liabilities assumed:</w:t>
            </w: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Cash</w:t>
            </w: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r>
      <w:tr>
        <w:trPr>
          <w:trHeight w:val="216"/>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w:t>
            </w: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1,329</w:t>
            </w:r>
          </w:p>
        </w:tc>
      </w:tr>
      <w:tr>
        <w:trPr>
          <w:trHeight w:val="216"/>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r>
              <w:rPr>
                <w:rFonts w:ascii="Arial" w:cs="Arial" w:eastAsia="Arial" w:hAnsi="Arial"/>
                <w:sz w:val="18"/>
                <w:szCs w:val="18"/>
                <w:b w:val="1"/>
                <w:bCs w:val="1"/>
                <w:color w:val="auto"/>
              </w:rPr>
              <w:t>)</w:t>
            </w: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(2,950</w:t>
            </w:r>
            <w:r>
              <w:rPr>
                <w:rFonts w:ascii="Arial" w:cs="Arial" w:eastAsia="Arial" w:hAnsi="Arial"/>
                <w:sz w:val="18"/>
                <w:szCs w:val="18"/>
                <w:b w:val="1"/>
                <w:bCs w:val="1"/>
                <w:color w:val="auto"/>
              </w:rPr>
              <w:t>)</w:t>
            </w:r>
          </w:p>
        </w:tc>
      </w:tr>
      <w:tr>
        <w:trPr>
          <w:trHeight w:val="20"/>
        </w:trPr>
        <w:tc>
          <w:tcPr>
            <w:tcW w:w="6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9,426</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800" w:right="160"/>
        <w:spacing w:after="0" w:line="311" w:lineRule="auto"/>
        <w:rPr>
          <w:sz w:val="20"/>
          <w:szCs w:val="20"/>
          <w:color w:val="auto"/>
        </w:rPr>
      </w:pPr>
      <w:r>
        <w:rPr>
          <w:rFonts w:ascii="Arial" w:cs="Arial" w:eastAsia="Arial" w:hAnsi="Arial"/>
          <w:sz w:val="16"/>
          <w:szCs w:val="16"/>
          <w:color w:val="auto"/>
        </w:rPr>
        <w:t>We estimated the fair value of identifiable intangible assets acquired using the income approach. Identifiable intangible assets acquired include customer relationships, customer backlog, technology and a tradename. We are amortizing the finite-lived intangible assets acquired over their estimated useful lives based on the pattern in which the economic benefits of the intangible asset are expected to be consumed.</w:t>
      </w:r>
    </w:p>
    <w:p>
      <w:pPr>
        <w:spacing w:after="0" w:line="149" w:lineRule="exact"/>
        <w:rPr>
          <w:sz w:val="20"/>
          <w:szCs w:val="20"/>
          <w:color w:val="auto"/>
        </w:rPr>
      </w:pPr>
    </w:p>
    <w:p>
      <w:pPr>
        <w:ind w:left="800" w:right="260"/>
        <w:spacing w:after="0" w:line="277" w:lineRule="auto"/>
        <w:rPr>
          <w:sz w:val="20"/>
          <w:szCs w:val="20"/>
          <w:color w:val="auto"/>
        </w:rPr>
      </w:pPr>
      <w:r>
        <w:rPr>
          <w:rFonts w:ascii="Arial" w:cs="Arial" w:eastAsia="Arial" w:hAnsi="Arial"/>
          <w:sz w:val="18"/>
          <w:szCs w:val="18"/>
          <w:color w:val="auto"/>
        </w:rPr>
        <w:t>The following table summarizes the estimated fair value of Acculogic’s identifiable intangible assets and their estimated useful lives as of the acquisition date:</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8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b w:val="1"/>
                <w:bCs w:val="1"/>
                <w:color w:val="auto"/>
              </w:rPr>
              <w:t>Fair</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67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Useful Life</w:t>
            </w:r>
          </w:p>
        </w:tc>
      </w:tr>
      <w:tr>
        <w:trPr>
          <w:trHeight w:val="210"/>
        </w:trPr>
        <w:tc>
          <w:tcPr>
            <w:tcW w:w="67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040" w:type="dxa"/>
            <w:vAlign w:val="bottom"/>
          </w:tcPr>
          <w:p>
            <w:pPr>
              <w:jc w:val="right"/>
              <w:ind w:right="878"/>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2,769</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1,329</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Customer backlog</w:t>
            </w:r>
          </w:p>
        </w:tc>
        <w:tc>
          <w:tcPr>
            <w:tcW w:w="10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0"/>
        </w:trPr>
        <w:tc>
          <w:tcPr>
            <w:tcW w:w="67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4,225</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10"/>
        </w:trPr>
        <w:tc>
          <w:tcPr>
            <w:tcW w:w="678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Tradename</w:t>
            </w:r>
          </w:p>
        </w:tc>
        <w:tc>
          <w:tcPr>
            <w:tcW w:w="10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898</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5,123</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For the period from December 21, 2021 to December 31, 2021, Acculogic contributed $48 of revenue and had a net loss of $131.</w:t>
      </w:r>
    </w:p>
    <w:p>
      <w:pPr>
        <w:spacing w:after="0" w:line="225" w:lineRule="exact"/>
        <w:rPr>
          <w:sz w:val="20"/>
          <w:szCs w:val="20"/>
          <w:color w:val="auto"/>
        </w:rPr>
      </w:pPr>
    </w:p>
    <w:p>
      <w:pPr>
        <w:ind w:left="800" w:right="280"/>
        <w:spacing w:after="0" w:line="272" w:lineRule="auto"/>
        <w:rPr>
          <w:sz w:val="20"/>
          <w:szCs w:val="20"/>
          <w:color w:val="auto"/>
        </w:rPr>
      </w:pPr>
      <w:r>
        <w:rPr>
          <w:rFonts w:ascii="Arial" w:cs="Arial" w:eastAsia="Arial" w:hAnsi="Arial"/>
          <w:sz w:val="17"/>
          <w:szCs w:val="17"/>
          <w:color w:val="auto"/>
        </w:rPr>
        <w:t>The following unaudited pro forma information gives effect to the acquisition of Acculogic as if the acquisition occurred on January 1, 2021. These proforma results do not reflect any operating efficiencies or costs savings that may be achieved by the combined businesses. These pro forma results reflect the impact on general and administrative expense of investment advisory costs, legal costs and other costs of $1,297 incurred by us as a direct result of the transaction as those costs were actually incurred. No adjustment to the timing or amount of these costs have been made in these proforma results. These proforma results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Year Ended</w:t>
            </w:r>
          </w:p>
        </w:tc>
        <w:tc>
          <w:tcPr>
            <w:tcW w:w="1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December 31, 2021</w:t>
            </w: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95,490</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earnings</w:t>
            </w:r>
          </w:p>
        </w:tc>
        <w:tc>
          <w:tcPr>
            <w:tcW w:w="5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7,180</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5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16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500" w:type="dxa"/>
            <w:vAlign w:val="bottom"/>
            <w:gridSpan w:val="2"/>
          </w:tcPr>
          <w:p>
            <w:pPr>
              <w:jc w:val="right"/>
              <w:ind w:right="3750"/>
              <w:spacing w:after="0"/>
              <w:rPr>
                <w:sz w:val="20"/>
                <w:szCs w:val="20"/>
                <w:color w:val="auto"/>
              </w:rPr>
            </w:pPr>
            <w:r>
              <w:rPr>
                <w:rFonts w:ascii="Arial" w:cs="Arial" w:eastAsia="Arial" w:hAnsi="Arial"/>
                <w:sz w:val="18"/>
                <w:szCs w:val="18"/>
                <w:color w:val="auto"/>
              </w:rPr>
              <w:t>F- 18</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61" w:name="page62"/>
    <w:bookmarkEnd w:id="61"/>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680"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87" w:lineRule="exact"/>
        <w:rPr>
          <w:rFonts w:ascii="Arial" w:cs="Arial" w:eastAsia="Arial" w:hAnsi="Arial"/>
          <w:sz w:val="18"/>
          <w:szCs w:val="18"/>
          <w:b w:val="1"/>
          <w:bCs w:val="1"/>
          <w:color w:val="auto"/>
        </w:rPr>
      </w:pPr>
    </w:p>
    <w:p>
      <w:pPr>
        <w:ind w:left="680" w:right="3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spacing w:after="0" w:line="165"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7"/>
          <w:szCs w:val="17"/>
          <w:color w:val="auto"/>
        </w:rPr>
        <w:t>Level 1 Valuations based on unadjusted quoted prices in active markets for identical assets or liabilities that we have the ability to access.</w:t>
      </w:r>
    </w:p>
    <w:p>
      <w:pPr>
        <w:spacing w:after="0" w:line="236" w:lineRule="exact"/>
        <w:rPr>
          <w:rFonts w:ascii="Arial" w:cs="Arial" w:eastAsia="Arial" w:hAnsi="Arial"/>
          <w:sz w:val="18"/>
          <w:szCs w:val="18"/>
          <w:b w:val="1"/>
          <w:bCs w:val="1"/>
          <w:color w:val="auto"/>
        </w:rPr>
      </w:pPr>
    </w:p>
    <w:p>
      <w:pPr>
        <w:ind w:left="680" w:right="7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23"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Level 3 Valuations based on inputs that are unobservable and significant to the overall fair value measurement.</w:t>
      </w:r>
    </w:p>
    <w:p>
      <w:pPr>
        <w:spacing w:after="0" w:line="225" w:lineRule="exact"/>
        <w:rPr>
          <w:rFonts w:ascii="Arial" w:cs="Arial" w:eastAsia="Arial" w:hAnsi="Arial"/>
          <w:sz w:val="18"/>
          <w:szCs w:val="18"/>
          <w:b w:val="1"/>
          <w:bCs w:val="1"/>
          <w:color w:val="auto"/>
        </w:rPr>
      </w:pPr>
    </w:p>
    <w:p>
      <w:pPr>
        <w:ind w:left="68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86"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Recurring Fair Value Measurements</w:t>
      </w:r>
    </w:p>
    <w:p>
      <w:pPr>
        <w:spacing w:after="0" w:line="225" w:lineRule="exact"/>
        <w:rPr>
          <w:rFonts w:ascii="Arial" w:cs="Arial" w:eastAsia="Arial" w:hAnsi="Arial"/>
          <w:sz w:val="18"/>
          <w:szCs w:val="18"/>
          <w:b w:val="1"/>
          <w:bCs w:val="1"/>
          <w:color w:val="auto"/>
        </w:rPr>
      </w:pPr>
    </w:p>
    <w:p>
      <w:pPr>
        <w:ind w:left="680" w:right="1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interest rate swap agreement we entered into in connection with our Term Note, as discussed further in Notes 2 and 12 is measured at fair value on a recurring basis using Level 2 inputs. The contingent consideration liabilities on our balance sheet are measured at fair value on a recurring basis using Level 3 inputs. Our contingent consideration liabilities are a result of our acquisitions of Z-Sciences on October 6, 2021 and Acculogic on December 21, 2021. The contingent consideration liability for Z-Sciences represents the estimated fair value of the additional cash consideration payable that is contingent upon the continued employment with us of the Z-Sciences founder as discussed more fully in Note 3. It is included in Other Current Liabilities on our balance sheet at December 31, 2021. This payment was made in October 2022. The contingent consideration liability for Acculogic represents the estimated fair value of the additional cash consideration payable that is contingent upon sales to EV or battery customers as described further in Note 3.</w:t>
      </w:r>
    </w:p>
    <w:p>
      <w:pPr>
        <w:spacing w:after="0" w:line="178"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The following fair value hierarchy table presents information about assets and (liabilities) measured at fair value on a recurring basis: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Amounts at</w:t>
            </w:r>
          </w:p>
        </w:tc>
        <w:tc>
          <w:tcPr>
            <w:tcW w:w="200" w:type="dxa"/>
            <w:vAlign w:val="bottom"/>
          </w:tcPr>
          <w:p>
            <w:pPr>
              <w:spacing w:after="0"/>
              <w:rPr>
                <w:sz w:val="20"/>
                <w:szCs w:val="20"/>
                <w:color w:val="auto"/>
              </w:rPr>
            </w:pPr>
          </w:p>
        </w:tc>
        <w:tc>
          <w:tcPr>
            <w:tcW w:w="3820" w:type="dxa"/>
            <w:vAlign w:val="bottom"/>
            <w:gridSpan w:val="9"/>
          </w:tcPr>
          <w:p>
            <w:pPr>
              <w:jc w:val="right"/>
              <w:ind w:right="860"/>
              <w:spacing w:after="0"/>
              <w:rPr>
                <w:sz w:val="20"/>
                <w:szCs w:val="20"/>
                <w:color w:val="auto"/>
              </w:rPr>
            </w:pPr>
            <w:r>
              <w:rPr>
                <w:rFonts w:ascii="Arial" w:cs="Arial" w:eastAsia="Arial" w:hAnsi="Arial"/>
                <w:sz w:val="18"/>
                <w:szCs w:val="18"/>
                <w:b w:val="1"/>
                <w:bCs w:val="1"/>
                <w:color w:val="auto"/>
              </w:rPr>
              <w:t>Fair Value Measurement Using</w:t>
            </w:r>
          </w:p>
        </w:tc>
      </w:tr>
      <w:tr>
        <w:trPr>
          <w:trHeight w:val="210"/>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Fair Value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2022</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Contingent consideration liability – Acculogic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(1,363)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(1,363)</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Amounts at</w:t>
            </w:r>
          </w:p>
        </w:tc>
        <w:tc>
          <w:tcPr>
            <w:tcW w:w="200" w:type="dxa"/>
            <w:vAlign w:val="bottom"/>
          </w:tcPr>
          <w:p>
            <w:pPr>
              <w:spacing w:after="0"/>
              <w:rPr>
                <w:sz w:val="20"/>
                <w:szCs w:val="20"/>
                <w:color w:val="auto"/>
              </w:rPr>
            </w:pPr>
          </w:p>
        </w:tc>
        <w:tc>
          <w:tcPr>
            <w:tcW w:w="3820" w:type="dxa"/>
            <w:vAlign w:val="bottom"/>
            <w:gridSpan w:val="10"/>
          </w:tcPr>
          <w:p>
            <w:pPr>
              <w:jc w:val="right"/>
              <w:ind w:right="860"/>
              <w:spacing w:after="0"/>
              <w:rPr>
                <w:sz w:val="20"/>
                <w:szCs w:val="20"/>
                <w:color w:val="auto"/>
              </w:rPr>
            </w:pPr>
            <w:r>
              <w:rPr>
                <w:rFonts w:ascii="Arial" w:cs="Arial" w:eastAsia="Arial" w:hAnsi="Arial"/>
                <w:sz w:val="18"/>
                <w:szCs w:val="18"/>
                <w:b w:val="1"/>
                <w:bCs w:val="1"/>
                <w:color w:val="auto"/>
              </w:rPr>
              <w:t>Fair Value Measurement Using</w:t>
            </w:r>
          </w:p>
        </w:tc>
      </w:tr>
      <w:tr>
        <w:trPr>
          <w:trHeight w:val="210"/>
        </w:trPr>
        <w:tc>
          <w:tcPr>
            <w:tcW w:w="6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Fair Value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Level 2</w:t>
            </w: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2021</w:t>
            </w:r>
          </w:p>
        </w:tc>
        <w:tc>
          <w:tcPr>
            <w:tcW w:w="1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Contingent consideration liability – Z-Sciences</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(179)</w:t>
            </w:r>
          </w:p>
        </w:tc>
      </w:tr>
      <w:tr>
        <w:trPr>
          <w:trHeight w:val="216"/>
        </w:trPr>
        <w:tc>
          <w:tcPr>
            <w:tcW w:w="6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liability – Acculogic</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(930)</w:t>
            </w:r>
          </w:p>
        </w:tc>
      </w:tr>
      <w:tr>
        <w:trPr>
          <w:trHeight w:val="230"/>
        </w:trPr>
        <w:tc>
          <w:tcPr>
            <w:tcW w:w="66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Interest rate swap</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F- 19</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850" w:right="259" w:bottom="1440" w:gutter="0" w:footer="0" w:header="0"/>
        </w:sectPr>
      </w:pPr>
    </w:p>
    <w:bookmarkStart w:id="62" w:name="page63"/>
    <w:bookmarkEnd w:id="62"/>
    <w:p>
      <w:pPr>
        <w:ind w:left="680"/>
        <w:spacing w:after="0"/>
        <w:rPr>
          <w:sz w:val="20"/>
          <w:szCs w:val="20"/>
          <w:color w:val="auto"/>
        </w:rPr>
      </w:pPr>
      <w:r>
        <w:rPr>
          <w:rFonts w:ascii="Arial" w:cs="Arial" w:eastAsia="Arial" w:hAnsi="Arial"/>
          <w:sz w:val="18"/>
          <w:szCs w:val="18"/>
          <w:color w:val="auto"/>
        </w:rPr>
        <w:t>Changes in the fair value of our Level 3 contingent consideration liabilities for the year ended December 31, 2021 were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2021</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Contingent consideration liability established in connection with the acquisition of Z-Sciences</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r>
      <w:tr>
        <w:trPr>
          <w:trHeight w:val="216"/>
        </w:trPr>
        <w:tc>
          <w:tcPr>
            <w:tcW w:w="9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 liability established in connection with the acquisition of Acculogic</w:t>
            </w:r>
          </w:p>
        </w:tc>
        <w:tc>
          <w:tcPr>
            <w:tcW w:w="6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060" w:type="dxa"/>
            <w:vAlign w:val="bottom"/>
          </w:tcPr>
          <w:p>
            <w:pPr>
              <w:spacing w:after="0"/>
              <w:rPr>
                <w:sz w:val="20"/>
                <w:szCs w:val="20"/>
                <w:color w:val="auto"/>
              </w:rPr>
            </w:pPr>
            <w:r>
              <w:rPr>
                <w:rFonts w:ascii="Arial" w:cs="Arial" w:eastAsia="Arial" w:hAnsi="Arial"/>
                <w:sz w:val="18"/>
                <w:szCs w:val="18"/>
                <w:color w:val="auto"/>
              </w:rPr>
              <w:t>Balance - December 31, 2021</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Payout of contingent consideration related to the acquisition of Z-Sciences</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Adjustment to contingent consideration liability in connection with the acquisition of Acculogic</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 adjustments</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09"/>
        </w:trPr>
        <w:tc>
          <w:tcPr>
            <w:tcW w:w="9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 December 31, 2022</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top w:val="single" w:sz="8" w:color="CCEEFF"/>
            </w:tcBorders>
          </w:tcPr>
          <w:p>
            <w:pPr>
              <w:spacing w:after="0"/>
              <w:rPr>
                <w:sz w:val="18"/>
                <w:szCs w:val="18"/>
                <w:color w:val="auto"/>
              </w:rPr>
            </w:pPr>
          </w:p>
        </w:tc>
      </w:tr>
      <w:tr>
        <w:trPr>
          <w:trHeight w:val="20"/>
        </w:trPr>
        <w:tc>
          <w:tcPr>
            <w:tcW w:w="9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CHARGES</w:t>
      </w:r>
    </w:p>
    <w:p>
      <w:pPr>
        <w:spacing w:after="0" w:line="22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EMS Segment Restructuring and Facility Consolidation</w:t>
      </w:r>
    </w:p>
    <w:p>
      <w:pPr>
        <w:spacing w:after="0" w:line="225" w:lineRule="exact"/>
        <w:rPr>
          <w:rFonts w:ascii="Arial" w:cs="Arial" w:eastAsia="Arial" w:hAnsi="Arial"/>
          <w:sz w:val="18"/>
          <w:szCs w:val="18"/>
          <w:b w:val="1"/>
          <w:bCs w:val="1"/>
          <w:color w:val="auto"/>
        </w:rPr>
      </w:pPr>
    </w:p>
    <w:p>
      <w:pPr>
        <w:ind w:left="680" w:right="2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During the year ended December 31, 2021, we incurred $183 of charges associated with finalizing the consolidation of the manufacturing operations for certain of our Electronic Test segment’s products. The consolidation was announced in September 2020 and the majority of the costs were recognized in 2020. All of the charges were cash charges and are included in restructuring and other charges in our consolidated statement of operations. The integration of our EMS manufacturing operations took longer than originally anticipated, primarily as a result of the significant increase in our business activity during the first half of 2021 as we delayed some final integration activities and instead allocated our resources to meet customer demand for shipments of our products during this time. We completed the integration of the EMS manufacturing operations in the third quarter of 2021.</w:t>
      </w:r>
    </w:p>
    <w:p>
      <w:pPr>
        <w:spacing w:after="0" w:line="194" w:lineRule="exact"/>
        <w:rPr>
          <w:rFonts w:ascii="Arial" w:cs="Arial" w:eastAsia="Arial" w:hAnsi="Arial"/>
          <w:sz w:val="18"/>
          <w:szCs w:val="18"/>
          <w:b w:val="1"/>
          <w:bCs w:val="1"/>
          <w:color w:val="auto"/>
        </w:rPr>
      </w:pPr>
    </w:p>
    <w:p>
      <w:pPr>
        <w:ind w:left="680"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At the time of the consolidation of manufacturing operations, we intended to try to sublease the facility in Fremont, but we did not expect to sublet the facility for the full remaining term of the lease. On July 19, 2021, we executed a sublease for our facility in Fremont. The sublease commenced in August 2021 and ends November 30, 2025, which is the termination date of our lease for this facility. We entered into this sublease approximately 14 months earlier than we had estimated in December 2020. As a result, we will record approximately $350 of incremental sublease income above the level that we had estimated at the time that we recorded the impairment charge in December 2020. This income will be recorded ratably over the term of the sublease and will be included in other income in our consolidated statements of operations.</w:t>
      </w:r>
    </w:p>
    <w:p>
      <w:pPr>
        <w:spacing w:after="0" w:line="164" w:lineRule="exact"/>
        <w:rPr>
          <w:rFonts w:ascii="Arial" w:cs="Arial" w:eastAsia="Arial" w:hAnsi="Arial"/>
          <w:sz w:val="18"/>
          <w:szCs w:val="18"/>
          <w:b w:val="1"/>
          <w:bCs w:val="1"/>
          <w:color w:val="auto"/>
        </w:rPr>
      </w:pPr>
    </w:p>
    <w:p>
      <w:pPr>
        <w:ind w:left="680" w:right="8200"/>
        <w:spacing w:after="0" w:line="530" w:lineRule="auto"/>
        <w:rPr>
          <w:rFonts w:ascii="Arial" w:cs="Arial" w:eastAsia="Arial" w:hAnsi="Arial"/>
          <w:sz w:val="18"/>
          <w:szCs w:val="18"/>
          <w:b w:val="1"/>
          <w:bCs w:val="1"/>
          <w:color w:val="auto"/>
        </w:rPr>
      </w:pPr>
      <w:r>
        <w:rPr>
          <w:rFonts w:ascii="Arial" w:cs="Arial" w:eastAsia="Arial" w:hAnsi="Arial"/>
          <w:sz w:val="17"/>
          <w:szCs w:val="17"/>
          <w:b w:val="1"/>
          <w:bCs w:val="1"/>
          <w:i w:val="1"/>
          <w:iCs w:val="1"/>
          <w:u w:val="single" w:color="auto"/>
          <w:color w:val="auto"/>
        </w:rPr>
        <w:t xml:space="preserve">Executive Management Changes </w:t>
      </w:r>
      <w:r>
        <w:rPr>
          <w:rFonts w:ascii="Arial" w:cs="Arial" w:eastAsia="Arial" w:hAnsi="Arial"/>
          <w:sz w:val="17"/>
          <w:szCs w:val="17"/>
          <w:i w:val="1"/>
          <w:iCs w:val="1"/>
          <w:color w:val="auto"/>
        </w:rPr>
        <w:t>Chief Financial Officer</w:t>
      </w:r>
    </w:p>
    <w:p>
      <w:pPr>
        <w:ind w:left="680" w:right="2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June 10, 2021, our Board of Directors (the “Board”) accepted the retirement of Hugh T. Regan, Jr. from the positions of Chief Financial Officer, Treasurer, and Secretary (the “Retirement”). In connection with the Retirement, we entered into a Separation and Consulting Agreement (the “Separation and Consulting Agreement”) with Mr. Regan effective June 11, 2021 pursuant to which Mr. Regan agreed to provide consulting services for three months, subject to an extension of up to an additional three months at our option. We did not extend the consulting services beyond the original three months. The Separation and Consulting Agreement also provided that Mr. Regan was entitled to a severance benefit of $120. In connection with the Retirement, we also agreed that certain options issued to Mr. Regan in March 2020 to purchase shares of our common stock that remained unvested on the date of the Retirement would continue to vest after the Retirement and expire one year from their respective vesting dates.</w:t>
      </w:r>
    </w:p>
    <w:p>
      <w:pPr>
        <w:spacing w:after="0" w:line="191" w:lineRule="exact"/>
        <w:rPr>
          <w:rFonts w:ascii="Arial" w:cs="Arial" w:eastAsia="Arial" w:hAnsi="Arial"/>
          <w:sz w:val="18"/>
          <w:szCs w:val="18"/>
          <w:b w:val="1"/>
          <w:bCs w:val="1"/>
          <w:color w:val="auto"/>
        </w:rPr>
      </w:pPr>
    </w:p>
    <w:p>
      <w:pPr>
        <w:ind w:left="680" w:right="5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On June 10, 2021, the Board approved, effective as of June 14, 2021, the appointment of Duncan Gilmour to the position of Chief Financial Officer, Treasurer, and Secretary. Mr. Gilmour entered into a letter agreement, dated June 10, 2021, subject to his appointment as our Chief Financial Officer, Treasurer, and Secretary, which appointments were approved on June 10, 2021 and were effective as of June 14, 2021.</w:t>
      </w:r>
    </w:p>
    <w:p>
      <w:pPr>
        <w:spacing w:after="0" w:line="148" w:lineRule="exact"/>
        <w:rPr>
          <w:rFonts w:ascii="Arial" w:cs="Arial" w:eastAsia="Arial" w:hAnsi="Arial"/>
          <w:sz w:val="18"/>
          <w:szCs w:val="18"/>
          <w:b w:val="1"/>
          <w:bCs w:val="1"/>
          <w:color w:val="auto"/>
        </w:rPr>
      </w:pPr>
    </w:p>
    <w:p>
      <w:pPr>
        <w:ind w:left="68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Total costs incurred during 2021 related to these executive management changes were $370, which consisted of $159 for consulting and legal fees related to the transition, $120 for severance paid to our former Chief Financial Officer (“CFO”) and $91 of stock-based compensation expense, primarily as a result of the modification of the March 2020 option awards issued to our former CFO, as discussed above. The $120 of severance is included in restructuring and other charges in our consolidated statement of operations. The balance of the costs is included in general and administrative expense in our consolidated statement of operations.</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611" w:right="259" w:bottom="1440" w:gutter="0" w:footer="0" w:header="0"/>
        </w:sectPr>
      </w:pPr>
    </w:p>
    <w:bookmarkStart w:id="63" w:name="page64"/>
    <w:bookmarkEnd w:id="63"/>
    <w:p>
      <w:pPr>
        <w:ind w:left="680"/>
        <w:spacing w:after="0"/>
        <w:rPr>
          <w:sz w:val="20"/>
          <w:szCs w:val="20"/>
          <w:color w:val="auto"/>
        </w:rPr>
      </w:pPr>
      <w:r>
        <w:rPr>
          <w:rFonts w:ascii="Arial" w:cs="Arial" w:eastAsia="Arial" w:hAnsi="Arial"/>
          <w:sz w:val="18"/>
          <w:szCs w:val="18"/>
          <w:i w:val="1"/>
          <w:iCs w:val="1"/>
          <w:color w:val="auto"/>
        </w:rPr>
        <w:t>Other actions</w:t>
      </w:r>
    </w:p>
    <w:p>
      <w:pPr>
        <w:spacing w:after="0" w:line="225" w:lineRule="exact"/>
        <w:rPr>
          <w:sz w:val="20"/>
          <w:szCs w:val="20"/>
          <w:color w:val="auto"/>
        </w:rPr>
      </w:pPr>
    </w:p>
    <w:p>
      <w:pPr>
        <w:ind w:left="680" w:right="200"/>
        <w:spacing w:after="0" w:line="259" w:lineRule="auto"/>
        <w:rPr>
          <w:sz w:val="20"/>
          <w:szCs w:val="20"/>
          <w:color w:val="auto"/>
        </w:rPr>
      </w:pPr>
      <w:r>
        <w:rPr>
          <w:rFonts w:ascii="Arial" w:cs="Arial" w:eastAsia="Arial" w:hAnsi="Arial"/>
          <w:sz w:val="18"/>
          <w:szCs w:val="18"/>
          <w:color w:val="auto"/>
        </w:rPr>
        <w:t>During the year ended December 31, 2020, in connection with the transition of our Chief Executive Officer (which is discussed more fully in our Form 10-K for the year ended December 31, 2021 filed with the Securities and Exchange Commission on March 23, 2022), we reduced the administrative footprint in our Mansfield, Massachusetts corporate office. At January 1, 2021, there was an accrual of $70 on our balance sheet related to this action.</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u w:val="single" w:color="auto"/>
          <w:color w:val="auto"/>
        </w:rPr>
        <w:t>Accrued Restructuring</w:t>
      </w:r>
    </w:p>
    <w:p>
      <w:pPr>
        <w:spacing w:after="0" w:line="225" w:lineRule="exact"/>
        <w:rPr>
          <w:sz w:val="20"/>
          <w:szCs w:val="20"/>
          <w:color w:val="auto"/>
        </w:rPr>
      </w:pPr>
    </w:p>
    <w:p>
      <w:pPr>
        <w:ind w:left="680" w:right="240"/>
        <w:spacing w:after="0" w:line="277" w:lineRule="auto"/>
        <w:rPr>
          <w:sz w:val="20"/>
          <w:szCs w:val="20"/>
          <w:color w:val="auto"/>
        </w:rPr>
      </w:pPr>
      <w:r>
        <w:rPr>
          <w:rFonts w:ascii="Arial" w:cs="Arial" w:eastAsia="Arial" w:hAnsi="Arial"/>
          <w:sz w:val="18"/>
          <w:szCs w:val="18"/>
          <w:color w:val="auto"/>
        </w:rPr>
        <w:t>The liability for accrued restructuring charges is included in other current liabilities on our consolidated balance sheet. Changes in the amount of the liability for accrued restructuring for the years ended December 31, 2022 and 2021 are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Electronic</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Test</w:t>
            </w:r>
          </w:p>
        </w:tc>
        <w:tc>
          <w:tcPr>
            <w:tcW w:w="18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Executive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Facility</w:t>
            </w:r>
          </w:p>
        </w:tc>
        <w:tc>
          <w:tcPr>
            <w:tcW w:w="18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Management</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Consolidation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Changes</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Accruals for severance and other one-time termination benefits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Accruals for other associated costs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Cash payments</w:t>
            </w:r>
          </w:p>
        </w:tc>
        <w:tc>
          <w:tcPr>
            <w:tcW w:w="1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Adjustments to accruals for other associated costs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09"/>
        </w:trPr>
        <w:tc>
          <w:tcPr>
            <w:tcW w:w="5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 December 31, 2022</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rFonts w:ascii="Arial" w:cs="Arial" w:eastAsia="Arial" w:hAnsi="Arial"/>
          <w:sz w:val="18"/>
          <w:szCs w:val="18"/>
          <w:b w:val="1"/>
          <w:bCs w:val="1"/>
          <w:color w:val="auto"/>
        </w:rPr>
      </w:pPr>
    </w:p>
    <w:p>
      <w:pPr>
        <w:ind w:left="68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three operating segments which are also our reporting units: Electronic Test, Environmental Technologies and Process Technologies. Goodwill and intangible assets on our balance sheets are the result of our acquisitions.</w:t>
      </w:r>
    </w:p>
    <w:p>
      <w:pPr>
        <w:spacing w:after="0" w:line="170"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w:t>
      </w:r>
    </w:p>
    <w:p>
      <w:pPr>
        <w:spacing w:after="0" w:line="225"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Changes in the amount of the carrying value of goodwill for the years ended December 31, 2022 and 2021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2021</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318"/>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Acquisition of Z-Sciences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Videology</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Acquisition of Acculogic</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 adjustments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Balance - December 31, 2021</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preliminary amounts recorded in the fourth quarter of 2021 (see Note 3)</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Impact of foreign currency translation adjustments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jc w:val="right"/>
              <w:ind w:right="318"/>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21,605</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60" w:type="dxa"/>
            <w:vAlign w:val="bottom"/>
          </w:tcPr>
          <w:p>
            <w:pPr>
              <w:spacing w:after="0"/>
              <w:rPr>
                <w:sz w:val="24"/>
                <w:szCs w:val="24"/>
                <w:color w:val="auto"/>
              </w:rPr>
            </w:pPr>
          </w:p>
        </w:tc>
        <w:tc>
          <w:tcPr>
            <w:tcW w:w="73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Goodwill was comprised of the following at December 31, 2022 and 2021:</w:t>
            </w:r>
          </w:p>
        </w:tc>
        <w:tc>
          <w:tcPr>
            <w:tcW w:w="9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Electronic Test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3,369</w:t>
            </w:r>
          </w:p>
        </w:tc>
        <w:tc>
          <w:tcPr>
            <w:tcW w:w="48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Environmental Technologies</w:t>
            </w: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1,817</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Process Technologies</w:t>
            </w:r>
          </w:p>
        </w:tc>
        <w:tc>
          <w:tcPr>
            <w:tcW w:w="9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16,419</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Total Goodwill</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21,605</w:t>
            </w:r>
          </w:p>
        </w:tc>
        <w:tc>
          <w:tcPr>
            <w:tcW w:w="480" w:type="dxa"/>
            <w:vAlign w:val="bottom"/>
          </w:tcPr>
          <w:p>
            <w:pPr>
              <w:jc w:val="right"/>
              <w:ind w:right="298"/>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360" w:type="dxa"/>
            <w:vAlign w:val="bottom"/>
            <w:vMerge w:val="restart"/>
          </w:tcPr>
          <w:p>
            <w:pPr>
              <w:ind w:left="4780"/>
              <w:spacing w:after="0"/>
              <w:rPr>
                <w:sz w:val="20"/>
                <w:szCs w:val="20"/>
                <w:color w:val="auto"/>
              </w:rPr>
            </w:pPr>
            <w:r>
              <w:rPr>
                <w:rFonts w:ascii="Arial" w:cs="Arial" w:eastAsia="Arial" w:hAnsi="Arial"/>
                <w:sz w:val="18"/>
                <w:szCs w:val="18"/>
                <w:color w:val="auto"/>
              </w:rPr>
              <w:t>F- 21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73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611" w:right="259" w:bottom="1440" w:gutter="0" w:footer="0" w:header="0"/>
        </w:sectPr>
      </w:pPr>
    </w:p>
    <w:bookmarkStart w:id="64" w:name="page65"/>
    <w:bookmarkEnd w:id="64"/>
    <w:p>
      <w:pPr>
        <w:ind w:left="68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Changes in the amount of the carrying value of indefinite-lived intangible assets for the year ended December 31, 2022 and 2021 are as follows:</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2021</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Acquisition of Videology</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Acculogic</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Impact of foreign currency translation adjustments</w:t>
            </w:r>
          </w:p>
        </w:tc>
        <w:tc>
          <w:tcPr>
            <w:tcW w:w="6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09"/>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6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8,428</w:t>
            </w: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Adjustments to preliminary amounts recorded in the fourth quarter of 2021 (see Note 3)</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 adjustments</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r>
      <w:tr>
        <w:trPr>
          <w:trHeight w:val="210"/>
        </w:trPr>
        <w:tc>
          <w:tcPr>
            <w:tcW w:w="9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 December 31, 2022</w:t>
            </w:r>
          </w:p>
        </w:tc>
        <w:tc>
          <w:tcPr>
            <w:tcW w:w="6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8,369</w:t>
            </w:r>
          </w:p>
        </w:tc>
        <w:tc>
          <w:tcPr>
            <w:tcW w:w="100" w:type="dxa"/>
            <w:vAlign w:val="bottom"/>
            <w:tcBorders>
              <w:top w:val="single" w:sz="8" w:color="CCEEFF"/>
            </w:tcBorders>
          </w:tcPr>
          <w:p>
            <w:pPr>
              <w:spacing w:after="0"/>
              <w:rPr>
                <w:sz w:val="18"/>
                <w:szCs w:val="18"/>
                <w:color w:val="auto"/>
              </w:rPr>
            </w:pPr>
          </w:p>
        </w:tc>
      </w:tr>
      <w:tr>
        <w:trPr>
          <w:trHeight w:val="20"/>
        </w:trPr>
        <w:tc>
          <w:tcPr>
            <w:tcW w:w="9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Changes in the amount of the carrying value of finite-lived intangible assets for the years ended December 31, 2022 and 2021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2021</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Acquisition of Z-Sciences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Videology</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Acquisition of Acculogic</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4,196</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 adjustments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Amortization</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(1,440)</w:t>
            </w:r>
          </w:p>
        </w:tc>
      </w:tr>
      <w:tr>
        <w:trPr>
          <w:trHeight w:val="20"/>
        </w:trPr>
        <w:tc>
          <w:tcPr>
            <w:tcW w:w="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13,206</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360" w:type="dxa"/>
            <w:vAlign w:val="bottom"/>
            <w:gridSpan w:val="5"/>
          </w:tcPr>
          <w:p>
            <w:pPr>
              <w:spacing w:after="0"/>
              <w:rPr>
                <w:sz w:val="20"/>
                <w:szCs w:val="20"/>
                <w:color w:val="auto"/>
              </w:rPr>
            </w:pPr>
            <w:r>
              <w:rPr>
                <w:rFonts w:ascii="Arial" w:cs="Arial" w:eastAsia="Arial" w:hAnsi="Arial"/>
                <w:sz w:val="18"/>
                <w:szCs w:val="18"/>
                <w:color w:val="auto"/>
              </w:rPr>
              <w:t>Adjustments to preliminary amounts recorded in the fourth quarter of 2021 (see Note 3)</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 adjustments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r>
      <w:tr>
        <w:trPr>
          <w:trHeight w:val="216"/>
        </w:trPr>
        <w:tc>
          <w:tcPr>
            <w:tcW w:w="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Amortization</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(2,694)</w:t>
            </w:r>
          </w:p>
        </w:tc>
      </w:tr>
      <w:tr>
        <w:trPr>
          <w:trHeight w:val="20"/>
        </w:trPr>
        <w:tc>
          <w:tcPr>
            <w:tcW w:w="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0" w:type="dxa"/>
            <w:vAlign w:val="bottom"/>
          </w:tcPr>
          <w:p>
            <w:pPr>
              <w:spacing w:after="0"/>
              <w:rPr>
                <w:sz w:val="21"/>
                <w:szCs w:val="21"/>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1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tcBorders>
              <w:left w:val="single" w:sz="8" w:color="CCEEFF"/>
            </w:tcBorders>
            <w:shd w:val="clear" w:color="auto" w:fill="CCEEFF"/>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7520" w:type="dxa"/>
            <w:vAlign w:val="bottom"/>
            <w:tcBorders>
              <w:top w:val="single" w:sz="8" w:color="CCEEFF"/>
            </w:tcBorders>
            <w:gridSpan w:val="6"/>
          </w:tcPr>
          <w:p>
            <w:pPr>
              <w:ind w:left="20"/>
              <w:spacing w:after="0"/>
              <w:rPr>
                <w:sz w:val="20"/>
                <w:szCs w:val="20"/>
                <w:color w:val="auto"/>
              </w:rPr>
            </w:pPr>
            <w:r>
              <w:rPr>
                <w:rFonts w:ascii="Arial" w:cs="Arial" w:eastAsia="Arial" w:hAnsi="Arial"/>
                <w:sz w:val="18"/>
                <w:szCs w:val="18"/>
                <w:color w:val="auto"/>
                <w:w w:val="91"/>
              </w:rPr>
              <w:t>The following tables provide further detail about our intangible assets at December 31, 2022 and 2021:</w:t>
            </w:r>
          </w:p>
        </w:tc>
        <w:tc>
          <w:tcPr>
            <w:tcW w:w="1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6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Accumulated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6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Amortization</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r>
      <w:tr>
        <w:trPr>
          <w:trHeight w:val="209"/>
        </w:trPr>
        <w:tc>
          <w:tcPr>
            <w:tcW w:w="6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16,313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7,990</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2,855</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Patents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Backlog</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name</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10,470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8,369</w:t>
            </w:r>
          </w:p>
        </w:tc>
        <w:tc>
          <w:tcPr>
            <w:tcW w:w="1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10,470</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18,559</w:t>
            </w:r>
          </w:p>
        </w:tc>
        <w:tc>
          <w:tcPr>
            <w:tcW w:w="100" w:type="dxa"/>
            <w:vAlign w:val="bottom"/>
            <w:tcBorders>
              <w:left w:val="single" w:sz="8" w:color="CCEEFF"/>
            </w:tcBorders>
            <w:shd w:val="clear" w:color="auto" w:fill="CCEEFF"/>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420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2021</w:t>
            </w: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91"/>
        </w:trPr>
        <w:tc>
          <w:tcPr>
            <w:tcW w:w="6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Accumulated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6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Amortization</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6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16,544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6,160</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10,384</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2,950</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Patents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Backlog</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name</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7,809</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8,428</w:t>
            </w:r>
          </w:p>
        </w:tc>
        <w:tc>
          <w:tcPr>
            <w:tcW w:w="1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0" w:type="dxa"/>
            <w:vAlign w:val="bottom"/>
          </w:tcPr>
          <w:p>
            <w:pPr>
              <w:spacing w:after="0"/>
              <w:rPr>
                <w:sz w:val="21"/>
                <w:szCs w:val="21"/>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7,809</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21,634</w:t>
            </w:r>
          </w:p>
        </w:tc>
        <w:tc>
          <w:tcPr>
            <w:tcW w:w="100" w:type="dxa"/>
            <w:vAlign w:val="bottom"/>
            <w:tcBorders>
              <w:left w:val="single" w:sz="8" w:color="CCEEFF"/>
            </w:tcBorders>
            <w:shd w:val="clear" w:color="auto" w:fill="CCEEFF"/>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420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ind w:left="580"/>
              <w:spacing w:after="0"/>
              <w:rPr>
                <w:sz w:val="20"/>
                <w:szCs w:val="20"/>
                <w:color w:val="auto"/>
              </w:rPr>
            </w:pPr>
            <w:r>
              <w:rPr>
                <w:rFonts w:ascii="Arial" w:cs="Arial" w:eastAsia="Arial" w:hAnsi="Arial"/>
                <w:sz w:val="18"/>
                <w:szCs w:val="18"/>
                <w:color w:val="auto"/>
              </w:rPr>
              <w:t>F- 22</w:t>
            </w: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bl>
    <w:p>
      <w:pPr>
        <w:sectPr>
          <w:pgSz w:w="11900" w:h="16838" w:orient="portrait"/>
          <w:cols w:equalWidth="0" w:num="1">
            <w:col w:w="11320"/>
          </w:cols>
          <w:pgMar w:left="320" w:top="611" w:right="259" w:bottom="1440" w:gutter="0" w:footer="0" w:header="0"/>
        </w:sectPr>
      </w:pPr>
    </w:p>
    <w:bookmarkStart w:id="65" w:name="page66"/>
    <w:bookmarkEnd w:id="65"/>
    <w:p>
      <w:pPr>
        <w:jc w:val="both"/>
        <w:ind w:left="680" w:right="220"/>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be based on the pattern in which the economic benefits of the intangible asset are expected to be consumed. None of our intangible assets have any residual value.</w:t>
      </w:r>
    </w:p>
    <w:p>
      <w:pPr>
        <w:spacing w:after="0" w:line="187"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120" w:type="dxa"/>
            <w:vAlign w:val="bottom"/>
            <w:gridSpan w:val="2"/>
          </w:tcPr>
          <w:p>
            <w:pPr>
              <w:jc w:val="right"/>
              <w:ind w:right="570"/>
              <w:spacing w:after="0"/>
              <w:rPr>
                <w:sz w:val="20"/>
                <w:szCs w:val="20"/>
                <w:color w:val="auto"/>
              </w:rPr>
            </w:pPr>
            <w:r>
              <w:rPr>
                <w:rFonts w:ascii="Arial" w:cs="Arial" w:eastAsia="Arial" w:hAnsi="Arial"/>
                <w:sz w:val="18"/>
                <w:szCs w:val="18"/>
                <w:color w:val="auto"/>
                <w:w w:val="90"/>
              </w:rPr>
              <w:t>The following table sets forth the estimated annual amortization expense for each of the next five years:</w:t>
            </w: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7820" w:type="dxa"/>
            <w:vAlign w:val="bottom"/>
            <w:shd w:val="clear" w:color="auto" w:fill="CCEEFF"/>
          </w:tcPr>
          <w:p>
            <w:pPr>
              <w:jc w:val="right"/>
              <w:ind w:right="7370"/>
              <w:spacing w:after="0"/>
              <w:rPr>
                <w:sz w:val="20"/>
                <w:szCs w:val="20"/>
                <w:color w:val="auto"/>
              </w:rPr>
            </w:pPr>
            <w:r>
              <w:rPr>
                <w:rFonts w:ascii="Arial" w:cs="Arial" w:eastAsia="Arial" w:hAnsi="Arial"/>
                <w:sz w:val="18"/>
                <w:szCs w:val="18"/>
                <w:color w:val="auto"/>
                <w:w w:val="84"/>
              </w:rPr>
              <w:t>2023</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20" w:type="dxa"/>
            <w:vAlign w:val="bottom"/>
          </w:tcPr>
          <w:p>
            <w:pPr>
              <w:jc w:val="right"/>
              <w:ind w:right="7370"/>
              <w:spacing w:after="0"/>
              <w:rPr>
                <w:sz w:val="20"/>
                <w:szCs w:val="20"/>
                <w:color w:val="auto"/>
              </w:rPr>
            </w:pPr>
            <w:r>
              <w:rPr>
                <w:rFonts w:ascii="Arial" w:cs="Arial" w:eastAsia="Arial" w:hAnsi="Arial"/>
                <w:sz w:val="18"/>
                <w:szCs w:val="18"/>
                <w:color w:val="auto"/>
                <w:w w:val="84"/>
              </w:rPr>
              <w:t>2024</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20" w:type="dxa"/>
            <w:vAlign w:val="bottom"/>
            <w:shd w:val="clear" w:color="auto" w:fill="CCEEFF"/>
          </w:tcPr>
          <w:p>
            <w:pPr>
              <w:jc w:val="right"/>
              <w:ind w:right="7370"/>
              <w:spacing w:after="0"/>
              <w:rPr>
                <w:sz w:val="20"/>
                <w:szCs w:val="20"/>
                <w:color w:val="auto"/>
              </w:rPr>
            </w:pPr>
            <w:r>
              <w:rPr>
                <w:rFonts w:ascii="Arial" w:cs="Arial" w:eastAsia="Arial" w:hAnsi="Arial"/>
                <w:sz w:val="18"/>
                <w:szCs w:val="18"/>
                <w:color w:val="auto"/>
                <w:w w:val="84"/>
              </w:rPr>
              <w:t>2025</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20" w:type="dxa"/>
            <w:vAlign w:val="bottom"/>
          </w:tcPr>
          <w:p>
            <w:pPr>
              <w:jc w:val="right"/>
              <w:ind w:right="7370"/>
              <w:spacing w:after="0"/>
              <w:rPr>
                <w:sz w:val="20"/>
                <w:szCs w:val="20"/>
                <w:color w:val="auto"/>
              </w:rPr>
            </w:pPr>
            <w:r>
              <w:rPr>
                <w:rFonts w:ascii="Arial" w:cs="Arial" w:eastAsia="Arial" w:hAnsi="Arial"/>
                <w:sz w:val="18"/>
                <w:szCs w:val="18"/>
                <w:color w:val="auto"/>
                <w:w w:val="84"/>
              </w:rPr>
              <w:t>2026</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20" w:type="dxa"/>
            <w:vAlign w:val="bottom"/>
            <w:shd w:val="clear" w:color="auto" w:fill="CCEEFF"/>
          </w:tcPr>
          <w:p>
            <w:pPr>
              <w:jc w:val="right"/>
              <w:ind w:right="7370"/>
              <w:spacing w:after="0"/>
              <w:rPr>
                <w:sz w:val="20"/>
                <w:szCs w:val="20"/>
                <w:color w:val="auto"/>
              </w:rPr>
            </w:pPr>
            <w:r>
              <w:rPr>
                <w:rFonts w:ascii="Arial" w:cs="Arial" w:eastAsia="Arial" w:hAnsi="Arial"/>
                <w:sz w:val="18"/>
                <w:szCs w:val="18"/>
                <w:color w:val="auto"/>
                <w:w w:val="84"/>
              </w:rPr>
              <w:t>2027</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u w:val="single" w:color="auto"/>
          <w:color w:val="auto"/>
        </w:rPr>
        <w:t>Impairment of Goodwill and Indefinite Life Intangible Assets</w:t>
      </w:r>
    </w:p>
    <w:p>
      <w:pPr>
        <w:spacing w:after="0" w:line="225" w:lineRule="exact"/>
        <w:rPr>
          <w:sz w:val="20"/>
          <w:szCs w:val="20"/>
          <w:color w:val="auto"/>
        </w:rPr>
      </w:pPr>
    </w:p>
    <w:p>
      <w:pPr>
        <w:ind w:left="680" w:right="40"/>
        <w:spacing w:after="0" w:line="288" w:lineRule="auto"/>
        <w:rPr>
          <w:sz w:val="20"/>
          <w:szCs w:val="20"/>
          <w:color w:val="auto"/>
        </w:rPr>
      </w:pPr>
      <w:r>
        <w:rPr>
          <w:rFonts w:ascii="Arial" w:cs="Arial" w:eastAsia="Arial" w:hAnsi="Arial"/>
          <w:sz w:val="16"/>
          <w:szCs w:val="16"/>
          <w:color w:val="auto"/>
        </w:rPr>
        <w:t>During October 2022 and 2021, we assessed our goodwill and indefinite life intangible asset for impairment in accordance with the requirements of ASC Topic 350 using a quantitative approach. Our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discount rate used in 2022 for the discounted cash flows ranged between 16.5% and 18.0% depending on the reporting unit. The discount rate used in 2021 for the discounted cash flows was 16.0% for all of our reporting units. The selection of the rates in each year was based upon our analysis of market-based estimates of capital costs and discount rates.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During the goodwill impairment assessment in both 2022 and 2021, we compared the fair value of our reporting units with their carrying values.</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This assessment indicated no impairment existed as the fair value of the reporting units exceeded their carrying values in both 2022 and 2021.</w:t>
      </w:r>
    </w:p>
    <w:p>
      <w:pPr>
        <w:spacing w:after="0" w:line="234" w:lineRule="exact"/>
        <w:rPr>
          <w:sz w:val="20"/>
          <w:szCs w:val="20"/>
          <w:color w:val="auto"/>
        </w:rPr>
      </w:pPr>
    </w:p>
    <w:p>
      <w:pPr>
        <w:ind w:left="680" w:right="440"/>
        <w:spacing w:after="0" w:line="263" w:lineRule="auto"/>
        <w:rPr>
          <w:sz w:val="20"/>
          <w:szCs w:val="20"/>
          <w:color w:val="auto"/>
        </w:rPr>
      </w:pPr>
      <w:r>
        <w:rPr>
          <w:rFonts w:ascii="Arial" w:cs="Arial" w:eastAsia="Arial" w:hAnsi="Arial"/>
          <w:sz w:val="18"/>
          <w:szCs w:val="18"/>
          <w:color w:val="auto"/>
        </w:rPr>
        <w:t>During the indefinite life intangible asset impairment assessment in both 2022 and 2021, we compared the fair value of our indefinite life intangible assets with their carrying values. This assessment indicated no impairment existed as the fair value of the indefinite life intangible assets exceeded their carrying values in both 2022 and 2021.</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u w:val="single" w:color="auto"/>
          <w:color w:val="auto"/>
        </w:rPr>
        <w:t>Impairment of Long-Lived Assets and Finite-lived Intangible Assets</w:t>
      </w:r>
    </w:p>
    <w:p>
      <w:pPr>
        <w:spacing w:after="0" w:line="225" w:lineRule="exact"/>
        <w:rPr>
          <w:sz w:val="20"/>
          <w:szCs w:val="20"/>
          <w:color w:val="auto"/>
        </w:rPr>
      </w:pPr>
    </w:p>
    <w:p>
      <w:pPr>
        <w:ind w:left="680" w:right="1020"/>
        <w:spacing w:after="0" w:line="277" w:lineRule="auto"/>
        <w:rPr>
          <w:sz w:val="20"/>
          <w:szCs w:val="20"/>
          <w:color w:val="auto"/>
        </w:rPr>
      </w:pPr>
      <w:r>
        <w:rPr>
          <w:rFonts w:ascii="Arial" w:cs="Arial" w:eastAsia="Arial" w:hAnsi="Arial"/>
          <w:sz w:val="18"/>
          <w:szCs w:val="18"/>
          <w:color w:val="auto"/>
        </w:rPr>
        <w:t>During 2022 and 2021, we did not review any of our long-lived assets for impairment as there were no events or changes in business circumstances that would indicate an impairment might exist.</w:t>
      </w:r>
    </w:p>
    <w:p>
      <w:pPr>
        <w:spacing w:after="0" w:line="200" w:lineRule="exact"/>
        <w:rPr>
          <w:sz w:val="20"/>
          <w:szCs w:val="20"/>
          <w:color w:val="auto"/>
        </w:rPr>
      </w:pPr>
    </w:p>
    <w:p>
      <w:pPr>
        <w:spacing w:after="0" w:line="209"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rFonts w:ascii="Arial" w:cs="Arial" w:eastAsia="Arial" w:hAnsi="Arial"/>
          <w:sz w:val="18"/>
          <w:szCs w:val="18"/>
          <w:b w:val="1"/>
          <w:bCs w:val="1"/>
          <w:color w:val="auto"/>
        </w:rPr>
      </w:pPr>
    </w:p>
    <w:p>
      <w:pPr>
        <w:ind w:left="680" w:right="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following tables provide additional information about our revenue from contracts with customers, including revenue by customer and product type and revenue by market. The information for the year ended December 31, 2021 has been reclassified to be consistent with how the information for the current year is presented. See also Note 19 for information about revenue by operating segment and geographic region.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 by customer type:</w:t>
            </w:r>
          </w:p>
        </w:tc>
        <w:tc>
          <w:tcPr>
            <w:tcW w:w="3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End user</w:t>
            </w:r>
          </w:p>
        </w:tc>
        <w:tc>
          <w:tcPr>
            <w:tcW w:w="40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84,468</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62,541</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OEM/Integrator</w:t>
            </w:r>
          </w:p>
        </w:tc>
        <w:tc>
          <w:tcPr>
            <w:tcW w:w="3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32,360</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22,337</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116,828</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84,878</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Revenue by product type:</w:t>
            </w:r>
          </w:p>
        </w:tc>
        <w:tc>
          <w:tcPr>
            <w:tcW w:w="3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Thermal test</w:t>
            </w:r>
          </w:p>
        </w:tc>
        <w:tc>
          <w:tcPr>
            <w:tcW w:w="40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22,246</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19,204</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Thermal process</w:t>
            </w:r>
          </w:p>
        </w:tc>
        <w:tc>
          <w:tcPr>
            <w:tcW w:w="3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38,574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26,260</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Semiconductor test</w:t>
            </w:r>
          </w:p>
        </w:tc>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28,529</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30,829</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Video imaging</w:t>
            </w:r>
          </w:p>
        </w:tc>
        <w:tc>
          <w:tcPr>
            <w:tcW w:w="3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9,499</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Flying probe and in-circuit testers</w:t>
            </w:r>
          </w:p>
        </w:tc>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7,414</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Service/other</w:t>
            </w:r>
          </w:p>
        </w:tc>
        <w:tc>
          <w:tcPr>
            <w:tcW w:w="3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10,566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7,103</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116,828</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84,878</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Revenue by market:</w:t>
            </w:r>
          </w:p>
        </w:tc>
        <w:tc>
          <w:tcPr>
            <w:tcW w:w="3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Semi</w:t>
            </w:r>
          </w:p>
        </w:tc>
        <w:tc>
          <w:tcPr>
            <w:tcW w:w="40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68,422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54,937</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10,038</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7,314</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Automotive (including Electric Vehicles)</w:t>
            </w:r>
          </w:p>
        </w:tc>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10,776</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6,205</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Life Sciences</w:t>
            </w:r>
          </w:p>
        </w:tc>
        <w:tc>
          <w:tcPr>
            <w:tcW w:w="3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4,589</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Defense/aerospace</w:t>
            </w:r>
          </w:p>
        </w:tc>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7,006</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5,043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3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w:t>
            </w:r>
          </w:p>
        </w:tc>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12,756</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8,327</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40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116,828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84,878</w:t>
            </w:r>
          </w:p>
        </w:tc>
        <w:tc>
          <w:tcPr>
            <w:tcW w:w="160" w:type="dxa"/>
            <w:vAlign w:val="bottom"/>
          </w:tcPr>
          <w:p>
            <w:pPr>
              <w:spacing w:after="0"/>
              <w:rPr>
                <w:sz w:val="21"/>
                <w:szCs w:val="21"/>
                <w:color w:val="auto"/>
              </w:rPr>
            </w:pPr>
          </w:p>
        </w:tc>
      </w:tr>
      <w:tr>
        <w:trPr>
          <w:trHeight w:val="412"/>
        </w:trPr>
        <w:tc>
          <w:tcPr>
            <w:tcW w:w="980" w:type="dxa"/>
            <w:vAlign w:val="bottom"/>
          </w:tcPr>
          <w:p>
            <w:pPr>
              <w:spacing w:after="0"/>
              <w:rPr>
                <w:sz w:val="24"/>
                <w:szCs w:val="24"/>
                <w:color w:val="auto"/>
              </w:rPr>
            </w:pPr>
          </w:p>
        </w:tc>
        <w:tc>
          <w:tcPr>
            <w:tcW w:w="3700" w:type="dxa"/>
            <w:vAlign w:val="bottom"/>
            <w:tcBorders>
              <w:top w:val="single" w:sz="8" w:color="CCEEFF"/>
            </w:tcBorders>
          </w:tcPr>
          <w:p>
            <w:pPr>
              <w:spacing w:after="0"/>
              <w:rPr>
                <w:sz w:val="24"/>
                <w:szCs w:val="24"/>
                <w:color w:val="auto"/>
              </w:rPr>
            </w:pPr>
          </w:p>
        </w:tc>
        <w:tc>
          <w:tcPr>
            <w:tcW w:w="3080" w:type="dxa"/>
            <w:vAlign w:val="bottom"/>
            <w:tcBorders>
              <w:top w:val="single" w:sz="8" w:color="CCEEFF"/>
            </w:tcBorders>
          </w:tcPr>
          <w:p>
            <w:pPr>
              <w:ind w:left="760"/>
              <w:spacing w:after="0"/>
              <w:rPr>
                <w:sz w:val="20"/>
                <w:szCs w:val="20"/>
                <w:color w:val="auto"/>
              </w:rPr>
            </w:pPr>
            <w:r>
              <w:rPr>
                <w:rFonts w:ascii="Arial" w:cs="Arial" w:eastAsia="Arial" w:hAnsi="Arial"/>
                <w:sz w:val="18"/>
                <w:szCs w:val="18"/>
                <w:color w:val="auto"/>
              </w:rPr>
              <w:t>F- 23</w:t>
            </w:r>
          </w:p>
        </w:tc>
        <w:tc>
          <w:tcPr>
            <w:tcW w:w="9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0" w:gutter="0" w:footer="0" w:header="0"/>
        </w:sectPr>
      </w:pPr>
    </w:p>
    <w:bookmarkStart w:id="66" w:name="page67"/>
    <w:bookmarkEnd w:id="66"/>
    <w:p>
      <w:pPr>
        <w:jc w:val="center"/>
        <w:ind w:right="-59"/>
        <w:spacing w:after="0"/>
        <w:rPr>
          <w:sz w:val="20"/>
          <w:szCs w:val="20"/>
          <w:color w:val="auto"/>
        </w:rPr>
      </w:pPr>
      <w:r>
        <w:rPr>
          <w:rFonts w:ascii="Arial" w:cs="Arial" w:eastAsia="Arial" w:hAnsi="Arial"/>
          <w:sz w:val="16"/>
          <w:szCs w:val="16"/>
          <w:color w:val="auto"/>
        </w:rPr>
        <w:t>There were no significant changes in the amount of the allowance for doubtful accounts for the years ended December 31, 2022 and 2021.</w:t>
      </w:r>
    </w:p>
    <w:p>
      <w:pPr>
        <w:spacing w:after="0" w:line="200" w:lineRule="exact"/>
        <w:rPr>
          <w:sz w:val="20"/>
          <w:szCs w:val="20"/>
          <w:color w:val="auto"/>
        </w:rPr>
      </w:pPr>
    </w:p>
    <w:p>
      <w:pPr>
        <w:spacing w:after="0" w:line="28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rFonts w:ascii="Arial" w:cs="Arial" w:eastAsia="Arial" w:hAnsi="Arial"/>
          <w:sz w:val="18"/>
          <w:szCs w:val="18"/>
          <w:b w:val="1"/>
          <w:bCs w:val="1"/>
          <w:color w:val="auto"/>
        </w:rPr>
      </w:pPr>
    </w:p>
    <w:p>
      <w:pPr>
        <w:ind w:left="680" w:right="4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During the year ended December 31, 2022, no customer accounted for 10% or more of our consolidated revenue. During the year ended December 31, 2021, one customer accounted 13% of our consolidated revenue. This revenue was primarily generated by our Electronic Test segment. During the year ended December 31, 2021, no other customer accounted for 10% or more of our consolidated revenue.</w:t>
      </w:r>
    </w:p>
    <w:p>
      <w:pPr>
        <w:sectPr>
          <w:pgSz w:w="11900" w:h="16838" w:orient="portrait"/>
          <w:cols w:equalWidth="0" w:num="1">
            <w:col w:w="11240"/>
          </w:cols>
          <w:pgMar w:left="320" w:top="611" w:right="339" w:bottom="1440" w:gutter="0" w:footer="0" w:header="0"/>
        </w:sectPr>
      </w:pPr>
    </w:p>
    <w:p>
      <w:pPr>
        <w:spacing w:after="0" w:line="388"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6"/>
          <w:szCs w:val="16"/>
          <w:color w:val="auto"/>
        </w:rPr>
        <w:t>Inventories held at December 31 were comprised of the following:</w:t>
      </w:r>
    </w:p>
    <w:p>
      <w:pPr>
        <w:spacing w:after="0" w:line="200" w:lineRule="exact"/>
        <w:rPr>
          <w:sz w:val="20"/>
          <w:szCs w:val="20"/>
          <w:color w:val="auto"/>
        </w:rPr>
      </w:pP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-121920</wp:posOffset>
            </wp:positionV>
            <wp:extent cx="641223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641223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Inventory consigned to others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641223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Total inventories</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195"/>
        </w:trPr>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16,888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10,403</w:t>
            </w:r>
          </w:p>
        </w:tc>
        <w:tc>
          <w:tcPr>
            <w:tcW w:w="2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1,250</w:t>
            </w:r>
          </w:p>
        </w:tc>
      </w:tr>
      <w:tr>
        <w:trPr>
          <w:trHeight w:val="216"/>
        </w:trPr>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30"/>
        </w:trPr>
        <w:tc>
          <w:tcPr>
            <w:tcW w:w="3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3,186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1,166</w:t>
            </w:r>
          </w:p>
        </w:tc>
      </w:tr>
      <w:tr>
        <w:trPr>
          <w:trHeight w:val="209"/>
        </w:trPr>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22,565</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12,863</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47" w:lineRule="exact"/>
        <w:rPr>
          <w:sz w:val="20"/>
          <w:szCs w:val="20"/>
          <w:color w:val="auto"/>
        </w:rPr>
      </w:pPr>
    </w:p>
    <w:p>
      <w:pPr>
        <w:sectPr>
          <w:pgSz w:w="11900" w:h="16838" w:orient="portrait"/>
          <w:cols w:equalWidth="0" w:num="2">
            <w:col w:w="7040" w:space="720"/>
            <w:col w:w="3480"/>
          </w:cols>
          <w:pgMar w:left="320" w:top="611" w:right="339" w:bottom="1440" w:gutter="0" w:footer="0" w:header="0"/>
          <w:type w:val="continuous"/>
        </w:sectPr>
      </w:pPr>
    </w:p>
    <w:p>
      <w:pPr>
        <w:spacing w:after="0" w:line="29" w:lineRule="exact"/>
        <w:rPr>
          <w:sz w:val="20"/>
          <w:szCs w:val="20"/>
          <w:color w:val="auto"/>
        </w:rPr>
      </w:pPr>
    </w:p>
    <w:p>
      <w:pPr>
        <w:jc w:val="both"/>
        <w:ind w:left="680" w:right="80"/>
        <w:spacing w:after="0" w:line="286" w:lineRule="auto"/>
        <w:rPr>
          <w:sz w:val="20"/>
          <w:szCs w:val="20"/>
          <w:color w:val="auto"/>
        </w:rPr>
      </w:pPr>
      <w:r>
        <w:rPr>
          <w:rFonts w:ascii="Arial" w:cs="Arial" w:eastAsia="Arial" w:hAnsi="Arial"/>
          <w:sz w:val="17"/>
          <w:szCs w:val="17"/>
          <w:color w:val="auto"/>
        </w:rPr>
        <w:t>As previously discussed in Note 2, we account for our leases in accordance with the guidance in ASC Topic 842. We lease our offices, warehouse facilities and certain equipment under non-cancellable operating leases that expire at various dates through 2031. Total operating lease and short-term lease costs for the years ended December 31, 2022 and 2021, respectively,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82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w w:val="96"/>
              </w:rPr>
              <w:t>Years Ended December 31,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20" w:type="dxa"/>
            <w:vAlign w:val="bottom"/>
          </w:tcPr>
          <w:p>
            <w:pPr>
              <w:ind w:left="580"/>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c>
          <w:tcPr>
            <w:tcW w:w="12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1,191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Short-term lease cost</w:t>
            </w:r>
          </w:p>
        </w:tc>
        <w:tc>
          <w:tcPr>
            <w:tcW w:w="1020" w:type="dxa"/>
            <w:vAlign w:val="bottom"/>
          </w:tcPr>
          <w:p>
            <w:pPr>
              <w:jc w:val="right"/>
              <w:ind w:right="858"/>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20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60" w:type="dxa"/>
            <w:vAlign w:val="bottom"/>
            <w:gridSpan w:val="2"/>
          </w:tcPr>
          <w:p>
            <w:pPr>
              <w:ind w:left="680"/>
              <w:spacing w:after="0"/>
              <w:rPr>
                <w:sz w:val="20"/>
                <w:szCs w:val="20"/>
                <w:color w:val="auto"/>
              </w:rPr>
            </w:pPr>
            <w:r>
              <w:rPr>
                <w:rFonts w:ascii="Arial" w:cs="Arial" w:eastAsia="Arial" w:hAnsi="Arial"/>
                <w:sz w:val="18"/>
                <w:szCs w:val="18"/>
                <w:color w:val="auto"/>
              </w:rPr>
              <w:t>The following is additional information about our leases at December 31, 2022:</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Range of remaining lease terms (in years)</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  to</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8.3</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60" w:type="dxa"/>
            <w:vAlign w:val="bottom"/>
            <w:gridSpan w:val="2"/>
          </w:tcPr>
          <w:p>
            <w:pPr>
              <w:ind w:left="680"/>
              <w:spacing w:after="0"/>
              <w:rPr>
                <w:sz w:val="20"/>
                <w:szCs w:val="20"/>
                <w:color w:val="auto"/>
              </w:rPr>
            </w:pPr>
            <w:r>
              <w:rPr>
                <w:rFonts w:ascii="Arial" w:cs="Arial" w:eastAsia="Arial" w:hAnsi="Arial"/>
                <w:sz w:val="18"/>
                <w:szCs w:val="18"/>
                <w:color w:val="auto"/>
              </w:rPr>
              <w:t>Maturities of lease liabilities at December 31, 2022 were as follows:</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1,885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2024</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1,834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2026</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Thereafter</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7,033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80" w:type="dxa"/>
            <w:vAlign w:val="bottom"/>
          </w:tcPr>
          <w:p>
            <w:pPr>
              <w:spacing w:after="0"/>
              <w:rPr>
                <w:sz w:val="21"/>
                <w:szCs w:val="21"/>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6,350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980" w:type="dxa"/>
            <w:vAlign w:val="bottom"/>
          </w:tcPr>
          <w:p>
            <w:pPr>
              <w:spacing w:after="0"/>
              <w:rPr>
                <w:sz w:val="24"/>
                <w:szCs w:val="24"/>
                <w:color w:val="auto"/>
              </w:rPr>
            </w:pPr>
          </w:p>
        </w:tc>
        <w:tc>
          <w:tcPr>
            <w:tcW w:w="6780" w:type="dxa"/>
            <w:vAlign w:val="bottom"/>
            <w:tcBorders>
              <w:top w:val="single" w:sz="8" w:color="CCEEFF"/>
            </w:tcBorders>
          </w:tcPr>
          <w:p>
            <w:pPr>
              <w:ind w:left="4460"/>
              <w:spacing w:after="0"/>
              <w:rPr>
                <w:sz w:val="20"/>
                <w:szCs w:val="20"/>
                <w:color w:val="auto"/>
              </w:rPr>
            </w:pPr>
            <w:r>
              <w:rPr>
                <w:rFonts w:ascii="Arial" w:cs="Arial" w:eastAsia="Arial" w:hAnsi="Arial"/>
                <w:sz w:val="18"/>
                <w:szCs w:val="18"/>
                <w:color w:val="auto"/>
              </w:rPr>
              <w:t>F- 24</w:t>
            </w:r>
          </w:p>
        </w:tc>
        <w:tc>
          <w:tcPr>
            <w:tcW w:w="102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67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i w:val="1"/>
          <w:iCs w:val="1"/>
          <w:u w:val="single" w:color="auto"/>
          <w:color w:val="auto"/>
        </w:rPr>
        <w:t>Cash Flow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of ROU assets for the years ended December 31, 2022 and 2021 was $1,241 and $1,039,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Modifications and Additions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years ended December 31, 2022 and 2021 was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Non-cash increases in operating lease liabilities and ROU assets as a result of acquisitions and the execution of new leases: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Operating</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Lease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Liabilities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ROU Assets</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Extension of facility lease – Singapore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Addition to automobile leases – Videology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Addition to facility leases – Acculogic</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Addition to facility leases – Acculogic</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bl>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first quarter of 2022, we executed an amendment to the lease for our facility in Singapore which extended the term for a period of 24 months commencing on April 1, 2022 and expiring on March 31, 2024. At the effective date of this modification, we recorded a non-cash increase in our ROU assets and operating lease liabilities of approximately $51.</w:t>
      </w:r>
    </w:p>
    <w:p>
      <w:pPr>
        <w:spacing w:after="0" w:line="18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During the third quarter of 2022, we executed a 48-month lease for an automobile for our Videology operation in Europe. At the effective date of this lease, we recorded a non-cash increase in our ROU assets and operating lease liabilities of approximately $42.</w:t>
      </w:r>
    </w:p>
    <w:p>
      <w:pPr>
        <w:spacing w:after="0" w:line="14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the fourth quarter of 2022, we executed a 62-month lease for a new facility for our Acculogic operation in Canada and a 37-month lease for a new facility for our Acculogic operation in California. At the effective date of these leases, we recorded non-cash increases in our ROU assets and operating lease liabilities of approximately $942 and $127,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Non-cash increases in operating lease liabilities and ROU assets as a result of acquisitions and the execution of new leases: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Operating</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Lease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Liabilities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ROU Assets</w:t>
            </w:r>
          </w:p>
        </w:tc>
        <w:tc>
          <w:tcPr>
            <w:tcW w:w="10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Addition to facility leases – Fremont, CA</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Addition to facility leases – Videology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Addition to automobile leases – Videology</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Addition to facility leases – Acquisition of Acculogic</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bl>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third quarter of 2021, we executed a lease for office space for the engineering and sales staff located in Fremont, California. This lease has a 38.5 month term. At the effective date of this lease, we recorded an increase in our ROU assets and operating lease liabilities of approximately $202.</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October 27, 2021, we acquired Videology as discussed further in Note 3. In November 2021, we executed a new lease for a facility for Videology’s operations in the Netherlands. This lease has a 37 month term. At the effective date of this lease, we recorded an increase in our operating lease liabilities and ROU assets of approximately $252. In addition, in December 2021, we executed a 48 month lease for an automobile for this same operation. At the effective date of this lease, we recorded an increase in our operating lease liabilities and ROU assets of approximately $54.</w:t>
      </w:r>
    </w:p>
    <w:p>
      <w:pPr>
        <w:spacing w:after="0" w:line="18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00" w:top="611" w:right="359" w:bottom="1440" w:gutter="0" w:footer="0" w:header="0"/>
        </w:sectPr>
      </w:pPr>
    </w:p>
    <w:bookmarkStart w:id="68" w:name="page69"/>
    <w:bookmarkEnd w:id="68"/>
    <w:p>
      <w:pPr>
        <w:ind w:left="672" w:right="60"/>
        <w:spacing w:after="0" w:line="308" w:lineRule="auto"/>
        <w:rPr>
          <w:sz w:val="20"/>
          <w:szCs w:val="20"/>
          <w:color w:val="auto"/>
        </w:rPr>
      </w:pPr>
      <w:r>
        <w:rPr>
          <w:rFonts w:ascii="Arial" w:cs="Arial" w:eastAsia="Arial" w:hAnsi="Arial"/>
          <w:sz w:val="17"/>
          <w:szCs w:val="17"/>
          <w:color w:val="auto"/>
        </w:rPr>
        <w:t>On December 21, 2021, we acquired Acculogic as discussed further in Note 3. As a result of this acquisition, we recorded an increase in our lease liabilities and ROU assets of $78 and $76, respectively, related to a facility lease we acquired as a part of this transaction.</w:t>
      </w:r>
    </w:p>
    <w:p>
      <w:pPr>
        <w:spacing w:after="0" w:line="385" w:lineRule="exact"/>
        <w:rPr>
          <w:sz w:val="20"/>
          <w:szCs w:val="20"/>
          <w:color w:val="auto"/>
        </w:rPr>
      </w:pPr>
    </w:p>
    <w:p>
      <w:pPr>
        <w:ind w:left="652" w:hanging="652"/>
        <w:spacing w:after="0"/>
        <w:tabs>
          <w:tab w:leader="none" w:pos="65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229" w:lineRule="exact"/>
        <w:rPr>
          <w:rFonts w:ascii="Arial" w:cs="Arial" w:eastAsia="Arial" w:hAnsi="Arial"/>
          <w:sz w:val="18"/>
          <w:szCs w:val="18"/>
          <w:b w:val="1"/>
          <w:bCs w:val="1"/>
          <w:color w:val="auto"/>
        </w:rPr>
      </w:pPr>
    </w:p>
    <w:p>
      <w:pPr>
        <w:ind w:left="672"/>
        <w:spacing w:after="0"/>
        <w:rPr>
          <w:rFonts w:ascii="Arial" w:cs="Arial" w:eastAsia="Arial" w:hAnsi="Arial"/>
          <w:sz w:val="18"/>
          <w:szCs w:val="18"/>
          <w:b w:val="1"/>
          <w:bCs w:val="1"/>
          <w:color w:val="auto"/>
        </w:rPr>
      </w:pPr>
      <w:r>
        <w:rPr>
          <w:rFonts w:ascii="Arial" w:cs="Arial" w:eastAsia="Arial" w:hAnsi="Arial"/>
          <w:sz w:val="18"/>
          <w:szCs w:val="18"/>
          <w:color w:val="auto"/>
        </w:rPr>
        <w:t>Other current liabilities at December 31 were comprised of the following:</w:t>
      </w:r>
    </w:p>
    <w:p>
      <w:pPr>
        <w:spacing w:after="0" w:line="221" w:lineRule="exact"/>
        <w:rPr>
          <w:sz w:val="20"/>
          <w:szCs w:val="20"/>
          <w:color w:val="auto"/>
        </w:rPr>
      </w:pPr>
    </w:p>
    <w:tbl>
      <w:tblPr>
        <w:tblLayout w:type="fixed"/>
        <w:tblInd w:w="972"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Current portion of contingent consideration</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Accrued taxes</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Accrued restructuring</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r>
      <w:tr>
        <w:trPr>
          <w:trHeight w:val="20"/>
        </w:trPr>
        <w:tc>
          <w:tcPr>
            <w:tcW w:w="67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rPr>
              <w:t>Total other current liabilities</w:t>
            </w:r>
          </w:p>
        </w:tc>
        <w:tc>
          <w:tcPr>
            <w:tcW w:w="1020" w:type="dxa"/>
            <w:vAlign w:val="bottom"/>
          </w:tcPr>
          <w:p>
            <w:pPr>
              <w:jc w:val="right"/>
              <w:ind w:right="861"/>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1,564</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r>
      <w:tr>
        <w:trPr>
          <w:trHeight w:val="20"/>
        </w:trPr>
        <w:tc>
          <w:tcPr>
            <w:tcW w:w="6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52" w:hanging="652"/>
        <w:spacing w:after="0"/>
        <w:tabs>
          <w:tab w:leader="none" w:pos="6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67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rFonts w:ascii="Arial" w:cs="Arial" w:eastAsia="Arial" w:hAnsi="Arial"/>
          <w:sz w:val="18"/>
          <w:szCs w:val="18"/>
          <w:b w:val="1"/>
          <w:bCs w:val="1"/>
          <w:color w:val="auto"/>
        </w:rPr>
      </w:pPr>
    </w:p>
    <w:p>
      <w:pPr>
        <w:ind w:left="672"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December 31, 2022 and 2021 consisted of the following:</w:t>
      </w:r>
    </w:p>
    <w:p>
      <w:pPr>
        <w:spacing w:after="0" w:line="183"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Letters of Credit</w:t>
            </w:r>
          </w:p>
        </w:tc>
      </w:tr>
      <w:tr>
        <w:trPr>
          <w:trHeight w:val="234"/>
        </w:trPr>
        <w:tc>
          <w:tcPr>
            <w:tcW w:w="5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L/C</w:t>
            </w:r>
          </w:p>
        </w:tc>
        <w:tc>
          <w:tcPr>
            <w:tcW w:w="15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Lease</w:t>
            </w:r>
          </w:p>
        </w:tc>
        <w:tc>
          <w:tcPr>
            <w:tcW w:w="23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Amount Outstanding</w:t>
            </w:r>
          </w:p>
        </w:tc>
      </w:tr>
      <w:tr>
        <w:trPr>
          <w:trHeight w:val="191"/>
        </w:trPr>
        <w:tc>
          <w:tcPr>
            <w:tcW w:w="5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40" w:type="dxa"/>
            <w:vAlign w:val="bottom"/>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rPr>
              <w:t>Original L/C</w:t>
            </w:r>
          </w:p>
        </w:tc>
        <w:tc>
          <w:tcPr>
            <w:tcW w:w="138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5"/>
              </w:rPr>
              <w:t>Expiration</w:t>
            </w:r>
          </w:p>
        </w:tc>
        <w:tc>
          <w:tcPr>
            <w:tcW w:w="138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5"/>
              </w:rPr>
              <w:t>Expiration</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00"/>
              <w:spacing w:after="0" w:line="191" w:lineRule="exact"/>
              <w:rPr>
                <w:sz w:val="20"/>
                <w:szCs w:val="20"/>
                <w:color w:val="auto"/>
              </w:rPr>
            </w:pPr>
            <w:r>
              <w:rPr>
                <w:rFonts w:ascii="Arial" w:cs="Arial" w:eastAsia="Arial" w:hAnsi="Arial"/>
                <w:sz w:val="18"/>
                <w:szCs w:val="18"/>
                <w:b w:val="1"/>
                <w:bCs w:val="1"/>
                <w:color w:val="auto"/>
              </w:rPr>
              <w:t>Dec. 31</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Dec. 31</w:t>
            </w:r>
          </w:p>
        </w:tc>
        <w:tc>
          <w:tcPr>
            <w:tcW w:w="120" w:type="dxa"/>
            <w:vAlign w:val="bottom"/>
          </w:tcPr>
          <w:p>
            <w:pPr>
              <w:spacing w:after="0"/>
              <w:rPr>
                <w:sz w:val="16"/>
                <w:szCs w:val="16"/>
                <w:color w:val="auto"/>
              </w:rPr>
            </w:pPr>
          </w:p>
        </w:tc>
      </w:tr>
      <w:tr>
        <w:trPr>
          <w:trHeight w:val="207"/>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Facility</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Issue Date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5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Date</w:t>
            </w: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Mt. Laurel, NJ</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3/29/2010</w:t>
            </w:r>
          </w:p>
        </w:tc>
        <w:tc>
          <w:tcPr>
            <w:tcW w:w="13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4/30/2024</w:t>
            </w:r>
          </w:p>
        </w:tc>
        <w:tc>
          <w:tcPr>
            <w:tcW w:w="154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4/30/2031 $</w:t>
            </w:r>
          </w:p>
        </w:tc>
        <w:tc>
          <w:tcPr>
            <w:tcW w:w="11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50</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10/27/2010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12/31/2024</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12/31/2024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0"/>
        </w:trPr>
        <w:tc>
          <w:tcPr>
            <w:tcW w:w="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72"/>
        <w:spacing w:after="0"/>
        <w:rPr>
          <w:sz w:val="20"/>
          <w:szCs w:val="20"/>
          <w:color w:val="auto"/>
        </w:rPr>
      </w:pPr>
      <w:r>
        <w:rPr>
          <w:rFonts w:ascii="Arial" w:cs="Arial" w:eastAsia="Arial" w:hAnsi="Arial"/>
          <w:sz w:val="18"/>
          <w:szCs w:val="18"/>
          <w:b w:val="1"/>
          <w:bCs w:val="1"/>
          <w:i w:val="1"/>
          <w:iCs w:val="1"/>
          <w:u w:val="single" w:color="auto"/>
          <w:color w:val="auto"/>
        </w:rPr>
        <w:t>Credit Facility</w:t>
      </w:r>
    </w:p>
    <w:p>
      <w:pPr>
        <w:spacing w:after="0" w:line="225" w:lineRule="exact"/>
        <w:rPr>
          <w:sz w:val="20"/>
          <w:szCs w:val="20"/>
          <w:color w:val="auto"/>
        </w:rPr>
      </w:pPr>
    </w:p>
    <w:p>
      <w:pPr>
        <w:ind w:left="732" w:right="20"/>
        <w:spacing w:after="0" w:line="259" w:lineRule="auto"/>
        <w:rPr>
          <w:sz w:val="20"/>
          <w:szCs w:val="20"/>
          <w:color w:val="auto"/>
        </w:rPr>
      </w:pPr>
      <w:r>
        <w:rPr>
          <w:rFonts w:ascii="Arial" w:cs="Arial" w:eastAsia="Arial" w:hAnsi="Arial"/>
          <w:sz w:val="18"/>
          <w:szCs w:val="18"/>
          <w:color w:val="auto"/>
        </w:rPr>
        <w:t>On October 15, 2021 (the “Closing Date”), we entered into an Amended and Restated Loan and Security Agreement with M&amp;T Bank (“M&amp;T”) which, on October 28, 2021, was amended by the Joinder and Amendment to Amended and Restated Loan and Security Agreement and which, on December 30, 2021, was further amended by the Joinder and Second Amendment to Amended and Restated Loan and Security Agreement (as amended, the “Loan Agreement”).</w:t>
      </w:r>
    </w:p>
    <w:p>
      <w:pPr>
        <w:spacing w:after="0" w:line="187" w:lineRule="exact"/>
        <w:rPr>
          <w:sz w:val="20"/>
          <w:szCs w:val="20"/>
          <w:color w:val="auto"/>
        </w:rPr>
      </w:pPr>
    </w:p>
    <w:p>
      <w:pPr>
        <w:ind w:left="732"/>
        <w:spacing w:after="0" w:line="286" w:lineRule="auto"/>
        <w:rPr>
          <w:sz w:val="20"/>
          <w:szCs w:val="20"/>
          <w:color w:val="auto"/>
        </w:rPr>
      </w:pPr>
      <w:r>
        <w:rPr>
          <w:rFonts w:ascii="Arial" w:cs="Arial" w:eastAsia="Arial" w:hAnsi="Arial"/>
          <w:sz w:val="17"/>
          <w:szCs w:val="17"/>
          <w:color w:val="auto"/>
        </w:rPr>
        <w:t>The Loan Agreement included a $25,000 non-revolving delayed draw term note (the “Term Note”) and a $10,000 revolving credit facility (the “Revolving Facility” and together with the Term Note, the “Credit Facility”). The Credit Facility had a five year contract period that began on the Closing Date and expired on October 15, 2026, and draws under the Term Note were permissible for two years.</w:t>
      </w:r>
    </w:p>
    <w:p>
      <w:pPr>
        <w:spacing w:after="0" w:line="165" w:lineRule="exact"/>
        <w:rPr>
          <w:sz w:val="20"/>
          <w:szCs w:val="20"/>
          <w:color w:val="auto"/>
        </w:rPr>
      </w:pPr>
    </w:p>
    <w:p>
      <w:pPr>
        <w:ind w:left="732" w:right="20"/>
        <w:spacing w:after="0" w:line="254" w:lineRule="auto"/>
        <w:rPr>
          <w:sz w:val="20"/>
          <w:szCs w:val="20"/>
          <w:color w:val="auto"/>
        </w:rPr>
      </w:pPr>
      <w:r>
        <w:rPr>
          <w:rFonts w:ascii="Arial" w:cs="Arial" w:eastAsia="Arial" w:hAnsi="Arial"/>
          <w:sz w:val="18"/>
          <w:szCs w:val="18"/>
          <w:color w:val="auto"/>
        </w:rPr>
        <w:t>On September 20, 2022, we further amended the Loan Agreement by entering into a Third Amendment to Amended and Restated Loan and Security Agreement (the Loan Agreement, as amended by the Third Amendment, the “Amended Loan Agreement”) and the Third Amended and Restated Delayed Draw Term Note. Under the Amended Loan Agreement, the maximum loan amount that we may borrow under the Term Note increased from $25,000 to $50,500, which raises the available funding at December 31, 2022 to $30,000. Under the Amended Loan Agreement, the maturity date of the Term Note and Revolving Facility were also extended to September 19, 2027 (the “Contract Period”). At December 31, 2022, we had not borrowed any amounts under the $10 million Revolving Facility. Our borrowings under the Term Note are discussed below and occurred prior to entering into the Amended Loan Agreement. Interest expense for the years ended December 31, 2022 and 2021 was $635 and $89, respectively.</w:t>
      </w:r>
    </w:p>
    <w:p>
      <w:pPr>
        <w:spacing w:after="0" w:line="1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11" w:right="339" w:bottom="1440" w:gutter="0" w:footer="0" w:header="0"/>
        </w:sectPr>
      </w:pPr>
    </w:p>
    <w:bookmarkStart w:id="69" w:name="page70"/>
    <w:bookmarkEnd w:id="69"/>
    <w:p>
      <w:pPr>
        <w:ind w:left="740" w:right="100"/>
        <w:spacing w:after="0" w:line="272" w:lineRule="auto"/>
        <w:rPr>
          <w:sz w:val="20"/>
          <w:szCs w:val="20"/>
          <w:color w:val="auto"/>
        </w:rPr>
      </w:pPr>
      <w:r>
        <w:rPr>
          <w:rFonts w:ascii="Arial" w:cs="Arial" w:eastAsia="Arial" w:hAnsi="Arial"/>
          <w:sz w:val="17"/>
          <w:szCs w:val="17"/>
          <w:color w:val="auto"/>
        </w:rPr>
        <w:t>The principal balance of the Revolving Facility and the principal balance of any amount drawn under the Term Note accrues interest based on the secured overnight financing rate for U.S. government securities (“SOFR”) or a bank-defined base rate plus an applicable margin, depending on leverage. Each draw under the Term Note will have an option for us of either (i) up to a five year amortizing term loan with a balloon due at maturity, or (ii) up to a five year term with up to seven years amortization with a balloon due at maturity. Any amortization greater than five years will be subject to an excess cash flow recapture. The Amended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spacing w:after="0" w:line="177" w:lineRule="exact"/>
        <w:rPr>
          <w:sz w:val="20"/>
          <w:szCs w:val="20"/>
          <w:color w:val="auto"/>
        </w:rPr>
      </w:pPr>
    </w:p>
    <w:p>
      <w:pPr>
        <w:ind w:left="740" w:right="100"/>
        <w:spacing w:after="0" w:line="272" w:lineRule="auto"/>
        <w:rPr>
          <w:sz w:val="20"/>
          <w:szCs w:val="20"/>
          <w:color w:val="auto"/>
        </w:rPr>
      </w:pPr>
      <w:r>
        <w:rPr>
          <w:rFonts w:ascii="Arial" w:cs="Arial" w:eastAsia="Arial" w:hAnsi="Arial"/>
          <w:sz w:val="17"/>
          <w:szCs w:val="17"/>
          <w:color w:val="auto"/>
        </w:rPr>
        <w:t>The Amended Loan Agreement contains customary default provisions, including but not limited to the failure by us to repay obligations when due, violation of provisions or representations provided in the Amended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Amended Loan Agreement includes customary affirmative, negative and financial covenants, including a maximum ratio of consolidated funded debt to consolidated EBITDA and a fixed charge coverage ratio. Our obligations under the Amended Loan Agreement are secured by liens on substantially all of our tangible and intangible assets that are owned as of the Closing Date or acquired thereafter.</w:t>
      </w:r>
    </w:p>
    <w:p>
      <w:pPr>
        <w:spacing w:after="0" w:line="177" w:lineRule="exact"/>
        <w:rPr>
          <w:sz w:val="20"/>
          <w:szCs w:val="20"/>
          <w:color w:val="auto"/>
        </w:rPr>
      </w:pPr>
    </w:p>
    <w:p>
      <w:pPr>
        <w:ind w:left="740" w:right="160"/>
        <w:spacing w:after="0" w:line="259" w:lineRule="auto"/>
        <w:rPr>
          <w:sz w:val="20"/>
          <w:szCs w:val="20"/>
          <w:color w:val="auto"/>
        </w:rPr>
      </w:pPr>
      <w:r>
        <w:rPr>
          <w:rFonts w:ascii="Arial" w:cs="Arial" w:eastAsia="Arial" w:hAnsi="Arial"/>
          <w:sz w:val="18"/>
          <w:szCs w:val="18"/>
          <w:color w:val="auto"/>
        </w:rPr>
        <w:t>On October 28, 2021, we drew $12,000 under the Term Note to finance the acquisition of Videology as discussed above. We also entered into an interest rate swap agreement with M&amp;T as of this date which is designed to protect us against fluctuations in interest rates during the five year repayment and amortization period. As a result, the annual interest rate we expect to pay for this draw under the Term Note is fixed at approximately 3.2% based on current leverage.</w:t>
      </w:r>
    </w:p>
    <w:p>
      <w:pPr>
        <w:spacing w:after="0" w:line="187" w:lineRule="exact"/>
        <w:rPr>
          <w:sz w:val="20"/>
          <w:szCs w:val="20"/>
          <w:color w:val="auto"/>
        </w:rPr>
      </w:pPr>
    </w:p>
    <w:p>
      <w:pPr>
        <w:ind w:left="740" w:right="260"/>
        <w:spacing w:after="0" w:line="259" w:lineRule="auto"/>
        <w:rPr>
          <w:sz w:val="20"/>
          <w:szCs w:val="20"/>
          <w:color w:val="auto"/>
        </w:rPr>
      </w:pPr>
      <w:r>
        <w:rPr>
          <w:rFonts w:ascii="Arial" w:cs="Arial" w:eastAsia="Arial" w:hAnsi="Arial"/>
          <w:sz w:val="18"/>
          <w:szCs w:val="18"/>
          <w:color w:val="auto"/>
        </w:rPr>
        <w:t>On December 29, 2021, we drew $8,500 under the Term Note to finance the acquisition of Acculogic as discussed above. We did not enter into an interest rate swap agreement with M&amp;T related to this draw. The annual interest rate we expect to pay for this draw under the Term Note is variable. At December 31, 2022 it was approximately 4.0% based on current leverage. Effective March 1, 2023, this rate had increased to approximately 6.7%.</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sets forth the remaining maturities of long-term debt: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3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4,100</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2024</w:t>
            </w:r>
          </w:p>
        </w:tc>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4,100</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w:t>
            </w:r>
          </w:p>
        </w:tc>
        <w:tc>
          <w:tcPr>
            <w:tcW w:w="3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4,100</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2026</w:t>
            </w:r>
          </w:p>
        </w:tc>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3,842</w:t>
            </w:r>
          </w:p>
        </w:tc>
        <w:tc>
          <w:tcPr>
            <w:tcW w:w="80" w:type="dxa"/>
            <w:vAlign w:val="bottom"/>
          </w:tcPr>
          <w:p>
            <w:pPr>
              <w:spacing w:after="0"/>
              <w:rPr>
                <w:sz w:val="18"/>
                <w:szCs w:val="18"/>
                <w:color w:val="auto"/>
              </w:rPr>
            </w:pPr>
          </w:p>
        </w:tc>
      </w:tr>
      <w:tr>
        <w:trPr>
          <w:trHeight w:val="256"/>
        </w:trPr>
        <w:tc>
          <w:tcPr>
            <w:tcW w:w="660" w:type="dxa"/>
            <w:vAlign w:val="bottom"/>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c>
          <w:tcPr>
            <w:tcW w:w="30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16,142</w:t>
            </w:r>
          </w:p>
        </w:tc>
        <w:tc>
          <w:tcPr>
            <w:tcW w:w="80" w:type="dxa"/>
            <w:vAlign w:val="bottom"/>
            <w:shd w:val="clear" w:color="auto" w:fill="CCEEFF"/>
          </w:tcPr>
          <w:p>
            <w:pPr>
              <w:spacing w:after="0"/>
              <w:rPr>
                <w:sz w:val="22"/>
                <w:szCs w:val="22"/>
                <w:color w:val="auto"/>
              </w:rPr>
            </w:pPr>
          </w:p>
        </w:tc>
      </w:tr>
      <w:tr>
        <w:trPr>
          <w:trHeight w:val="655"/>
        </w:trPr>
        <w:tc>
          <w:tcPr>
            <w:tcW w:w="66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(13)</w:t>
            </w:r>
          </w:p>
        </w:tc>
        <w:tc>
          <w:tcPr>
            <w:tcW w:w="404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b w:val="1"/>
                <w:bCs w:val="1"/>
                <w:color w:val="auto"/>
              </w:rPr>
              <w:t>INCOME TAXES</w:t>
            </w:r>
          </w:p>
        </w:tc>
        <w:tc>
          <w:tcPr>
            <w:tcW w:w="306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8080" w:type="dxa"/>
            <w:vAlign w:val="bottom"/>
            <w:gridSpan w:val="4"/>
          </w:tcPr>
          <w:p>
            <w:pPr>
              <w:ind w:left="20"/>
              <w:spacing w:after="0"/>
              <w:rPr>
                <w:sz w:val="20"/>
                <w:szCs w:val="20"/>
                <w:color w:val="auto"/>
              </w:rPr>
            </w:pPr>
            <w:r>
              <w:rPr>
                <w:rFonts w:ascii="Arial" w:cs="Arial" w:eastAsia="Arial" w:hAnsi="Arial"/>
                <w:sz w:val="18"/>
                <w:szCs w:val="18"/>
                <w:color w:val="auto"/>
                <w:w w:val="91"/>
              </w:rPr>
              <w:t>We are subject to Federal and certain state income taxes. In addition, we are taxed in certain foreign countries.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Earnings before income taxes was as follows:</w:t>
            </w:r>
          </w:p>
        </w:tc>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0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Foreign</w:t>
            </w:r>
          </w:p>
        </w:tc>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570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10,145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Income tax expense was as follows:</w:t>
            </w:r>
          </w:p>
        </w:tc>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Domestic – Federal</w:t>
            </w:r>
          </w:p>
        </w:tc>
        <w:tc>
          <w:tcPr>
            <w:tcW w:w="40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2,892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 state</w:t>
            </w:r>
          </w:p>
        </w:tc>
        <w:tc>
          <w:tcPr>
            <w:tcW w:w="3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Foreign</w:t>
            </w:r>
          </w:p>
        </w:tc>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0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30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 Federal</w:t>
            </w:r>
          </w:p>
        </w:tc>
        <w:tc>
          <w:tcPr>
            <w:tcW w:w="40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Domestic – state</w:t>
            </w:r>
          </w:p>
        </w:tc>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Total</w:t>
            </w:r>
          </w:p>
        </w:tc>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0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12"/>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20" w:type="dxa"/>
            <w:vAlign w:val="bottom"/>
            <w:tcBorders>
              <w:top w:val="single" w:sz="8" w:color="CCEEFF"/>
            </w:tcBorders>
          </w:tcPr>
          <w:p>
            <w:pPr>
              <w:spacing w:after="0"/>
              <w:rPr>
                <w:sz w:val="24"/>
                <w:szCs w:val="24"/>
                <w:color w:val="auto"/>
              </w:rPr>
            </w:pPr>
          </w:p>
        </w:tc>
        <w:tc>
          <w:tcPr>
            <w:tcW w:w="3060" w:type="dxa"/>
            <w:vAlign w:val="bottom"/>
            <w:tcBorders>
              <w:top w:val="single" w:sz="8" w:color="CCEEFF"/>
            </w:tcBorders>
          </w:tcPr>
          <w:p>
            <w:pPr>
              <w:ind w:left="740"/>
              <w:spacing w:after="0"/>
              <w:rPr>
                <w:sz w:val="20"/>
                <w:szCs w:val="20"/>
                <w:color w:val="auto"/>
              </w:rPr>
            </w:pPr>
            <w:r>
              <w:rPr>
                <w:rFonts w:ascii="Arial" w:cs="Arial" w:eastAsia="Arial" w:hAnsi="Arial"/>
                <w:sz w:val="18"/>
                <w:szCs w:val="18"/>
                <w:color w:val="auto"/>
              </w:rPr>
              <w:t>F- 27</w:t>
            </w:r>
          </w:p>
        </w:tc>
        <w:tc>
          <w:tcPr>
            <w:tcW w:w="9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611" w:right="259" w:bottom="987" w:gutter="0" w:footer="0" w:header="0"/>
        </w:sectPr>
      </w:pPr>
    </w:p>
    <w:bookmarkStart w:id="70" w:name="page71"/>
    <w:bookmarkEnd w:id="70"/>
    <w:p>
      <w:pPr>
        <w:ind w:left="680" w:right="320"/>
        <w:spacing w:after="0" w:line="286" w:lineRule="auto"/>
        <w:rPr>
          <w:sz w:val="20"/>
          <w:szCs w:val="20"/>
          <w:color w:val="auto"/>
        </w:rPr>
      </w:pPr>
      <w:r>
        <w:rPr>
          <w:rFonts w:ascii="Arial" w:cs="Arial" w:eastAsia="Arial" w:hAnsi="Arial"/>
          <w:sz w:val="17"/>
          <w:szCs w:val="17"/>
          <w:color w:val="auto"/>
        </w:rPr>
        <w:t>Deferred income taxes reflect the net tax effect of net operating loss and tax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at December 31, 2022 and 2021:</w:t>
      </w:r>
    </w:p>
    <w:p>
      <w:pPr>
        <w:spacing w:after="0" w:line="16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Capitalized research and development costs</w:t>
            </w: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1,260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liabilities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1,125</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602</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vacation pay and stock-based compensation</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Net operating loss (state and foreign)</w:t>
            </w: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Accrued warranty</w:t>
            </w: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Tax credit carryforwards</w:t>
            </w: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0"/>
        </w:trPr>
        <w:tc>
          <w:tcPr>
            <w:tcW w:w="67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780" w:type="dxa"/>
            <w:vAlign w:val="bottom"/>
          </w:tcPr>
          <w:p>
            <w:pPr>
              <w:ind w:left="160"/>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3,969</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0"/>
        </w:trPr>
        <w:tc>
          <w:tcPr>
            <w:tcW w:w="67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3,742</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2,440</w:t>
            </w: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Net intangible assets</w:t>
            </w:r>
          </w:p>
        </w:tc>
        <w:tc>
          <w:tcPr>
            <w:tcW w:w="10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(1,961)</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(2,381)</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Right-of-use assets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(1,245)</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Depreciation of property and equipment</w:t>
            </w:r>
          </w:p>
        </w:tc>
        <w:tc>
          <w:tcPr>
            <w:tcW w:w="10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7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7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(3,462)</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(3,819)</w:t>
            </w:r>
          </w:p>
        </w:tc>
      </w:tr>
      <w:tr>
        <w:trPr>
          <w:trHeight w:val="20"/>
        </w:trPr>
        <w:tc>
          <w:tcPr>
            <w:tcW w:w="6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1000" w:type="dxa"/>
            <w:vAlign w:val="bottom"/>
            <w:shd w:val="clear" w:color="auto" w:fill="CCEEFF"/>
          </w:tcPr>
          <w:p>
            <w:pPr>
              <w:jc w:val="right"/>
              <w:ind w:right="84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80" w:right="60"/>
        <w:spacing w:after="0" w:line="254" w:lineRule="auto"/>
        <w:rPr>
          <w:sz w:val="20"/>
          <w:szCs w:val="20"/>
          <w:color w:val="auto"/>
        </w:rPr>
      </w:pPr>
      <w:r>
        <w:rPr>
          <w:rFonts w:ascii="Arial" w:cs="Arial" w:eastAsia="Arial" w:hAnsi="Arial"/>
          <w:sz w:val="18"/>
          <w:szCs w:val="18"/>
          <w:color w:val="auto"/>
        </w:rPr>
        <w:t>The net change in the valuation allowance for the years ended December 31, 2022 and 2021 was an increase of $163 and a decrease of $105,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tax credit carryforwards which expire in various years through 2040.</w:t>
      </w:r>
    </w:p>
    <w:p>
      <w:pPr>
        <w:spacing w:after="0" w:line="195" w:lineRule="exact"/>
        <w:rPr>
          <w:sz w:val="20"/>
          <w:szCs w:val="20"/>
          <w:color w:val="auto"/>
        </w:rPr>
      </w:pPr>
    </w:p>
    <w:p>
      <w:pPr>
        <w:ind w:left="680" w:right="60"/>
        <w:spacing w:after="0" w:line="277" w:lineRule="auto"/>
        <w:rPr>
          <w:sz w:val="20"/>
          <w:szCs w:val="20"/>
          <w:color w:val="auto"/>
        </w:rPr>
      </w:pPr>
      <w:r>
        <w:rPr>
          <w:rFonts w:ascii="Arial" w:cs="Arial" w:eastAsia="Arial" w:hAnsi="Arial"/>
          <w:sz w:val="18"/>
          <w:szCs w:val="18"/>
          <w:color w:val="auto"/>
        </w:rPr>
        <w:t>An analysis of the effective tax rate for the years ended December 31, 2022 and 2021 and a reconciliation from the expected statutory rate of 21%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7"/>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expense at U.S. statutory rate</w:t>
            </w:r>
          </w:p>
        </w:tc>
        <w:tc>
          <w:tcPr>
            <w:tcW w:w="34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Increase (decrease) in tax from:</w:t>
            </w: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w:t>
            </w:r>
          </w:p>
        </w:tc>
        <w:tc>
          <w:tcPr>
            <w:tcW w:w="2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Dividend from foreign subsidiaries</w:t>
            </w: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NOL carryforwards utilized</w:t>
            </w:r>
          </w:p>
        </w:tc>
        <w:tc>
          <w:tcPr>
            <w:tcW w:w="2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Restricted stock compensation</w:t>
            </w: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Global intangible low taxed income</w:t>
            </w:r>
          </w:p>
        </w:tc>
        <w:tc>
          <w:tcPr>
            <w:tcW w:w="2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Nondeductible expenses</w:t>
            </w: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year tax credits (foreign and research)</w:t>
            </w:r>
          </w:p>
        </w:tc>
        <w:tc>
          <w:tcPr>
            <w:tcW w:w="2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Domestic tax benefit, net of Federal benefit</w:t>
            </w: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valuation allowance</w:t>
            </w:r>
          </w:p>
        </w:tc>
        <w:tc>
          <w:tcPr>
            <w:tcW w:w="2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Foreign income tax rate differences</w:t>
            </w: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Section 250 foreign derived intangible income deduction</w:t>
            </w:r>
          </w:p>
        </w:tc>
        <w:tc>
          <w:tcPr>
            <w:tcW w:w="2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Other</w:t>
            </w: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4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1,684</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21"/>
                <w:szCs w:val="21"/>
                <w:color w:val="auto"/>
              </w:rPr>
            </w:pPr>
          </w:p>
        </w:tc>
      </w:tr>
      <w:tr>
        <w:trPr>
          <w:trHeight w:val="412"/>
        </w:trPr>
        <w:tc>
          <w:tcPr>
            <w:tcW w:w="980" w:type="dxa"/>
            <w:vAlign w:val="bottom"/>
          </w:tcPr>
          <w:p>
            <w:pPr>
              <w:spacing w:after="0"/>
              <w:rPr>
                <w:sz w:val="24"/>
                <w:szCs w:val="24"/>
                <w:color w:val="auto"/>
              </w:rPr>
            </w:pPr>
          </w:p>
        </w:tc>
        <w:tc>
          <w:tcPr>
            <w:tcW w:w="4360" w:type="dxa"/>
            <w:vAlign w:val="bottom"/>
            <w:tcBorders>
              <w:top w:val="single" w:sz="8" w:color="CCEEFF"/>
            </w:tcBorders>
          </w:tcPr>
          <w:p>
            <w:pPr>
              <w:spacing w:after="0"/>
              <w:rPr>
                <w:sz w:val="24"/>
                <w:szCs w:val="24"/>
                <w:color w:val="auto"/>
              </w:rPr>
            </w:pPr>
          </w:p>
        </w:tc>
        <w:tc>
          <w:tcPr>
            <w:tcW w:w="242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F- 28</w:t>
            </w: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71" w:name="page72"/>
    <w:bookmarkEnd w:id="71"/>
    <w:p>
      <w:pPr>
        <w:ind w:left="672" w:right="220"/>
        <w:spacing w:after="0" w:line="296" w:lineRule="auto"/>
        <w:rPr>
          <w:sz w:val="20"/>
          <w:szCs w:val="20"/>
          <w:color w:val="auto"/>
        </w:rPr>
      </w:pPr>
      <w:r>
        <w:rPr>
          <w:rFonts w:ascii="Arial" w:cs="Arial" w:eastAsia="Arial" w:hAnsi="Arial"/>
          <w:sz w:val="16"/>
          <w:szCs w:val="16"/>
          <w:color w:val="auto"/>
        </w:rPr>
        <w:t>In accounting for income taxes, we follow the guidance in ASC Topic 740 (Income Taxes) regarding the recognition and measurement of uncertain tax positions in our financial statements. Recognition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At December 31, 2022 and 2021, we did not have an accrual for uncertain tax positions.</w:t>
      </w:r>
    </w:p>
    <w:p>
      <w:pPr>
        <w:spacing w:after="0" w:line="161" w:lineRule="exact"/>
        <w:rPr>
          <w:sz w:val="20"/>
          <w:szCs w:val="20"/>
          <w:color w:val="auto"/>
        </w:rPr>
      </w:pPr>
    </w:p>
    <w:p>
      <w:pPr>
        <w:ind w:left="672" w:right="20"/>
        <w:spacing w:after="0" w:line="308" w:lineRule="auto"/>
        <w:rPr>
          <w:sz w:val="20"/>
          <w:szCs w:val="20"/>
          <w:color w:val="auto"/>
        </w:rPr>
      </w:pPr>
      <w:r>
        <w:rPr>
          <w:rFonts w:ascii="Arial" w:cs="Arial" w:eastAsia="Arial" w:hAnsi="Arial"/>
          <w:sz w:val="17"/>
          <w:szCs w:val="17"/>
          <w:color w:val="auto"/>
        </w:rPr>
        <w:t>We file U.S. income tax returns and multiple state and foreign income tax returns. With few exceptions, the U.S. and state income tax returns filed for the tax years ended December 31, 2019 and thereafter are subject to examination by the relevant taxing authorities.</w:t>
      </w:r>
    </w:p>
    <w:p>
      <w:pPr>
        <w:spacing w:after="0" w:line="385" w:lineRule="exact"/>
        <w:rPr>
          <w:sz w:val="20"/>
          <w:szCs w:val="20"/>
          <w:color w:val="auto"/>
        </w:rPr>
      </w:pPr>
    </w:p>
    <w:p>
      <w:pPr>
        <w:ind w:left="652" w:hanging="652"/>
        <w:spacing w:after="0"/>
        <w:tabs>
          <w:tab w:leader="none" w:pos="65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29" w:lineRule="exact"/>
        <w:rPr>
          <w:rFonts w:ascii="Arial" w:cs="Arial" w:eastAsia="Arial" w:hAnsi="Arial"/>
          <w:sz w:val="18"/>
          <w:szCs w:val="18"/>
          <w:b w:val="1"/>
          <w:bCs w:val="1"/>
          <w:color w:val="auto"/>
        </w:rPr>
      </w:pPr>
    </w:p>
    <w:p>
      <w:pPr>
        <w:jc w:val="both"/>
        <w:ind w:left="672"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w:t>
      </w:r>
    </w:p>
    <w:p>
      <w:pPr>
        <w:spacing w:after="0" w:line="200" w:lineRule="exact"/>
        <w:rPr>
          <w:rFonts w:ascii="Arial" w:cs="Arial" w:eastAsia="Arial" w:hAnsi="Arial"/>
          <w:sz w:val="18"/>
          <w:szCs w:val="18"/>
          <w:b w:val="1"/>
          <w:bCs w:val="1"/>
          <w:color w:val="auto"/>
        </w:rPr>
      </w:pPr>
    </w:p>
    <w:p>
      <w:pPr>
        <w:spacing w:after="0" w:line="222" w:lineRule="exact"/>
        <w:rPr>
          <w:rFonts w:ascii="Arial" w:cs="Arial" w:eastAsia="Arial" w:hAnsi="Arial"/>
          <w:sz w:val="18"/>
          <w:szCs w:val="18"/>
          <w:b w:val="1"/>
          <w:bCs w:val="1"/>
          <w:color w:val="auto"/>
        </w:rPr>
      </w:pPr>
    </w:p>
    <w:p>
      <w:pPr>
        <w:ind w:left="652" w:hanging="652"/>
        <w:spacing w:after="0"/>
        <w:tabs>
          <w:tab w:leader="none" w:pos="65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w:t>
      </w:r>
    </w:p>
    <w:p>
      <w:pPr>
        <w:spacing w:after="0" w:line="229" w:lineRule="exact"/>
        <w:rPr>
          <w:rFonts w:ascii="Arial" w:cs="Arial" w:eastAsia="Arial" w:hAnsi="Arial"/>
          <w:sz w:val="18"/>
          <w:szCs w:val="18"/>
          <w:b w:val="1"/>
          <w:bCs w:val="1"/>
          <w:color w:val="auto"/>
        </w:rPr>
      </w:pPr>
    </w:p>
    <w:p>
      <w:pPr>
        <w:ind w:left="67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At December 31, 2022, we have unvested restricted stock awards and stock options outstanding which were granted under the inTEST Corporation Third Amended and Restated 2014 Stock Plan, as amended (the "2014 Stock Plan"). The 2014 Stock Plan was originally approved at our annual meeting of stockholders held on June 25, 2014 and permitted the granting of stock options, restricted stock, stock appreciation rights or restricted stock units for up to 500,000 shares of our common stock to directors, officers, other key employees and consultants. Increases in the number of shares of common stock that may be delivered pursuant to awards granted under the 2014 Stock Plan have been approved at subsequent annual meetings of stockholders, the most recent of which occurred on June 22, 2022 when our stockholders approved the amendment and restatement of the 2014 Stock Plan to increase the number of shares of common stock that may be delivered pursuant to awards granted under the 2014 Stock Plan from 2,000,000 to 2,500,000 shares. At December 31, 2022, there were 931,119 aggregate shares available to grant under the 2014 Plan.</w:t>
      </w:r>
    </w:p>
    <w:p>
      <w:pPr>
        <w:spacing w:after="0" w:line="180" w:lineRule="exact"/>
        <w:rPr>
          <w:rFonts w:ascii="Arial" w:cs="Arial" w:eastAsia="Arial" w:hAnsi="Arial"/>
          <w:sz w:val="18"/>
          <w:szCs w:val="18"/>
          <w:b w:val="1"/>
          <w:bCs w:val="1"/>
          <w:color w:val="auto"/>
        </w:rPr>
      </w:pPr>
    </w:p>
    <w:p>
      <w:pPr>
        <w:ind w:left="672" w:right="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Our unvested restricted stock awards and stock options are accounted for based on their grant date fair value. At December 31, 2022, total compensation expense to be recognized in future periods is $2,892. The weighted average period over which this expense is expected to be recognized is 2.2 years.</w:t>
      </w:r>
    </w:p>
    <w:p>
      <w:pPr>
        <w:spacing w:after="0" w:line="183" w:lineRule="exact"/>
        <w:rPr>
          <w:rFonts w:ascii="Arial" w:cs="Arial" w:eastAsia="Arial" w:hAnsi="Arial"/>
          <w:sz w:val="18"/>
          <w:szCs w:val="18"/>
          <w:b w:val="1"/>
          <w:bCs w:val="1"/>
          <w:color w:val="auto"/>
        </w:rPr>
      </w:pPr>
    </w:p>
    <w:p>
      <w:pPr>
        <w:ind w:left="672"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compensation expense we recorded during 2022 and 2021 related to unvested shares of restricted stock and stock options:</w:t>
      </w:r>
    </w:p>
    <w:p>
      <w:pPr>
        <w:spacing w:after="0" w:line="166"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7"/>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Selling expense</w:t>
            </w: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1,642</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r>
      <w:tr>
        <w:trPr>
          <w:trHeight w:val="20"/>
        </w:trPr>
        <w:tc>
          <w:tcPr>
            <w:tcW w:w="67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72"/>
        <w:spacing w:after="0"/>
        <w:rPr>
          <w:sz w:val="20"/>
          <w:szCs w:val="20"/>
          <w:color w:val="auto"/>
        </w:rPr>
      </w:pPr>
      <w:r>
        <w:rPr>
          <w:rFonts w:ascii="Arial" w:cs="Arial" w:eastAsia="Arial" w:hAnsi="Arial"/>
          <w:sz w:val="18"/>
          <w:szCs w:val="18"/>
          <w:color w:val="auto"/>
        </w:rPr>
        <w:t>There was no compensation expense capitalized in 2022 or 2021.</w:t>
      </w:r>
    </w:p>
    <w:p>
      <w:pPr>
        <w:spacing w:after="0" w:line="225" w:lineRule="exact"/>
        <w:rPr>
          <w:sz w:val="20"/>
          <w:szCs w:val="20"/>
          <w:color w:val="auto"/>
        </w:rPr>
      </w:pPr>
    </w:p>
    <w:p>
      <w:pPr>
        <w:ind w:left="672"/>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jc w:val="both"/>
        <w:ind w:left="672" w:right="220"/>
        <w:spacing w:after="0" w:line="263"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611" w:right="359" w:bottom="1440" w:gutter="0" w:footer="0" w:header="0"/>
        </w:sectPr>
      </w:pPr>
    </w:p>
    <w:bookmarkStart w:id="72" w:name="page73"/>
    <w:bookmarkEnd w:id="72"/>
    <w:p>
      <w:pPr>
        <w:ind w:right="300"/>
        <w:spacing w:after="0" w:line="277" w:lineRule="auto"/>
        <w:rPr>
          <w:sz w:val="20"/>
          <w:szCs w:val="20"/>
          <w:color w:val="auto"/>
        </w:rPr>
      </w:pPr>
      <w:r>
        <w:rPr>
          <w:rFonts w:ascii="Arial" w:cs="Arial" w:eastAsia="Arial" w:hAnsi="Arial"/>
          <w:sz w:val="18"/>
          <w:szCs w:val="18"/>
          <w:color w:val="auto"/>
        </w:rPr>
        <w:t>The fair value for stock options granted during 2022 and 2021 was estimated at the date of grant using the Black-Scholes option pricing model with the following weighted average assumptions: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09"/>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per share weighted average fair value of stock options issued during 2022 and 2021 was $4.53 and $5.70,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stock options for the two years ended December 31, 2022:</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7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67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January 1, 2021</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438,200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282,404</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(231,185)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(80,550)</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r>
      <w:tr>
        <w:trPr>
          <w:trHeight w:val="20"/>
        </w:trPr>
        <w:tc>
          <w:tcPr>
            <w:tcW w:w="6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December 31, 2021 (59,195 exercisable)</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408,869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202,540</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(22,930)</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r>
      <w:tr>
        <w:trPr>
          <w:trHeight w:val="20"/>
        </w:trPr>
        <w:tc>
          <w:tcPr>
            <w:tcW w:w="6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December 31, 2022 (167,886 exercisable)</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580,419</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Since August 2020, we have increasingly granted performance-based restricted stock awards where the ultimate number of shares that vest can vary between 0% and 150% of the amount of the original award and is based on the achievement of specified performance metrics. Vesting for these awards is generally cliff vesting at the end of the period over which the performance metrics are measured. Compensation expense for these awards is recorded on a straight-line basis over the vesting period and is based on the expected final vesting percentage, which is re-assessed at the end of each reporting period and adjusted with a catch-up adjustment, as needed. Our initial assumption at the grant date of these awards is that the award will vest at the 100% level.</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August 24, 2020, our new President and Chief Executive Officer ("CEO") received two restricted stock awards totaling 141,610 shares valued at $650 as of the date of grant, which was also his hire date. Of the total shares awarded, 66,448 shares vest over 4 years (25% at each anniversary) and 75,162 shares vest on the third anniversary of the grant date at a vesting percentage that could range from 0% to 150% of the number of shares awarded on August 24, 2020. The final vesting percentage will be based on the achievement of certain performance metrics, including revenue compound annual growth rate and diluted earnings per share excluding amortization of intangibles, for specified time periods as determined by the Compensation Committee of our Board of Directors. At December 31, 2022, we have estimated that these shares will vest at 150% of the original amount based on our assessment of the probable achievement against the relevant performance metrics.</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March 10, 2021, we issued restricted stock awards totaling 18,000 shares to members of the senior management within our operating segments. These shares will vest on the third anniversary of the grant date at a vesting percentage that could range from 0% to 150% of the number of shares awarded on March 10, 2021. The final vesting percentage will be based on the achievement of certain performance metrics related to the operating results of the business units for which these members of management are responsible. At December 31, 2022, we have estimated that 12,000 these shares will vest at 100% of the original amount and that the remaining 6,000 will not vest based on our assessment of the probable achievement against the relevant performance metrics.</w:t>
      </w:r>
    </w:p>
    <w:p>
      <w:pPr>
        <w:spacing w:after="0" w:line="19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June 14, 2021, our new CFO received two restricted stock awards totaling 7,941 shares valued at $133 as of the date of grant, which was also his hire date. Of the total shares awarded, 1,988 shares vest over 4 years (25% at each anniversary) and 5,953 shares vest on August 24, 2023 at a vesting percentage that could range from 0% to 150% of the number of shares awarded on June 14, 2021. The final vesting percentage will be based on the achievement of certain performance metrics, including revenue compound annual growth rate and diluted earnings per share excluding amortization of intangibles, for specified time periods as determined by the Compensation Committee of our Board of Directors. At December 31, 2022, we have estimated that these shares will vest at 150% of the original amount based on our assessment of the probable achievement against the relevant performance metrics.</w:t>
      </w:r>
    </w:p>
    <w:p>
      <w:pPr>
        <w:spacing w:after="0" w:line="17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584" w:right="339" w:bottom="1440" w:gutter="0" w:footer="0" w:header="0"/>
        </w:sectPr>
      </w:pPr>
    </w:p>
    <w:bookmarkStart w:id="73" w:name="page74"/>
    <w:bookmarkEnd w:id="73"/>
    <w:p>
      <w:pPr>
        <w:ind w:left="672"/>
        <w:spacing w:after="0" w:line="257" w:lineRule="auto"/>
        <w:rPr>
          <w:sz w:val="20"/>
          <w:szCs w:val="20"/>
          <w:color w:val="auto"/>
        </w:rPr>
      </w:pPr>
      <w:r>
        <w:rPr>
          <w:rFonts w:ascii="Arial" w:cs="Arial" w:eastAsia="Arial" w:hAnsi="Arial"/>
          <w:sz w:val="18"/>
          <w:szCs w:val="18"/>
          <w:color w:val="auto"/>
        </w:rPr>
        <w:t>On October 1, 2021, we issued restricted stock awards totaling 5,000 shares to a member of senior management. These shares will vest on January 1, 2025 at a vesting percentage that could range from 0% to 150% of the number of shares awarded on October 1, 2021. The final vesting percentage will be based on the achievement of certain performance metrics related to our consolidated operating results. At December 31, 2022, we have estimated that these shares will vest at 100% of the original amount based on our assessment of the probable achievement against the relevant performance metrics.</w:t>
      </w:r>
    </w:p>
    <w:p>
      <w:pPr>
        <w:spacing w:after="0" w:line="188" w:lineRule="exact"/>
        <w:rPr>
          <w:sz w:val="20"/>
          <w:szCs w:val="20"/>
          <w:color w:val="auto"/>
        </w:rPr>
      </w:pPr>
    </w:p>
    <w:p>
      <w:pPr>
        <w:ind w:left="672" w:right="60"/>
        <w:spacing w:after="0" w:line="273" w:lineRule="auto"/>
        <w:rPr>
          <w:sz w:val="20"/>
          <w:szCs w:val="20"/>
          <w:color w:val="auto"/>
        </w:rPr>
      </w:pPr>
      <w:r>
        <w:rPr>
          <w:rFonts w:ascii="Arial" w:cs="Arial" w:eastAsia="Arial" w:hAnsi="Arial"/>
          <w:sz w:val="17"/>
          <w:szCs w:val="17"/>
          <w:color w:val="auto"/>
        </w:rPr>
        <w:t>On March 9, 2022, our CEO and CFO received restricted stock awards totaling 20,493 shares valued at $200 as of the date of grant. These shares vest on the third anniversary of the grant date at a vesting percentage that could range from 0% to 150% of the number of shares awarded on March 9, 2022. The final vesting percentage will be based on the achievement of certain performance metrics, including revenue compound annual growth rate and diluted earnings per share excluding amortization of intangibles, for specified time periods as determined by the Compensation Committee of our Board of Directors. At December 31, 2022, we have estimated that these shares will vest at 100% of the original amount based on our assessment of the probable achievement against the relevant performance metrics.</w:t>
      </w:r>
    </w:p>
    <w:p>
      <w:pPr>
        <w:spacing w:after="0" w:line="178" w:lineRule="exact"/>
        <w:rPr>
          <w:sz w:val="20"/>
          <w:szCs w:val="20"/>
          <w:color w:val="auto"/>
        </w:rPr>
      </w:pPr>
    </w:p>
    <w:p>
      <w:pPr>
        <w:ind w:left="672"/>
        <w:spacing w:after="0"/>
        <w:rPr>
          <w:sz w:val="20"/>
          <w:szCs w:val="20"/>
          <w:color w:val="auto"/>
        </w:rPr>
      </w:pPr>
      <w:r>
        <w:rPr>
          <w:rFonts w:ascii="Arial" w:cs="Arial" w:eastAsia="Arial" w:hAnsi="Arial"/>
          <w:sz w:val="18"/>
          <w:szCs w:val="18"/>
          <w:color w:val="auto"/>
        </w:rPr>
        <w:t>The following table summarizes the activity related to unvested restricted stock awards for the two years ended December 31, 2022:</w:t>
      </w:r>
    </w:p>
    <w:p>
      <w:pPr>
        <w:spacing w:after="0" w:line="221"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7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2021</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237,155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131,209</w:t>
            </w: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(87,706)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(18,125)</w:t>
            </w: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r>
      <w:tr>
        <w:trPr>
          <w:trHeight w:val="20"/>
        </w:trPr>
        <w:tc>
          <w:tcPr>
            <w:tcW w:w="6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December 31, 2021</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262,533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123,533</w:t>
            </w: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(91,672)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(5,944)</w:t>
            </w: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r>
      <w:tr>
        <w:trPr>
          <w:trHeight w:val="20"/>
        </w:trPr>
        <w:tc>
          <w:tcPr>
            <w:tcW w:w="6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December 31, 2022</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288,450</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72" w:right="740"/>
        <w:spacing w:after="0" w:line="277" w:lineRule="auto"/>
        <w:rPr>
          <w:sz w:val="20"/>
          <w:szCs w:val="20"/>
          <w:color w:val="auto"/>
        </w:rPr>
      </w:pPr>
      <w:r>
        <w:rPr>
          <w:rFonts w:ascii="Arial" w:cs="Arial" w:eastAsia="Arial" w:hAnsi="Arial"/>
          <w:sz w:val="18"/>
          <w:szCs w:val="18"/>
          <w:color w:val="auto"/>
        </w:rPr>
        <w:t>The total fair value of the restricted stock awards that vested during the years ended December 31, 2022 and 2021 was $643 and $1,101, respectively, as of the vesting dates of these awards.</w:t>
      </w:r>
    </w:p>
    <w:p>
      <w:pPr>
        <w:spacing w:after="0" w:line="200" w:lineRule="exact"/>
        <w:rPr>
          <w:sz w:val="20"/>
          <w:szCs w:val="20"/>
          <w:color w:val="auto"/>
        </w:rPr>
      </w:pPr>
    </w:p>
    <w:p>
      <w:pPr>
        <w:spacing w:after="0" w:line="209" w:lineRule="exact"/>
        <w:rPr>
          <w:sz w:val="20"/>
          <w:szCs w:val="20"/>
          <w:color w:val="auto"/>
        </w:rPr>
      </w:pPr>
    </w:p>
    <w:p>
      <w:pPr>
        <w:ind w:left="652" w:hanging="652"/>
        <w:spacing w:after="0"/>
        <w:tabs>
          <w:tab w:leader="none" w:pos="65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PLANS</w:t>
      </w:r>
    </w:p>
    <w:p>
      <w:pPr>
        <w:spacing w:after="0" w:line="229" w:lineRule="exact"/>
        <w:rPr>
          <w:rFonts w:ascii="Arial" w:cs="Arial" w:eastAsia="Arial" w:hAnsi="Arial"/>
          <w:sz w:val="18"/>
          <w:szCs w:val="18"/>
          <w:b w:val="1"/>
          <w:bCs w:val="1"/>
          <w:color w:val="auto"/>
        </w:rPr>
      </w:pPr>
    </w:p>
    <w:p>
      <w:pPr>
        <w:ind w:left="672"/>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On July 31, 2019, our Board of Directors authorized the repurchase of up to $3,000 of our common stock from time to time on the open market, in compliance with Rule 10b-18 under the Securities Exchange Act of 1934, as amended (the “Exchange Act”), or in privately negotiated transactions pursuant to a newly authorized stock repurchase plan (the “2019 Repurchase Plan”). Repurchases are to be made under a Rule 10b5-1 plan entered into with RW Baird &amp; Co., which permits shares to be repurchased when we might otherwise be precluded from doing so under insider trading laws and our internal trading windows. The 2019 Repurchase Plan does not obligate us to purchase any particular amount of common stock and can be suspended or discontinued at any time without prior notice. The 2019 Repurchase Plan is funded using our operating cash flow or available cash. Purchases began on September 18, 2019 under this plan. On March 2, 2020, we suspended repurchases under the</w:t>
      </w:r>
    </w:p>
    <w:p>
      <w:pPr>
        <w:spacing w:after="0" w:line="2" w:lineRule="exact"/>
        <w:rPr>
          <w:rFonts w:ascii="Arial" w:cs="Arial" w:eastAsia="Arial" w:hAnsi="Arial"/>
          <w:sz w:val="18"/>
          <w:szCs w:val="18"/>
          <w:b w:val="1"/>
          <w:bCs w:val="1"/>
          <w:color w:val="auto"/>
        </w:rPr>
      </w:pPr>
    </w:p>
    <w:p>
      <w:pPr>
        <w:ind w:left="672" w:right="360"/>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2019 Repurchase Plan. From the adoption of the 2019 Repurchase Plan through the suspension of the plan, we repurchased a total of 243,075 shares at a cost of $1,216, which includes fees paid to our broker of $6. All of the repurchased shares were retired.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ind w:left="652" w:hanging="652"/>
        <w:spacing w:after="0"/>
        <w:tabs>
          <w:tab w:leader="none" w:pos="65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72" w:right="280"/>
        <w:spacing w:after="0" w:line="259" w:lineRule="auto"/>
        <w:rPr>
          <w:sz w:val="20"/>
          <w:szCs w:val="20"/>
          <w:color w:val="auto"/>
        </w:rPr>
      </w:pPr>
      <w:r>
        <w:rPr>
          <w:rFonts w:ascii="Arial" w:cs="Arial" w:eastAsia="Arial" w:hAnsi="Arial"/>
          <w:sz w:val="18"/>
          <w:szCs w:val="18"/>
          <w:color w:val="auto"/>
        </w:rPr>
        <w:t>The inTEST Corporation Employee Stock Purchase Plan (the “ESPP”) was adopted by the Board in April 2021 subject to approval by our stockholders, which occurred on June 23, 2021 at our Annual Meeting of Stockholders. The ESPP provides our eligible employees with an opportunity to purchase common stock through accumulated payroll deductions at a discounted purchase price. The ESPP became effective on October 1, 2021.</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611" w:right="359" w:bottom="1440" w:gutter="0" w:footer="0" w:header="0"/>
        </w:sectPr>
      </w:pPr>
    </w:p>
    <w:bookmarkStart w:id="74" w:name="page75"/>
    <w:bookmarkEnd w:id="74"/>
    <w:p>
      <w:pPr>
        <w:ind w:left="672" w:right="60"/>
        <w:spacing w:after="0" w:line="263" w:lineRule="auto"/>
        <w:rPr>
          <w:sz w:val="20"/>
          <w:szCs w:val="20"/>
          <w:color w:val="auto"/>
        </w:rPr>
      </w:pPr>
      <w:r>
        <w:rPr>
          <w:rFonts w:ascii="Arial" w:cs="Arial" w:eastAsia="Arial" w:hAnsi="Arial"/>
          <w:sz w:val="18"/>
          <w:szCs w:val="18"/>
          <w:color w:val="auto"/>
        </w:rPr>
        <w:t>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spacing w:after="0" w:line="184" w:lineRule="exact"/>
        <w:rPr>
          <w:sz w:val="20"/>
          <w:szCs w:val="20"/>
          <w:color w:val="auto"/>
        </w:rPr>
      </w:pPr>
    </w:p>
    <w:p>
      <w:pPr>
        <w:ind w:left="672" w:right="80"/>
        <w:spacing w:after="0" w:line="259" w:lineRule="auto"/>
        <w:rPr>
          <w:sz w:val="20"/>
          <w:szCs w:val="20"/>
          <w:color w:val="auto"/>
        </w:rPr>
      </w:pPr>
      <w:r>
        <w:rPr>
          <w:rFonts w:ascii="Arial" w:cs="Arial" w:eastAsia="Arial" w:hAnsi="Arial"/>
          <w:sz w:val="18"/>
          <w:szCs w:val="18"/>
          <w:color w:val="auto"/>
        </w:rPr>
        <w:t>During the year ended December 31, 2022, employees purchased 27,162 shares of our stock through the ESPP at a cost of $197. The closing market price on the dates of purchase were $10.73, $6.82, $7.63 and $10.30, respectively. The prices paid by employees were $9.12, $5.80, $6.49 and $8.76, respectively, which represented a 15% discount. The total amount of the discount of $36 was recorded as compensation expense in our consolidated statements of operations.</w:t>
      </w:r>
    </w:p>
    <w:p>
      <w:pPr>
        <w:spacing w:after="0" w:line="187" w:lineRule="exact"/>
        <w:rPr>
          <w:sz w:val="20"/>
          <w:szCs w:val="20"/>
          <w:color w:val="auto"/>
        </w:rPr>
      </w:pPr>
    </w:p>
    <w:p>
      <w:pPr>
        <w:ind w:left="672" w:right="280"/>
        <w:spacing w:after="0" w:line="311" w:lineRule="auto"/>
        <w:rPr>
          <w:sz w:val="20"/>
          <w:szCs w:val="20"/>
          <w:color w:val="auto"/>
        </w:rPr>
      </w:pPr>
      <w:r>
        <w:rPr>
          <w:rFonts w:ascii="Arial" w:cs="Arial" w:eastAsia="Arial" w:hAnsi="Arial"/>
          <w:sz w:val="16"/>
          <w:szCs w:val="16"/>
          <w:color w:val="auto"/>
        </w:rPr>
        <w:t>From the effective date of the ESPP through December 31, 2021, employees purchased 3,991 shares of our stock through the ESPP at a cost of $43. The closing market price on the date of the purchase was $12.72. The price paid by employees was $10.81 which represented a 15% discount. The total amount of the discount of $8 was recorded as compensation expense in our consolidated statements of operations.</w:t>
      </w:r>
    </w:p>
    <w:p>
      <w:pPr>
        <w:spacing w:after="0" w:line="388" w:lineRule="exact"/>
        <w:rPr>
          <w:sz w:val="20"/>
          <w:szCs w:val="20"/>
          <w:color w:val="auto"/>
        </w:rPr>
      </w:pPr>
    </w:p>
    <w:p>
      <w:pPr>
        <w:ind w:left="652" w:hanging="652"/>
        <w:spacing w:after="0"/>
        <w:tabs>
          <w:tab w:leader="none" w:pos="65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rFonts w:ascii="Arial" w:cs="Arial" w:eastAsia="Arial" w:hAnsi="Arial"/>
          <w:sz w:val="18"/>
          <w:szCs w:val="18"/>
          <w:b w:val="1"/>
          <w:bCs w:val="1"/>
          <w:color w:val="auto"/>
        </w:rPr>
      </w:pPr>
    </w:p>
    <w:p>
      <w:pPr>
        <w:ind w:left="672"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We have defined contribution 401(k) plans for our employees who work in the U.S. All permanent employees of inTEST Corporation, EMS LLC, Temptronic and, effective January 1, 2022, Videology,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years ended December 31, 2022 and 2021 we recorded $479 and $347 of expense for matching contributions, respectively.</w:t>
      </w:r>
    </w:p>
    <w:p>
      <w:pPr>
        <w:spacing w:after="0" w:line="176" w:lineRule="exact"/>
        <w:rPr>
          <w:rFonts w:ascii="Arial" w:cs="Arial" w:eastAsia="Arial" w:hAnsi="Arial"/>
          <w:sz w:val="18"/>
          <w:szCs w:val="18"/>
          <w:b w:val="1"/>
          <w:bCs w:val="1"/>
          <w:color w:val="auto"/>
        </w:rPr>
      </w:pPr>
    </w:p>
    <w:p>
      <w:pPr>
        <w:ind w:left="672"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six months of service, as defined in the Ambrell Plan. The Ambrell Plan allows eligible employees to make voluntary contributions up to 100% of compensation, up to the federal government contribution limits. We will make a matching contribution of 50% of each employee's contributions up to a maximum of 10% of the employee's deferral with a maximum limit of $5. For the years ended December 31, 2022 and 2021 we recorded $268 and $165 of expense for matching contributions, respectively.</w:t>
      </w:r>
    </w:p>
    <w:p>
      <w:pPr>
        <w:spacing w:after="0" w:line="192" w:lineRule="exact"/>
        <w:rPr>
          <w:rFonts w:ascii="Arial" w:cs="Arial" w:eastAsia="Arial" w:hAnsi="Arial"/>
          <w:sz w:val="18"/>
          <w:szCs w:val="18"/>
          <w:b w:val="1"/>
          <w:bCs w:val="1"/>
          <w:color w:val="auto"/>
        </w:rPr>
      </w:pPr>
    </w:p>
    <w:p>
      <w:pPr>
        <w:ind w:left="67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Prior to January 1, 2022, Videology had a Savings Incentive Match plan (the “Videology Plan”) for its employees who work in the U.S., which qualified as a SIMPLE-IRA plan under Section 401(p) of the Internal Revenue Code. Eligible employees could contribute up to $13 of their salary to the Videology Plan. Employees age 50 or over could also make a catch-up contribution up to $3. Videology made a non-elective contribution up to a maximum of 2% of compensation for eligible employees. Non-elective contributions of $3 were made to the Videology Plan from the acquisition date of Videology through December 31, 2021. Effective January 1, 2022, the Videology Plan was terminated and employees were eligible to participate in the inTEST Corporation Incentive Savings Plan.</w:t>
      </w: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ind w:left="652" w:hanging="652"/>
        <w:spacing w:after="0"/>
        <w:tabs>
          <w:tab w:leader="none" w:pos="65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left="732" w:right="80"/>
        <w:spacing w:after="0" w:line="290" w:lineRule="auto"/>
        <w:rPr>
          <w:sz w:val="20"/>
          <w:szCs w:val="20"/>
          <w:color w:val="auto"/>
        </w:rPr>
      </w:pPr>
      <w:r>
        <w:rPr>
          <w:rFonts w:ascii="Arial" w:cs="Arial" w:eastAsia="Arial" w:hAnsi="Arial"/>
          <w:sz w:val="16"/>
          <w:szCs w:val="16"/>
          <w:color w:val="auto"/>
        </w:rPr>
        <w:t>During the year ended December 31, 2021, we managed our business as two operating segments which were also our reportable segments and reporting units: Thermal and EMS. As previously discussed in Note 1, effective January 1, 2022, we reorganized our segments to better align with our plan to manage and report our business going forward. This change in our operating and reporting structure reflects the evolution of our business, particularly as a result of the broadening of our product portfolio through the acquisitions we completed in the fourth quarter of 2021, which are discussed more fully in Note 3. Accordingly, for 2022, we have three operating segments which are also our reportable segments and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 Prior year information has been reclassified to be comparable to the current period’s presentation.</w:t>
      </w:r>
    </w:p>
    <w:p>
      <w:pPr>
        <w:spacing w:after="0" w:line="165" w:lineRule="exact"/>
        <w:rPr>
          <w:sz w:val="20"/>
          <w:szCs w:val="20"/>
          <w:color w:val="auto"/>
        </w:rPr>
      </w:pPr>
    </w:p>
    <w:p>
      <w:pPr>
        <w:ind w:left="732" w:right="40"/>
        <w:spacing w:after="0" w:line="286" w:lineRule="auto"/>
        <w:rPr>
          <w:sz w:val="20"/>
          <w:szCs w:val="20"/>
          <w:color w:val="auto"/>
        </w:rPr>
      </w:pPr>
      <w:r>
        <w:rPr>
          <w:rFonts w:ascii="Arial" w:cs="Arial" w:eastAsia="Arial" w:hAnsi="Arial"/>
          <w:sz w:val="17"/>
          <w:szCs w:val="17"/>
          <w:color w:val="auto"/>
        </w:rPr>
        <w:t>Our management team, including our CEO who is also our Chief Operating Decision Maker as defined under U.S. GAAP, evaluates the performance of our operating segments primarily on division operating income which represents the operating segments’ earnings before income tax expense and excludes other income (expense), corporate expenses and acquired intangible amortization.</w:t>
      </w:r>
    </w:p>
    <w:p>
      <w:pPr>
        <w:spacing w:after="0" w:line="165" w:lineRule="exact"/>
        <w:rPr>
          <w:sz w:val="20"/>
          <w:szCs w:val="20"/>
          <w:color w:val="auto"/>
        </w:rPr>
      </w:pPr>
    </w:p>
    <w:p>
      <w:pPr>
        <w:ind w:left="672" w:right="120"/>
        <w:spacing w:after="0" w:line="263" w:lineRule="auto"/>
        <w:rPr>
          <w:sz w:val="20"/>
          <w:szCs w:val="20"/>
          <w:color w:val="auto"/>
        </w:rPr>
      </w:pPr>
      <w:r>
        <w:rPr>
          <w:rFonts w:ascii="Arial" w:cs="Arial" w:eastAsia="Arial" w:hAnsi="Arial"/>
          <w:sz w:val="18"/>
          <w:szCs w:val="18"/>
          <w:color w:val="auto"/>
        </w:rPr>
        <w:t>We operate our business worldwide and sell our products both domestically and internationally. All of our segments sell to semiconductor manufacturers, third-party test and assembly houses and ATE manufacturers and to a variety of markets outside of the semi market, including the automotive, defense/aerospace, industrial, life sciences, security and other markets.</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11" w:right="339" w:bottom="1440" w:gutter="0" w:footer="0" w:header="0"/>
        </w:sectPr>
      </w:pPr>
    </w:p>
    <w:bookmarkStart w:id="75" w:name="page76"/>
    <w:bookmarkEnd w:id="75"/>
    <w:tbl>
      <w:tblPr>
        <w:tblLayout w:type="fixed"/>
        <w:tblInd w:w="98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Electronic Test</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40,219</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32,509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30,172</w:t>
            </w: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Process Technologies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46,437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25,473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94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116,828</w:t>
            </w:r>
          </w:p>
        </w:tc>
        <w:tc>
          <w:tcPr>
            <w:tcW w:w="200" w:type="dxa"/>
            <w:vAlign w:val="bottom"/>
            <w:tcBorders>
              <w:left w:val="single" w:sz="8" w:color="CCEEFF"/>
            </w:tcBorders>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84,878</w:t>
            </w: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Division operating income: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Electronic Test</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9,931</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Process Technologies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8,230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division operating income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Acquired intangible amortization</w:t>
            </w:r>
          </w:p>
        </w:tc>
        <w:tc>
          <w:tcPr>
            <w:tcW w:w="9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(2,694)</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7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b w:val="1"/>
                <w:bCs w:val="1"/>
                <w:color w:val="auto"/>
              </w:rPr>
              <w:t>Earnings before income tax expense</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10,145</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2022</w:t>
            </w: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Electronic Test</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31,143</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26,251</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18,040</w:t>
            </w: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Process Technologies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56,866</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52,120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10,123</w:t>
            </w:r>
          </w:p>
        </w:tc>
        <w:tc>
          <w:tcPr>
            <w:tcW w:w="0" w:type="dxa"/>
            <w:vAlign w:val="bottom"/>
          </w:tcPr>
          <w:p>
            <w:pPr>
              <w:spacing w:after="0"/>
              <w:rPr>
                <w:sz w:val="1"/>
                <w:szCs w:val="1"/>
                <w:color w:val="auto"/>
              </w:rPr>
            </w:pPr>
          </w:p>
        </w:tc>
      </w:tr>
      <w:tr>
        <w:trPr>
          <w:trHeight w:val="20"/>
        </w:trPr>
        <w:tc>
          <w:tcPr>
            <w:tcW w:w="67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tcPr>
          <w:p>
            <w:pPr>
              <w:spacing w:after="0"/>
              <w:rPr>
                <w:sz w:val="18"/>
                <w:szCs w:val="18"/>
                <w:color w:val="auto"/>
              </w:rPr>
            </w:pP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110,066</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103,905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b w:val="1"/>
                <w:bCs w:val="1"/>
                <w:i w:val="1"/>
                <w:iCs w:val="1"/>
                <w:color w:val="auto"/>
              </w:rPr>
              <w:t>Capital expenditures: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Electronic Test</w:t>
            </w:r>
          </w:p>
        </w:tc>
        <w:tc>
          <w:tcPr>
            <w:tcW w:w="94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Environmental Technologies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Process Technologies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Corporate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00" w:type="dxa"/>
            <w:vAlign w:val="bottom"/>
            <w:tcBorders>
              <w:left w:val="single" w:sz="8" w:color="CCEEFF"/>
            </w:tcBorders>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80" w:right="560"/>
        <w:spacing w:after="0" w:line="277" w:lineRule="auto"/>
        <w:rPr>
          <w:sz w:val="20"/>
          <w:szCs w:val="20"/>
          <w:color w:val="auto"/>
        </w:rPr>
      </w:pPr>
      <w:r>
        <w:rPr>
          <w:rFonts w:ascii="Arial" w:cs="Arial" w:eastAsia="Arial" w:hAnsi="Arial"/>
          <w:sz w:val="18"/>
          <w:szCs w:val="18"/>
          <w:color w:val="auto"/>
        </w:rPr>
        <w:t>The following table provides information about our geographic areas of operation. Revenue is based on the location to which the goods are shipped.</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49,096</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26,802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58,076</w:t>
            </w:r>
          </w:p>
        </w:tc>
      </w:tr>
      <w:tr>
        <w:trPr>
          <w:trHeight w:val="20"/>
        </w:trPr>
        <w:tc>
          <w:tcPr>
            <w:tcW w:w="67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18"/>
                <w:szCs w:val="18"/>
                <w:color w:val="auto"/>
              </w:rPr>
            </w:pP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116,828</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84,878</w:t>
            </w:r>
          </w:p>
        </w:tc>
      </w:tr>
      <w:tr>
        <w:trPr>
          <w:trHeight w:val="20"/>
        </w:trPr>
        <w:tc>
          <w:tcPr>
            <w:tcW w:w="6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U.S.</w:t>
            </w:r>
          </w:p>
        </w:tc>
        <w:tc>
          <w:tcPr>
            <w:tcW w:w="46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2,658</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2,346</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6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3,132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2,688</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640" w:type="dxa"/>
            <w:vAlign w:val="bottom"/>
            <w:gridSpan w:val="2"/>
          </w:tcPr>
          <w:p>
            <w:pPr>
              <w:jc w:val="right"/>
              <w:ind w:right="2870"/>
              <w:spacing w:after="0"/>
              <w:rPr>
                <w:sz w:val="20"/>
                <w:szCs w:val="20"/>
                <w:color w:val="auto"/>
              </w:rPr>
            </w:pPr>
            <w:r>
              <w:rPr>
                <w:rFonts w:ascii="Arial" w:cs="Arial" w:eastAsia="Arial" w:hAnsi="Arial"/>
                <w:sz w:val="18"/>
                <w:szCs w:val="18"/>
                <w:color w:val="auto"/>
              </w:rPr>
              <w:t>F- 33</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76" w:name="page77"/>
    <w:bookmarkEnd w:id="76"/>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CONSOLIDATED FINANCIAL DATA (Unaudited)</w:t>
      </w:r>
    </w:p>
    <w:p>
      <w:pPr>
        <w:spacing w:after="0" w:line="229" w:lineRule="exact"/>
        <w:rPr>
          <w:rFonts w:ascii="Arial" w:cs="Arial" w:eastAsia="Arial" w:hAnsi="Arial"/>
          <w:sz w:val="18"/>
          <w:szCs w:val="18"/>
          <w:b w:val="1"/>
          <w:bCs w:val="1"/>
          <w:color w:val="auto"/>
        </w:rPr>
      </w:pPr>
    </w:p>
    <w:p>
      <w:pPr>
        <w:ind w:left="680" w:right="1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following tables present certain unaudited consolidated quarterly financial information for each of the eight quarters ended December 31, 2022.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171" w:lineRule="exact"/>
        <w:rPr>
          <w:rFonts w:ascii="Arial" w:cs="Arial" w:eastAsia="Arial" w:hAnsi="Arial"/>
          <w:sz w:val="18"/>
          <w:szCs w:val="18"/>
          <w:b w:val="1"/>
          <w:bCs w:val="1"/>
          <w:color w:val="auto"/>
        </w:rPr>
      </w:pPr>
    </w:p>
    <w:p>
      <w:pPr>
        <w:jc w:val="both"/>
        <w:ind w:left="680" w:right="5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Year-over-year quarterly comparisons of our results of operations may not be as meaningful as the sequential quarterly comparisons set forth below that tend to reflect the cyclical and seasonal activity of the semi market. Quarterly fluctuations in expenses are related directly to sales activity and volume and may also reflect the timing of operating expenses incurred throughout the year.</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rPr>
              <w:t>Quarters Ended</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3/31/22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6/30/22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9/30/22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12/31/22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30,771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32,405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116,828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13,898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14,981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53,440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 expense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8,461</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 – basic</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w w:val="92"/>
              </w:rPr>
              <w:t>Weighted average common shares outstanding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10,617,271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10,653,268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10,695,867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10,725,662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10,673,017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 – diluted</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w w:val="92"/>
              </w:rPr>
              <w:t>Weighted average common shares outstanding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10,842,592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10,814,799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10,864,540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10,928,220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10,862,538</w:t>
            </w:r>
          </w:p>
        </w:tc>
        <w:tc>
          <w:tcPr>
            <w:tcW w:w="0" w:type="dxa"/>
            <w:vAlign w:val="bottom"/>
          </w:tcPr>
          <w:p>
            <w:pPr>
              <w:spacing w:after="0"/>
              <w:rPr>
                <w:sz w:val="1"/>
                <w:szCs w:val="1"/>
                <w:color w:val="auto"/>
              </w:rPr>
            </w:pPr>
          </w:p>
        </w:tc>
      </w:tr>
      <w:tr>
        <w:trPr>
          <w:trHeight w:val="648"/>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rPr>
              <w:t>Quarters Ended</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31"/>
              <w:spacing w:after="0" w:line="210" w:lineRule="exact"/>
              <w:rPr>
                <w:sz w:val="20"/>
                <w:szCs w:val="20"/>
                <w:color w:val="auto"/>
              </w:rPr>
            </w:pPr>
            <w:r>
              <w:rPr>
                <w:rFonts w:ascii="Arial" w:cs="Arial" w:eastAsia="Arial" w:hAnsi="Arial"/>
                <w:sz w:val="15"/>
                <w:szCs w:val="15"/>
                <w:b w:val="1"/>
                <w:bCs w:val="1"/>
                <w:color w:val="auto"/>
              </w:rPr>
              <w:t>3/31/21</w:t>
            </w:r>
            <w:r>
              <w:rPr>
                <w:rFonts w:ascii="Arial" w:cs="Arial" w:eastAsia="Arial" w:hAnsi="Arial"/>
                <w:sz w:val="24"/>
                <w:szCs w:val="24"/>
                <w:b w:val="1"/>
                <w:bCs w:val="1"/>
                <w:color w:val="auto"/>
                <w:vertAlign w:val="superscript"/>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31"/>
              <w:spacing w:after="0" w:line="210" w:lineRule="exact"/>
              <w:rPr>
                <w:sz w:val="20"/>
                <w:szCs w:val="20"/>
                <w:color w:val="auto"/>
              </w:rPr>
            </w:pPr>
            <w:r>
              <w:rPr>
                <w:rFonts w:ascii="Arial" w:cs="Arial" w:eastAsia="Arial" w:hAnsi="Arial"/>
                <w:sz w:val="15"/>
                <w:szCs w:val="15"/>
                <w:b w:val="1"/>
                <w:bCs w:val="1"/>
                <w:color w:val="auto"/>
              </w:rPr>
              <w:t>6/30/21</w:t>
            </w:r>
            <w:r>
              <w:rPr>
                <w:rFonts w:ascii="Arial" w:cs="Arial" w:eastAsia="Arial" w:hAnsi="Arial"/>
                <w:sz w:val="24"/>
                <w:szCs w:val="24"/>
                <w:b w:val="1"/>
                <w:bCs w:val="1"/>
                <w:color w:val="auto"/>
                <w:vertAlign w:val="superscript"/>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31"/>
              <w:spacing w:after="0" w:line="210" w:lineRule="exact"/>
              <w:rPr>
                <w:sz w:val="20"/>
                <w:szCs w:val="20"/>
                <w:color w:val="auto"/>
              </w:rPr>
            </w:pPr>
            <w:r>
              <w:rPr>
                <w:rFonts w:ascii="Arial" w:cs="Arial" w:eastAsia="Arial" w:hAnsi="Arial"/>
                <w:sz w:val="15"/>
                <w:szCs w:val="15"/>
                <w:b w:val="1"/>
                <w:bCs w:val="1"/>
                <w:color w:val="auto"/>
              </w:rPr>
              <w:t>9/30/21</w:t>
            </w:r>
            <w:r>
              <w:rPr>
                <w:rFonts w:ascii="Arial" w:cs="Arial" w:eastAsia="Arial" w:hAnsi="Arial"/>
                <w:sz w:val="24"/>
                <w:szCs w:val="24"/>
                <w:b w:val="1"/>
                <w:bCs w:val="1"/>
                <w:color w:val="auto"/>
                <w:vertAlign w:val="superscript"/>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1"/>
              <w:spacing w:after="0" w:line="210" w:lineRule="exact"/>
              <w:rPr>
                <w:sz w:val="20"/>
                <w:szCs w:val="20"/>
                <w:color w:val="auto"/>
              </w:rPr>
            </w:pPr>
            <w:r>
              <w:rPr>
                <w:rFonts w:ascii="Arial" w:cs="Arial" w:eastAsia="Arial" w:hAnsi="Arial"/>
                <w:sz w:val="15"/>
                <w:szCs w:val="15"/>
                <w:b w:val="1"/>
                <w:bCs w:val="1"/>
                <w:color w:val="auto"/>
              </w:rPr>
              <w:t>12/31/21</w:t>
            </w:r>
            <w:r>
              <w:rPr>
                <w:rFonts w:ascii="Arial" w:cs="Arial" w:eastAsia="Arial" w:hAnsi="Arial"/>
                <w:sz w:val="24"/>
                <w:szCs w:val="24"/>
                <w:b w:val="1"/>
                <w:bCs w:val="1"/>
                <w:color w:val="auto"/>
                <w:vertAlign w:val="superscript"/>
              </w:rPr>
              <w:t>(4)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84,878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10,346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41,224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 expense (benefit)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 – basic</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w w:val="92"/>
              </w:rPr>
              <w:t>Weighted average common shares outstanding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10,329,449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10,442,916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10,496,188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10,580,431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10,462,246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 – diluted</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w w:val="92"/>
              </w:rPr>
              <w:t>Weighted average common shares outstanding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10,525,826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10,764,936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10,792,290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10,836,396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10,729,862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 ended March 31, 2021 includes $55 of restructuring and other charges which are discussed in Note 5.</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 ended June 30, 2021 includes $197 of restructuring and other charges which are discussed in Note 5.</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 ended September 30, 2021 includes $51 of restructuring and other charges which are discussed in Note 5.</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quarter ended December 31, 2021 includes a recovery of $17 of restructuring and other charges which are discussed in Note 5.</w:t>
      </w: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850" w:right="259" w:bottom="1440" w:gutter="0" w:footer="0" w:header="0"/>
        </w:sectPr>
      </w:pPr>
    </w:p>
    <w:bookmarkStart w:id="77" w:name="page78"/>
    <w:bookmarkEnd w:id="77"/>
    <w:p>
      <w:pPr>
        <w:jc w:val="center"/>
        <w:ind w:right="-29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Reserve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Amounts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Acquired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Foreign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Beginning</w:t>
            </w: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Expense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Additions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Business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End of</w:t>
            </w: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of Period</w:t>
            </w:r>
          </w:p>
        </w:tc>
        <w:tc>
          <w:tcPr>
            <w:tcW w:w="1360" w:type="dxa"/>
            <w:vAlign w:val="bottom"/>
            <w:gridSpan w:val="3"/>
          </w:tcPr>
          <w:p>
            <w:pPr>
              <w:jc w:val="right"/>
              <w:ind w:right="300"/>
              <w:spacing w:after="0" w:line="235" w:lineRule="exact"/>
              <w:rPr>
                <w:sz w:val="20"/>
                <w:szCs w:val="20"/>
                <w:color w:val="auto"/>
              </w:rPr>
            </w:pPr>
            <w:r>
              <w:rPr>
                <w:rFonts w:ascii="Arial" w:cs="Arial" w:eastAsia="Arial" w:hAnsi="Arial"/>
                <w:sz w:val="17"/>
                <w:szCs w:val="17"/>
                <w:b w:val="1"/>
                <w:bCs w:val="1"/>
                <w:color w:val="auto"/>
                <w:w w:val="94"/>
              </w:rPr>
              <w:t>(Recovery)</w:t>
            </w:r>
            <w:r>
              <w:rPr>
                <w:rFonts w:ascii="Arial" w:cs="Arial" w:eastAsia="Arial" w:hAnsi="Arial"/>
                <w:sz w:val="27"/>
                <w:szCs w:val="27"/>
                <w:b w:val="1"/>
                <w:bCs w:val="1"/>
                <w:color w:val="auto"/>
                <w:w w:val="94"/>
                <w:vertAlign w:val="superscript"/>
              </w:rPr>
              <w:t>(1)</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(Deductions)</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Combinations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r>
      <w:tr>
        <w:trPr>
          <w:trHeight w:val="209"/>
        </w:trPr>
        <w:tc>
          <w:tcPr>
            <w:tcW w:w="3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r>
    </w:tbl>
    <w:p>
      <w:pPr>
        <w:spacing w:after="0" w:line="202" w:lineRule="exact"/>
        <w:rPr>
          <w:sz w:val="20"/>
          <w:szCs w:val="20"/>
          <w:color w:val="auto"/>
        </w:rPr>
      </w:pPr>
    </w:p>
    <w:p>
      <w:pPr>
        <w:ind w:left="360" w:right="140" w:hanging="352"/>
        <w:spacing w:after="0" w:line="277" w:lineRule="auto"/>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Bad debt recoveries in the table above do not include $470 that relate to receivables acquired in 2021 that were valued at $0 at the time of acquisition but were subsequently recovered.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850"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u w:val="single" w:color="auto"/>
          <w:color w:val="auto"/>
        </w:rPr>
        <w:t>EXHIBIT 10.39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COMPENSATORY ARRANGEMENTS OF DIRECTORS</w:t>
      </w:r>
    </w:p>
    <w:p>
      <w:pPr>
        <w:spacing w:after="0" w:line="200" w:lineRule="exact"/>
        <w:rPr>
          <w:sz w:val="20"/>
          <w:szCs w:val="20"/>
          <w:color w:val="auto"/>
        </w:rPr>
      </w:pPr>
    </w:p>
    <w:p>
      <w:pPr>
        <w:spacing w:after="0" w:line="24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Directors who are not also our officers (each a "non-employee director") currently receive an annual retainer of $25,000. The Board Chairman is paid an additional annual retainer of $40,000. The Chair of each of the committees of the Board are paid an additional annual fee as follows: the Chair of the Audit Committee is paid an additional annual fee of $20,000; the Chair of the Compensation Committee is paid an additional annual fee of $10,000; and the Chair of the Nominating and Corporate Governance Committee is paid an additional annual fee of $10,000. The members of the committees, other than the Chair, are paid additional annual fees as follows: members of the Audit Committee are paid an additional annual fee of $10,000, members of the Compensation Committee are paid an additional annual fee of $5,000, and members of the Nominating and Corporate Governance Committee are paid an additional annual fee of $5,000. Non-employee directors also receive an annual award of restricted stock under our Fourth Amended and Restated 2014 Stock Plan. In addition, we reimburse non-employee directors' travel expenses and other costs associated with attending Board or committee meetings. We do not pay compensation to our executive officers for their service as directors.</w:t>
      </w:r>
    </w:p>
    <w:p>
      <w:pPr>
        <w:sectPr>
          <w:pgSz w:w="11900" w:h="16838" w:orient="portrait"/>
          <w:cols w:equalWidth="0" w:num="1">
            <w:col w:w="11240"/>
          </w:cols>
          <w:pgMar w:left="320" w:top="12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21</w:t>
            </w:r>
          </w:p>
        </w:tc>
        <w:tc>
          <w:tcPr>
            <w:tcW w:w="20" w:type="dxa"/>
            <w:vAlign w:val="bottom"/>
          </w:tcPr>
          <w:p>
            <w:pPr>
              <w:spacing w:after="0"/>
              <w:rPr>
                <w:sz w:val="17"/>
                <w:szCs w:val="17"/>
                <w:color w:val="auto"/>
              </w:rPr>
            </w:pPr>
          </w:p>
        </w:tc>
      </w:tr>
      <w:tr>
        <w:trPr>
          <w:trHeight w:val="668"/>
        </w:trPr>
        <w:tc>
          <w:tcPr>
            <w:tcW w:w="3640" w:type="dxa"/>
            <w:vAlign w:val="bottom"/>
          </w:tcPr>
          <w:p>
            <w:pPr>
              <w:spacing w:after="0"/>
              <w:rPr>
                <w:sz w:val="24"/>
                <w:szCs w:val="24"/>
                <w:color w:val="auto"/>
              </w:rPr>
            </w:pPr>
          </w:p>
        </w:tc>
        <w:tc>
          <w:tcPr>
            <w:tcW w:w="7620" w:type="dxa"/>
            <w:vAlign w:val="bottom"/>
            <w:gridSpan w:val="3"/>
          </w:tcPr>
          <w:p>
            <w:pPr>
              <w:ind w:left="840"/>
              <w:spacing w:after="0"/>
              <w:rPr>
                <w:sz w:val="20"/>
                <w:szCs w:val="20"/>
                <w:color w:val="auto"/>
              </w:rPr>
            </w:pPr>
            <w:r>
              <w:rPr>
                <w:rFonts w:ascii="Arial" w:cs="Arial" w:eastAsia="Arial" w:hAnsi="Arial"/>
                <w:sz w:val="18"/>
                <w:szCs w:val="18"/>
                <w:b w:val="1"/>
                <w:bCs w:val="1"/>
                <w:color w:val="auto"/>
              </w:rPr>
              <w:t>Subsidiaries of the Registrant</w:t>
            </w:r>
          </w:p>
        </w:tc>
      </w:tr>
      <w:tr>
        <w:trPr>
          <w:trHeight w:val="630"/>
        </w:trPr>
        <w:tc>
          <w:tcPr>
            <w:tcW w:w="3640" w:type="dxa"/>
            <w:vAlign w:val="bottom"/>
          </w:tcPr>
          <w:p>
            <w:pPr>
              <w:spacing w:after="0"/>
              <w:rPr>
                <w:sz w:val="24"/>
                <w:szCs w:val="24"/>
                <w:color w:val="auto"/>
              </w:rPr>
            </w:pPr>
          </w:p>
        </w:tc>
        <w:tc>
          <w:tcPr>
            <w:tcW w:w="7620" w:type="dxa"/>
            <w:vAlign w:val="bottom"/>
            <w:gridSpan w:val="3"/>
          </w:tcPr>
          <w:p>
            <w:pPr>
              <w:jc w:val="center"/>
              <w:ind w:left="4690"/>
              <w:spacing w:after="0"/>
              <w:rPr>
                <w:sz w:val="20"/>
                <w:szCs w:val="20"/>
                <w:color w:val="auto"/>
              </w:rPr>
            </w:pPr>
            <w:r>
              <w:rPr>
                <w:rFonts w:ascii="Arial" w:cs="Arial" w:eastAsia="Arial" w:hAnsi="Arial"/>
                <w:sz w:val="18"/>
                <w:szCs w:val="18"/>
                <w:b w:val="1"/>
                <w:bCs w:val="1"/>
                <w:color w:val="auto"/>
                <w:w w:val="90"/>
              </w:rPr>
              <w:t>Jurisdiction</w:t>
            </w:r>
          </w:p>
        </w:tc>
      </w:tr>
      <w:tr>
        <w:trPr>
          <w:trHeight w:val="234"/>
        </w:trPr>
        <w:tc>
          <w:tcPr>
            <w:tcW w:w="3640" w:type="dxa"/>
            <w:vAlign w:val="bottom"/>
          </w:tcPr>
          <w:p>
            <w:pPr>
              <w:spacing w:after="0"/>
              <w:rPr>
                <w:sz w:val="20"/>
                <w:szCs w:val="20"/>
                <w:color w:val="auto"/>
              </w:rPr>
            </w:pPr>
            <w:r>
              <w:rPr>
                <w:rFonts w:ascii="Arial" w:cs="Arial" w:eastAsia="Arial" w:hAnsi="Arial"/>
                <w:sz w:val="18"/>
                <w:szCs w:val="18"/>
                <w:b w:val="1"/>
                <w:bCs w:val="1"/>
                <w:color w:val="auto"/>
              </w:rPr>
              <w:t>Name of Subsidiaries</w:t>
            </w:r>
          </w:p>
        </w:tc>
        <w:tc>
          <w:tcPr>
            <w:tcW w:w="7620" w:type="dxa"/>
            <w:vAlign w:val="bottom"/>
            <w:gridSpan w:val="3"/>
          </w:tcPr>
          <w:p>
            <w:pPr>
              <w:jc w:val="center"/>
              <w:ind w:left="4690"/>
              <w:spacing w:after="0"/>
              <w:rPr>
                <w:sz w:val="20"/>
                <w:szCs w:val="20"/>
                <w:color w:val="auto"/>
              </w:rPr>
            </w:pPr>
            <w:r>
              <w:rPr>
                <w:rFonts w:ascii="Arial" w:cs="Arial" w:eastAsia="Arial" w:hAnsi="Arial"/>
                <w:sz w:val="18"/>
                <w:szCs w:val="18"/>
                <w:b w:val="1"/>
                <w:bCs w:val="1"/>
                <w:color w:val="auto"/>
                <w:w w:val="92"/>
              </w:rPr>
              <w:t>of Incorporation</w:t>
            </w:r>
          </w:p>
        </w:tc>
      </w:tr>
      <w:tr>
        <w:trPr>
          <w:trHeight w:val="209"/>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Acculogic Ltd</w:t>
            </w:r>
          </w:p>
        </w:tc>
        <w:tc>
          <w:tcPr>
            <w:tcW w:w="7600" w:type="dxa"/>
            <w:vAlign w:val="bottom"/>
            <w:tcBorders>
              <w:top w:val="single" w:sz="8" w:color="auto"/>
            </w:tcBorders>
            <w:gridSpan w:val="2"/>
            <w:shd w:val="clear" w:color="auto" w:fill="CCEEFF"/>
          </w:tcPr>
          <w:p>
            <w:pPr>
              <w:jc w:val="center"/>
              <w:ind w:left="471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Ambrell Corporation</w:t>
            </w:r>
          </w:p>
        </w:tc>
        <w:tc>
          <w:tcPr>
            <w:tcW w:w="760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inTEST EMS LLC (a)</w:t>
            </w:r>
          </w:p>
        </w:tc>
        <w:tc>
          <w:tcPr>
            <w:tcW w:w="7600" w:type="dxa"/>
            <w:vAlign w:val="bottom"/>
            <w:gridSpan w:val="2"/>
            <w:shd w:val="clear" w:color="auto" w:fill="CCEEFF"/>
          </w:tcPr>
          <w:p>
            <w:pPr>
              <w:jc w:val="center"/>
              <w:ind w:left="471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inTEST Silicon Valley Corporation (a)</w:t>
            </w:r>
          </w:p>
        </w:tc>
        <w:tc>
          <w:tcPr>
            <w:tcW w:w="760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Temptronic Corporation (b)</w:t>
            </w:r>
          </w:p>
        </w:tc>
        <w:tc>
          <w:tcPr>
            <w:tcW w:w="7600" w:type="dxa"/>
            <w:vAlign w:val="bottom"/>
            <w:gridSpan w:val="2"/>
            <w:shd w:val="clear" w:color="auto" w:fill="CCEEFF"/>
          </w:tcPr>
          <w:p>
            <w:pPr>
              <w:jc w:val="center"/>
              <w:ind w:left="471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Videology Imaging Corporation</w:t>
            </w:r>
          </w:p>
        </w:tc>
        <w:tc>
          <w:tcPr>
            <w:tcW w:w="760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Acculogic Inc.</w:t>
            </w:r>
          </w:p>
        </w:tc>
        <w:tc>
          <w:tcPr>
            <w:tcW w:w="7600" w:type="dxa"/>
            <w:vAlign w:val="bottom"/>
            <w:gridSpan w:val="2"/>
            <w:shd w:val="clear" w:color="auto" w:fill="CCEEFF"/>
          </w:tcPr>
          <w:p>
            <w:pPr>
              <w:jc w:val="center"/>
              <w:ind w:left="4710"/>
              <w:spacing w:after="0"/>
              <w:rPr>
                <w:sz w:val="20"/>
                <w:szCs w:val="20"/>
                <w:color w:val="auto"/>
              </w:rPr>
            </w:pPr>
            <w:r>
              <w:rPr>
                <w:rFonts w:ascii="Arial" w:cs="Arial" w:eastAsia="Arial" w:hAnsi="Arial"/>
                <w:sz w:val="18"/>
                <w:szCs w:val="18"/>
                <w:color w:val="auto"/>
                <w:w w:val="94"/>
              </w:rPr>
              <w:t>Ontario</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Acculogic GmbH</w:t>
            </w:r>
          </w:p>
        </w:tc>
        <w:tc>
          <w:tcPr>
            <w:tcW w:w="7600" w:type="dxa"/>
            <w:vAlign w:val="bottom"/>
            <w:gridSpan w:val="2"/>
          </w:tcPr>
          <w:p>
            <w:pPr>
              <w:jc w:val="center"/>
              <w:ind w:left="4710"/>
              <w:spacing w:after="0"/>
              <w:rPr>
                <w:sz w:val="20"/>
                <w:szCs w:val="20"/>
                <w:color w:val="auto"/>
              </w:rPr>
            </w:pPr>
            <w:r>
              <w:rPr>
                <w:rFonts w:ascii="Arial" w:cs="Arial" w:eastAsia="Arial" w:hAnsi="Arial"/>
                <w:sz w:val="18"/>
                <w:szCs w:val="18"/>
                <w:color w:val="auto"/>
                <w:w w:val="91"/>
              </w:rPr>
              <w:t>Germany</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Ambrell B.V.</w:t>
            </w:r>
          </w:p>
        </w:tc>
        <w:tc>
          <w:tcPr>
            <w:tcW w:w="7600" w:type="dxa"/>
            <w:vAlign w:val="bottom"/>
            <w:gridSpan w:val="2"/>
            <w:shd w:val="clear" w:color="auto" w:fill="CCEEFF"/>
          </w:tcPr>
          <w:p>
            <w:pPr>
              <w:jc w:val="center"/>
              <w:ind w:left="4710"/>
              <w:spacing w:after="0"/>
              <w:rPr>
                <w:sz w:val="20"/>
                <w:szCs w:val="20"/>
                <w:color w:val="auto"/>
              </w:rPr>
            </w:pPr>
            <w:r>
              <w:rPr>
                <w:rFonts w:ascii="Arial" w:cs="Arial" w:eastAsia="Arial" w:hAnsi="Arial"/>
                <w:sz w:val="18"/>
                <w:szCs w:val="18"/>
                <w:color w:val="auto"/>
                <w:w w:val="90"/>
              </w:rPr>
              <w:t>Netherlands</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Ambrell Limited</w:t>
            </w:r>
          </w:p>
        </w:tc>
        <w:tc>
          <w:tcPr>
            <w:tcW w:w="7600" w:type="dxa"/>
            <w:vAlign w:val="bottom"/>
            <w:gridSpan w:val="2"/>
          </w:tcPr>
          <w:p>
            <w:pPr>
              <w:jc w:val="center"/>
              <w:ind w:left="4710"/>
              <w:spacing w:after="0"/>
              <w:rPr>
                <w:sz w:val="20"/>
                <w:szCs w:val="20"/>
                <w:color w:val="auto"/>
              </w:rPr>
            </w:pPr>
            <w:r>
              <w:rPr>
                <w:rFonts w:ascii="Arial" w:cs="Arial" w:eastAsia="Arial" w:hAnsi="Arial"/>
                <w:sz w:val="18"/>
                <w:szCs w:val="18"/>
                <w:color w:val="auto"/>
              </w:rPr>
              <w:t>U.K.</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inTEST PTE, Ltd.</w:t>
            </w:r>
          </w:p>
        </w:tc>
        <w:tc>
          <w:tcPr>
            <w:tcW w:w="7600" w:type="dxa"/>
            <w:vAlign w:val="bottom"/>
            <w:gridSpan w:val="2"/>
            <w:shd w:val="clear" w:color="auto" w:fill="CCEEFF"/>
          </w:tcPr>
          <w:p>
            <w:pPr>
              <w:jc w:val="center"/>
              <w:ind w:left="4710"/>
              <w:spacing w:after="0"/>
              <w:rPr>
                <w:sz w:val="20"/>
                <w:szCs w:val="20"/>
                <w:color w:val="auto"/>
              </w:rPr>
            </w:pPr>
            <w:r>
              <w:rPr>
                <w:rFonts w:ascii="Arial" w:cs="Arial" w:eastAsia="Arial" w:hAnsi="Arial"/>
                <w:sz w:val="18"/>
                <w:szCs w:val="18"/>
                <w:color w:val="auto"/>
                <w:w w:val="87"/>
              </w:rPr>
              <w:t>Singapore</w:t>
            </w:r>
          </w:p>
        </w:tc>
        <w:tc>
          <w:tcPr>
            <w:tcW w:w="2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inTEST Thermal Solutions GmbH</w:t>
            </w:r>
          </w:p>
        </w:tc>
        <w:tc>
          <w:tcPr>
            <w:tcW w:w="7600" w:type="dxa"/>
            <w:vAlign w:val="bottom"/>
            <w:gridSpan w:val="2"/>
          </w:tcPr>
          <w:p>
            <w:pPr>
              <w:jc w:val="center"/>
              <w:ind w:left="4710"/>
              <w:spacing w:after="0"/>
              <w:rPr>
                <w:sz w:val="20"/>
                <w:szCs w:val="20"/>
                <w:color w:val="auto"/>
              </w:rPr>
            </w:pPr>
            <w:r>
              <w:rPr>
                <w:rFonts w:ascii="Arial" w:cs="Arial" w:eastAsia="Arial" w:hAnsi="Arial"/>
                <w:sz w:val="18"/>
                <w:szCs w:val="18"/>
                <w:color w:val="auto"/>
                <w:w w:val="91"/>
              </w:rPr>
              <w:t>Germany</w:t>
            </w:r>
          </w:p>
        </w:tc>
        <w:tc>
          <w:tcPr>
            <w:tcW w:w="20" w:type="dxa"/>
            <w:vAlign w:val="bottom"/>
          </w:tcPr>
          <w:p>
            <w:pPr>
              <w:spacing w:after="0"/>
              <w:rPr>
                <w:sz w:val="20"/>
                <w:szCs w:val="20"/>
                <w:color w:val="auto"/>
              </w:rPr>
            </w:pPr>
          </w:p>
        </w:tc>
      </w:tr>
    </w:tbl>
    <w:p>
      <w:pPr>
        <w:spacing w:after="0" w:line="18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Doing business as inTEST EMS.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Doing business as inTEST Thermal Solutions Corp.</w:t>
      </w:r>
    </w:p>
    <w:p>
      <w:pPr>
        <w:sectPr>
          <w:pgSz w:w="11900" w:h="16838" w:orient="portrait"/>
          <w:cols w:equalWidth="0" w:num="1">
            <w:col w:w="11240"/>
          </w:cols>
          <w:pgMar w:left="320" w:top="108"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(Nos. 333-145176, 333-197858, 333-226815, 333-233297, 333-258791, and 333-266834) on Form S-8 and the Registration Statement (No. 333-250047) on Form S-3 of inTEST Corporation of our report dated March 22, 2023, relating to the consolidated financial statements and the financial statement schedule of inTEST Corporation, appearing in this Annual Report on Form 10-K of inTEST Corporation for the year ended December 31, 2022.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2023</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Richard N. Grant, Jr., certify that:</w:t>
      </w:r>
    </w:p>
    <w:p>
      <w:pPr>
        <w:spacing w:after="0" w:line="225"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225" w:lineRule="exact"/>
        <w:rPr>
          <w:rFonts w:ascii="Arial" w:cs="Arial" w:eastAsia="Arial" w:hAnsi="Arial"/>
          <w:sz w:val="18"/>
          <w:szCs w:val="18"/>
          <w:color w:val="auto"/>
        </w:rPr>
      </w:pPr>
    </w:p>
    <w:p>
      <w:pPr>
        <w:ind w:right="120" w:firstLine="332"/>
        <w:spacing w:after="0" w:line="342" w:lineRule="auto"/>
        <w:tabs>
          <w:tab w:leader="none" w:pos="639"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332"/>
        <w:spacing w:after="0" w:line="277" w:lineRule="auto"/>
        <w:tabs>
          <w:tab w:leader="none" w:pos="6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6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right="160" w:firstLine="154"/>
        <w:spacing w:after="0" w:line="263" w:lineRule="auto"/>
        <w:tabs>
          <w:tab w:leader="none" w:pos="882"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400" w:firstLine="154"/>
        <w:spacing w:after="0" w:line="263" w:lineRule="auto"/>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680" w:firstLine="154"/>
        <w:spacing w:after="0" w:line="342" w:lineRule="auto"/>
        <w:tabs>
          <w:tab w:leader="none" w:pos="882"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80" w:firstLine="154"/>
        <w:spacing w:after="0" w:line="263" w:lineRule="auto"/>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332"/>
        <w:spacing w:after="0" w:line="308" w:lineRule="auto"/>
        <w:tabs>
          <w:tab w:leader="none" w:pos="63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60" w:firstLine="154"/>
        <w:spacing w:after="0" w:line="277" w:lineRule="auto"/>
        <w:tabs>
          <w:tab w:leader="none" w:pos="872"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40" w:firstLine="154"/>
        <w:spacing w:after="0" w:line="277" w:lineRule="auto"/>
        <w:tabs>
          <w:tab w:leader="none" w:pos="882"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Date:  March 22, 2023</w:t>
            </w:r>
          </w:p>
        </w:tc>
        <w:tc>
          <w:tcPr>
            <w:tcW w:w="17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/s/Richard N. Grant, Jr.</w:t>
            </w:r>
          </w:p>
        </w:tc>
      </w:tr>
      <w:tr>
        <w:trPr>
          <w:trHeight w:val="195"/>
        </w:trPr>
        <w:tc>
          <w:tcPr>
            <w:tcW w:w="58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N. Grant, Jr.</w:t>
            </w:r>
          </w:p>
        </w:tc>
      </w:tr>
      <w:tr>
        <w:trPr>
          <w:trHeight w:val="230"/>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Duncan Gilmour, certify that:</w:t>
      </w:r>
    </w:p>
    <w:p>
      <w:pPr>
        <w:spacing w:after="0" w:line="225"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225" w:lineRule="exact"/>
        <w:rPr>
          <w:rFonts w:ascii="Arial" w:cs="Arial" w:eastAsia="Arial" w:hAnsi="Arial"/>
          <w:sz w:val="18"/>
          <w:szCs w:val="18"/>
          <w:color w:val="auto"/>
        </w:rPr>
      </w:pPr>
    </w:p>
    <w:p>
      <w:pPr>
        <w:ind w:right="120" w:firstLine="332"/>
        <w:spacing w:after="0" w:line="342" w:lineRule="auto"/>
        <w:tabs>
          <w:tab w:leader="none" w:pos="639"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332"/>
        <w:spacing w:after="0" w:line="277" w:lineRule="auto"/>
        <w:tabs>
          <w:tab w:leader="none" w:pos="6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6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right="160" w:firstLine="154"/>
        <w:spacing w:after="0" w:line="263" w:lineRule="auto"/>
        <w:tabs>
          <w:tab w:leader="none" w:pos="882"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400" w:firstLine="154"/>
        <w:spacing w:after="0" w:line="263" w:lineRule="auto"/>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680" w:firstLine="154"/>
        <w:spacing w:after="0" w:line="342" w:lineRule="auto"/>
        <w:tabs>
          <w:tab w:leader="none" w:pos="882"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80" w:firstLine="154"/>
        <w:spacing w:after="0" w:line="263" w:lineRule="auto"/>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332"/>
        <w:spacing w:after="0" w:line="308" w:lineRule="auto"/>
        <w:tabs>
          <w:tab w:leader="none" w:pos="6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60" w:firstLine="154"/>
        <w:spacing w:after="0" w:line="277" w:lineRule="auto"/>
        <w:tabs>
          <w:tab w:leader="none" w:pos="872"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40" w:firstLine="154"/>
        <w:spacing w:after="0" w:line="277" w:lineRule="auto"/>
        <w:tabs>
          <w:tab w:leader="none" w:pos="882"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Date:  March 22, 2023</w:t>
            </w:r>
          </w:p>
        </w:tc>
        <w:tc>
          <w:tcPr>
            <w:tcW w:w="17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 Duncan Gilmour</w:t>
            </w:r>
          </w:p>
        </w:tc>
      </w:tr>
      <w:tr>
        <w:trPr>
          <w:trHeight w:val="195"/>
        </w:trPr>
        <w:tc>
          <w:tcPr>
            <w:tcW w:w="58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Duncan Gilmour</w:t>
            </w:r>
          </w:p>
        </w:tc>
      </w:tr>
      <w:tr>
        <w:trPr>
          <w:trHeight w:val="216"/>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Chief Financial Officer, Treasurer and</w:t>
            </w:r>
          </w:p>
        </w:tc>
      </w:tr>
      <w:tr>
        <w:trPr>
          <w:trHeight w:val="230"/>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connection with the Annual Report of inTEST Corporation (the "Company") on Form 10-K for the year ended December 31, 2022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Date:  March 22, 2023</w:t>
            </w:r>
          </w:p>
        </w:tc>
        <w:tc>
          <w:tcPr>
            <w:tcW w:w="17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 Richard N. Grant, Jr.</w:t>
            </w:r>
          </w:p>
        </w:tc>
      </w:tr>
      <w:tr>
        <w:trPr>
          <w:trHeight w:val="195"/>
        </w:trPr>
        <w:tc>
          <w:tcPr>
            <w:tcW w:w="58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N. Grant, Jr.</w:t>
            </w:r>
          </w:p>
        </w:tc>
      </w:tr>
      <w:tr>
        <w:trPr>
          <w:trHeight w:val="230"/>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In connection with the Annual Report of inTEST Corporation (the "Company") on Form 10-K for the year ended December 31, 2022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spacing w:after="0" w:line="165"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Date:  March 22, 2023</w:t>
            </w:r>
          </w:p>
        </w:tc>
        <w:tc>
          <w:tcPr>
            <w:tcW w:w="17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 Duncan Gilmour</w:t>
            </w:r>
          </w:p>
        </w:tc>
      </w:tr>
      <w:tr>
        <w:trPr>
          <w:trHeight w:val="195"/>
        </w:trPr>
        <w:tc>
          <w:tcPr>
            <w:tcW w:w="58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Duncan Gilmour</w:t>
            </w:r>
          </w:p>
        </w:tc>
      </w:tr>
      <w:tr>
        <w:trPr>
          <w:trHeight w:val="216"/>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Chief Financial Officer, Treasurer and</w:t>
            </w:r>
          </w:p>
        </w:tc>
      </w:tr>
      <w:tr>
        <w:trPr>
          <w:trHeight w:val="230"/>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2"/>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lowerLetter"/>
      <w:start w:val="1"/>
    </w:lvl>
    <w:lvl w:ilvl="1">
      <w:lvlJc w:val="left"/>
      <w:lvlText w:val="(%2)"/>
      <w:numFmt w:val="lowerRoman"/>
      <w:start w:val="1"/>
    </w:lvl>
  </w:abstractNum>
  <w:abstractNum w:abstractNumId="16">
    <w:nsid w:val="22221A70"/>
    <w:multiLevelType w:val="hybridMultilevel"/>
    <w:lvl w:ilvl="0">
      <w:lvlJc w:val="left"/>
      <w:lvlText w:val="%1"/>
      <w:numFmt w:val="decimal"/>
      <w:start w:val="21"/>
    </w:lvl>
  </w:abstractNum>
  <w:abstractNum w:abstractNumId="17">
    <w:nsid w:val="4516DDE9"/>
    <w:multiLevelType w:val="hybridMultilevel"/>
    <w:lvl w:ilvl="0">
      <w:lvlJc w:val="left"/>
      <w:lvlText w:val="%1"/>
      <w:numFmt w:val="decimal"/>
      <w:start w:val="23"/>
    </w:lvl>
  </w:abstractNum>
  <w:abstractNum w:abstractNumId="18">
    <w:nsid w:val="3006C83E"/>
    <w:multiLevelType w:val="hybridMultilevel"/>
    <w:lvl w:ilvl="0">
      <w:lvlJc w:val="left"/>
      <w:lvlText w:val="%1"/>
      <w:numFmt w:val="decimal"/>
      <w:start w:val="104"/>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20"/>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o"/>
      <w:numFmt w:val="bullet"/>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2"/>
    </w:lvl>
  </w:abstractNum>
  <w:abstractNum w:abstractNumId="27">
    <w:nsid w:val="5C482A97"/>
    <w:multiLevelType w:val="hybridMultilevel"/>
    <w:lvl w:ilvl="0">
      <w:lvlJc w:val="left"/>
      <w:lvlText w:val="(%1)"/>
      <w:numFmt w:val="decimal"/>
      <w:start w:val="3"/>
    </w:lvl>
  </w:abstractNum>
  <w:abstractNum w:abstractNumId="28">
    <w:nsid w:val="2463B9EA"/>
    <w:multiLevelType w:val="hybridMultilevel"/>
    <w:lvl w:ilvl="0">
      <w:lvlJc w:val="left"/>
      <w:lvlText w:val="(%1)"/>
      <w:numFmt w:val="decimal"/>
      <w:start w:val="4"/>
    </w:lvl>
  </w:abstractNum>
  <w:abstractNum w:abstractNumId="29">
    <w:nsid w:val="5E884ADC"/>
    <w:multiLevelType w:val="hybridMultilevel"/>
    <w:lvl w:ilvl="0">
      <w:lvlJc w:val="left"/>
      <w:lvlText w:val="(%1)"/>
      <w:numFmt w:val="decimal"/>
      <w:start w:val="5"/>
    </w:lvl>
  </w:abstractNum>
  <w:abstractNum w:abstractNumId="30">
    <w:nsid w:val="51EAD36B"/>
    <w:multiLevelType w:val="hybridMultilevel"/>
    <w:lvl w:ilvl="0">
      <w:lvlJc w:val="left"/>
      <w:lvlText w:val="(%1)"/>
      <w:numFmt w:val="decimal"/>
      <w:start w:val="6"/>
    </w:lvl>
  </w:abstractNum>
  <w:abstractNum w:abstractNumId="31">
    <w:nsid w:val="2D517796"/>
    <w:multiLevelType w:val="hybridMultilevel"/>
    <w:lvl w:ilvl="0">
      <w:lvlJc w:val="left"/>
      <w:lvlText w:val="(%1)"/>
      <w:numFmt w:val="decimal"/>
      <w:start w:val="7"/>
    </w:lvl>
  </w:abstractNum>
  <w:abstractNum w:abstractNumId="32">
    <w:nsid w:val="580BD78F"/>
    <w:multiLevelType w:val="hybridMultilevel"/>
    <w:lvl w:ilvl="0">
      <w:lvlJc w:val="left"/>
      <w:lvlText w:val="(%1)"/>
      <w:numFmt w:val="decimal"/>
      <w:start w:val="8"/>
    </w:lvl>
  </w:abstractNum>
  <w:abstractNum w:abstractNumId="33">
    <w:nsid w:val="153EA438"/>
    <w:multiLevelType w:val="hybridMultilevel"/>
    <w:lvl w:ilvl="0">
      <w:lvlJc w:val="left"/>
      <w:lvlText w:val="(%1)"/>
      <w:numFmt w:val="decimal"/>
      <w:start w:val="9"/>
    </w:lvl>
  </w:abstractNum>
  <w:abstractNum w:abstractNumId="34">
    <w:nsid w:val="3855585C"/>
    <w:multiLevelType w:val="hybridMultilevel"/>
    <w:lvl w:ilvl="0">
      <w:lvlJc w:val="left"/>
      <w:lvlText w:val="(%1)"/>
      <w:numFmt w:val="decimal"/>
      <w:start w:val="10"/>
    </w:lvl>
  </w:abstractNum>
  <w:abstractNum w:abstractNumId="35">
    <w:nsid w:val="70A64E2A"/>
    <w:multiLevelType w:val="hybridMultilevel"/>
    <w:lvl w:ilvl="0">
      <w:lvlJc w:val="left"/>
      <w:lvlText w:val="(%1)"/>
      <w:numFmt w:val="decimal"/>
      <w:start w:val="11"/>
    </w:lvl>
  </w:abstractNum>
  <w:abstractNum w:abstractNumId="36">
    <w:nsid w:val="6A2342EC"/>
    <w:multiLevelType w:val="hybridMultilevel"/>
    <w:lvl w:ilvl="0">
      <w:lvlJc w:val="left"/>
      <w:lvlText w:val="(%1)"/>
      <w:numFmt w:val="decimal"/>
      <w:start w:val="12"/>
    </w:lvl>
  </w:abstractNum>
  <w:abstractNum w:abstractNumId="37">
    <w:nsid w:val="2A487CB0"/>
    <w:multiLevelType w:val="hybridMultilevel"/>
    <w:lvl w:ilvl="0">
      <w:lvlJc w:val="left"/>
      <w:lvlText w:val="(%1)"/>
      <w:numFmt w:val="decimal"/>
      <w:start w:val="14"/>
    </w:lvl>
  </w:abstractNum>
  <w:abstractNum w:abstractNumId="38">
    <w:nsid w:val="1D4ED43B"/>
    <w:multiLevelType w:val="hybridMultilevel"/>
    <w:lvl w:ilvl="0">
      <w:lvlJc w:val="left"/>
      <w:lvlText w:val="(%1)"/>
      <w:numFmt w:val="decimal"/>
      <w:start w:val="16"/>
    </w:lvl>
  </w:abstractNum>
  <w:abstractNum w:abstractNumId="39">
    <w:nsid w:val="725A06FB"/>
    <w:multiLevelType w:val="hybridMultilevel"/>
    <w:lvl w:ilvl="0">
      <w:lvlJc w:val="left"/>
      <w:lvlText w:val="(%1)"/>
      <w:numFmt w:val="decimal"/>
      <w:start w:val="18"/>
    </w:lvl>
  </w:abstractNum>
  <w:abstractNum w:abstractNumId="40">
    <w:nsid w:val="2CD89A32"/>
    <w:multiLevelType w:val="hybridMultilevel"/>
    <w:lvl w:ilvl="0">
      <w:lvlJc w:val="left"/>
      <w:lvlText w:val="(%1)"/>
      <w:numFmt w:val="decimal"/>
      <w:start w:val="20"/>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88" Type="http://schemas.openxmlformats.org/officeDocument/2006/relationships/image" Target="media/image37.png"/><Relationship Id="rId89" Type="http://schemas.openxmlformats.org/officeDocument/2006/relationships/image" Target="media/image38.png"/><Relationship Id="rId90" Type="http://schemas.openxmlformats.org/officeDocument/2006/relationships/image" Target="media/image39.png"/><Relationship Id="rId91" Type="http://schemas.openxmlformats.org/officeDocument/2006/relationships/image" Target="media/image40.png"/><Relationship Id="rId92" Type="http://schemas.openxmlformats.org/officeDocument/2006/relationships/image" Target="media/image41.png"/><Relationship Id="rId93" Type="http://schemas.openxmlformats.org/officeDocument/2006/relationships/image" Target="media/image42.png"/><Relationship Id="rId94" Type="http://schemas.openxmlformats.org/officeDocument/2006/relationships/image" Target="media/image43.png"/><Relationship Id="rId95" Type="http://schemas.openxmlformats.org/officeDocument/2006/relationships/image" Target="media/image44.png"/><Relationship Id="rId96" Type="http://schemas.openxmlformats.org/officeDocument/2006/relationships/image" Target="media/image45.png"/><Relationship Id="rId97" Type="http://schemas.openxmlformats.org/officeDocument/2006/relationships/image" Target="media/image46.png"/><Relationship Id="rId98" Type="http://schemas.openxmlformats.org/officeDocument/2006/relationships/image" Target="media/image47.png"/><Relationship Id="rId99" Type="http://schemas.openxmlformats.org/officeDocument/2006/relationships/image" Target="media/image48.png"/><Relationship Id="rId100" Type="http://schemas.openxmlformats.org/officeDocument/2006/relationships/image" Target="media/image49.png"/><Relationship Id="rId101" Type="http://schemas.openxmlformats.org/officeDocument/2006/relationships/image" Target="media/image50.png"/><Relationship Id="rId102" Type="http://schemas.openxmlformats.org/officeDocument/2006/relationships/image" Target="media/image51.png"/><Relationship Id="rId103" Type="http://schemas.openxmlformats.org/officeDocument/2006/relationships/image" Target="media/image52.png"/><Relationship Id="rId104" Type="http://schemas.openxmlformats.org/officeDocument/2006/relationships/image" Target="media/image53.png"/><Relationship Id="rId105" Type="http://schemas.openxmlformats.org/officeDocument/2006/relationships/image" Target="media/image54.png"/><Relationship Id="rId106" Type="http://schemas.openxmlformats.org/officeDocument/2006/relationships/image" Target="media/image55.png"/><Relationship Id="rId107" Type="http://schemas.openxmlformats.org/officeDocument/2006/relationships/image" Target="media/image56.png"/><Relationship Id="rId108" Type="http://schemas.openxmlformats.org/officeDocument/2006/relationships/image" Target="media/image57.png"/><Relationship Id="rId109" Type="http://schemas.openxmlformats.org/officeDocument/2006/relationships/image" Target="media/image58.png"/><Relationship Id="rId110" Type="http://schemas.openxmlformats.org/officeDocument/2006/relationships/image" Target="media/image59.png"/><Relationship Id="rId111" Type="http://schemas.openxmlformats.org/officeDocument/2006/relationships/image" Target="media/image60.png"/><Relationship Id="rId112" Type="http://schemas.openxmlformats.org/officeDocument/2006/relationships/image" Target="media/image61.png"/><Relationship Id="rId113" Type="http://schemas.openxmlformats.org/officeDocument/2006/relationships/image" Target="media/image62.png"/><Relationship Id="rId114" Type="http://schemas.openxmlformats.org/officeDocument/2006/relationships/image" Target="media/image63.png"/><Relationship Id="rId115" Type="http://schemas.openxmlformats.org/officeDocument/2006/relationships/image" Target="media/image64.png"/><Relationship Id="rId116" Type="http://schemas.openxmlformats.org/officeDocument/2006/relationships/image" Target="media/image65.png"/><Relationship Id="rId117" Type="http://schemas.openxmlformats.org/officeDocument/2006/relationships/image" Target="media/image66.png"/><Relationship Id="rId44" Type="http://schemas.openxmlformats.org/officeDocument/2006/relationships/hyperlink" Target="http://www.sec.gov/Archives/edgar/data/1036262/000143774921024929/ex_300114.htm" TargetMode="External"/><Relationship Id="rId45" Type="http://schemas.openxmlformats.org/officeDocument/2006/relationships/hyperlink" Target="http://www.sec.gov/Archives/edgar/data/1036262/000143774921024929/ex_300115.htm" TargetMode="External"/><Relationship Id="rId46" Type="http://schemas.openxmlformats.org/officeDocument/2006/relationships/hyperlink" Target="http://www.sec.gov/Archives/edgar/data/1036262/000143774921028357/ex_315494.htm" TargetMode="External"/><Relationship Id="rId47" Type="http://schemas.openxmlformats.org/officeDocument/2006/relationships/hyperlink" Target="http://www.sec.gov/Archives/edgar/data/1036262/000143774920005921/ex_177250.htm" TargetMode="External"/><Relationship Id="rId48" Type="http://schemas.openxmlformats.org/officeDocument/2006/relationships/hyperlink" Target="http://www.sec.gov/Archives/edgar/data/1036262/000143774918007703/ex_111081.htm" TargetMode="External"/><Relationship Id="rId49" Type="http://schemas.openxmlformats.org/officeDocument/2006/relationships/hyperlink" Target="http://www.sec.gov/Archives/edgar/data/1036262/000143774920005921/ex_177251.htm" TargetMode="External"/><Relationship Id="rId50" Type="http://schemas.openxmlformats.org/officeDocument/2006/relationships/hyperlink" Target="http://www.sec.gov/Archives/edgar/data/1036262/000103626210000025/ex101-8k051010.htm" TargetMode="External"/><Relationship Id="rId51" Type="http://schemas.openxmlformats.org/officeDocument/2006/relationships/hyperlink" Target="http://www.sec.gov/Archives/edgar/data/1036262/000143774920020176/ex_204864.htm" TargetMode="External"/><Relationship Id="rId52" Type="http://schemas.openxmlformats.org/officeDocument/2006/relationships/hyperlink" Target="http://www.sec.gov/Archives/edgar/data/1036262/000143774921008828/ex_240270.htm" TargetMode="External"/><Relationship Id="rId53" Type="http://schemas.openxmlformats.org/officeDocument/2006/relationships/hyperlink" Target="http://www.sec.gov/Archives/edgar/data/1036262/000103626210000043/ex101-8k102710.htm" TargetMode="External"/><Relationship Id="rId54" Type="http://schemas.openxmlformats.org/officeDocument/2006/relationships/hyperlink" Target="http://www.sec.gov/Archives/edgar/data/1036262/000143774919007093/ex_140554.htm" TargetMode="External"/><Relationship Id="rId55" Type="http://schemas.openxmlformats.org/officeDocument/2006/relationships/hyperlink" Target="http://www.sec.gov/Archives/edgar/data/1036262/000103626212000022/ex101-10q033112.htm" TargetMode="External"/><Relationship Id="rId56" Type="http://schemas.openxmlformats.org/officeDocument/2006/relationships/hyperlink" Target="http://www.sec.gov/Archives/edgar/data/1036262/000103626216000065/exh101-f8k111816.htm" TargetMode="External"/><Relationship Id="rId57" Type="http://schemas.openxmlformats.org/officeDocument/2006/relationships/hyperlink" Target="http://www.sec.gov/Archives/edgar/data/1036262/000143774920001297/ex_170460.htm" TargetMode="External"/><Relationship Id="rId58" Type="http://schemas.openxmlformats.org/officeDocument/2006/relationships/hyperlink" Target="http://www.sec.gov/Archives/edgar/data/1036262/000103626212000022/ex102-10q033112.htm" TargetMode="External"/><Relationship Id="rId59" Type="http://schemas.openxmlformats.org/officeDocument/2006/relationships/hyperlink" Target="http://www.sec.gov/Archives/edgar/data/1036262/000143774917021126/ex_102407.htm" TargetMode="External"/><Relationship Id="rId60" Type="http://schemas.openxmlformats.org/officeDocument/2006/relationships/hyperlink" Target="http://www.sec.gov/Archives/edgar/data/1036262/000143774917021126/ex_102408.htm" TargetMode="External"/><Relationship Id="rId61" Type="http://schemas.openxmlformats.org/officeDocument/2006/relationships/hyperlink" Target="http://www.sec.gov/Archives/edgar/data/1036262/000143774922028501/ex_452797.htm" TargetMode="External"/><Relationship Id="rId62" Type="http://schemas.openxmlformats.org/officeDocument/2006/relationships/hyperlink" Target="http://www.sec.gov/Archives/edgar/data/1036262/000143774921023970/ex_292653.htm" TargetMode="External"/><Relationship Id="rId63" Type="http://schemas.openxmlformats.org/officeDocument/2006/relationships/hyperlink" Target="http://www.sec.gov/Archives/edgar/data/1036262/000143774922000553/ex_321680.htm" TargetMode="External"/><Relationship Id="rId64" Type="http://schemas.openxmlformats.org/officeDocument/2006/relationships/hyperlink" Target="http://www.sec.gov/Archives/edgar/data/1036262/000143774922023063/ex_426417.htm" TargetMode="External"/><Relationship Id="rId65" Type="http://schemas.openxmlformats.org/officeDocument/2006/relationships/hyperlink" Target="http://www.sec.gov/Archives/edgar/data/1036262/000143774921024929/ex_300120.htm" TargetMode="External"/><Relationship Id="rId66" Type="http://schemas.openxmlformats.org/officeDocument/2006/relationships/hyperlink" Target="http://www.sec.gov/Archives/edgar/data/1036262/000143774922000553/ex_321683.htm" TargetMode="External"/><Relationship Id="rId67" Type="http://schemas.openxmlformats.org/officeDocument/2006/relationships/hyperlink" Target="http://www.sec.gov/Archives/edgar/data/1036262/000143774922023063/ex_426418.htm" TargetMode="External"/><Relationship Id="rId68" Type="http://schemas.openxmlformats.org/officeDocument/2006/relationships/hyperlink" Target="http://www.sec.gov/Archives/edgar/data/1036262/000143774922000553/ex_321684.htm" TargetMode="External"/><Relationship Id="rId69" Type="http://schemas.openxmlformats.org/officeDocument/2006/relationships/hyperlink" Target="http://www.sec.gov/Archives/edgar/data/1036262/000143774922000553/ex_321685.htm" TargetMode="External"/><Relationship Id="rId70" Type="http://schemas.openxmlformats.org/officeDocument/2006/relationships/hyperlink" Target="http://www.sec.gov/Archives/edgar/data/1036262/000143774922000553/ex_321686.htm" TargetMode="External"/><Relationship Id="rId71" Type="http://schemas.openxmlformats.org/officeDocument/2006/relationships/hyperlink" Target="http://www.sec.gov/Archives/edgar/data/1036262/000143774922000553/ex_321687.htm" TargetMode="External"/><Relationship Id="rId72" Type="http://schemas.openxmlformats.org/officeDocument/2006/relationships/hyperlink" Target="http://www.sec.gov/Archives/edgar/data/1036262/000143774922000553/ex_321682.htm" TargetMode="External"/><Relationship Id="rId73" Type="http://schemas.openxmlformats.org/officeDocument/2006/relationships/hyperlink" Target="http://www.sec.gov/Archives/edgar/data/1036262/000143774922000553/ex_321681.htm" TargetMode="External"/><Relationship Id="rId74" Type="http://schemas.openxmlformats.org/officeDocument/2006/relationships/hyperlink" Target="http://www.sec.gov/Archives/edgar/data/1036262/000143774921023970/ex_292655.htm" TargetMode="External"/><Relationship Id="rId75" Type="http://schemas.openxmlformats.org/officeDocument/2006/relationships/hyperlink" Target="http://www.sec.gov/Archives/edgar/data/1036262/000143774920014043/ex_191785.htm" TargetMode="External"/><Relationship Id="rId76" Type="http://schemas.openxmlformats.org/officeDocument/2006/relationships/hyperlink" Target="http://www.sec.gov/Archives/edgar/data/1036262/000143774922015993/ex_390299.htm" TargetMode="External"/><Relationship Id="rId77" Type="http://schemas.openxmlformats.org/officeDocument/2006/relationships/hyperlink" Target="http://www.sec.gov/Archives/edgar/data/1036262/000143774921019703/ex_272464.htm" TargetMode="External"/><Relationship Id="rId78" Type="http://schemas.openxmlformats.org/officeDocument/2006/relationships/hyperlink" Target="http://www.sec.gov/Archives/edgar/data/1036262/000143774920017523/ex_198825.htm" TargetMode="External"/><Relationship Id="rId79" Type="http://schemas.openxmlformats.org/officeDocument/2006/relationships/hyperlink" Target="http://www.sec.gov/Archives/edgar/data/1036262/000143774921014664/ex_256878.htm" TargetMode="External"/><Relationship Id="rId80" Type="http://schemas.openxmlformats.org/officeDocument/2006/relationships/hyperlink" Target="http://www.sec.gov/Archives/edgar/data/1036262/000143774920023648/ex_212630.htm" TargetMode="External"/><Relationship Id="rId81" Type="http://schemas.openxmlformats.org/officeDocument/2006/relationships/hyperlink" Target="http://www.sec.gov/Archives/edgar/data/1036262/000143774922006956/ex_348726.htm" TargetMode="External"/><Relationship Id="rId82" Type="http://schemas.openxmlformats.org/officeDocument/2006/relationships/hyperlink" Target="http://www.sec.gov/Archives/edgar/data/1036262/000143774921006160/ex_234025.htm" TargetMode="External"/><Relationship Id="rId83" Type="http://schemas.openxmlformats.org/officeDocument/2006/relationships/hyperlink" Target="http://www.sec.gov/Archives/edgar/data/1036262/000143774922006292/ex_347140.htm" TargetMode="External"/><Relationship Id="rId84" Type="http://schemas.openxmlformats.org/officeDocument/2006/relationships/hyperlink" Target="http://www.sec.gov/Archives/edgar/data/1036262/000143774920023648/ex_212626.htm" TargetMode="External"/><Relationship Id="rId85" Type="http://schemas.openxmlformats.org/officeDocument/2006/relationships/hyperlink" Target="http://www.sec.gov/Archives/edgar/data/1036262/000143774920023648/ex_212627.htm" TargetMode="External"/><Relationship Id="rId86" Type="http://schemas.openxmlformats.org/officeDocument/2006/relationships/hyperlink" Target="http://www.sec.gov/Archives/edgar/data/1036262/000143774921006160/ex_234027.htm" TargetMode="External"/><Relationship Id="rId87" Type="http://schemas.openxmlformats.org/officeDocument/2006/relationships/hyperlink" Target="http://www.sec.gov/Archives/edgar/data/1036262/000143774921006160/ex_2340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2023-03-22T17:12:47Z</dcterms:created>
  <dcterms:modified xsi:type="dcterms:W3CDTF">2023-03-22T17:12:47Z</dcterms:modified>
</cp:coreProperties>
</file>