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FORM 8-K</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13 or 15(d) of</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Securities Exchange Act of 1934</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March 4, 2026</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Date of Report (Date of earliest event reported)</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20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892" w:type="dxa"/>
        <w:jc w:val="left"/>
        <w:tblInd w:w="0" w:type="dxa"/>
        <w:tblLayout w:type="fixed"/>
        <w:tblCellMar>
          <w:top w:w="28" w:type="dxa"/>
          <w:left w:w="28" w:type="dxa"/>
          <w:bottom w:w="28" w:type="dxa"/>
          <w:right w:w="28" w:type="dxa"/>
        </w:tblCellMar>
      </w:tblPr>
      <w:tblGrid>
        <w:gridCol w:w="1322"/>
        <w:gridCol w:w="1161"/>
        <w:gridCol w:w="1176"/>
        <w:gridCol w:w="762"/>
        <w:gridCol w:w="762"/>
        <w:gridCol w:w="770"/>
        <w:gridCol w:w="857"/>
        <w:gridCol w:w="857"/>
        <w:gridCol w:w="1225"/>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001-36117</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804 East Gate Drive, Suite 200, Mt. Laurel, New Jersey 08054</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(856) 505-8800  </w:t>
      </w:r>
    </w:p>
    <w:p>
      <w:pPr>
        <w:pStyle w:val="TextBody"/>
        <w:bidi w:val="0"/>
        <w:spacing w:lineRule="auto" w:line="288" w:before="0" w:after="24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color w:val="000000"/>
          <w:u w:val="single"/>
        </w:rPr>
      </w:pPr>
      <w:r>
        <w:rPr>
          <w:color w:val="000000"/>
          <w:u w:val="single"/>
        </w:rPr>
        <w:t>  </w:t>
      </w:r>
      <w:r>
        <w:rPr>
          <w:rFonts w:ascii="Arial;sans-serif" w:hAnsi="Arial;sans-serif"/>
          <w:b/>
          <w:color w:val="000000"/>
          <w:sz w:val="18"/>
          <w:u w:val="single"/>
        </w:rPr>
        <w:t>N/A  </w:t>
      </w:r>
    </w:p>
    <w:p>
      <w:pPr>
        <w:pStyle w:val="TextBody"/>
        <w:bidi w:val="0"/>
        <w:spacing w:lineRule="auto" w:line="288" w:before="0" w:after="48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right"/>
        <w:rPr>
          <w:rFonts w:ascii="Arial;sans-serif" w:hAnsi="Arial;sans-serif"/>
          <w:b w:val="false"/>
          <w:color w:val="000000"/>
          <w:sz w:val="18"/>
        </w:rPr>
      </w:pPr>
      <w:r>
        <w:rPr>
          <w:rFonts w:ascii="Arial;sans-serif" w:hAnsi="Arial;sans-serif"/>
          <w:b w:val="false"/>
          <w:color w:val="000000"/>
          <w:sz w:val="18"/>
        </w:rPr>
        <w:t>Emerging growth company o</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4, 2026, the Compensation Committee (the “Committee”) of the Board of Directors (the “Board”) of InTest Corporation (the “Company”) determined that the base salary of the Company’s President and Chief Executive Officer, Richard N. Grant, Jr. (the “CEO”), and Chief Financial Officer, Treasurer and Secretary, Duncan Gilmour (the “CFO,” together with the CEO, the “Executive Officers”) will remain at their 2025 amounts of $428,915 and $282,500, respectively. Furthermore, the Committee approved short-term performance bonus payment target percentages for 2026 equal to 85% of base salary for Mr. Grant and 65% of base salary for Mr. Gilmour where the bonus amount may range from zero to an amount that may exceed the target percentages based on the achievement of the established performance criteria for 2026. In addition, the Committee approved long term incentive awards with a grant date fair value equal to $600,000 for Mr. Grant and $250,000 for Mr. Gilmour, with the grant date fair value allocated in equal thirds to: (1) a 4-year time-vesting award, (2) a 3-year performance-vesting award, and (3) an award of stock options. The equity awards granted pursuant to the long-term incentive awards will have a grant date as of the close of business on the second business day following the filing of the Company’s 10-K for the 2025 fiscal year (the “Grant Date”). The time-vested awards will vest in equal annual increments over four years, the performance-vested awards will vest on the third anniversary of the Grant Date (subject to the performance metrics set forth below) and the stock option awards will vest in equal annual increments over four years. The performance vesting grant may result in a payout range from zero to an amount that may exceed the target percentages based on the achievement of the established performance criteria for the period ending December 31, 2028. The number of shares underlying each award and the exercise price of the stock options will be based on the closing price of the Company’s stock on the Grant Date using a Black-Scholes valuation model.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performance metric used for the shares of performance-vested restricted stock shall be the Company’s enterprise value, defined as (the sum of the Company’s market cap, short-term debt, long-term debt and preferred stock (if any)) minus (the sum of cash, cash equivalents, restricted cash and short term investment), all as of December 31, 2028, as determined by the Committee.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equity awards described in Item 5.02 are subject to the terms of the inTEST Corporation 2023 Stock Incentive Plan, as amended, and the Company’s standard forms of award agreements, which have been filed with the Securities and Exchange Commission.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6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6109"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1418"/>
        <w:gridCol w:w="1418"/>
        <w:gridCol w:w="1423"/>
        <w:gridCol w:w="235"/>
        <w:gridCol w:w="235"/>
        <w:gridCol w:w="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March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811</Words>
  <Characters>4373</Characters>
  <CharactersWithSpaces>5144</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