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131445</wp:posOffset>
            </wp:positionV>
            <wp:extent cx="75882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0000FF"/>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135890</wp:posOffset>
            </wp:positionV>
            <wp:extent cx="75882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4"/>
          <w:szCs w:val="14"/>
          <w:i w:val="1"/>
          <w:iCs w:val="1"/>
          <w:color w:val="auto"/>
        </w:rPr>
        <w:t>(Mark One)</w:t>
      </w:r>
    </w:p>
    <w:p>
      <w:pPr>
        <w:spacing w:after="0" w:line="4"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[X]</w:t>
      </w:r>
      <w:r>
        <w:rPr>
          <w:sz w:val="20"/>
          <w:szCs w:val="20"/>
          <w:color w:val="auto"/>
        </w:rPr>
        <w:tab/>
      </w:r>
      <w:r>
        <w:rPr>
          <w:rFonts w:ascii="Arial" w:cs="Arial" w:eastAsia="Arial" w:hAnsi="Arial"/>
          <w:sz w:val="16"/>
          <w:szCs w:val="16"/>
          <w:b w:val="1"/>
          <w:bCs w:val="1"/>
          <w:color w:val="auto"/>
        </w:rPr>
        <w:t>QUARTERLY REPORT PURSUANT TO SECTION 13 OR 15(d) OF THE SECURITIES EXCHANGE ACT OF 1934</w:t>
      </w:r>
    </w:p>
    <w:p>
      <w:pPr>
        <w:spacing w:after="0" w:line="211" w:lineRule="exact"/>
        <w:rPr>
          <w:sz w:val="24"/>
          <w:szCs w:val="24"/>
          <w:color w:val="auto"/>
        </w:rPr>
      </w:pPr>
    </w:p>
    <w:p>
      <w:pPr>
        <w:ind w:left="2160"/>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FF0000"/>
        </w:rPr>
        <w:t>June 30, 2010</w:t>
      </w:r>
      <w:r>
        <w:rPr>
          <w:rFonts w:ascii="Arial" w:cs="Arial" w:eastAsia="Arial" w:hAnsi="Arial"/>
          <w:sz w:val="18"/>
          <w:szCs w:val="18"/>
          <w:color w:val="auto"/>
        </w:rPr>
        <w:t xml:space="preserve"> or</w:t>
      </w:r>
    </w:p>
    <w:p>
      <w:pPr>
        <w:spacing w:after="0" w:line="219" w:lineRule="exact"/>
        <w:rPr>
          <w:sz w:val="24"/>
          <w:szCs w:val="24"/>
          <w:color w:val="auto"/>
        </w:rPr>
      </w:pPr>
    </w:p>
    <w:p>
      <w:pPr>
        <w:ind w:left="2160" w:right="1920" w:hanging="2152"/>
        <w:spacing w:after="0" w:line="478" w:lineRule="auto"/>
        <w:tabs>
          <w:tab w:leader="none" w:pos="18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__________________ to ___________________</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0-22529</w:t>
      </w:r>
    </w:p>
    <w:p>
      <w:pPr>
        <w:spacing w:after="0" w:line="146" w:lineRule="exact"/>
        <w:rPr>
          <w:sz w:val="24"/>
          <w:szCs w:val="24"/>
          <w:color w:val="auto"/>
        </w:rPr>
      </w:pPr>
    </w:p>
    <w:p>
      <w:pPr>
        <w:jc w:val="center"/>
        <w:ind w:right="-139"/>
        <w:spacing w:after="0"/>
        <w:rPr>
          <w:sz w:val="20"/>
          <w:szCs w:val="20"/>
          <w:color w:val="auto"/>
        </w:rPr>
      </w:pPr>
      <w:r>
        <w:rPr>
          <w:rFonts w:ascii="Arial" w:cs="Arial" w:eastAsia="Arial" w:hAnsi="Arial"/>
          <w:sz w:val="24"/>
          <w:szCs w:val="24"/>
          <w:u w:val="single" w:color="auto"/>
          <w:color w:val="0000FF"/>
        </w:rPr>
        <w:t>inTEST Corporation</w:t>
      </w:r>
    </w:p>
    <w:p>
      <w:pPr>
        <w:spacing w:after="0" w:line="29"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(Exact Name of Registrant as Specified in its Charter)</w:t>
      </w:r>
    </w:p>
    <w:p>
      <w:pPr>
        <w:spacing w:after="0" w:line="185" w:lineRule="exact"/>
        <w:rPr>
          <w:sz w:val="24"/>
          <w:szCs w:val="24"/>
          <w:color w:val="auto"/>
        </w:rPr>
      </w:pPr>
    </w:p>
    <w:tbl>
      <w:tblPr>
        <w:tblLayout w:type="fixed"/>
        <w:tblInd w:w="190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2900" w:type="dxa"/>
            <w:vAlign w:val="bottom"/>
            <w:gridSpan w:val="2"/>
          </w:tcPr>
          <w:p>
            <w:pPr>
              <w:jc w:val="center"/>
              <w:ind w:right="2200"/>
              <w:spacing w:after="0"/>
              <w:rPr>
                <w:sz w:val="20"/>
                <w:szCs w:val="20"/>
                <w:color w:val="auto"/>
              </w:rPr>
            </w:pPr>
            <w:r>
              <w:rPr>
                <w:rFonts w:ascii="Arial" w:cs="Arial" w:eastAsia="Arial" w:hAnsi="Arial"/>
                <w:sz w:val="18"/>
                <w:szCs w:val="18"/>
                <w:b w:val="1"/>
                <w:bCs w:val="1"/>
                <w:color w:val="auto"/>
                <w:w w:val="88"/>
              </w:rPr>
              <w:t>Delaware</w:t>
            </w:r>
          </w:p>
        </w:tc>
        <w:tc>
          <w:tcPr>
            <w:tcW w:w="314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22-2370659</w:t>
            </w:r>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4160" w:type="dxa"/>
            <w:vAlign w:val="bottom"/>
            <w:gridSpan w:val="3"/>
          </w:tcPr>
          <w:p>
            <w:pPr>
              <w:jc w:val="center"/>
              <w:ind w:right="940"/>
              <w:spacing w:after="0"/>
              <w:rPr>
                <w:sz w:val="20"/>
                <w:szCs w:val="20"/>
                <w:color w:val="auto"/>
              </w:rPr>
            </w:pPr>
            <w:r>
              <w:rPr>
                <w:rFonts w:ascii="Arial" w:cs="Arial" w:eastAsia="Arial" w:hAnsi="Arial"/>
                <w:sz w:val="14"/>
                <w:szCs w:val="14"/>
                <w:color w:val="auto"/>
                <w:w w:val="89"/>
              </w:rPr>
              <w:t>(State or other jurisdiction of incorporation or organization)</w:t>
            </w:r>
          </w:p>
        </w:tc>
        <w:tc>
          <w:tcPr>
            <w:tcW w:w="3140" w:type="dxa"/>
            <w:vAlign w:val="bottom"/>
            <w:gridSpan w:val="3"/>
          </w:tcPr>
          <w:p>
            <w:pPr>
              <w:jc w:val="center"/>
              <w:ind w:left="862"/>
              <w:spacing w:after="0"/>
              <w:rPr>
                <w:sz w:val="20"/>
                <w:szCs w:val="20"/>
                <w:color w:val="auto"/>
              </w:rPr>
            </w:pPr>
            <w:r>
              <w:rPr>
                <w:rFonts w:ascii="Arial" w:cs="Arial" w:eastAsia="Arial" w:hAnsi="Arial"/>
                <w:sz w:val="14"/>
                <w:szCs w:val="14"/>
                <w:color w:val="auto"/>
                <w:w w:val="90"/>
              </w:rPr>
              <w:t>(I.R.S. Employer Identification Number)</w:t>
            </w:r>
          </w:p>
        </w:tc>
      </w:tr>
    </w:tbl>
    <w:p>
      <w:pPr>
        <w:spacing w:after="0" w:line="20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 Esterbrook Lane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Cherry Hill, New Jersey 08003</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9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(856) 424-6886</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510667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06670" cy="342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both"/>
        <w:ind w:right="6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tabs>
          <w:tab w:leader="none" w:pos="80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5"/>
          <w:szCs w:val="15"/>
          <w:color w:val="auto"/>
        </w:rPr>
        <w:t>NO ____</w:t>
      </w:r>
    </w:p>
    <w:p>
      <w:pPr>
        <w:spacing w:after="0" w:line="219"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(SS 232.405 of this chapter) during the preceding 12 months (or for such shorter period that the registrant was required to submit and post such files). YES ____ NO ____</w:t>
      </w:r>
    </w:p>
    <w:p>
      <w:pPr>
        <w:spacing w:after="0" w:line="194" w:lineRule="exact"/>
        <w:rPr>
          <w:sz w:val="24"/>
          <w:szCs w:val="24"/>
          <w:color w:val="auto"/>
        </w:rPr>
      </w:pPr>
    </w:p>
    <w:p>
      <w:pPr>
        <w:ind w:right="2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9" w:lineRule="exact"/>
        <w:rPr>
          <w:sz w:val="24"/>
          <w:szCs w:val="24"/>
          <w:color w:val="auto"/>
        </w:rPr>
      </w:pPr>
    </w:p>
    <w:tbl>
      <w:tblPr>
        <w:tblLayout w:type="fixed"/>
        <w:tblInd w:w="54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Arial" w:cs="Arial" w:eastAsia="Arial" w:hAnsi="Arial"/>
                <w:sz w:val="18"/>
                <w:szCs w:val="18"/>
                <w:color w:val="auto"/>
                <w:w w:val="88"/>
              </w:rPr>
              <w:t>Large accelerated filer</w:t>
            </w:r>
          </w:p>
        </w:tc>
        <w:tc>
          <w:tcPr>
            <w:tcW w:w="3340" w:type="dxa"/>
            <w:vAlign w:val="bottom"/>
          </w:tcPr>
          <w:p>
            <w:pPr>
              <w:jc w:val="right"/>
              <w:ind w:right="2912"/>
              <w:spacing w:after="0"/>
              <w:rPr>
                <w:sz w:val="20"/>
                <w:szCs w:val="20"/>
                <w:color w:val="auto"/>
              </w:rPr>
            </w:pPr>
            <w:r>
              <w:rPr>
                <w:rFonts w:ascii="Arial" w:cs="Arial" w:eastAsia="Arial" w:hAnsi="Arial"/>
                <w:sz w:val="18"/>
                <w:szCs w:val="18"/>
                <w:color w:val="auto"/>
              </w:rPr>
              <w:t>___</w:t>
            </w:r>
          </w:p>
        </w:tc>
        <w:tc>
          <w:tcPr>
            <w:tcW w:w="2780" w:type="dxa"/>
            <w:vAlign w:val="bottom"/>
            <w:gridSpan w:val="2"/>
          </w:tcPr>
          <w:p>
            <w:pPr>
              <w:ind w:left="500"/>
              <w:spacing w:after="0"/>
              <w:rPr>
                <w:sz w:val="20"/>
                <w:szCs w:val="20"/>
                <w:color w:val="auto"/>
              </w:rPr>
            </w:pPr>
            <w:r>
              <w:rPr>
                <w:rFonts w:ascii="Arial" w:cs="Arial" w:eastAsia="Arial" w:hAnsi="Arial"/>
                <w:sz w:val="18"/>
                <w:szCs w:val="18"/>
                <w:color w:val="auto"/>
              </w:rPr>
              <w:t>Accelerated filer ___</w:t>
            </w:r>
          </w:p>
        </w:tc>
      </w:tr>
      <w:tr>
        <w:trPr>
          <w:trHeight w:val="184"/>
        </w:trPr>
        <w:tc>
          <w:tcPr>
            <w:tcW w:w="1600" w:type="dxa"/>
            <w:vAlign w:val="bottom"/>
          </w:tcPr>
          <w:p>
            <w:pPr>
              <w:spacing w:after="0" w:line="184" w:lineRule="exact"/>
              <w:rPr>
                <w:sz w:val="20"/>
                <w:szCs w:val="20"/>
                <w:color w:val="auto"/>
              </w:rPr>
            </w:pPr>
            <w:r>
              <w:rPr>
                <w:rFonts w:ascii="Arial" w:cs="Arial" w:eastAsia="Arial" w:hAnsi="Arial"/>
                <w:sz w:val="18"/>
                <w:szCs w:val="18"/>
                <w:color w:val="auto"/>
                <w:w w:val="95"/>
              </w:rPr>
              <w:t>Non-accelerated filer</w:t>
            </w:r>
          </w:p>
        </w:tc>
        <w:tc>
          <w:tcPr>
            <w:tcW w:w="3340" w:type="dxa"/>
            <w:vAlign w:val="bottom"/>
          </w:tcPr>
          <w:p>
            <w:pPr>
              <w:jc w:val="right"/>
              <w:ind w:right="412"/>
              <w:spacing w:after="0" w:line="184" w:lineRule="exact"/>
              <w:rPr>
                <w:sz w:val="20"/>
                <w:szCs w:val="20"/>
                <w:color w:val="auto"/>
              </w:rPr>
            </w:pPr>
            <w:r>
              <w:rPr>
                <w:rFonts w:ascii="Arial" w:cs="Arial" w:eastAsia="Arial" w:hAnsi="Arial"/>
                <w:sz w:val="18"/>
                <w:szCs w:val="18"/>
                <w:color w:val="auto"/>
                <w:w w:val="94"/>
              </w:rPr>
              <w:t xml:space="preserve">___ </w:t>
            </w:r>
            <w:r>
              <w:rPr>
                <w:rFonts w:ascii="Arial" w:cs="Arial" w:eastAsia="Arial" w:hAnsi="Arial"/>
                <w:sz w:val="13"/>
                <w:szCs w:val="13"/>
                <w:color w:val="auto"/>
                <w:w w:val="94"/>
              </w:rPr>
              <w:t>(Do not check if a smaller reporting company)</w:t>
            </w:r>
          </w:p>
        </w:tc>
        <w:tc>
          <w:tcPr>
            <w:tcW w:w="2780" w:type="dxa"/>
            <w:vAlign w:val="bottom"/>
            <w:gridSpan w:val="2"/>
          </w:tcPr>
          <w:p>
            <w:pPr>
              <w:ind w:left="560"/>
              <w:spacing w:after="0" w:line="184" w:lineRule="exact"/>
              <w:rPr>
                <w:sz w:val="20"/>
                <w:szCs w:val="20"/>
                <w:color w:val="auto"/>
              </w:rPr>
            </w:pPr>
            <w:r>
              <w:rPr>
                <w:rFonts w:ascii="Arial" w:cs="Arial" w:eastAsia="Arial" w:hAnsi="Arial"/>
                <w:sz w:val="18"/>
                <w:szCs w:val="18"/>
                <w:color w:val="auto"/>
                <w:w w:val="94"/>
              </w:rPr>
              <w:t>Smaller reporting company X</w:t>
            </w:r>
          </w:p>
        </w:tc>
      </w:tr>
      <w:tr>
        <w:trPr>
          <w:trHeight w:val="20"/>
        </w:trPr>
        <w:tc>
          <w:tcPr>
            <w:tcW w:w="16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bl>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spacing w:after="0"/>
        <w:tabs>
          <w:tab w:leader="none" w:pos="800" w:val="left"/>
        </w:tabs>
        <w:rPr>
          <w:sz w:val="20"/>
          <w:szCs w:val="20"/>
          <w:color w:val="auto"/>
        </w:rPr>
      </w:pPr>
      <w:r>
        <w:rPr>
          <w:rFonts w:ascii="Arial" w:cs="Arial" w:eastAsia="Arial" w:hAnsi="Arial"/>
          <w:sz w:val="18"/>
          <w:szCs w:val="18"/>
          <w:color w:val="auto"/>
        </w:rPr>
        <w:t>YES ___</w:t>
        <w:tab/>
        <w:t xml:space="preserve">NO </w:t>
      </w:r>
      <w:r>
        <w:rPr>
          <w:rFonts w:ascii="Arial" w:cs="Arial" w:eastAsia="Arial" w:hAnsi="Arial"/>
          <w:sz w:val="18"/>
          <w:szCs w:val="18"/>
          <w:u w:val="single" w:color="auto"/>
          <w:color w:val="auto"/>
        </w:rPr>
        <w:t>X</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$.01 par value, outstanding as of the close of business on July 31, 2010:</w:t>
      </w:r>
    </w:p>
    <w:p>
      <w:pPr>
        <w:spacing w:after="0" w:line="18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10,345,476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510667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0667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inTEST CORPORATION</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tbl>
      <w:tblPr>
        <w:tblLayout w:type="fixed"/>
        <w:tblInd w:w="20" w:type="dxa"/>
        <w:tblCellMar>
          <w:top w:w="0" w:type="dxa"/>
          <w:left w:w="0" w:type="dxa"/>
          <w:bottom w:w="0" w:type="dxa"/>
          <w:right w:w="0" w:type="dxa"/>
        </w:tblCellMar>
      </w:tblPr>
      <w:tr>
        <w:trPr>
          <w:trHeight w:val="228"/>
        </w:trPr>
        <w:tc>
          <w:tcPr>
            <w:tcW w:w="7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260" w:type="dxa"/>
            <w:vAlign w:val="bottom"/>
          </w:tcPr>
          <w:p>
            <w:pPr>
              <w:ind w:left="120"/>
              <w:spacing w:after="0"/>
              <w:rPr>
                <w:sz w:val="20"/>
                <w:szCs w:val="20"/>
                <w:color w:val="auto"/>
              </w:rPr>
            </w:pPr>
            <w:r>
              <w:rPr>
                <w:rFonts w:ascii="Arial" w:cs="Arial" w:eastAsia="Arial" w:hAnsi="Arial"/>
                <w:sz w:val="18"/>
                <w:szCs w:val="18"/>
                <w:b w:val="1"/>
                <w:bCs w:val="1"/>
                <w:color w:val="auto"/>
              </w:rPr>
              <w:t>FINANCIAL INFORMATION</w:t>
            </w:r>
          </w:p>
        </w:tc>
        <w:tc>
          <w:tcPr>
            <w:tcW w:w="360" w:type="dxa"/>
            <w:vAlign w:val="bottom"/>
          </w:tcPr>
          <w:p>
            <w:pPr>
              <w:spacing w:after="0"/>
              <w:rPr>
                <w:sz w:val="19"/>
                <w:szCs w:val="19"/>
                <w:color w:val="auto"/>
              </w:rPr>
            </w:pPr>
          </w:p>
        </w:tc>
      </w:tr>
      <w:tr>
        <w:trPr>
          <w:trHeight w:val="205"/>
        </w:trPr>
        <w:tc>
          <w:tcPr>
            <w:tcW w:w="740" w:type="dxa"/>
            <w:vAlign w:val="bottom"/>
          </w:tcPr>
          <w:p>
            <w:pPr>
              <w:spacing w:after="0"/>
              <w:rPr>
                <w:sz w:val="17"/>
                <w:szCs w:val="17"/>
                <w:color w:val="auto"/>
              </w:rPr>
            </w:pPr>
          </w:p>
        </w:tc>
        <w:tc>
          <w:tcPr>
            <w:tcW w:w="8260" w:type="dxa"/>
            <w:vAlign w:val="bottom"/>
          </w:tcPr>
          <w:p>
            <w:pPr>
              <w:spacing w:after="0"/>
              <w:rPr>
                <w:sz w:val="17"/>
                <w:szCs w:val="17"/>
                <w:color w:val="auto"/>
              </w:rPr>
            </w:pPr>
          </w:p>
        </w:tc>
        <w:tc>
          <w:tcPr>
            <w:tcW w:w="360" w:type="dxa"/>
            <w:vAlign w:val="bottom"/>
            <w:tcBorders>
              <w:bottom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83"/>
              </w:rPr>
              <w:t>Page</w:t>
            </w:r>
          </w:p>
        </w:tc>
      </w:tr>
      <w:tr>
        <w:trPr>
          <w:trHeight w:val="262"/>
        </w:trPr>
        <w:tc>
          <w:tcPr>
            <w:tcW w:w="740" w:type="dxa"/>
            <w:vAlign w:val="bottom"/>
          </w:tcPr>
          <w:p>
            <w:pPr>
              <w:spacing w:after="0"/>
              <w:rPr>
                <w:sz w:val="20"/>
                <w:szCs w:val="20"/>
                <w:color w:val="auto"/>
              </w:rPr>
            </w:pPr>
            <w:r>
              <w:rPr>
                <w:rFonts w:ascii="Arial" w:cs="Arial" w:eastAsia="Arial" w:hAnsi="Arial"/>
                <w:sz w:val="18"/>
                <w:szCs w:val="18"/>
                <w:b w:val="1"/>
                <w:bCs w:val="1"/>
                <w:i w:val="1"/>
                <w:iCs w:val="1"/>
                <w:color w:val="auto"/>
              </w:rPr>
              <w:t>Item 1.</w:t>
            </w:r>
          </w:p>
        </w:tc>
        <w:tc>
          <w:tcPr>
            <w:tcW w:w="826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Financial Statements</w:t>
            </w:r>
          </w:p>
        </w:tc>
        <w:tc>
          <w:tcPr>
            <w:tcW w:w="360" w:type="dxa"/>
            <w:vAlign w:val="bottom"/>
          </w:tcPr>
          <w:p>
            <w:pPr>
              <w:spacing w:after="0"/>
              <w:rPr>
                <w:sz w:val="22"/>
                <w:szCs w:val="22"/>
                <w:color w:val="auto"/>
              </w:rPr>
            </w:pPr>
          </w:p>
        </w:tc>
      </w:tr>
      <w:tr>
        <w:trPr>
          <w:trHeight w:val="513"/>
        </w:trPr>
        <w:tc>
          <w:tcPr>
            <w:tcW w:w="740" w:type="dxa"/>
            <w:vAlign w:val="bottom"/>
          </w:tcPr>
          <w:p>
            <w:pPr>
              <w:spacing w:after="0"/>
              <w:rPr>
                <w:sz w:val="24"/>
                <w:szCs w:val="24"/>
                <w:color w:val="auto"/>
              </w:rPr>
            </w:pPr>
          </w:p>
        </w:tc>
        <w:tc>
          <w:tcPr>
            <w:tcW w:w="8260" w:type="dxa"/>
            <w:vAlign w:val="bottom"/>
          </w:tcPr>
          <w:p>
            <w:pPr>
              <w:ind w:left="120"/>
              <w:spacing w:after="0"/>
              <w:rPr>
                <w:sz w:val="20"/>
                <w:szCs w:val="20"/>
                <w:color w:val="auto"/>
              </w:rPr>
            </w:pPr>
            <w:r>
              <w:rPr>
                <w:rFonts w:ascii="Arial" w:cs="Arial" w:eastAsia="Arial" w:hAnsi="Arial"/>
                <w:sz w:val="18"/>
                <w:szCs w:val="18"/>
                <w:color w:val="auto"/>
              </w:rPr>
              <w:t>Consolidated Balance Sheets as of June 30, 2010 (Unaudited) and December 31, 2009</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37"/>
        </w:trPr>
        <w:tc>
          <w:tcPr>
            <w:tcW w:w="740" w:type="dxa"/>
            <w:vAlign w:val="bottom"/>
          </w:tcPr>
          <w:p>
            <w:pPr>
              <w:spacing w:after="0"/>
              <w:rPr>
                <w:sz w:val="20"/>
                <w:szCs w:val="20"/>
                <w:color w:val="auto"/>
              </w:rPr>
            </w:pPr>
          </w:p>
        </w:tc>
        <w:tc>
          <w:tcPr>
            <w:tcW w:w="8260" w:type="dxa"/>
            <w:vAlign w:val="bottom"/>
          </w:tcPr>
          <w:p>
            <w:pPr>
              <w:ind w:left="120"/>
              <w:spacing w:after="0"/>
              <w:rPr>
                <w:sz w:val="20"/>
                <w:szCs w:val="20"/>
                <w:color w:val="auto"/>
              </w:rPr>
            </w:pPr>
            <w:r>
              <w:rPr>
                <w:rFonts w:ascii="Arial" w:cs="Arial" w:eastAsia="Arial" w:hAnsi="Arial"/>
                <w:sz w:val="18"/>
                <w:szCs w:val="18"/>
                <w:color w:val="auto"/>
                <w:w w:val="98"/>
              </w:rPr>
              <w:t>Unaudited Consolidated Statements of Operations for the three months and six months ended June 30,</w:t>
            </w:r>
          </w:p>
        </w:tc>
        <w:tc>
          <w:tcPr>
            <w:tcW w:w="360" w:type="dxa"/>
            <w:vAlign w:val="bottom"/>
          </w:tcPr>
          <w:p>
            <w:pPr>
              <w:spacing w:after="0"/>
              <w:rPr>
                <w:sz w:val="20"/>
                <w:szCs w:val="20"/>
                <w:color w:val="auto"/>
              </w:rPr>
            </w:pPr>
          </w:p>
        </w:tc>
      </w:tr>
      <w:tr>
        <w:trPr>
          <w:trHeight w:val="222"/>
        </w:trPr>
        <w:tc>
          <w:tcPr>
            <w:tcW w:w="740" w:type="dxa"/>
            <w:vAlign w:val="bottom"/>
          </w:tcPr>
          <w:p>
            <w:pPr>
              <w:spacing w:after="0"/>
              <w:rPr>
                <w:sz w:val="19"/>
                <w:szCs w:val="19"/>
                <w:color w:val="auto"/>
              </w:rPr>
            </w:pPr>
          </w:p>
        </w:tc>
        <w:tc>
          <w:tcPr>
            <w:tcW w:w="8260" w:type="dxa"/>
            <w:vAlign w:val="bottom"/>
          </w:tcPr>
          <w:p>
            <w:pPr>
              <w:ind w:left="260"/>
              <w:spacing w:after="0"/>
              <w:rPr>
                <w:sz w:val="20"/>
                <w:szCs w:val="20"/>
                <w:color w:val="auto"/>
              </w:rPr>
            </w:pPr>
            <w:r>
              <w:rPr>
                <w:rFonts w:ascii="Arial" w:cs="Arial" w:eastAsia="Arial" w:hAnsi="Arial"/>
                <w:sz w:val="18"/>
                <w:szCs w:val="18"/>
                <w:color w:val="auto"/>
              </w:rPr>
              <w:t>2010 and 2009</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2</w:t>
            </w:r>
          </w:p>
        </w:tc>
      </w:tr>
      <w:tr>
        <w:trPr>
          <w:trHeight w:val="237"/>
        </w:trPr>
        <w:tc>
          <w:tcPr>
            <w:tcW w:w="740" w:type="dxa"/>
            <w:vAlign w:val="bottom"/>
          </w:tcPr>
          <w:p>
            <w:pPr>
              <w:spacing w:after="0"/>
              <w:rPr>
                <w:sz w:val="20"/>
                <w:szCs w:val="20"/>
                <w:color w:val="auto"/>
              </w:rPr>
            </w:pPr>
          </w:p>
        </w:tc>
        <w:tc>
          <w:tcPr>
            <w:tcW w:w="8260" w:type="dxa"/>
            <w:vAlign w:val="bottom"/>
          </w:tcPr>
          <w:p>
            <w:pPr>
              <w:ind w:left="120"/>
              <w:spacing w:after="0"/>
              <w:rPr>
                <w:sz w:val="20"/>
                <w:szCs w:val="20"/>
                <w:color w:val="auto"/>
              </w:rPr>
            </w:pPr>
            <w:r>
              <w:rPr>
                <w:rFonts w:ascii="Arial" w:cs="Arial" w:eastAsia="Arial" w:hAnsi="Arial"/>
                <w:sz w:val="18"/>
                <w:szCs w:val="18"/>
                <w:color w:val="auto"/>
                <w:w w:val="94"/>
              </w:rPr>
              <w:t>Unaudited Consolidated Statements of Comprehensive Earnings (Loss) for the three months and six months</w:t>
            </w:r>
          </w:p>
        </w:tc>
        <w:tc>
          <w:tcPr>
            <w:tcW w:w="360" w:type="dxa"/>
            <w:vAlign w:val="bottom"/>
          </w:tcPr>
          <w:p>
            <w:pPr>
              <w:spacing w:after="0"/>
              <w:rPr>
                <w:sz w:val="20"/>
                <w:szCs w:val="20"/>
                <w:color w:val="auto"/>
              </w:rPr>
            </w:pPr>
          </w:p>
        </w:tc>
      </w:tr>
      <w:tr>
        <w:trPr>
          <w:trHeight w:val="222"/>
        </w:trPr>
        <w:tc>
          <w:tcPr>
            <w:tcW w:w="740" w:type="dxa"/>
            <w:vAlign w:val="bottom"/>
          </w:tcPr>
          <w:p>
            <w:pPr>
              <w:spacing w:after="0"/>
              <w:rPr>
                <w:sz w:val="19"/>
                <w:szCs w:val="19"/>
                <w:color w:val="auto"/>
              </w:rPr>
            </w:pPr>
          </w:p>
        </w:tc>
        <w:tc>
          <w:tcPr>
            <w:tcW w:w="8260" w:type="dxa"/>
            <w:vAlign w:val="bottom"/>
          </w:tcPr>
          <w:p>
            <w:pPr>
              <w:ind w:left="260"/>
              <w:spacing w:after="0"/>
              <w:rPr>
                <w:sz w:val="20"/>
                <w:szCs w:val="20"/>
                <w:color w:val="auto"/>
              </w:rPr>
            </w:pPr>
            <w:r>
              <w:rPr>
                <w:rFonts w:ascii="Arial" w:cs="Arial" w:eastAsia="Arial" w:hAnsi="Arial"/>
                <w:sz w:val="18"/>
                <w:szCs w:val="18"/>
                <w:color w:val="auto"/>
              </w:rPr>
              <w:t>ended June 30, 2010 and 2009</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43"/>
        </w:trPr>
        <w:tc>
          <w:tcPr>
            <w:tcW w:w="740" w:type="dxa"/>
            <w:vAlign w:val="bottom"/>
          </w:tcPr>
          <w:p>
            <w:pPr>
              <w:spacing w:after="0"/>
              <w:rPr>
                <w:sz w:val="21"/>
                <w:szCs w:val="21"/>
                <w:color w:val="auto"/>
              </w:rPr>
            </w:pPr>
          </w:p>
        </w:tc>
        <w:tc>
          <w:tcPr>
            <w:tcW w:w="8260" w:type="dxa"/>
            <w:vAlign w:val="bottom"/>
          </w:tcPr>
          <w:p>
            <w:pPr>
              <w:ind w:left="120"/>
              <w:spacing w:after="0"/>
              <w:rPr>
                <w:sz w:val="20"/>
                <w:szCs w:val="20"/>
                <w:color w:val="auto"/>
              </w:rPr>
            </w:pPr>
            <w:r>
              <w:rPr>
                <w:rFonts w:ascii="Arial" w:cs="Arial" w:eastAsia="Arial" w:hAnsi="Arial"/>
                <w:sz w:val="18"/>
                <w:szCs w:val="18"/>
                <w:color w:val="auto"/>
              </w:rPr>
              <w:t>Unaudited Consolidated Statement of Stockholders' Equity for the six months ended June 30, 2010</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4</w:t>
            </w:r>
          </w:p>
        </w:tc>
      </w:tr>
    </w:tbl>
    <w:p>
      <w:pPr>
        <w:sectPr>
          <w:pgSz w:w="11900" w:h="16868" w:orient="portrait"/>
          <w:cols w:equalWidth="0" w:num="1">
            <w:col w:w="11280"/>
          </w:cols>
          <w:pgMar w:left="240" w:top="239" w:right="379" w:bottom="0" w:gutter="0" w:footer="0" w:header="0"/>
        </w:sectPr>
      </w:pPr>
    </w:p>
    <w:bookmarkStart w:id="1" w:name="page2"/>
    <w:bookmarkEnd w:id="1"/>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40" w:type="dxa"/>
            <w:vAlign w:val="bottom"/>
          </w:tcPr>
          <w:p>
            <w:pPr>
              <w:spacing w:after="0"/>
              <w:rPr>
                <w:sz w:val="19"/>
                <w:szCs w:val="19"/>
                <w:color w:val="auto"/>
              </w:rPr>
            </w:pPr>
          </w:p>
        </w:tc>
        <w:tc>
          <w:tcPr>
            <w:tcW w:w="7200" w:type="dxa"/>
            <w:vAlign w:val="bottom"/>
          </w:tcPr>
          <w:p>
            <w:pPr>
              <w:ind w:left="40"/>
              <w:spacing w:after="0"/>
              <w:rPr>
                <w:sz w:val="20"/>
                <w:szCs w:val="20"/>
                <w:color w:val="auto"/>
              </w:rPr>
            </w:pPr>
            <w:r>
              <w:rPr>
                <w:rFonts w:ascii="Arial" w:cs="Arial" w:eastAsia="Arial" w:hAnsi="Arial"/>
                <w:sz w:val="18"/>
                <w:szCs w:val="18"/>
                <w:color w:val="auto"/>
                <w:w w:val="88"/>
              </w:rPr>
              <w:t>Unaudited Consolidated Statements of Cash Flows for the six months ended June 30, 2010 and 2009</w:t>
            </w:r>
          </w:p>
        </w:tc>
        <w:tc>
          <w:tcPr>
            <w:tcW w:w="1400" w:type="dxa"/>
            <w:vAlign w:val="bottom"/>
          </w:tcPr>
          <w:p>
            <w:pPr>
              <w:jc w:val="center"/>
              <w:ind w:left="832"/>
              <w:spacing w:after="0"/>
              <w:rPr>
                <w:sz w:val="20"/>
                <w:szCs w:val="20"/>
                <w:color w:val="auto"/>
              </w:rPr>
            </w:pPr>
            <w:r>
              <w:rPr>
                <w:rFonts w:ascii="Arial" w:cs="Arial" w:eastAsia="Arial" w:hAnsi="Arial"/>
                <w:sz w:val="18"/>
                <w:szCs w:val="18"/>
                <w:color w:val="auto"/>
                <w:w w:val="79"/>
              </w:rPr>
              <w:t>5</w:t>
            </w:r>
          </w:p>
        </w:tc>
      </w:tr>
      <w:tr>
        <w:trPr>
          <w:trHeight w:val="257"/>
        </w:trPr>
        <w:tc>
          <w:tcPr>
            <w:tcW w:w="840" w:type="dxa"/>
            <w:vAlign w:val="bottom"/>
          </w:tcPr>
          <w:p>
            <w:pPr>
              <w:spacing w:after="0"/>
              <w:rPr>
                <w:sz w:val="22"/>
                <w:szCs w:val="22"/>
                <w:color w:val="auto"/>
              </w:rPr>
            </w:pPr>
          </w:p>
        </w:tc>
        <w:tc>
          <w:tcPr>
            <w:tcW w:w="7200" w:type="dxa"/>
            <w:vAlign w:val="bottom"/>
          </w:tcPr>
          <w:p>
            <w:pPr>
              <w:ind w:left="40"/>
              <w:spacing w:after="0"/>
              <w:rPr>
                <w:sz w:val="20"/>
                <w:szCs w:val="20"/>
                <w:color w:val="auto"/>
              </w:rPr>
            </w:pPr>
            <w:r>
              <w:rPr>
                <w:rFonts w:ascii="Arial" w:cs="Arial" w:eastAsia="Arial" w:hAnsi="Arial"/>
                <w:sz w:val="18"/>
                <w:szCs w:val="18"/>
                <w:color w:val="auto"/>
              </w:rPr>
              <w:t>Notes to Consolidated Financial Statements</w:t>
            </w:r>
          </w:p>
        </w:tc>
        <w:tc>
          <w:tcPr>
            <w:tcW w:w="1400" w:type="dxa"/>
            <w:vAlign w:val="bottom"/>
          </w:tcPr>
          <w:p>
            <w:pPr>
              <w:jc w:val="center"/>
              <w:ind w:left="832"/>
              <w:spacing w:after="0"/>
              <w:rPr>
                <w:sz w:val="20"/>
                <w:szCs w:val="20"/>
                <w:color w:val="auto"/>
              </w:rPr>
            </w:pPr>
            <w:r>
              <w:rPr>
                <w:rFonts w:ascii="Arial" w:cs="Arial" w:eastAsia="Arial" w:hAnsi="Arial"/>
                <w:sz w:val="18"/>
                <w:szCs w:val="18"/>
                <w:color w:val="auto"/>
                <w:w w:val="86"/>
              </w:rPr>
              <w:t>6 - 17</w:t>
            </w:r>
          </w:p>
        </w:tc>
      </w:tr>
      <w:tr>
        <w:trPr>
          <w:trHeight w:val="513"/>
        </w:trPr>
        <w:tc>
          <w:tcPr>
            <w:tcW w:w="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Item 2.</w:t>
            </w:r>
          </w:p>
        </w:tc>
        <w:tc>
          <w:tcPr>
            <w:tcW w:w="720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3"/>
              </w:rPr>
              <w:t>Management's Discussion and Analysis of Financial Condition and Results of Operations</w:t>
            </w:r>
          </w:p>
        </w:tc>
        <w:tc>
          <w:tcPr>
            <w:tcW w:w="1400" w:type="dxa"/>
            <w:vAlign w:val="bottom"/>
          </w:tcPr>
          <w:p>
            <w:pPr>
              <w:jc w:val="center"/>
              <w:ind w:left="812"/>
              <w:spacing w:after="0"/>
              <w:rPr>
                <w:sz w:val="20"/>
                <w:szCs w:val="20"/>
                <w:color w:val="auto"/>
              </w:rPr>
            </w:pPr>
            <w:r>
              <w:rPr>
                <w:rFonts w:ascii="Arial" w:cs="Arial" w:eastAsia="Arial" w:hAnsi="Arial"/>
                <w:sz w:val="18"/>
                <w:szCs w:val="18"/>
                <w:color w:val="auto"/>
                <w:w w:val="89"/>
              </w:rPr>
              <w:t>18 - 25</w:t>
            </w:r>
          </w:p>
        </w:tc>
      </w:tr>
      <w:tr>
        <w:trPr>
          <w:trHeight w:val="513"/>
        </w:trPr>
        <w:tc>
          <w:tcPr>
            <w:tcW w:w="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Item 3.</w:t>
            </w:r>
          </w:p>
        </w:tc>
        <w:tc>
          <w:tcPr>
            <w:tcW w:w="72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tc>
        <w:tc>
          <w:tcPr>
            <w:tcW w:w="1400" w:type="dxa"/>
            <w:vAlign w:val="bottom"/>
          </w:tcPr>
          <w:p>
            <w:pPr>
              <w:jc w:val="center"/>
              <w:ind w:left="832"/>
              <w:spacing w:after="0"/>
              <w:rPr>
                <w:sz w:val="20"/>
                <w:szCs w:val="20"/>
                <w:color w:val="auto"/>
              </w:rPr>
            </w:pPr>
            <w:r>
              <w:rPr>
                <w:rFonts w:ascii="Arial" w:cs="Arial" w:eastAsia="Arial" w:hAnsi="Arial"/>
                <w:sz w:val="18"/>
                <w:szCs w:val="18"/>
                <w:color w:val="auto"/>
                <w:w w:val="79"/>
              </w:rPr>
              <w:t>26</w:t>
            </w:r>
          </w:p>
        </w:tc>
      </w:tr>
      <w:tr>
        <w:trPr>
          <w:trHeight w:val="513"/>
        </w:trPr>
        <w:tc>
          <w:tcPr>
            <w:tcW w:w="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Item 4.</w:t>
            </w:r>
          </w:p>
        </w:tc>
        <w:tc>
          <w:tcPr>
            <w:tcW w:w="72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Controls and Procedures</w:t>
            </w:r>
          </w:p>
        </w:tc>
        <w:tc>
          <w:tcPr>
            <w:tcW w:w="1400" w:type="dxa"/>
            <w:vAlign w:val="bottom"/>
          </w:tcPr>
          <w:p>
            <w:pPr>
              <w:jc w:val="center"/>
              <w:ind w:left="832"/>
              <w:spacing w:after="0"/>
              <w:rPr>
                <w:sz w:val="20"/>
                <w:szCs w:val="20"/>
                <w:color w:val="auto"/>
              </w:rPr>
            </w:pPr>
            <w:r>
              <w:rPr>
                <w:rFonts w:ascii="Arial" w:cs="Arial" w:eastAsia="Arial" w:hAnsi="Arial"/>
                <w:sz w:val="18"/>
                <w:szCs w:val="18"/>
                <w:color w:val="auto"/>
                <w:w w:val="79"/>
              </w:rPr>
              <w:t>26</w:t>
            </w:r>
          </w:p>
        </w:tc>
      </w:tr>
      <w:tr>
        <w:trPr>
          <w:trHeight w:val="486"/>
        </w:trPr>
        <w:tc>
          <w:tcPr>
            <w:tcW w:w="84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OTHER INFORMATION</w:t>
            </w:r>
          </w:p>
        </w:tc>
        <w:tc>
          <w:tcPr>
            <w:tcW w:w="1400" w:type="dxa"/>
            <w:vAlign w:val="bottom"/>
          </w:tcPr>
          <w:p>
            <w:pPr>
              <w:spacing w:after="0"/>
              <w:rPr>
                <w:sz w:val="24"/>
                <w:szCs w:val="24"/>
                <w:color w:val="auto"/>
              </w:rPr>
            </w:pPr>
          </w:p>
        </w:tc>
      </w:tr>
      <w:tr>
        <w:trPr>
          <w:trHeight w:val="486"/>
        </w:trPr>
        <w:tc>
          <w:tcPr>
            <w:tcW w:w="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Item 1.</w:t>
            </w:r>
          </w:p>
        </w:tc>
        <w:tc>
          <w:tcPr>
            <w:tcW w:w="72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Legal Proceedings</w:t>
            </w:r>
          </w:p>
        </w:tc>
        <w:tc>
          <w:tcPr>
            <w:tcW w:w="1400" w:type="dxa"/>
            <w:vAlign w:val="bottom"/>
          </w:tcPr>
          <w:p>
            <w:pPr>
              <w:jc w:val="center"/>
              <w:ind w:left="832"/>
              <w:spacing w:after="0"/>
              <w:rPr>
                <w:sz w:val="20"/>
                <w:szCs w:val="20"/>
                <w:color w:val="auto"/>
              </w:rPr>
            </w:pPr>
            <w:r>
              <w:rPr>
                <w:rFonts w:ascii="Arial" w:cs="Arial" w:eastAsia="Arial" w:hAnsi="Arial"/>
                <w:sz w:val="18"/>
                <w:szCs w:val="18"/>
                <w:color w:val="auto"/>
                <w:w w:val="79"/>
              </w:rPr>
              <w:t>26</w:t>
            </w:r>
          </w:p>
        </w:tc>
      </w:tr>
      <w:tr>
        <w:trPr>
          <w:trHeight w:val="513"/>
        </w:trPr>
        <w:tc>
          <w:tcPr>
            <w:tcW w:w="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Item 1A.</w:t>
            </w:r>
          </w:p>
        </w:tc>
        <w:tc>
          <w:tcPr>
            <w:tcW w:w="72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Risk Factors</w:t>
            </w:r>
          </w:p>
        </w:tc>
        <w:tc>
          <w:tcPr>
            <w:tcW w:w="1400" w:type="dxa"/>
            <w:vAlign w:val="bottom"/>
          </w:tcPr>
          <w:p>
            <w:pPr>
              <w:jc w:val="center"/>
              <w:ind w:left="832"/>
              <w:spacing w:after="0"/>
              <w:rPr>
                <w:sz w:val="20"/>
                <w:szCs w:val="20"/>
                <w:color w:val="auto"/>
              </w:rPr>
            </w:pPr>
            <w:r>
              <w:rPr>
                <w:rFonts w:ascii="Arial" w:cs="Arial" w:eastAsia="Arial" w:hAnsi="Arial"/>
                <w:sz w:val="18"/>
                <w:szCs w:val="18"/>
                <w:color w:val="auto"/>
                <w:w w:val="79"/>
              </w:rPr>
              <w:t>27</w:t>
            </w:r>
          </w:p>
        </w:tc>
      </w:tr>
      <w:tr>
        <w:trPr>
          <w:trHeight w:val="513"/>
        </w:trPr>
        <w:tc>
          <w:tcPr>
            <w:tcW w:w="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Item 2.</w:t>
            </w:r>
          </w:p>
        </w:tc>
        <w:tc>
          <w:tcPr>
            <w:tcW w:w="72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Unregistered Sales of Equity Securities and Use of Proceeds</w:t>
            </w:r>
          </w:p>
        </w:tc>
        <w:tc>
          <w:tcPr>
            <w:tcW w:w="1400" w:type="dxa"/>
            <w:vAlign w:val="bottom"/>
          </w:tcPr>
          <w:p>
            <w:pPr>
              <w:jc w:val="center"/>
              <w:ind w:left="832"/>
              <w:spacing w:after="0"/>
              <w:rPr>
                <w:sz w:val="20"/>
                <w:szCs w:val="20"/>
                <w:color w:val="auto"/>
              </w:rPr>
            </w:pPr>
            <w:r>
              <w:rPr>
                <w:rFonts w:ascii="Arial" w:cs="Arial" w:eastAsia="Arial" w:hAnsi="Arial"/>
                <w:sz w:val="18"/>
                <w:szCs w:val="18"/>
                <w:color w:val="auto"/>
                <w:w w:val="79"/>
              </w:rPr>
              <w:t>27</w:t>
            </w:r>
          </w:p>
        </w:tc>
      </w:tr>
      <w:tr>
        <w:trPr>
          <w:trHeight w:val="513"/>
        </w:trPr>
        <w:tc>
          <w:tcPr>
            <w:tcW w:w="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Item 3.</w:t>
            </w:r>
          </w:p>
        </w:tc>
        <w:tc>
          <w:tcPr>
            <w:tcW w:w="72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Defaults Upon Senior Securities</w:t>
            </w:r>
          </w:p>
        </w:tc>
        <w:tc>
          <w:tcPr>
            <w:tcW w:w="1400" w:type="dxa"/>
            <w:vAlign w:val="bottom"/>
          </w:tcPr>
          <w:p>
            <w:pPr>
              <w:jc w:val="center"/>
              <w:ind w:left="832"/>
              <w:spacing w:after="0"/>
              <w:rPr>
                <w:sz w:val="20"/>
                <w:szCs w:val="20"/>
                <w:color w:val="auto"/>
              </w:rPr>
            </w:pPr>
            <w:r>
              <w:rPr>
                <w:rFonts w:ascii="Arial" w:cs="Arial" w:eastAsia="Arial" w:hAnsi="Arial"/>
                <w:sz w:val="18"/>
                <w:szCs w:val="18"/>
                <w:color w:val="auto"/>
                <w:w w:val="79"/>
              </w:rPr>
              <w:t>27</w:t>
            </w:r>
          </w:p>
        </w:tc>
      </w:tr>
      <w:tr>
        <w:trPr>
          <w:trHeight w:val="513"/>
        </w:trPr>
        <w:tc>
          <w:tcPr>
            <w:tcW w:w="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Item 4.</w:t>
            </w:r>
          </w:p>
        </w:tc>
        <w:tc>
          <w:tcPr>
            <w:tcW w:w="72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(Removed and Reserved)</w:t>
            </w:r>
          </w:p>
        </w:tc>
        <w:tc>
          <w:tcPr>
            <w:tcW w:w="1400" w:type="dxa"/>
            <w:vAlign w:val="bottom"/>
          </w:tcPr>
          <w:p>
            <w:pPr>
              <w:jc w:val="center"/>
              <w:ind w:left="832"/>
              <w:spacing w:after="0"/>
              <w:rPr>
                <w:sz w:val="20"/>
                <w:szCs w:val="20"/>
                <w:color w:val="auto"/>
              </w:rPr>
            </w:pPr>
            <w:r>
              <w:rPr>
                <w:rFonts w:ascii="Arial" w:cs="Arial" w:eastAsia="Arial" w:hAnsi="Arial"/>
                <w:sz w:val="18"/>
                <w:szCs w:val="18"/>
                <w:color w:val="auto"/>
                <w:w w:val="79"/>
              </w:rPr>
              <w:t>27</w:t>
            </w:r>
          </w:p>
        </w:tc>
      </w:tr>
      <w:tr>
        <w:trPr>
          <w:trHeight w:val="513"/>
        </w:trPr>
        <w:tc>
          <w:tcPr>
            <w:tcW w:w="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Item 5.</w:t>
            </w:r>
          </w:p>
        </w:tc>
        <w:tc>
          <w:tcPr>
            <w:tcW w:w="72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Other Information</w:t>
            </w:r>
          </w:p>
        </w:tc>
        <w:tc>
          <w:tcPr>
            <w:tcW w:w="1400" w:type="dxa"/>
            <w:vAlign w:val="bottom"/>
          </w:tcPr>
          <w:p>
            <w:pPr>
              <w:jc w:val="center"/>
              <w:ind w:left="832"/>
              <w:spacing w:after="0"/>
              <w:rPr>
                <w:sz w:val="20"/>
                <w:szCs w:val="20"/>
                <w:color w:val="auto"/>
              </w:rPr>
            </w:pPr>
            <w:r>
              <w:rPr>
                <w:rFonts w:ascii="Arial" w:cs="Arial" w:eastAsia="Arial" w:hAnsi="Arial"/>
                <w:sz w:val="18"/>
                <w:szCs w:val="18"/>
                <w:color w:val="auto"/>
                <w:w w:val="79"/>
              </w:rPr>
              <w:t>27</w:t>
            </w:r>
          </w:p>
        </w:tc>
      </w:tr>
      <w:tr>
        <w:trPr>
          <w:trHeight w:val="513"/>
        </w:trPr>
        <w:tc>
          <w:tcPr>
            <w:tcW w:w="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Item 6.</w:t>
            </w:r>
          </w:p>
        </w:tc>
        <w:tc>
          <w:tcPr>
            <w:tcW w:w="72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Exhibits</w:t>
            </w:r>
          </w:p>
        </w:tc>
        <w:tc>
          <w:tcPr>
            <w:tcW w:w="1400" w:type="dxa"/>
            <w:vAlign w:val="bottom"/>
          </w:tcPr>
          <w:p>
            <w:pPr>
              <w:jc w:val="center"/>
              <w:ind w:left="832"/>
              <w:spacing w:after="0"/>
              <w:rPr>
                <w:sz w:val="20"/>
                <w:szCs w:val="20"/>
                <w:color w:val="auto"/>
              </w:rPr>
            </w:pPr>
            <w:r>
              <w:rPr>
                <w:rFonts w:ascii="Arial" w:cs="Arial" w:eastAsia="Arial" w:hAnsi="Arial"/>
                <w:sz w:val="18"/>
                <w:szCs w:val="18"/>
                <w:color w:val="auto"/>
                <w:w w:val="79"/>
              </w:rPr>
              <w:t>27</w:t>
            </w:r>
          </w:p>
        </w:tc>
      </w:tr>
      <w:tr>
        <w:trPr>
          <w:trHeight w:val="513"/>
        </w:trPr>
        <w:tc>
          <w:tcPr>
            <w:tcW w:w="840" w:type="dxa"/>
            <w:vAlign w:val="bottom"/>
          </w:tcPr>
          <w:p>
            <w:pPr>
              <w:ind w:left="20"/>
              <w:spacing w:after="0"/>
              <w:rPr>
                <w:sz w:val="20"/>
                <w:szCs w:val="20"/>
                <w:color w:val="auto"/>
              </w:rPr>
            </w:pPr>
            <w:r>
              <w:rPr>
                <w:rFonts w:ascii="Arial" w:cs="Arial" w:eastAsia="Arial" w:hAnsi="Arial"/>
                <w:sz w:val="18"/>
                <w:szCs w:val="18"/>
                <w:b w:val="1"/>
                <w:bCs w:val="1"/>
                <w:i w:val="1"/>
                <w:iCs w:val="1"/>
                <w:color w:val="auto"/>
                <w:w w:val="85"/>
              </w:rPr>
              <w:t>Signatures</w:t>
            </w:r>
          </w:p>
        </w:tc>
        <w:tc>
          <w:tcPr>
            <w:tcW w:w="7200" w:type="dxa"/>
            <w:vAlign w:val="bottom"/>
          </w:tcPr>
          <w:p>
            <w:pPr>
              <w:spacing w:after="0"/>
              <w:rPr>
                <w:sz w:val="24"/>
                <w:szCs w:val="24"/>
                <w:color w:val="auto"/>
              </w:rPr>
            </w:pPr>
          </w:p>
        </w:tc>
        <w:tc>
          <w:tcPr>
            <w:tcW w:w="1400" w:type="dxa"/>
            <w:vAlign w:val="bottom"/>
          </w:tcPr>
          <w:p>
            <w:pPr>
              <w:jc w:val="center"/>
              <w:ind w:left="832"/>
              <w:spacing w:after="0"/>
              <w:rPr>
                <w:sz w:val="20"/>
                <w:szCs w:val="20"/>
                <w:color w:val="auto"/>
              </w:rPr>
            </w:pPr>
            <w:r>
              <w:rPr>
                <w:rFonts w:ascii="Arial" w:cs="Arial" w:eastAsia="Arial" w:hAnsi="Arial"/>
                <w:sz w:val="18"/>
                <w:szCs w:val="18"/>
                <w:color w:val="auto"/>
                <w:w w:val="79"/>
              </w:rPr>
              <w:t>27</w:t>
            </w:r>
          </w:p>
        </w:tc>
      </w:tr>
      <w:tr>
        <w:trPr>
          <w:trHeight w:val="243"/>
        </w:trPr>
        <w:tc>
          <w:tcPr>
            <w:tcW w:w="80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Index to Exhibits</w:t>
            </w:r>
          </w:p>
        </w:tc>
        <w:tc>
          <w:tcPr>
            <w:tcW w:w="1400" w:type="dxa"/>
            <w:vAlign w:val="bottom"/>
          </w:tcPr>
          <w:p>
            <w:pPr>
              <w:jc w:val="center"/>
              <w:ind w:left="832"/>
              <w:spacing w:after="0"/>
              <w:rPr>
                <w:sz w:val="20"/>
                <w:szCs w:val="20"/>
                <w:color w:val="auto"/>
              </w:rPr>
            </w:pPr>
            <w:r>
              <w:rPr>
                <w:rFonts w:ascii="Arial" w:cs="Arial" w:eastAsia="Arial" w:hAnsi="Arial"/>
                <w:sz w:val="18"/>
                <w:szCs w:val="18"/>
                <w:color w:val="auto"/>
                <w:w w:val="79"/>
              </w:rPr>
              <w:t>28</w:t>
            </w:r>
          </w:p>
        </w:tc>
      </w:tr>
      <w:tr>
        <w:trPr>
          <w:trHeight w:val="664"/>
        </w:trPr>
        <w:tc>
          <w:tcPr>
            <w:tcW w:w="840" w:type="dxa"/>
            <w:vAlign w:val="bottom"/>
            <w:tcBorders>
              <w:bottom w:val="single" w:sz="8" w:color="9A9A9A"/>
            </w:tcBorders>
          </w:tcPr>
          <w:p>
            <w:pPr>
              <w:spacing w:after="0"/>
              <w:rPr>
                <w:sz w:val="24"/>
                <w:szCs w:val="24"/>
                <w:color w:val="auto"/>
              </w:rPr>
            </w:pPr>
          </w:p>
        </w:tc>
        <w:tc>
          <w:tcPr>
            <w:tcW w:w="7200" w:type="dxa"/>
            <w:vAlign w:val="bottom"/>
            <w:tcBorders>
              <w:bottom w:val="single" w:sz="8" w:color="9A9A9A"/>
            </w:tcBorders>
          </w:tcPr>
          <w:p>
            <w:pPr>
              <w:spacing w:after="0"/>
              <w:rPr>
                <w:sz w:val="24"/>
                <w:szCs w:val="24"/>
                <w:color w:val="auto"/>
              </w:rPr>
            </w:pPr>
          </w:p>
        </w:tc>
        <w:tc>
          <w:tcPr>
            <w:tcW w:w="14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5078095</wp:posOffset>
            </wp:positionH>
            <wp:positionV relativeFrom="paragraph">
              <wp:posOffset>-20955</wp:posOffset>
            </wp:positionV>
            <wp:extent cx="3429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gridSpan w:val="4"/>
          </w:tcPr>
          <w:p>
            <w:pPr>
              <w:jc w:val="center"/>
              <w:ind w:left="2992"/>
              <w:spacing w:after="0"/>
              <w:rPr>
                <w:sz w:val="20"/>
                <w:szCs w:val="20"/>
                <w:color w:val="auto"/>
              </w:rPr>
            </w:pPr>
            <w:r>
              <w:rPr>
                <w:rFonts w:ascii="Arial" w:cs="Arial" w:eastAsia="Arial" w:hAnsi="Arial"/>
                <w:sz w:val="18"/>
                <w:szCs w:val="18"/>
                <w:b w:val="1"/>
                <w:bCs w:val="1"/>
                <w:color w:val="auto"/>
                <w:w w:val="99"/>
              </w:rPr>
              <w:t>PART 1. FINANCIAL INFORMATION</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2"/>
        </w:trPr>
        <w:tc>
          <w:tcPr>
            <w:tcW w:w="68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9"/>
        </w:trPr>
        <w:tc>
          <w:tcPr>
            <w:tcW w:w="6880" w:type="dxa"/>
            <w:vAlign w:val="bottom"/>
          </w:tcPr>
          <w:p>
            <w:pPr>
              <w:jc w:val="center"/>
              <w:ind w:left="4472"/>
              <w:spacing w:after="0"/>
              <w:rPr>
                <w:sz w:val="20"/>
                <w:szCs w:val="20"/>
                <w:color w:val="auto"/>
              </w:rPr>
            </w:pPr>
            <w:r>
              <w:rPr>
                <w:rFonts w:ascii="Arial" w:cs="Arial" w:eastAsia="Arial" w:hAnsi="Arial"/>
                <w:sz w:val="18"/>
                <w:szCs w:val="18"/>
                <w:b w:val="1"/>
                <w:bCs w:val="1"/>
                <w:color w:val="auto"/>
                <w:w w:val="96"/>
              </w:rPr>
              <w:t>inTEST CORPORATION</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8340" w:type="dxa"/>
            <w:vAlign w:val="bottom"/>
            <w:gridSpan w:val="4"/>
          </w:tcPr>
          <w:p>
            <w:pPr>
              <w:jc w:val="center"/>
              <w:ind w:left="301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2"/>
        </w:trPr>
        <w:tc>
          <w:tcPr>
            <w:tcW w:w="8340" w:type="dxa"/>
            <w:vAlign w:val="bottom"/>
            <w:gridSpan w:val="4"/>
          </w:tcPr>
          <w:p>
            <w:pPr>
              <w:jc w:val="center"/>
              <w:ind w:left="3012"/>
              <w:spacing w:after="0"/>
              <w:rPr>
                <w:sz w:val="20"/>
                <w:szCs w:val="20"/>
                <w:color w:val="auto"/>
              </w:rPr>
            </w:pPr>
            <w:r>
              <w:rPr>
                <w:rFonts w:ascii="Arial" w:cs="Arial" w:eastAsia="Arial" w:hAnsi="Arial"/>
                <w:sz w:val="18"/>
                <w:szCs w:val="18"/>
                <w:color w:val="auto"/>
                <w:w w:val="85"/>
              </w:rPr>
              <w:t>(In thousands, except share and per share data)</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8"/>
        </w:trPr>
        <w:tc>
          <w:tcPr>
            <w:tcW w:w="6880" w:type="dxa"/>
            <w:vAlign w:val="bottom"/>
          </w:tcPr>
          <w:p>
            <w:pPr>
              <w:spacing w:after="0"/>
              <w:rPr>
                <w:sz w:val="24"/>
                <w:szCs w:val="24"/>
                <w:color w:val="auto"/>
              </w:rPr>
            </w:pPr>
          </w:p>
        </w:tc>
        <w:tc>
          <w:tcPr>
            <w:tcW w:w="1460" w:type="dxa"/>
            <w:vAlign w:val="bottom"/>
            <w:gridSpan w:val="3"/>
          </w:tcPr>
          <w:p>
            <w:pPr>
              <w:jc w:val="right"/>
              <w:ind w:right="220"/>
              <w:spacing w:after="0"/>
              <w:rPr>
                <w:sz w:val="20"/>
                <w:szCs w:val="20"/>
                <w:color w:val="auto"/>
              </w:rPr>
            </w:pPr>
            <w:r>
              <w:rPr>
                <w:rFonts w:ascii="Courier New" w:cs="Courier New" w:eastAsia="Courier New" w:hAnsi="Courier New"/>
                <w:sz w:val="18"/>
                <w:szCs w:val="18"/>
                <w:color w:val="auto"/>
              </w:rPr>
              <w:t>June 30,</w:t>
            </w:r>
          </w:p>
        </w:tc>
        <w:tc>
          <w:tcPr>
            <w:tcW w:w="9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Dec. 31,</w:t>
            </w:r>
          </w:p>
        </w:tc>
      </w:tr>
      <w:tr>
        <w:trPr>
          <w:trHeight w:val="203"/>
        </w:trPr>
        <w:tc>
          <w:tcPr>
            <w:tcW w:w="6880" w:type="dxa"/>
            <w:vAlign w:val="bottom"/>
          </w:tcPr>
          <w:p>
            <w:pPr>
              <w:spacing w:after="0"/>
              <w:rPr>
                <w:sz w:val="17"/>
                <w:szCs w:val="17"/>
                <w:color w:val="auto"/>
              </w:rPr>
            </w:pPr>
          </w:p>
        </w:tc>
        <w:tc>
          <w:tcPr>
            <w:tcW w:w="11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2010</w:t>
            </w:r>
          </w:p>
        </w:tc>
        <w:tc>
          <w:tcPr>
            <w:tcW w:w="320" w:type="dxa"/>
            <w:vAlign w:val="bottom"/>
          </w:tcPr>
          <w:p>
            <w:pPr>
              <w:spacing w:after="0"/>
              <w:rPr>
                <w:sz w:val="17"/>
                <w:szCs w:val="17"/>
                <w:color w:val="auto"/>
              </w:rPr>
            </w:pPr>
          </w:p>
        </w:tc>
        <w:tc>
          <w:tcPr>
            <w:tcW w:w="8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2009</w:t>
            </w:r>
          </w:p>
        </w:tc>
        <w:tc>
          <w:tcPr>
            <w:tcW w:w="100" w:type="dxa"/>
            <w:vAlign w:val="bottom"/>
          </w:tcPr>
          <w:p>
            <w:pPr>
              <w:spacing w:after="0"/>
              <w:rPr>
                <w:sz w:val="17"/>
                <w:szCs w:val="17"/>
                <w:color w:val="auto"/>
              </w:rPr>
            </w:pPr>
          </w:p>
        </w:tc>
      </w:tr>
      <w:tr>
        <w:trPr>
          <w:trHeight w:val="203"/>
        </w:trPr>
        <w:tc>
          <w:tcPr>
            <w:tcW w:w="6880" w:type="dxa"/>
            <w:vAlign w:val="bottom"/>
          </w:tcPr>
          <w:p>
            <w:pPr>
              <w:spacing w:after="0"/>
              <w:rPr>
                <w:sz w:val="17"/>
                <w:szCs w:val="17"/>
                <w:color w:val="auto"/>
              </w:rPr>
            </w:pPr>
          </w:p>
        </w:tc>
        <w:tc>
          <w:tcPr>
            <w:tcW w:w="1460" w:type="dxa"/>
            <w:vAlign w:val="bottom"/>
            <w:gridSpan w:val="3"/>
          </w:tcPr>
          <w:p>
            <w:pPr>
              <w:jc w:val="right"/>
              <w:ind w:right="22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460" w:type="dxa"/>
            <w:vAlign w:val="bottom"/>
            <w:gridSpan w:val="3"/>
          </w:tcPr>
          <w:p>
            <w:pPr>
              <w:jc w:val="right"/>
              <w:ind w:right="120"/>
              <w:spacing w:after="0" w:line="203" w:lineRule="exact"/>
              <w:rPr>
                <w:sz w:val="20"/>
                <w:szCs w:val="20"/>
                <w:color w:val="auto"/>
              </w:rPr>
            </w:pPr>
            <w:r>
              <w:rPr>
                <w:rFonts w:ascii="Courier New" w:cs="Courier New" w:eastAsia="Courier New" w:hAnsi="Courier New"/>
                <w:sz w:val="18"/>
                <w:szCs w:val="18"/>
                <w:color w:val="auto"/>
              </w:rPr>
              <w:t>(Unaudited)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$ 3,134</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$ 2,647</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Trade accounts receivable, net of allowance for</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doubtful accounts of $134 and $154, respectively</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10,704</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5,413</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3,176</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3,064</w:t>
            </w:r>
          </w:p>
        </w:tc>
        <w:tc>
          <w:tcPr>
            <w:tcW w:w="100" w:type="dxa"/>
            <w:vAlign w:val="bottom"/>
          </w:tcPr>
          <w:p>
            <w:pPr>
              <w:spacing w:after="0"/>
              <w:rPr>
                <w:sz w:val="17"/>
                <w:szCs w:val="17"/>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Prepaid expenses and other current assets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205</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377</w:t>
            </w:r>
          </w:p>
        </w:tc>
        <w:tc>
          <w:tcPr>
            <w:tcW w:w="100" w:type="dxa"/>
            <w:vAlign w:val="bottom"/>
          </w:tcPr>
          <w:p>
            <w:pPr>
              <w:spacing w:after="0"/>
              <w:rPr>
                <w:sz w:val="14"/>
                <w:szCs w:val="14"/>
                <w:color w:val="auto"/>
              </w:rPr>
            </w:pPr>
          </w:p>
        </w:tc>
      </w:tr>
      <w:tr>
        <w:trPr>
          <w:trHeight w:val="183"/>
        </w:trPr>
        <w:tc>
          <w:tcPr>
            <w:tcW w:w="688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assets</w:t>
            </w:r>
          </w:p>
        </w:tc>
        <w:tc>
          <w:tcPr>
            <w:tcW w:w="1140" w:type="dxa"/>
            <w:vAlign w:val="bottom"/>
            <w:gridSpan w:val="2"/>
          </w:tcPr>
          <w:p>
            <w:pPr>
              <w:jc w:val="right"/>
              <w:spacing w:after="0" w:line="182" w:lineRule="exact"/>
              <w:rPr>
                <w:sz w:val="20"/>
                <w:szCs w:val="20"/>
                <w:color w:val="auto"/>
              </w:rPr>
            </w:pPr>
            <w:r>
              <w:rPr>
                <w:rFonts w:ascii="Courier New" w:cs="Courier New" w:eastAsia="Courier New" w:hAnsi="Courier New"/>
                <w:sz w:val="18"/>
                <w:szCs w:val="18"/>
                <w:color w:val="auto"/>
              </w:rPr>
              <w:t>17,219</w:t>
            </w:r>
          </w:p>
        </w:tc>
        <w:tc>
          <w:tcPr>
            <w:tcW w:w="320" w:type="dxa"/>
            <w:vAlign w:val="bottom"/>
          </w:tcPr>
          <w:p>
            <w:pPr>
              <w:spacing w:after="0"/>
              <w:rPr>
                <w:sz w:val="15"/>
                <w:szCs w:val="15"/>
                <w:color w:val="auto"/>
              </w:rPr>
            </w:pPr>
          </w:p>
        </w:tc>
        <w:tc>
          <w:tcPr>
            <w:tcW w:w="940" w:type="dxa"/>
            <w:vAlign w:val="bottom"/>
            <w:gridSpan w:val="3"/>
          </w:tcPr>
          <w:p>
            <w:pPr>
              <w:jc w:val="right"/>
              <w:ind w:right="100"/>
              <w:spacing w:after="0" w:line="182" w:lineRule="exact"/>
              <w:rPr>
                <w:sz w:val="20"/>
                <w:szCs w:val="20"/>
                <w:color w:val="auto"/>
              </w:rPr>
            </w:pPr>
            <w:r>
              <w:rPr>
                <w:rFonts w:ascii="Courier New" w:cs="Courier New" w:eastAsia="Courier New" w:hAnsi="Courier New"/>
                <w:sz w:val="18"/>
                <w:szCs w:val="18"/>
                <w:color w:val="auto"/>
              </w:rPr>
              <w:t>11,501</w:t>
            </w:r>
          </w:p>
        </w:tc>
      </w:tr>
      <w:tr>
        <w:trPr>
          <w:trHeight w:val="221"/>
        </w:trPr>
        <w:tc>
          <w:tcPr>
            <w:tcW w:w="6880" w:type="dxa"/>
            <w:vAlign w:val="bottom"/>
          </w:tcPr>
          <w:p>
            <w:pPr>
              <w:spacing w:after="0"/>
              <w:rPr>
                <w:sz w:val="20"/>
                <w:szCs w:val="20"/>
                <w:color w:val="auto"/>
              </w:rPr>
            </w:pPr>
            <w:r>
              <w:rPr>
                <w:rFonts w:ascii="Courier New" w:cs="Courier New" w:eastAsia="Courier New" w:hAnsi="Courier New"/>
                <w:sz w:val="18"/>
                <w:szCs w:val="18"/>
                <w:color w:val="auto"/>
              </w:rPr>
              <w:t>Property and equipment:</w:t>
            </w: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3,188</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3,377</w:t>
            </w:r>
          </w:p>
        </w:tc>
        <w:tc>
          <w:tcPr>
            <w:tcW w:w="100" w:type="dxa"/>
            <w:vAlign w:val="bottom"/>
          </w:tcPr>
          <w:p>
            <w:pPr>
              <w:spacing w:after="0"/>
              <w:rPr>
                <w:sz w:val="17"/>
                <w:szCs w:val="17"/>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Leasehold improvements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579</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533</w:t>
            </w:r>
          </w:p>
        </w:tc>
        <w:tc>
          <w:tcPr>
            <w:tcW w:w="100" w:type="dxa"/>
            <w:vAlign w:val="bottom"/>
          </w:tcPr>
          <w:p>
            <w:pPr>
              <w:spacing w:after="0"/>
              <w:rPr>
                <w:sz w:val="14"/>
                <w:szCs w:val="14"/>
                <w:color w:val="auto"/>
              </w:rPr>
            </w:pPr>
          </w:p>
        </w:tc>
      </w:tr>
      <w:tr>
        <w:trPr>
          <w:trHeight w:val="221"/>
        </w:trPr>
        <w:tc>
          <w:tcPr>
            <w:tcW w:w="68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3,767</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3,910</w:t>
            </w:r>
          </w:p>
        </w:tc>
        <w:tc>
          <w:tcPr>
            <w:tcW w:w="100" w:type="dxa"/>
            <w:vAlign w:val="bottom"/>
          </w:tcPr>
          <w:p>
            <w:pPr>
              <w:spacing w:after="0"/>
              <w:rPr>
                <w:sz w:val="19"/>
                <w:szCs w:val="19"/>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Less: accumulated depreciation</w:t>
            </w:r>
          </w:p>
        </w:tc>
        <w:tc>
          <w:tcPr>
            <w:tcW w:w="400" w:type="dxa"/>
            <w:vAlign w:val="bottom"/>
          </w:tcPr>
          <w:p>
            <w:pPr>
              <w:spacing w:after="0"/>
              <w:rPr>
                <w:sz w:val="14"/>
                <w:szCs w:val="14"/>
                <w:color w:val="auto"/>
              </w:rPr>
            </w:pPr>
          </w:p>
        </w:tc>
        <w:tc>
          <w:tcPr>
            <w:tcW w:w="1060" w:type="dxa"/>
            <w:vAlign w:val="bottom"/>
            <w:gridSpan w:val="2"/>
          </w:tcPr>
          <w:p>
            <w:pPr>
              <w:jc w:val="right"/>
              <w:ind w:right="220"/>
              <w:spacing w:after="0" w:line="164" w:lineRule="exact"/>
              <w:rPr>
                <w:sz w:val="20"/>
                <w:szCs w:val="20"/>
                <w:color w:val="auto"/>
              </w:rPr>
            </w:pPr>
            <w:r>
              <w:rPr>
                <w:rFonts w:ascii="Courier New" w:cs="Courier New" w:eastAsia="Courier New" w:hAnsi="Courier New"/>
                <w:sz w:val="18"/>
                <w:szCs w:val="18"/>
                <w:color w:val="auto"/>
              </w:rPr>
              <w:t>(3,532)</w:t>
            </w:r>
          </w:p>
        </w:tc>
        <w:tc>
          <w:tcPr>
            <w:tcW w:w="94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(3,613)</w:t>
            </w:r>
          </w:p>
        </w:tc>
      </w:tr>
      <w:tr>
        <w:trPr>
          <w:trHeight w:val="183"/>
        </w:trPr>
        <w:tc>
          <w:tcPr>
            <w:tcW w:w="688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Net property and equipment</w:t>
            </w:r>
          </w:p>
        </w:tc>
        <w:tc>
          <w:tcPr>
            <w:tcW w:w="4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235</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297</w:t>
            </w:r>
          </w:p>
        </w:tc>
        <w:tc>
          <w:tcPr>
            <w:tcW w:w="100" w:type="dxa"/>
            <w:vAlign w:val="bottom"/>
          </w:tcPr>
          <w:p>
            <w:pPr>
              <w:spacing w:after="0"/>
              <w:rPr>
                <w:sz w:val="15"/>
                <w:szCs w:val="15"/>
                <w:color w:val="auto"/>
              </w:rPr>
            </w:pPr>
          </w:p>
        </w:tc>
      </w:tr>
      <w:tr>
        <w:trPr>
          <w:trHeight w:val="221"/>
        </w:trPr>
        <w:tc>
          <w:tcPr>
            <w:tcW w:w="6880" w:type="dxa"/>
            <w:vAlign w:val="bottom"/>
          </w:tcPr>
          <w:p>
            <w:pPr>
              <w:spacing w:after="0"/>
              <w:rPr>
                <w:sz w:val="20"/>
                <w:szCs w:val="20"/>
                <w:color w:val="auto"/>
              </w:rPr>
            </w:pPr>
            <w:r>
              <w:rPr>
                <w:rFonts w:ascii="Courier New" w:cs="Courier New" w:eastAsia="Courier New" w:hAnsi="Courier New"/>
                <w:sz w:val="18"/>
                <w:szCs w:val="18"/>
                <w:color w:val="auto"/>
              </w:rPr>
              <w:t>Goodwill</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1,656</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1,656</w:t>
            </w:r>
          </w:p>
        </w:tc>
        <w:tc>
          <w:tcPr>
            <w:tcW w:w="100" w:type="dxa"/>
            <w:vAlign w:val="bottom"/>
          </w:tcPr>
          <w:p>
            <w:pPr>
              <w:spacing w:after="0"/>
              <w:rPr>
                <w:sz w:val="19"/>
                <w:szCs w:val="19"/>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1,144</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1,212</w:t>
            </w: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certificates of deposit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500</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250</w:t>
            </w:r>
          </w:p>
        </w:tc>
        <w:tc>
          <w:tcPr>
            <w:tcW w:w="100" w:type="dxa"/>
            <w:vAlign w:val="bottom"/>
          </w:tcPr>
          <w:p>
            <w:pPr>
              <w:spacing w:after="0"/>
              <w:rPr>
                <w:sz w:val="17"/>
                <w:szCs w:val="17"/>
                <w:color w:val="auto"/>
              </w:rPr>
            </w:pPr>
          </w:p>
        </w:tc>
      </w:tr>
      <w:tr>
        <w:trPr>
          <w:trHeight w:val="164"/>
        </w:trPr>
        <w:tc>
          <w:tcPr>
            <w:tcW w:w="6880" w:type="dxa"/>
            <w:vAlign w:val="bottom"/>
          </w:tcPr>
          <w:p>
            <w:pPr>
              <w:spacing w:after="0" w:line="164" w:lineRule="exact"/>
              <w:rPr>
                <w:sz w:val="20"/>
                <w:szCs w:val="20"/>
                <w:color w:val="auto"/>
              </w:rPr>
            </w:pPr>
            <w:r>
              <w:rPr>
                <w:rFonts w:ascii="Courier New" w:cs="Courier New" w:eastAsia="Courier New" w:hAnsi="Courier New"/>
                <w:sz w:val="18"/>
                <w:szCs w:val="18"/>
                <w:color w:val="auto"/>
              </w:rPr>
              <w:t>Other assets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181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228</w:t>
            </w:r>
          </w:p>
        </w:tc>
        <w:tc>
          <w:tcPr>
            <w:tcW w:w="100" w:type="dxa"/>
            <w:vAlign w:val="bottom"/>
          </w:tcPr>
          <w:p>
            <w:pPr>
              <w:spacing w:after="0"/>
              <w:rPr>
                <w:sz w:val="14"/>
                <w:szCs w:val="14"/>
                <w:color w:val="auto"/>
              </w:rPr>
            </w:pPr>
          </w:p>
        </w:tc>
      </w:tr>
      <w:tr>
        <w:trPr>
          <w:trHeight w:val="221"/>
        </w:trPr>
        <w:tc>
          <w:tcPr>
            <w:tcW w:w="6880" w:type="dxa"/>
            <w:vAlign w:val="bottom"/>
          </w:tcPr>
          <w:p>
            <w:pPr>
              <w:ind w:left="540"/>
              <w:spacing w:after="0"/>
              <w:rPr>
                <w:sz w:val="20"/>
                <w:szCs w:val="20"/>
                <w:color w:val="auto"/>
              </w:rPr>
            </w:pPr>
            <w:r>
              <w:rPr>
                <w:rFonts w:ascii="Courier New" w:cs="Courier New" w:eastAsia="Courier New" w:hAnsi="Courier New"/>
                <w:sz w:val="18"/>
                <w:szCs w:val="18"/>
                <w:color w:val="auto"/>
              </w:rPr>
              <w:t>Total assets</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$20,935</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$15,144</w:t>
            </w:r>
          </w:p>
        </w:tc>
        <w:tc>
          <w:tcPr>
            <w:tcW w:w="100" w:type="dxa"/>
            <w:vAlign w:val="bottom"/>
          </w:tcPr>
          <w:p>
            <w:pPr>
              <w:spacing w:after="0"/>
              <w:rPr>
                <w:sz w:val="19"/>
                <w:szCs w:val="19"/>
                <w:color w:val="auto"/>
              </w:rPr>
            </w:pPr>
          </w:p>
        </w:tc>
      </w:tr>
      <w:tr>
        <w:trPr>
          <w:trHeight w:val="203"/>
        </w:trPr>
        <w:tc>
          <w:tcPr>
            <w:tcW w:w="6880" w:type="dxa"/>
            <w:vAlign w:val="bottom"/>
          </w:tcPr>
          <w:p>
            <w:pPr>
              <w:spacing w:after="0"/>
              <w:rPr>
                <w:sz w:val="17"/>
                <w:szCs w:val="17"/>
                <w:color w:val="auto"/>
              </w:rPr>
            </w:pP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$ 2,899</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$ 2,576</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wages and benefits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1,279</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653</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professional fees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425</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375</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warranty</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263</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228</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sales commissions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790</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315</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restructuring and other charges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130</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accrued expenses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674</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455</w:t>
            </w:r>
          </w:p>
        </w:tc>
        <w:tc>
          <w:tcPr>
            <w:tcW w:w="100" w:type="dxa"/>
            <w:vAlign w:val="bottom"/>
          </w:tcPr>
          <w:p>
            <w:pPr>
              <w:spacing w:after="0"/>
              <w:rPr>
                <w:sz w:val="17"/>
                <w:szCs w:val="17"/>
                <w:color w:val="auto"/>
              </w:rPr>
            </w:pPr>
          </w:p>
        </w:tc>
      </w:tr>
    </w:tbl>
    <w:p>
      <w:pPr>
        <w:sectPr>
          <w:pgSz w:w="11900" w:h="16909" w:orient="portrait"/>
          <w:cols w:equalWidth="0" w:num="1">
            <w:col w:w="10219"/>
          </w:cols>
          <w:pgMar w:left="240" w:top="118"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ind w:left="220"/>
              <w:spacing w:after="0"/>
              <w:rPr>
                <w:sz w:val="20"/>
                <w:szCs w:val="20"/>
                <w:color w:val="auto"/>
              </w:rPr>
            </w:pPr>
            <w:r>
              <w:rPr>
                <w:rFonts w:ascii="Courier New" w:cs="Courier New" w:eastAsia="Courier New" w:hAnsi="Courier New"/>
                <w:sz w:val="18"/>
                <w:szCs w:val="18"/>
                <w:color w:val="auto"/>
              </w:rPr>
              <w:t>Domestic</w:t>
            </w:r>
          </w:p>
        </w:tc>
        <w:tc>
          <w:tcPr>
            <w:tcW w:w="6060" w:type="dxa"/>
            <w:vAlign w:val="bottom"/>
          </w:tcPr>
          <w:p>
            <w:pPr>
              <w:ind w:left="40"/>
              <w:spacing w:after="0"/>
              <w:rPr>
                <w:sz w:val="20"/>
                <w:szCs w:val="20"/>
                <w:color w:val="auto"/>
              </w:rPr>
            </w:pPr>
            <w:r>
              <w:rPr>
                <w:rFonts w:ascii="Courier New" w:cs="Courier New" w:eastAsia="Courier New" w:hAnsi="Courier New"/>
                <w:sz w:val="18"/>
                <w:szCs w:val="18"/>
                <w:color w:val="auto"/>
              </w:rPr>
              <w:t>and foreign income taxes payable</w:t>
            </w: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14</w:t>
            </w:r>
          </w:p>
        </w:tc>
        <w:tc>
          <w:tcPr>
            <w:tcW w:w="2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18</w:t>
            </w:r>
          </w:p>
        </w:tc>
        <w:tc>
          <w:tcPr>
            <w:tcW w:w="100" w:type="dxa"/>
            <w:vAlign w:val="bottom"/>
          </w:tcPr>
          <w:p>
            <w:pPr>
              <w:spacing w:after="0"/>
              <w:rPr>
                <w:sz w:val="17"/>
                <w:szCs w:val="17"/>
                <w:color w:val="auto"/>
              </w:rPr>
            </w:pPr>
          </w:p>
        </w:tc>
      </w:tr>
      <w:tr>
        <w:trPr>
          <w:trHeight w:val="203"/>
        </w:trPr>
        <w:tc>
          <w:tcPr>
            <w:tcW w:w="71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Notes payable to stockholder</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381</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381</w:t>
            </w:r>
          </w:p>
        </w:tc>
        <w:tc>
          <w:tcPr>
            <w:tcW w:w="100" w:type="dxa"/>
            <w:vAlign w:val="bottom"/>
          </w:tcPr>
          <w:p>
            <w:pPr>
              <w:spacing w:after="0"/>
              <w:rPr>
                <w:sz w:val="17"/>
                <w:szCs w:val="17"/>
                <w:color w:val="auto"/>
              </w:rPr>
            </w:pPr>
          </w:p>
        </w:tc>
      </w:tr>
      <w:tr>
        <w:trPr>
          <w:trHeight w:val="164"/>
        </w:trPr>
        <w:tc>
          <w:tcPr>
            <w:tcW w:w="112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Deferred</w:t>
            </w:r>
          </w:p>
        </w:tc>
        <w:tc>
          <w:tcPr>
            <w:tcW w:w="6060" w:type="dxa"/>
            <w:vAlign w:val="bottom"/>
          </w:tcPr>
          <w:p>
            <w:pPr>
              <w:ind w:left="40"/>
              <w:spacing w:after="0" w:line="164" w:lineRule="exact"/>
              <w:rPr>
                <w:sz w:val="20"/>
                <w:szCs w:val="20"/>
                <w:color w:val="auto"/>
              </w:rPr>
            </w:pPr>
            <w:r>
              <w:rPr>
                <w:rFonts w:ascii="Courier New" w:cs="Courier New" w:eastAsia="Courier New" w:hAnsi="Courier New"/>
                <w:sz w:val="18"/>
                <w:szCs w:val="18"/>
                <w:color w:val="auto"/>
              </w:rPr>
              <w:t>rent</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118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118</w:t>
            </w:r>
          </w:p>
        </w:tc>
        <w:tc>
          <w:tcPr>
            <w:tcW w:w="100" w:type="dxa"/>
            <w:vAlign w:val="bottom"/>
          </w:tcPr>
          <w:p>
            <w:pPr>
              <w:spacing w:after="0"/>
              <w:rPr>
                <w:sz w:val="14"/>
                <w:szCs w:val="14"/>
                <w:color w:val="auto"/>
              </w:rPr>
            </w:pPr>
          </w:p>
        </w:tc>
      </w:tr>
      <w:tr>
        <w:trPr>
          <w:trHeight w:val="183"/>
        </w:trPr>
        <w:tc>
          <w:tcPr>
            <w:tcW w:w="112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w:t>
            </w:r>
          </w:p>
        </w:tc>
        <w:tc>
          <w:tcPr>
            <w:tcW w:w="6060" w:type="dxa"/>
            <w:vAlign w:val="bottom"/>
          </w:tcPr>
          <w:p>
            <w:pPr>
              <w:ind w:left="40"/>
              <w:spacing w:after="0" w:line="182" w:lineRule="exact"/>
              <w:rPr>
                <w:sz w:val="20"/>
                <w:szCs w:val="20"/>
                <w:color w:val="auto"/>
              </w:rPr>
            </w:pPr>
            <w:r>
              <w:rPr>
                <w:rFonts w:ascii="Courier New" w:cs="Courier New" w:eastAsia="Courier New" w:hAnsi="Courier New"/>
                <w:sz w:val="18"/>
                <w:szCs w:val="18"/>
                <w:color w:val="auto"/>
              </w:rPr>
              <w:t>current liabilities</w:t>
            </w:r>
          </w:p>
        </w:tc>
        <w:tc>
          <w:tcPr>
            <w:tcW w:w="100" w:type="dxa"/>
            <w:vAlign w:val="bottom"/>
          </w:tcPr>
          <w:p>
            <w:pPr>
              <w:spacing w:after="0"/>
              <w:rPr>
                <w:sz w:val="15"/>
                <w:szCs w:val="15"/>
                <w:color w:val="auto"/>
              </w:rPr>
            </w:pPr>
          </w:p>
        </w:tc>
        <w:tc>
          <w:tcPr>
            <w:tcW w:w="740" w:type="dxa"/>
            <w:vAlign w:val="bottom"/>
            <w:tcBorders>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6,843</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5,249</w:t>
            </w:r>
          </w:p>
        </w:tc>
        <w:tc>
          <w:tcPr>
            <w:tcW w:w="100" w:type="dxa"/>
            <w:vAlign w:val="bottom"/>
          </w:tcPr>
          <w:p>
            <w:pPr>
              <w:spacing w:after="0"/>
              <w:rPr>
                <w:sz w:val="15"/>
                <w:szCs w:val="15"/>
                <w:color w:val="auto"/>
              </w:rPr>
            </w:pPr>
          </w:p>
        </w:tc>
      </w:tr>
      <w:tr>
        <w:trPr>
          <w:trHeight w:val="221"/>
        </w:trPr>
        <w:tc>
          <w:tcPr>
            <w:tcW w:w="7180" w:type="dxa"/>
            <w:vAlign w:val="bottom"/>
            <w:gridSpan w:val="2"/>
          </w:tcPr>
          <w:p>
            <w:pPr>
              <w:spacing w:after="0"/>
              <w:rPr>
                <w:sz w:val="20"/>
                <w:szCs w:val="20"/>
                <w:color w:val="auto"/>
              </w:rPr>
            </w:pPr>
            <w:r>
              <w:rPr>
                <w:rFonts w:ascii="Courier New" w:cs="Courier New" w:eastAsia="Courier New" w:hAnsi="Courier New"/>
                <w:sz w:val="18"/>
                <w:szCs w:val="18"/>
                <w:color w:val="auto"/>
              </w:rPr>
              <w:t>Notes payable to stockholder, net of current portion</w:t>
            </w: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1,144</w:t>
            </w: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1,144</w:t>
            </w:r>
          </w:p>
        </w:tc>
        <w:tc>
          <w:tcPr>
            <w:tcW w:w="100" w:type="dxa"/>
            <w:vAlign w:val="bottom"/>
          </w:tcPr>
          <w:p>
            <w:pPr>
              <w:spacing w:after="0"/>
              <w:rPr>
                <w:sz w:val="19"/>
                <w:szCs w:val="19"/>
                <w:color w:val="auto"/>
              </w:rPr>
            </w:pPr>
          </w:p>
        </w:tc>
      </w:tr>
      <w:tr>
        <w:trPr>
          <w:trHeight w:val="164"/>
        </w:trPr>
        <w:tc>
          <w:tcPr>
            <w:tcW w:w="7180" w:type="dxa"/>
            <w:vAlign w:val="bottom"/>
            <w:gridSpan w:val="2"/>
          </w:tcPr>
          <w:p>
            <w:pPr>
              <w:spacing w:after="0" w:line="164" w:lineRule="exact"/>
              <w:rPr>
                <w:sz w:val="20"/>
                <w:szCs w:val="20"/>
                <w:color w:val="auto"/>
              </w:rPr>
            </w:pPr>
            <w:r>
              <w:rPr>
                <w:rFonts w:ascii="Courier New" w:cs="Courier New" w:eastAsia="Courier New" w:hAnsi="Courier New"/>
                <w:sz w:val="18"/>
                <w:szCs w:val="18"/>
                <w:color w:val="auto"/>
              </w:rPr>
              <w:t>Deferred rent, net of current portion</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98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157</w:t>
            </w:r>
          </w:p>
        </w:tc>
        <w:tc>
          <w:tcPr>
            <w:tcW w:w="100" w:type="dxa"/>
            <w:vAlign w:val="bottom"/>
          </w:tcPr>
          <w:p>
            <w:pPr>
              <w:spacing w:after="0"/>
              <w:rPr>
                <w:sz w:val="14"/>
                <w:szCs w:val="14"/>
                <w:color w:val="auto"/>
              </w:rPr>
            </w:pPr>
          </w:p>
        </w:tc>
      </w:tr>
      <w:tr>
        <w:trPr>
          <w:trHeight w:val="183"/>
        </w:trPr>
        <w:tc>
          <w:tcPr>
            <w:tcW w:w="112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w:t>
            </w:r>
          </w:p>
        </w:tc>
        <w:tc>
          <w:tcPr>
            <w:tcW w:w="6060" w:type="dxa"/>
            <w:vAlign w:val="bottom"/>
          </w:tcPr>
          <w:p>
            <w:pPr>
              <w:ind w:left="40"/>
              <w:spacing w:after="0" w:line="182" w:lineRule="exact"/>
              <w:rPr>
                <w:sz w:val="20"/>
                <w:szCs w:val="20"/>
                <w:color w:val="auto"/>
              </w:rPr>
            </w:pPr>
            <w:r>
              <w:rPr>
                <w:rFonts w:ascii="Courier New" w:cs="Courier New" w:eastAsia="Courier New" w:hAnsi="Courier New"/>
                <w:sz w:val="18"/>
                <w:szCs w:val="18"/>
                <w:color w:val="auto"/>
              </w:rPr>
              <w:t>liabilities</w:t>
            </w:r>
          </w:p>
        </w:tc>
        <w:tc>
          <w:tcPr>
            <w:tcW w:w="840" w:type="dxa"/>
            <w:vAlign w:val="bottom"/>
            <w:gridSpan w:val="2"/>
          </w:tcPr>
          <w:p>
            <w:pPr>
              <w:jc w:val="right"/>
              <w:spacing w:after="0" w:line="182" w:lineRule="exact"/>
              <w:rPr>
                <w:sz w:val="20"/>
                <w:szCs w:val="20"/>
                <w:color w:val="auto"/>
              </w:rPr>
            </w:pPr>
            <w:r>
              <w:rPr>
                <w:rFonts w:ascii="Courier New" w:cs="Courier New" w:eastAsia="Courier New" w:hAnsi="Courier New"/>
                <w:sz w:val="18"/>
                <w:szCs w:val="18"/>
                <w:color w:val="auto"/>
              </w:rPr>
              <w:t>8,085</w:t>
            </w:r>
          </w:p>
        </w:tc>
        <w:tc>
          <w:tcPr>
            <w:tcW w:w="260" w:type="dxa"/>
            <w:vAlign w:val="bottom"/>
          </w:tcPr>
          <w:p>
            <w:pPr>
              <w:spacing w:after="0"/>
              <w:rPr>
                <w:sz w:val="15"/>
                <w:szCs w:val="15"/>
                <w:color w:val="auto"/>
              </w:rPr>
            </w:pPr>
          </w:p>
        </w:tc>
        <w:tc>
          <w:tcPr>
            <w:tcW w:w="1000" w:type="dxa"/>
            <w:vAlign w:val="bottom"/>
            <w:gridSpan w:val="3"/>
          </w:tcPr>
          <w:p>
            <w:pPr>
              <w:jc w:val="right"/>
              <w:ind w:right="100"/>
              <w:spacing w:after="0" w:line="182" w:lineRule="exact"/>
              <w:rPr>
                <w:sz w:val="20"/>
                <w:szCs w:val="20"/>
                <w:color w:val="auto"/>
              </w:rPr>
            </w:pPr>
            <w:r>
              <w:rPr>
                <w:rFonts w:ascii="Courier New" w:cs="Courier New" w:eastAsia="Courier New" w:hAnsi="Courier New"/>
                <w:sz w:val="18"/>
                <w:szCs w:val="18"/>
                <w:color w:val="auto"/>
              </w:rPr>
              <w:t>6,550</w:t>
            </w:r>
          </w:p>
        </w:tc>
      </w:tr>
      <w:tr>
        <w:trPr>
          <w:trHeight w:val="221"/>
        </w:trPr>
        <w:tc>
          <w:tcPr>
            <w:tcW w:w="7180" w:type="dxa"/>
            <w:vAlign w:val="bottom"/>
            <w:gridSpan w:val="2"/>
          </w:tcPr>
          <w:p>
            <w:pPr>
              <w:spacing w:after="0"/>
              <w:rPr>
                <w:sz w:val="20"/>
                <w:szCs w:val="20"/>
                <w:color w:val="auto"/>
              </w:rPr>
            </w:pPr>
            <w:r>
              <w:rPr>
                <w:rFonts w:ascii="Courier New" w:cs="Courier New" w:eastAsia="Courier New" w:hAnsi="Courier New"/>
                <w:sz w:val="18"/>
                <w:szCs w:val="18"/>
                <w:color w:val="auto"/>
              </w:rPr>
              <w:t>Commitments and contingencies (Notes 9 and 11)</w:t>
            </w:r>
          </w:p>
        </w:tc>
        <w:tc>
          <w:tcPr>
            <w:tcW w:w="1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7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1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Preferred stock, $0.01 par value; 5,000,000 shares authorized;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1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no shares issued or outstanding</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71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Common stock, $0.01 par value; 20,000,000 shares authorized;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1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10,454,505 and 10,193,255 shares issued, respectively</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105</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102</w:t>
            </w:r>
          </w:p>
        </w:tc>
        <w:tc>
          <w:tcPr>
            <w:tcW w:w="100" w:type="dxa"/>
            <w:vAlign w:val="bottom"/>
          </w:tcPr>
          <w:p>
            <w:pPr>
              <w:spacing w:after="0"/>
              <w:rPr>
                <w:sz w:val="17"/>
                <w:szCs w:val="17"/>
                <w:color w:val="auto"/>
              </w:rPr>
            </w:pPr>
          </w:p>
        </w:tc>
      </w:tr>
      <w:tr>
        <w:trPr>
          <w:trHeight w:val="203"/>
        </w:trPr>
        <w:tc>
          <w:tcPr>
            <w:tcW w:w="71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25,891</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25,798</w:t>
            </w:r>
          </w:p>
        </w:tc>
        <w:tc>
          <w:tcPr>
            <w:tcW w:w="100" w:type="dxa"/>
            <w:vAlign w:val="bottom"/>
          </w:tcPr>
          <w:p>
            <w:pPr>
              <w:spacing w:after="0"/>
              <w:rPr>
                <w:sz w:val="17"/>
                <w:szCs w:val="17"/>
                <w:color w:val="auto"/>
              </w:rPr>
            </w:pPr>
          </w:p>
        </w:tc>
      </w:tr>
      <w:tr>
        <w:trPr>
          <w:trHeight w:val="203"/>
        </w:trPr>
        <w:tc>
          <w:tcPr>
            <w:tcW w:w="71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1100" w:type="dxa"/>
            <w:vAlign w:val="bottom"/>
            <w:gridSpan w:val="3"/>
          </w:tcPr>
          <w:p>
            <w:pPr>
              <w:jc w:val="right"/>
              <w:ind w:right="160"/>
              <w:spacing w:after="0" w:line="203" w:lineRule="exact"/>
              <w:rPr>
                <w:sz w:val="20"/>
                <w:szCs w:val="20"/>
                <w:color w:val="auto"/>
              </w:rPr>
            </w:pPr>
            <w:r>
              <w:rPr>
                <w:rFonts w:ascii="Courier New" w:cs="Courier New" w:eastAsia="Courier New" w:hAnsi="Courier New"/>
                <w:sz w:val="18"/>
                <w:szCs w:val="18"/>
                <w:color w:val="auto"/>
              </w:rPr>
              <w:t>(13,521)</w:t>
            </w:r>
          </w:p>
        </w:tc>
        <w:tc>
          <w:tcPr>
            <w:tcW w:w="1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(17,801)</w:t>
            </w:r>
          </w:p>
        </w:tc>
      </w:tr>
      <w:tr>
        <w:trPr>
          <w:trHeight w:val="203"/>
        </w:trPr>
        <w:tc>
          <w:tcPr>
            <w:tcW w:w="71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earnings</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1,236</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1,356</w:t>
            </w:r>
          </w:p>
        </w:tc>
        <w:tc>
          <w:tcPr>
            <w:tcW w:w="100" w:type="dxa"/>
            <w:vAlign w:val="bottom"/>
          </w:tcPr>
          <w:p>
            <w:pPr>
              <w:spacing w:after="0"/>
              <w:rPr>
                <w:sz w:val="17"/>
                <w:szCs w:val="17"/>
                <w:color w:val="auto"/>
              </w:rPr>
            </w:pPr>
          </w:p>
        </w:tc>
      </w:tr>
      <w:tr>
        <w:trPr>
          <w:trHeight w:val="164"/>
        </w:trPr>
        <w:tc>
          <w:tcPr>
            <w:tcW w:w="112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Treasury</w:t>
            </w:r>
          </w:p>
        </w:tc>
        <w:tc>
          <w:tcPr>
            <w:tcW w:w="6060" w:type="dxa"/>
            <w:vAlign w:val="bottom"/>
          </w:tcPr>
          <w:p>
            <w:pPr>
              <w:ind w:left="40"/>
              <w:spacing w:after="0" w:line="164" w:lineRule="exact"/>
              <w:rPr>
                <w:sz w:val="20"/>
                <w:szCs w:val="20"/>
                <w:color w:val="auto"/>
              </w:rPr>
            </w:pPr>
            <w:r>
              <w:rPr>
                <w:rFonts w:ascii="Courier New" w:cs="Courier New" w:eastAsia="Courier New" w:hAnsi="Courier New"/>
                <w:sz w:val="18"/>
                <w:szCs w:val="18"/>
                <w:color w:val="auto"/>
                <w:w w:val="99"/>
              </w:rPr>
              <w:t>stock, at cost; 139,299 and 139,299 shares, respectively</w:t>
            </w:r>
          </w:p>
        </w:tc>
        <w:tc>
          <w:tcPr>
            <w:tcW w:w="100" w:type="dxa"/>
            <w:vAlign w:val="bottom"/>
          </w:tcPr>
          <w:p>
            <w:pPr>
              <w:spacing w:after="0"/>
              <w:rPr>
                <w:sz w:val="14"/>
                <w:szCs w:val="14"/>
                <w:color w:val="auto"/>
              </w:rPr>
            </w:pPr>
          </w:p>
        </w:tc>
        <w:tc>
          <w:tcPr>
            <w:tcW w:w="1000" w:type="dxa"/>
            <w:vAlign w:val="bottom"/>
            <w:gridSpan w:val="2"/>
          </w:tcPr>
          <w:p>
            <w:pPr>
              <w:jc w:val="right"/>
              <w:ind w:right="160"/>
              <w:spacing w:after="0" w:line="164" w:lineRule="exact"/>
              <w:rPr>
                <w:sz w:val="20"/>
                <w:szCs w:val="20"/>
                <w:color w:val="auto"/>
              </w:rPr>
            </w:pPr>
            <w:r>
              <w:rPr>
                <w:rFonts w:ascii="Courier New" w:cs="Courier New" w:eastAsia="Courier New" w:hAnsi="Courier New"/>
                <w:sz w:val="18"/>
                <w:szCs w:val="18"/>
                <w:color w:val="auto"/>
              </w:rPr>
              <w:t>(861)</w:t>
            </w:r>
          </w:p>
        </w:tc>
        <w:tc>
          <w:tcPr>
            <w:tcW w:w="100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(861)</w:t>
            </w:r>
          </w:p>
        </w:tc>
      </w:tr>
      <w:tr>
        <w:trPr>
          <w:trHeight w:val="183"/>
        </w:trPr>
        <w:tc>
          <w:tcPr>
            <w:tcW w:w="112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w:t>
            </w:r>
          </w:p>
        </w:tc>
        <w:tc>
          <w:tcPr>
            <w:tcW w:w="6060" w:type="dxa"/>
            <w:vAlign w:val="bottom"/>
          </w:tcPr>
          <w:p>
            <w:pPr>
              <w:ind w:left="40"/>
              <w:spacing w:after="0" w:line="182" w:lineRule="exact"/>
              <w:rPr>
                <w:sz w:val="20"/>
                <w:szCs w:val="20"/>
                <w:color w:val="auto"/>
              </w:rPr>
            </w:pPr>
            <w:r>
              <w:rPr>
                <w:rFonts w:ascii="Courier New" w:cs="Courier New" w:eastAsia="Courier New" w:hAnsi="Courier New"/>
                <w:sz w:val="18"/>
                <w:szCs w:val="18"/>
                <w:color w:val="auto"/>
              </w:rPr>
              <w:t>stockholders' equity</w:t>
            </w:r>
          </w:p>
        </w:tc>
        <w:tc>
          <w:tcPr>
            <w:tcW w:w="1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12,850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8,594</w:t>
            </w:r>
          </w:p>
        </w:tc>
        <w:tc>
          <w:tcPr>
            <w:tcW w:w="100" w:type="dxa"/>
            <w:vAlign w:val="bottom"/>
          </w:tcPr>
          <w:p>
            <w:pPr>
              <w:spacing w:after="0"/>
              <w:rPr>
                <w:sz w:val="15"/>
                <w:szCs w:val="15"/>
                <w:color w:val="auto"/>
              </w:rPr>
            </w:pPr>
          </w:p>
        </w:tc>
      </w:tr>
      <w:tr>
        <w:trPr>
          <w:trHeight w:val="221"/>
        </w:trPr>
        <w:tc>
          <w:tcPr>
            <w:tcW w:w="1120" w:type="dxa"/>
            <w:vAlign w:val="bottom"/>
          </w:tcPr>
          <w:p>
            <w:pPr>
              <w:ind w:left="540"/>
              <w:spacing w:after="0"/>
              <w:rPr>
                <w:sz w:val="20"/>
                <w:szCs w:val="20"/>
                <w:color w:val="auto"/>
              </w:rPr>
            </w:pPr>
            <w:r>
              <w:rPr>
                <w:rFonts w:ascii="Courier New" w:cs="Courier New" w:eastAsia="Courier New" w:hAnsi="Courier New"/>
                <w:sz w:val="18"/>
                <w:szCs w:val="18"/>
                <w:color w:val="auto"/>
              </w:rPr>
              <w:t>Total</w:t>
            </w:r>
          </w:p>
        </w:tc>
        <w:tc>
          <w:tcPr>
            <w:tcW w:w="6060" w:type="dxa"/>
            <w:vAlign w:val="bottom"/>
          </w:tcPr>
          <w:p>
            <w:pPr>
              <w:ind w:left="40"/>
              <w:spacing w:after="0"/>
              <w:rPr>
                <w:sz w:val="20"/>
                <w:szCs w:val="20"/>
                <w:color w:val="auto"/>
              </w:rPr>
            </w:pPr>
            <w:r>
              <w:rPr>
                <w:rFonts w:ascii="Courier New" w:cs="Courier New" w:eastAsia="Courier New" w:hAnsi="Courier New"/>
                <w:sz w:val="18"/>
                <w:szCs w:val="18"/>
                <w:color w:val="auto"/>
              </w:rPr>
              <w:t>liabilities and stockholders' equity</w:t>
            </w: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$20,935</w:t>
            </w: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$15,144</w:t>
            </w:r>
          </w:p>
        </w:tc>
        <w:tc>
          <w:tcPr>
            <w:tcW w:w="100" w:type="dxa"/>
            <w:vAlign w:val="bottom"/>
          </w:tcPr>
          <w:p>
            <w:pPr>
              <w:spacing w:after="0"/>
              <w:rPr>
                <w:sz w:val="19"/>
                <w:szCs w:val="19"/>
                <w:color w:val="auto"/>
              </w:rPr>
            </w:pPr>
          </w:p>
        </w:tc>
      </w:tr>
      <w:tr>
        <w:trPr>
          <w:trHeight w:val="203"/>
        </w:trPr>
        <w:tc>
          <w:tcPr>
            <w:tcW w:w="11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bl>
    <w:p>
      <w:pPr>
        <w:spacing w:after="0" w:line="166" w:lineRule="exact"/>
        <w:rPr>
          <w:sz w:val="20"/>
          <w:szCs w:val="20"/>
          <w:color w:val="auto"/>
        </w:rPr>
      </w:pPr>
    </w:p>
    <w:p>
      <w:pPr>
        <w:jc w:val="center"/>
        <w:ind w:right="-1200"/>
        <w:spacing w:after="0"/>
        <w:rPr>
          <w:sz w:val="20"/>
          <w:szCs w:val="20"/>
          <w:color w:val="auto"/>
        </w:rPr>
      </w:pPr>
      <w:r>
        <w:rPr>
          <w:rFonts w:ascii="Arial" w:cs="Arial" w:eastAsia="Arial" w:hAnsi="Arial"/>
          <w:sz w:val="14"/>
          <w:szCs w:val="14"/>
          <w:color w:val="auto"/>
        </w:rPr>
        <w:t>See accompanying Notes to Consolidated Financial Statements.</w:t>
      </w:r>
    </w:p>
    <w:p>
      <w:pPr>
        <w:jc w:val="center"/>
        <w:ind w:right="-1200"/>
        <w:spacing w:after="0"/>
        <w:rPr>
          <w:sz w:val="20"/>
          <w:szCs w:val="20"/>
          <w:color w:val="auto"/>
        </w:rPr>
      </w:pPr>
      <w:r>
        <w:rPr>
          <w:rFonts w:ascii="Arial" w:cs="Arial" w:eastAsia="Arial" w:hAnsi="Arial"/>
          <w:sz w:val="14"/>
          <w:szCs w:val="14"/>
          <w:color w:val="auto"/>
        </w:rPr>
        <w:t>- - 1 -</w:t>
      </w:r>
    </w:p>
    <w:p>
      <w:pPr>
        <w:spacing w:after="0" w:line="175"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inTEST CORPORATION</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CONSOLIDATED STATEMENTS OF OPERATIONS</w:t>
      </w:r>
    </w:p>
    <w:p>
      <w:pPr>
        <w:jc w:val="center"/>
        <w:ind w:right="-1200"/>
        <w:spacing w:after="0" w:line="230" w:lineRule="auto"/>
        <w:rPr>
          <w:sz w:val="20"/>
          <w:szCs w:val="20"/>
          <w:color w:val="auto"/>
        </w:rPr>
      </w:pPr>
      <w:r>
        <w:rPr>
          <w:rFonts w:ascii="Arial" w:cs="Arial" w:eastAsia="Arial" w:hAnsi="Arial"/>
          <w:sz w:val="22"/>
          <w:szCs w:val="22"/>
          <w:color w:val="auto"/>
        </w:rPr>
        <w:t>(In thousands, except share and per share data)</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2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Three Months Ended</w:t>
            </w:r>
          </w:p>
        </w:tc>
        <w:tc>
          <w:tcPr>
            <w:tcW w:w="220" w:type="dxa"/>
            <w:vAlign w:val="bottom"/>
          </w:tcPr>
          <w:p>
            <w:pPr>
              <w:spacing w:after="0"/>
              <w:rPr>
                <w:sz w:val="17"/>
                <w:szCs w:val="17"/>
                <w:color w:val="auto"/>
              </w:rPr>
            </w:pPr>
          </w:p>
        </w:tc>
        <w:tc>
          <w:tcPr>
            <w:tcW w:w="21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4640" w:type="dxa"/>
            <w:vAlign w:val="bottom"/>
          </w:tcPr>
          <w:p>
            <w:pPr>
              <w:spacing w:after="0"/>
              <w:rPr>
                <w:sz w:val="17"/>
                <w:szCs w:val="17"/>
                <w:color w:val="auto"/>
              </w:rPr>
            </w:pPr>
          </w:p>
        </w:tc>
        <w:tc>
          <w:tcPr>
            <w:tcW w:w="22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June 30,</w:t>
            </w:r>
          </w:p>
        </w:tc>
        <w:tc>
          <w:tcPr>
            <w:tcW w:w="220" w:type="dxa"/>
            <w:vAlign w:val="bottom"/>
          </w:tcPr>
          <w:p>
            <w:pPr>
              <w:spacing w:after="0"/>
              <w:rPr>
                <w:sz w:val="17"/>
                <w:szCs w:val="17"/>
                <w:color w:val="auto"/>
              </w:rPr>
            </w:pPr>
          </w:p>
        </w:tc>
        <w:tc>
          <w:tcPr>
            <w:tcW w:w="21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4640" w:type="dxa"/>
            <w:vAlign w:val="bottom"/>
          </w:tcPr>
          <w:p>
            <w:pPr>
              <w:spacing w:after="0"/>
              <w:rPr>
                <w:sz w:val="17"/>
                <w:szCs w:val="17"/>
                <w:color w:val="auto"/>
              </w:rPr>
            </w:pP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2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2010</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2009</w:t>
            </w:r>
          </w:p>
        </w:tc>
        <w:tc>
          <w:tcPr>
            <w:tcW w:w="22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2010</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2009</w:t>
            </w:r>
          </w:p>
        </w:tc>
      </w:tr>
      <w:tr>
        <w:trPr>
          <w:trHeight w:val="203"/>
        </w:trPr>
        <w:tc>
          <w:tcPr>
            <w:tcW w:w="46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revenues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$15,260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$ 4,672</w:t>
            </w:r>
          </w:p>
        </w:tc>
        <w:tc>
          <w:tcPr>
            <w:tcW w:w="2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$24,789</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$ 9,067</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revenues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7,892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3,256</w:t>
            </w:r>
          </w:p>
        </w:tc>
        <w:tc>
          <w:tcPr>
            <w:tcW w:w="2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12,884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6,848</w:t>
            </w:r>
          </w:p>
        </w:tc>
      </w:tr>
      <w:tr>
        <w:trPr>
          <w:trHeight w:val="203"/>
        </w:trPr>
        <w:tc>
          <w:tcPr>
            <w:tcW w:w="46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Gross margin</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7,368</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1,416</w:t>
            </w:r>
          </w:p>
        </w:tc>
        <w:tc>
          <w:tcPr>
            <w:tcW w:w="2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11,905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2,219</w:t>
            </w:r>
          </w:p>
        </w:tc>
      </w:tr>
      <w:tr>
        <w:trPr>
          <w:trHeight w:val="203"/>
        </w:trPr>
        <w:tc>
          <w:tcPr>
            <w:tcW w:w="46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expense</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1,754</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1,036</w:t>
            </w:r>
          </w:p>
        </w:tc>
        <w:tc>
          <w:tcPr>
            <w:tcW w:w="2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2,983</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2,173</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Engineering and product development</w:t>
            </w: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expense</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787</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576</w:t>
            </w:r>
          </w:p>
        </w:tc>
        <w:tc>
          <w:tcPr>
            <w:tcW w:w="2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1,488</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1,333</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 and administrative expense</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1,653</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1,374</w:t>
            </w:r>
          </w:p>
        </w:tc>
        <w:tc>
          <w:tcPr>
            <w:tcW w:w="2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3,134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3,058</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Restructuring and other charges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w:t>
            </w:r>
          </w:p>
        </w:tc>
        <w:tc>
          <w:tcPr>
            <w:tcW w:w="2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329</w:t>
            </w:r>
          </w:p>
        </w:tc>
      </w:tr>
      <w:tr>
        <w:trPr>
          <w:trHeight w:val="203"/>
        </w:trPr>
        <w:tc>
          <w:tcPr>
            <w:tcW w:w="46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4,194</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3,255</w:t>
            </w:r>
          </w:p>
        </w:tc>
        <w:tc>
          <w:tcPr>
            <w:tcW w:w="2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7,605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6,893</w:t>
            </w:r>
          </w:p>
        </w:tc>
      </w:tr>
      <w:tr>
        <w:trPr>
          <w:trHeight w:val="203"/>
        </w:trPr>
        <w:tc>
          <w:tcPr>
            <w:tcW w:w="46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3,174</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(1,839)</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4,300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(4,674)</w:t>
            </w:r>
          </w:p>
        </w:tc>
      </w:tr>
      <w:tr>
        <w:trPr>
          <w:trHeight w:val="203"/>
        </w:trPr>
        <w:tc>
          <w:tcPr>
            <w:tcW w:w="46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income</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c>
          <w:tcPr>
            <w:tcW w:w="2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(17)</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(120)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46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other expense</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(121)</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46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(loss) before income tax</w:t>
            </w: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 (benefit)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3,166</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(1,960)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4,281</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(4,714)</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expense (benefit)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46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earnings (loss)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$ 3,168</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$(1,952)</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$ 4,280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$(4,707)</w:t>
            </w:r>
          </w:p>
        </w:tc>
      </w:tr>
      <w:tr>
        <w:trPr>
          <w:trHeight w:val="203"/>
        </w:trPr>
        <w:tc>
          <w:tcPr>
            <w:tcW w:w="46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Net earnings (loss) per common share-basic</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$0.32</w:t>
            </w:r>
          </w:p>
        </w:tc>
        <w:tc>
          <w:tcPr>
            <w:tcW w:w="12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$(0.20)</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$0.43</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$(0.47)</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w:t>
            </w: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outstanding-basic</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10,006,956</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9,973,225</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10,000,061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9,965,152</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w w:val="97"/>
              </w:rPr>
              <w:t>Net earnings (loss) per common share-diluted</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$0.31</w:t>
            </w:r>
          </w:p>
        </w:tc>
        <w:tc>
          <w:tcPr>
            <w:tcW w:w="12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(0.20)</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$0.42</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$(0.47)</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Weighted average common and common</w:t>
            </w: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 equivalents outstanding-diluted</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10,186,364</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9,973,225</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10,093,146</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9,965,152</w:t>
            </w:r>
          </w:p>
        </w:tc>
      </w:tr>
    </w:tbl>
    <w:p>
      <w:pPr>
        <w:spacing w:after="0" w:line="200" w:lineRule="exact"/>
        <w:rPr>
          <w:sz w:val="20"/>
          <w:szCs w:val="20"/>
          <w:color w:val="auto"/>
        </w:rPr>
      </w:pPr>
    </w:p>
    <w:p>
      <w:pPr>
        <w:sectPr>
          <w:pgSz w:w="11900" w:h="16838" w:orient="portrait"/>
          <w:cols w:equalWidth="0" w:num="1">
            <w:col w:w="10219"/>
          </w:cols>
          <w:pgMar w:left="240" w:top="136" w:right="1440" w:bottom="0" w:gutter="0" w:footer="0" w:header="0"/>
        </w:sectPr>
      </w:pPr>
    </w:p>
    <w:p>
      <w:pPr>
        <w:spacing w:after="0" w:line="361"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See accompanying Notes to Consolidated Financial Statements.</w:t>
      </w:r>
    </w:p>
    <w:p>
      <w:pPr>
        <w:sectPr>
          <w:pgSz w:w="11900" w:h="16838" w:orient="portrait"/>
          <w:cols w:equalWidth="0" w:num="1">
            <w:col w:w="10219"/>
          </w:cols>
          <w:pgMar w:left="240" w:top="136" w:right="1440" w:bottom="0" w:gutter="0" w:footer="0" w:header="0"/>
          <w:type w:val="continuous"/>
        </w:sectPr>
      </w:pPr>
    </w:p>
    <w:bookmarkStart w:id="3" w:name="page4"/>
    <w:bookmarkEnd w:id="3"/>
    <w:p>
      <w:pPr>
        <w:ind w:left="5520"/>
        <w:spacing w:after="0"/>
        <w:rPr>
          <w:sz w:val="20"/>
          <w:szCs w:val="20"/>
          <w:color w:val="auto"/>
        </w:rPr>
      </w:pPr>
      <w:r>
        <w:rPr>
          <w:rFonts w:ascii="Arial" w:cs="Arial" w:eastAsia="Arial" w:hAnsi="Arial"/>
          <w:sz w:val="18"/>
          <w:szCs w:val="18"/>
          <w:color w:val="auto"/>
        </w:rPr>
        <w:t>- - 2 -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510667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0667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inTEST CORPORATION</w:t>
      </w:r>
    </w:p>
    <w:p>
      <w:pPr>
        <w:spacing w:after="0" w:line="14" w:lineRule="exact"/>
        <w:rPr>
          <w:sz w:val="20"/>
          <w:szCs w:val="20"/>
          <w:color w:val="auto"/>
        </w:rPr>
      </w:pPr>
    </w:p>
    <w:p>
      <w:pPr>
        <w:jc w:val="center"/>
        <w:ind w:right="-1220"/>
        <w:spacing w:after="0"/>
        <w:rPr>
          <w:sz w:val="20"/>
          <w:szCs w:val="20"/>
          <w:color w:val="auto"/>
        </w:rPr>
      </w:pPr>
      <w:r>
        <w:rPr>
          <w:rFonts w:ascii="Arial" w:cs="Arial" w:eastAsia="Arial" w:hAnsi="Arial"/>
          <w:sz w:val="21"/>
          <w:szCs w:val="21"/>
          <w:b w:val="1"/>
          <w:bCs w:val="1"/>
          <w:color w:val="auto"/>
        </w:rPr>
        <w:t>CONSOLIDATED STATEMENTS OF COMPREHENSIVE EARNINGS (LOSS)</w:t>
      </w:r>
    </w:p>
    <w:p>
      <w:pPr>
        <w:jc w:val="center"/>
        <w:ind w:right="-1220"/>
        <w:spacing w:after="0" w:line="232" w:lineRule="auto"/>
        <w:rPr>
          <w:sz w:val="20"/>
          <w:szCs w:val="20"/>
          <w:color w:val="auto"/>
        </w:rPr>
      </w:pPr>
      <w:r>
        <w:rPr>
          <w:rFonts w:ascii="Arial" w:cs="Arial" w:eastAsia="Arial" w:hAnsi="Arial"/>
          <w:sz w:val="22"/>
          <w:szCs w:val="22"/>
          <w:color w:val="auto"/>
        </w:rPr>
        <w:t>(In thousands)</w:t>
      </w:r>
    </w:p>
    <w:p>
      <w:pPr>
        <w:jc w:val="center"/>
        <w:ind w:right="-1220"/>
        <w:spacing w:after="0"/>
        <w:rPr>
          <w:sz w:val="20"/>
          <w:szCs w:val="20"/>
          <w:color w:val="auto"/>
        </w:rPr>
      </w:pPr>
      <w:r>
        <w:rPr>
          <w:rFonts w:ascii="Arial" w:cs="Arial" w:eastAsia="Arial" w:hAnsi="Arial"/>
          <w:sz w:val="22"/>
          <w:szCs w:val="22"/>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17"/>
                <w:szCs w:val="17"/>
                <w:color w:val="auto"/>
              </w:rPr>
            </w:pPr>
          </w:p>
        </w:tc>
        <w:tc>
          <w:tcPr>
            <w:tcW w:w="22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Three Months Ended</w:t>
            </w:r>
          </w:p>
        </w:tc>
        <w:tc>
          <w:tcPr>
            <w:tcW w:w="200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43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w:t>
            </w:r>
          </w:p>
        </w:tc>
        <w:tc>
          <w:tcPr>
            <w:tcW w:w="10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w:t>
            </w:r>
          </w:p>
        </w:tc>
        <w:tc>
          <w:tcPr>
            <w:tcW w:w="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4320" w:type="dxa"/>
            <w:vAlign w:val="bottom"/>
          </w:tcPr>
          <w:p>
            <w:pPr>
              <w:spacing w:after="0"/>
              <w:rPr>
                <w:sz w:val="17"/>
                <w:szCs w:val="17"/>
                <w:color w:val="auto"/>
              </w:rPr>
            </w:pPr>
          </w:p>
        </w:tc>
        <w:tc>
          <w:tcPr>
            <w:tcW w:w="2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2010</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2009</w:t>
            </w: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2010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2009</w:t>
            </w:r>
          </w:p>
        </w:tc>
      </w:tr>
      <w:tr>
        <w:trPr>
          <w:trHeight w:val="203"/>
        </w:trPr>
        <w:tc>
          <w:tcPr>
            <w:tcW w:w="4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Net earnings (loss)</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$ 3,168</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$(1,952)</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$ 4,280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$(4,707)</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w w:val="99"/>
              </w:rPr>
              <w:t>Foreign currency translation adjustments</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(66)</w:t>
            </w: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235</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(120)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(68)</w:t>
            </w:r>
          </w:p>
        </w:tc>
      </w:tr>
      <w:tr>
        <w:trPr>
          <w:trHeight w:val="203"/>
        </w:trPr>
        <w:tc>
          <w:tcPr>
            <w:tcW w:w="4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Comprehensive earnings (loss)</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$ 3,102</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$(1,717)</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$ 4,160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$(4,775)</w:t>
            </w:r>
          </w:p>
        </w:tc>
      </w:tr>
      <w:tr>
        <w:trPr>
          <w:trHeight w:val="203"/>
        </w:trPr>
        <w:tc>
          <w:tcPr>
            <w:tcW w:w="4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6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510667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0667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inTEST CORPORATION</w:t>
      </w:r>
    </w:p>
    <w:p>
      <w:pPr>
        <w:spacing w:after="0" w:line="4"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CONSOLIDATED STATEMENT OF STOCKHOLDERS' EQUITY</w:t>
      </w:r>
    </w:p>
    <w:p>
      <w:pPr>
        <w:jc w:val="center"/>
        <w:ind w:right="-1220"/>
        <w:spacing w:after="0" w:line="230" w:lineRule="auto"/>
        <w:rPr>
          <w:sz w:val="20"/>
          <w:szCs w:val="20"/>
          <w:color w:val="auto"/>
        </w:rPr>
      </w:pPr>
      <w:r>
        <w:rPr>
          <w:rFonts w:ascii="Arial" w:cs="Arial" w:eastAsia="Arial" w:hAnsi="Arial"/>
          <w:sz w:val="22"/>
          <w:szCs w:val="22"/>
          <w:color w:val="auto"/>
        </w:rPr>
        <w:t>(In thousands, except share data)</w:t>
      </w:r>
    </w:p>
    <w:p>
      <w:pPr>
        <w:spacing w:after="0" w:line="1" w:lineRule="exact"/>
        <w:rPr>
          <w:sz w:val="20"/>
          <w:szCs w:val="20"/>
          <w:color w:val="auto"/>
        </w:rPr>
      </w:pPr>
    </w:p>
    <w:p>
      <w:pPr>
        <w:jc w:val="center"/>
        <w:ind w:right="-1220"/>
        <w:spacing w:after="0"/>
        <w:rPr>
          <w:sz w:val="20"/>
          <w:szCs w:val="20"/>
          <w:color w:val="auto"/>
        </w:rPr>
      </w:pPr>
      <w:r>
        <w:rPr>
          <w:rFonts w:ascii="Arial" w:cs="Arial" w:eastAsia="Arial" w:hAnsi="Arial"/>
          <w:sz w:val="22"/>
          <w:szCs w:val="22"/>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Accumulated</w:t>
            </w: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2160" w:type="dxa"/>
            <w:vAlign w:val="bottom"/>
          </w:tcPr>
          <w:p>
            <w:pPr>
              <w:spacing w:after="0"/>
              <w:rPr>
                <w:sz w:val="11"/>
                <w:szCs w:val="11"/>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Common</w:t>
            </w:r>
          </w:p>
        </w:tc>
        <w:tc>
          <w:tcPr>
            <w:tcW w:w="460" w:type="dxa"/>
            <w:vAlign w:val="bottom"/>
          </w:tcPr>
          <w:p>
            <w:pPr>
              <w:spacing w:after="0"/>
              <w:rPr>
                <w:sz w:val="20"/>
                <w:szCs w:val="20"/>
                <w:color w:val="auto"/>
              </w:rPr>
            </w:pPr>
            <w:r>
              <w:rPr>
                <w:rFonts w:ascii="Courier New" w:cs="Courier New" w:eastAsia="Courier New" w:hAnsi="Courier New"/>
                <w:sz w:val="12"/>
                <w:szCs w:val="12"/>
                <w:color w:val="auto"/>
              </w:rPr>
              <w:t>Stock</w:t>
            </w:r>
          </w:p>
        </w:tc>
        <w:tc>
          <w:tcPr>
            <w:tcW w:w="7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Addt'l</w:t>
            </w:r>
          </w:p>
        </w:tc>
        <w:tc>
          <w:tcPr>
            <w:tcW w:w="880" w:type="dxa"/>
            <w:vAlign w:val="bottom"/>
          </w:tcPr>
          <w:p>
            <w:pPr>
              <w:spacing w:after="0"/>
              <w:rPr>
                <w:sz w:val="11"/>
                <w:szCs w:val="11"/>
                <w:color w:val="auto"/>
              </w:rPr>
            </w:pPr>
          </w:p>
        </w:tc>
        <w:tc>
          <w:tcPr>
            <w:tcW w:w="98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Other</w:t>
            </w:r>
          </w:p>
        </w:tc>
        <w:tc>
          <w:tcPr>
            <w:tcW w:w="720" w:type="dxa"/>
            <w:vAlign w:val="bottom"/>
          </w:tcPr>
          <w:p>
            <w:pPr>
              <w:spacing w:after="0"/>
              <w:rPr>
                <w:sz w:val="11"/>
                <w:szCs w:val="11"/>
                <w:color w:val="auto"/>
              </w:rPr>
            </w:pPr>
          </w:p>
        </w:tc>
        <w:tc>
          <w:tcPr>
            <w:tcW w:w="9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Total</w:t>
            </w:r>
          </w:p>
        </w:tc>
      </w:tr>
      <w:tr>
        <w:trPr>
          <w:trHeight w:val="135"/>
        </w:trPr>
        <w:tc>
          <w:tcPr>
            <w:tcW w:w="2160" w:type="dxa"/>
            <w:vAlign w:val="bottom"/>
          </w:tcPr>
          <w:p>
            <w:pPr>
              <w:spacing w:after="0"/>
              <w:rPr>
                <w:sz w:val="11"/>
                <w:szCs w:val="11"/>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Paid-In</w:t>
            </w:r>
          </w:p>
        </w:tc>
        <w:tc>
          <w:tcPr>
            <w:tcW w:w="35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Accumulated Comprehensive Treasury Stockholders'</w:t>
            </w:r>
          </w:p>
        </w:tc>
      </w:tr>
      <w:tr>
        <w:trPr>
          <w:trHeight w:val="135"/>
        </w:trPr>
        <w:tc>
          <w:tcPr>
            <w:tcW w:w="2160" w:type="dxa"/>
            <w:vAlign w:val="bottom"/>
          </w:tcPr>
          <w:p>
            <w:pPr>
              <w:spacing w:after="0"/>
              <w:rPr>
                <w:sz w:val="11"/>
                <w:szCs w:val="11"/>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Shares</w:t>
            </w:r>
          </w:p>
        </w:tc>
        <w:tc>
          <w:tcPr>
            <w:tcW w:w="460" w:type="dxa"/>
            <w:vAlign w:val="bottom"/>
          </w:tcPr>
          <w:p>
            <w:pPr>
              <w:spacing w:after="0"/>
              <w:rPr>
                <w:sz w:val="20"/>
                <w:szCs w:val="20"/>
                <w:color w:val="auto"/>
              </w:rPr>
            </w:pPr>
            <w:r>
              <w:rPr>
                <w:rFonts w:ascii="Courier New" w:cs="Courier New" w:eastAsia="Courier New" w:hAnsi="Courier New"/>
                <w:sz w:val="12"/>
                <w:szCs w:val="12"/>
                <w:color w:val="auto"/>
              </w:rPr>
              <w:t>Amount</w:t>
            </w:r>
          </w:p>
        </w:tc>
        <w:tc>
          <w:tcPr>
            <w:tcW w:w="7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Capital</w:t>
            </w:r>
          </w:p>
        </w:tc>
        <w:tc>
          <w:tcPr>
            <w:tcW w:w="8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Deficit</w:t>
            </w:r>
          </w:p>
        </w:tc>
        <w:tc>
          <w:tcPr>
            <w:tcW w:w="9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Earnings</w:t>
            </w:r>
          </w:p>
        </w:tc>
        <w:tc>
          <w:tcPr>
            <w:tcW w:w="7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Stock</w:t>
            </w:r>
          </w:p>
        </w:tc>
        <w:tc>
          <w:tcPr>
            <w:tcW w:w="9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Equity</w:t>
            </w:r>
          </w:p>
        </w:tc>
      </w:tr>
      <w:tr>
        <w:trPr>
          <w:trHeight w:val="137"/>
        </w:trPr>
        <w:tc>
          <w:tcPr>
            <w:tcW w:w="2160" w:type="dxa"/>
            <w:vAlign w:val="bottom"/>
          </w:tcPr>
          <w:p>
            <w:pPr>
              <w:spacing w:after="0"/>
              <w:rPr>
                <w:sz w:val="11"/>
                <w:szCs w:val="11"/>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w w:val="92"/>
              </w:rPr>
              <w:t>------</w:t>
            </w:r>
          </w:p>
        </w:tc>
        <w:tc>
          <w:tcPr>
            <w:tcW w:w="420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 ----------- ------------- -------- -------------</w:t>
            </w:r>
          </w:p>
        </w:tc>
      </w:tr>
      <w:tr>
        <w:trPr>
          <w:trHeight w:val="270"/>
        </w:trPr>
        <w:tc>
          <w:tcPr>
            <w:tcW w:w="2160" w:type="dxa"/>
            <w:vAlign w:val="bottom"/>
          </w:tcPr>
          <w:p>
            <w:pPr>
              <w:spacing w:after="0"/>
              <w:rPr>
                <w:sz w:val="20"/>
                <w:szCs w:val="20"/>
                <w:color w:val="auto"/>
              </w:rPr>
            </w:pPr>
            <w:r>
              <w:rPr>
                <w:rFonts w:ascii="Courier New" w:cs="Courier New" w:eastAsia="Courier New" w:hAnsi="Courier New"/>
                <w:sz w:val="12"/>
                <w:szCs w:val="12"/>
                <w:color w:val="auto"/>
              </w:rPr>
              <w:t>Balance, January 1, 2010</w:t>
            </w: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10,193,255</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$ 102</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$25,798</w:t>
            </w:r>
          </w:p>
        </w:tc>
        <w:tc>
          <w:tcPr>
            <w:tcW w:w="8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$(17,801)</w:t>
            </w:r>
          </w:p>
        </w:tc>
        <w:tc>
          <w:tcPr>
            <w:tcW w:w="9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$1,356</w:t>
            </w:r>
          </w:p>
        </w:tc>
        <w:tc>
          <w:tcPr>
            <w:tcW w:w="7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$(861)</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$ 8,594</w:t>
            </w:r>
          </w:p>
        </w:tc>
      </w:tr>
      <w:tr>
        <w:trPr>
          <w:trHeight w:val="270"/>
        </w:trPr>
        <w:tc>
          <w:tcPr>
            <w:tcW w:w="2160" w:type="dxa"/>
            <w:vAlign w:val="bottom"/>
          </w:tcPr>
          <w:p>
            <w:pPr>
              <w:spacing w:after="0"/>
              <w:rPr>
                <w:sz w:val="20"/>
                <w:szCs w:val="20"/>
                <w:color w:val="auto"/>
              </w:rPr>
            </w:pPr>
            <w:r>
              <w:rPr>
                <w:rFonts w:ascii="Courier New" w:cs="Courier New" w:eastAsia="Courier New" w:hAnsi="Courier New"/>
                <w:sz w:val="12"/>
                <w:szCs w:val="12"/>
                <w:color w:val="auto"/>
              </w:rPr>
              <w:t>Net earnings</w:t>
            </w: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4,280</w:t>
            </w:r>
          </w:p>
        </w:tc>
        <w:tc>
          <w:tcPr>
            <w:tcW w:w="9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4,280</w:t>
            </w:r>
          </w:p>
        </w:tc>
      </w:tr>
      <w:tr>
        <w:trPr>
          <w:trHeight w:val="270"/>
        </w:trPr>
        <w:tc>
          <w:tcPr>
            <w:tcW w:w="2160" w:type="dxa"/>
            <w:vAlign w:val="bottom"/>
          </w:tcPr>
          <w:p>
            <w:pPr>
              <w:spacing w:after="0"/>
              <w:rPr>
                <w:sz w:val="20"/>
                <w:szCs w:val="20"/>
                <w:color w:val="auto"/>
              </w:rPr>
            </w:pPr>
            <w:r>
              <w:rPr>
                <w:rFonts w:ascii="Courier New" w:cs="Courier New" w:eastAsia="Courier New" w:hAnsi="Courier New"/>
                <w:sz w:val="12"/>
                <w:szCs w:val="12"/>
                <w:color w:val="auto"/>
              </w:rPr>
              <w:t>Other comprehensive loss</w:t>
            </w: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(120)</w:t>
            </w:r>
          </w:p>
        </w:tc>
        <w:tc>
          <w:tcPr>
            <w:tcW w:w="7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(120)</w:t>
            </w:r>
          </w:p>
        </w:tc>
      </w:tr>
      <w:tr>
        <w:trPr>
          <w:trHeight w:val="268"/>
        </w:trPr>
        <w:tc>
          <w:tcPr>
            <w:tcW w:w="2160" w:type="dxa"/>
            <w:vAlign w:val="bottom"/>
          </w:tcPr>
          <w:p>
            <w:pPr>
              <w:spacing w:after="0"/>
              <w:rPr>
                <w:sz w:val="20"/>
                <w:szCs w:val="20"/>
                <w:color w:val="auto"/>
              </w:rPr>
            </w:pPr>
            <w:r>
              <w:rPr>
                <w:rFonts w:ascii="Courier New" w:cs="Courier New" w:eastAsia="Courier New" w:hAnsi="Courier New"/>
                <w:sz w:val="12"/>
                <w:szCs w:val="12"/>
                <w:color w:val="auto"/>
              </w:rPr>
              <w:t>Amortization of deferred</w:t>
            </w:r>
          </w:p>
        </w:tc>
        <w:tc>
          <w:tcPr>
            <w:tcW w:w="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35"/>
        </w:trPr>
        <w:tc>
          <w:tcPr>
            <w:tcW w:w="2160" w:type="dxa"/>
            <w:vAlign w:val="bottom"/>
          </w:tcPr>
          <w:p>
            <w:pPr>
              <w:ind w:left="160"/>
              <w:spacing w:after="0"/>
              <w:rPr>
                <w:sz w:val="20"/>
                <w:szCs w:val="20"/>
                <w:color w:val="auto"/>
              </w:rPr>
            </w:pPr>
            <w:r>
              <w:rPr>
                <w:rFonts w:ascii="Courier New" w:cs="Courier New" w:eastAsia="Courier New" w:hAnsi="Courier New"/>
                <w:sz w:val="12"/>
                <w:szCs w:val="12"/>
                <w:color w:val="auto"/>
              </w:rPr>
              <w:t>compensation related to</w:t>
            </w: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7"/>
        </w:trPr>
        <w:tc>
          <w:tcPr>
            <w:tcW w:w="2160" w:type="dxa"/>
            <w:vAlign w:val="bottom"/>
          </w:tcPr>
          <w:p>
            <w:pPr>
              <w:ind w:left="160"/>
              <w:spacing w:after="0"/>
              <w:rPr>
                <w:sz w:val="20"/>
                <w:szCs w:val="20"/>
                <w:color w:val="auto"/>
              </w:rPr>
            </w:pPr>
            <w:r>
              <w:rPr>
                <w:rFonts w:ascii="Courier New" w:cs="Courier New" w:eastAsia="Courier New" w:hAnsi="Courier New"/>
                <w:sz w:val="12"/>
                <w:szCs w:val="12"/>
                <w:color w:val="auto"/>
              </w:rPr>
              <w:t>restricted stock</w:t>
            </w: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96</w:t>
            </w:r>
          </w:p>
        </w:tc>
        <w:tc>
          <w:tcPr>
            <w:tcW w:w="8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96</w:t>
            </w:r>
          </w:p>
        </w:tc>
      </w:tr>
      <w:tr>
        <w:trPr>
          <w:trHeight w:val="268"/>
        </w:trPr>
        <w:tc>
          <w:tcPr>
            <w:tcW w:w="2160" w:type="dxa"/>
            <w:vAlign w:val="bottom"/>
          </w:tcPr>
          <w:p>
            <w:pPr>
              <w:spacing w:after="0"/>
              <w:rPr>
                <w:sz w:val="20"/>
                <w:szCs w:val="20"/>
                <w:color w:val="auto"/>
              </w:rPr>
            </w:pPr>
            <w:r>
              <w:rPr>
                <w:rFonts w:ascii="Courier New" w:cs="Courier New" w:eastAsia="Courier New" w:hAnsi="Courier New"/>
                <w:sz w:val="12"/>
                <w:szCs w:val="12"/>
                <w:color w:val="auto"/>
              </w:rPr>
              <w:t>Issuance of non-vested</w:t>
            </w:r>
          </w:p>
        </w:tc>
        <w:tc>
          <w:tcPr>
            <w:tcW w:w="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37"/>
        </w:trPr>
        <w:tc>
          <w:tcPr>
            <w:tcW w:w="2160" w:type="dxa"/>
            <w:vAlign w:val="bottom"/>
          </w:tcPr>
          <w:p>
            <w:pPr>
              <w:ind w:left="160"/>
              <w:spacing w:after="0"/>
              <w:rPr>
                <w:sz w:val="20"/>
                <w:szCs w:val="20"/>
                <w:color w:val="auto"/>
              </w:rPr>
            </w:pPr>
            <w:r>
              <w:rPr>
                <w:rFonts w:ascii="Courier New" w:cs="Courier New" w:eastAsia="Courier New" w:hAnsi="Courier New"/>
                <w:sz w:val="12"/>
                <w:szCs w:val="12"/>
                <w:color w:val="auto"/>
              </w:rPr>
              <w:t>shares of restricted stock</w:t>
            </w: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263,750</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3</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(3)</w:t>
            </w:r>
          </w:p>
        </w:tc>
        <w:tc>
          <w:tcPr>
            <w:tcW w:w="8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r>
        <w:trPr>
          <w:trHeight w:val="268"/>
        </w:trPr>
        <w:tc>
          <w:tcPr>
            <w:tcW w:w="2160" w:type="dxa"/>
            <w:vAlign w:val="bottom"/>
          </w:tcPr>
          <w:p>
            <w:pPr>
              <w:spacing w:after="0"/>
              <w:rPr>
                <w:sz w:val="20"/>
                <w:szCs w:val="20"/>
                <w:color w:val="auto"/>
              </w:rPr>
            </w:pPr>
            <w:r>
              <w:rPr>
                <w:rFonts w:ascii="Courier New" w:cs="Courier New" w:eastAsia="Courier New" w:hAnsi="Courier New"/>
                <w:sz w:val="12"/>
                <w:szCs w:val="12"/>
                <w:color w:val="auto"/>
              </w:rPr>
              <w:t>Forfeiture of non-vested</w:t>
            </w:r>
          </w:p>
        </w:tc>
        <w:tc>
          <w:tcPr>
            <w:tcW w:w="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35"/>
        </w:trPr>
        <w:tc>
          <w:tcPr>
            <w:tcW w:w="2160" w:type="dxa"/>
            <w:vAlign w:val="bottom"/>
          </w:tcPr>
          <w:p>
            <w:pPr>
              <w:ind w:left="160"/>
              <w:spacing w:after="0"/>
              <w:rPr>
                <w:sz w:val="20"/>
                <w:szCs w:val="20"/>
                <w:color w:val="auto"/>
              </w:rPr>
            </w:pPr>
            <w:r>
              <w:rPr>
                <w:rFonts w:ascii="Courier New" w:cs="Courier New" w:eastAsia="Courier New" w:hAnsi="Courier New"/>
                <w:sz w:val="12"/>
                <w:szCs w:val="12"/>
                <w:color w:val="auto"/>
              </w:rPr>
              <w:t>shares of restricted stock</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(2,500)</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r>
        <w:trPr>
          <w:trHeight w:val="137"/>
        </w:trPr>
        <w:tc>
          <w:tcPr>
            <w:tcW w:w="2160" w:type="dxa"/>
            <w:vAlign w:val="bottom"/>
          </w:tcPr>
          <w:p>
            <w:pPr>
              <w:spacing w:after="0"/>
              <w:rPr>
                <w:sz w:val="11"/>
                <w:szCs w:val="11"/>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r>
        <w:trPr>
          <w:trHeight w:val="268"/>
        </w:trPr>
        <w:tc>
          <w:tcPr>
            <w:tcW w:w="2160" w:type="dxa"/>
            <w:vAlign w:val="bottom"/>
          </w:tcPr>
          <w:p>
            <w:pPr>
              <w:spacing w:after="0"/>
              <w:rPr>
                <w:sz w:val="20"/>
                <w:szCs w:val="20"/>
                <w:color w:val="auto"/>
              </w:rPr>
            </w:pPr>
            <w:r>
              <w:rPr>
                <w:rFonts w:ascii="Courier New" w:cs="Courier New" w:eastAsia="Courier New" w:hAnsi="Courier New"/>
                <w:sz w:val="12"/>
                <w:szCs w:val="12"/>
                <w:color w:val="auto"/>
              </w:rPr>
              <w:t>Balance, June 30, 2010</w:t>
            </w: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10,454,505</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$ 105</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$25,891</w:t>
            </w:r>
          </w:p>
        </w:tc>
        <w:tc>
          <w:tcPr>
            <w:tcW w:w="8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$(13,521)</w:t>
            </w:r>
          </w:p>
        </w:tc>
        <w:tc>
          <w:tcPr>
            <w:tcW w:w="9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$1,236</w:t>
            </w:r>
          </w:p>
        </w:tc>
        <w:tc>
          <w:tcPr>
            <w:tcW w:w="7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$(861)</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$12,850</w:t>
            </w:r>
          </w:p>
        </w:tc>
      </w:tr>
      <w:tr>
        <w:trPr>
          <w:trHeight w:val="137"/>
        </w:trPr>
        <w:tc>
          <w:tcPr>
            <w:tcW w:w="2160" w:type="dxa"/>
            <w:vAlign w:val="bottom"/>
          </w:tcPr>
          <w:p>
            <w:pPr>
              <w:spacing w:after="0"/>
              <w:rPr>
                <w:sz w:val="11"/>
                <w:szCs w:val="11"/>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bl>
    <w:p>
      <w:pPr>
        <w:spacing w:after="0" w:line="172"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510667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0667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gridSpan w:val="3"/>
          </w:tcPr>
          <w:p>
            <w:pPr>
              <w:jc w:val="center"/>
              <w:ind w:left="3595"/>
              <w:spacing w:after="0"/>
              <w:rPr>
                <w:sz w:val="20"/>
                <w:szCs w:val="20"/>
                <w:color w:val="auto"/>
              </w:rPr>
            </w:pPr>
            <w:r>
              <w:rPr>
                <w:rFonts w:ascii="Arial" w:cs="Arial" w:eastAsia="Arial" w:hAnsi="Arial"/>
                <w:sz w:val="18"/>
                <w:szCs w:val="18"/>
                <w:b w:val="1"/>
                <w:bCs w:val="1"/>
                <w:color w:val="auto"/>
                <w:w w:val="96"/>
              </w:rPr>
              <w:t>inTEST CORPORATION</w:t>
            </w:r>
          </w:p>
        </w:tc>
      </w:tr>
      <w:tr>
        <w:trPr>
          <w:trHeight w:val="222"/>
        </w:trPr>
        <w:tc>
          <w:tcPr>
            <w:tcW w:w="7780" w:type="dxa"/>
            <w:vAlign w:val="bottom"/>
            <w:gridSpan w:val="3"/>
          </w:tcPr>
          <w:p>
            <w:pPr>
              <w:jc w:val="center"/>
              <w:ind w:left="3595"/>
              <w:spacing w:after="0"/>
              <w:rPr>
                <w:sz w:val="20"/>
                <w:szCs w:val="20"/>
                <w:color w:val="auto"/>
              </w:rPr>
            </w:pPr>
            <w:r>
              <w:rPr>
                <w:rFonts w:ascii="Arial" w:cs="Arial" w:eastAsia="Arial" w:hAnsi="Arial"/>
                <w:sz w:val="18"/>
                <w:szCs w:val="18"/>
                <w:b w:val="1"/>
                <w:bCs w:val="1"/>
                <w:color w:val="auto"/>
                <w:w w:val="96"/>
              </w:rPr>
              <w:t>CONSOLIDATED STATEMENTS OF CASH FLOWS</w:t>
            </w:r>
          </w:p>
        </w:tc>
      </w:tr>
      <w:tr>
        <w:trPr>
          <w:trHeight w:val="216"/>
        </w:trPr>
        <w:tc>
          <w:tcPr>
            <w:tcW w:w="5120" w:type="dxa"/>
            <w:vAlign w:val="bottom"/>
          </w:tcPr>
          <w:p>
            <w:pPr>
              <w:spacing w:after="0"/>
              <w:rPr>
                <w:sz w:val="18"/>
                <w:szCs w:val="18"/>
                <w:color w:val="auto"/>
              </w:rPr>
            </w:pPr>
          </w:p>
        </w:tc>
        <w:tc>
          <w:tcPr>
            <w:tcW w:w="2660" w:type="dxa"/>
            <w:vAlign w:val="bottom"/>
            <w:gridSpan w:val="2"/>
          </w:tcPr>
          <w:p>
            <w:pPr>
              <w:jc w:val="center"/>
              <w:ind w:right="1419"/>
              <w:spacing w:after="0"/>
              <w:rPr>
                <w:sz w:val="20"/>
                <w:szCs w:val="20"/>
                <w:color w:val="auto"/>
              </w:rPr>
            </w:pPr>
            <w:r>
              <w:rPr>
                <w:rFonts w:ascii="Arial" w:cs="Arial" w:eastAsia="Arial" w:hAnsi="Arial"/>
                <w:sz w:val="18"/>
                <w:szCs w:val="18"/>
                <w:color w:val="auto"/>
                <w:w w:val="88"/>
              </w:rPr>
              <w:t>(In thousands)</w:t>
            </w:r>
          </w:p>
        </w:tc>
      </w:tr>
      <w:tr>
        <w:trPr>
          <w:trHeight w:val="222"/>
        </w:trPr>
        <w:tc>
          <w:tcPr>
            <w:tcW w:w="5120" w:type="dxa"/>
            <w:vAlign w:val="bottom"/>
          </w:tcPr>
          <w:p>
            <w:pPr>
              <w:spacing w:after="0"/>
              <w:rPr>
                <w:sz w:val="19"/>
                <w:szCs w:val="19"/>
                <w:color w:val="auto"/>
              </w:rPr>
            </w:pPr>
          </w:p>
        </w:tc>
        <w:tc>
          <w:tcPr>
            <w:tcW w:w="2660" w:type="dxa"/>
            <w:vAlign w:val="bottom"/>
            <w:gridSpan w:val="2"/>
          </w:tcPr>
          <w:p>
            <w:pPr>
              <w:jc w:val="center"/>
              <w:ind w:right="1419"/>
              <w:spacing w:after="0"/>
              <w:rPr>
                <w:sz w:val="20"/>
                <w:szCs w:val="20"/>
                <w:color w:val="auto"/>
              </w:rPr>
            </w:pPr>
            <w:r>
              <w:rPr>
                <w:rFonts w:ascii="Arial" w:cs="Arial" w:eastAsia="Arial" w:hAnsi="Arial"/>
                <w:sz w:val="18"/>
                <w:szCs w:val="18"/>
                <w:color w:val="auto"/>
                <w:w w:val="91"/>
              </w:rPr>
              <w:t>(Unaudited)</w:t>
            </w:r>
          </w:p>
        </w:tc>
      </w:tr>
      <w:tr>
        <w:trPr>
          <w:trHeight w:val="509"/>
        </w:trPr>
        <w:tc>
          <w:tcPr>
            <w:tcW w:w="5120" w:type="dxa"/>
            <w:vAlign w:val="bottom"/>
          </w:tcPr>
          <w:p>
            <w:pPr>
              <w:spacing w:after="0"/>
              <w:rPr>
                <w:sz w:val="24"/>
                <w:szCs w:val="24"/>
                <w:color w:val="auto"/>
              </w:rPr>
            </w:pPr>
          </w:p>
        </w:tc>
        <w:tc>
          <w:tcPr>
            <w:tcW w:w="2660" w:type="dxa"/>
            <w:vAlign w:val="bottom"/>
            <w:gridSpan w:val="2"/>
          </w:tcPr>
          <w:p>
            <w:pPr>
              <w:jc w:val="right"/>
              <w:ind w:right="1299"/>
              <w:spacing w:after="0"/>
              <w:rPr>
                <w:sz w:val="20"/>
                <w:szCs w:val="20"/>
                <w:color w:val="auto"/>
              </w:rPr>
            </w:pPr>
            <w:r>
              <w:rPr>
                <w:rFonts w:ascii="Courier New" w:cs="Courier New" w:eastAsia="Courier New" w:hAnsi="Courier New"/>
                <w:sz w:val="12"/>
                <w:szCs w:val="12"/>
                <w:color w:val="auto"/>
              </w:rPr>
              <w:t>Six Months Ended</w:t>
            </w:r>
          </w:p>
        </w:tc>
      </w:tr>
      <w:tr>
        <w:trPr>
          <w:trHeight w:val="135"/>
        </w:trPr>
        <w:tc>
          <w:tcPr>
            <w:tcW w:w="5120" w:type="dxa"/>
            <w:vAlign w:val="bottom"/>
          </w:tcPr>
          <w:p>
            <w:pPr>
              <w:spacing w:after="0"/>
              <w:rPr>
                <w:sz w:val="11"/>
                <w:szCs w:val="11"/>
                <w:color w:val="auto"/>
              </w:rPr>
            </w:pPr>
          </w:p>
        </w:tc>
        <w:tc>
          <w:tcPr>
            <w:tcW w:w="2660" w:type="dxa"/>
            <w:vAlign w:val="bottom"/>
            <w:gridSpan w:val="2"/>
          </w:tcPr>
          <w:p>
            <w:pPr>
              <w:jc w:val="right"/>
              <w:ind w:right="1579"/>
              <w:spacing w:after="0"/>
              <w:rPr>
                <w:sz w:val="20"/>
                <w:szCs w:val="20"/>
                <w:color w:val="auto"/>
              </w:rPr>
            </w:pPr>
            <w:r>
              <w:rPr>
                <w:rFonts w:ascii="Courier New" w:cs="Courier New" w:eastAsia="Courier New" w:hAnsi="Courier New"/>
                <w:sz w:val="12"/>
                <w:szCs w:val="12"/>
                <w:color w:val="auto"/>
              </w:rPr>
              <w:t>June 30,</w:t>
            </w:r>
          </w:p>
        </w:tc>
      </w:tr>
      <w:tr>
        <w:trPr>
          <w:trHeight w:val="135"/>
        </w:trPr>
        <w:tc>
          <w:tcPr>
            <w:tcW w:w="5120" w:type="dxa"/>
            <w:vAlign w:val="bottom"/>
          </w:tcPr>
          <w:p>
            <w:pPr>
              <w:spacing w:after="0"/>
              <w:rPr>
                <w:sz w:val="11"/>
                <w:szCs w:val="11"/>
                <w:color w:val="auto"/>
              </w:rPr>
            </w:pPr>
          </w:p>
        </w:tc>
        <w:tc>
          <w:tcPr>
            <w:tcW w:w="2660" w:type="dxa"/>
            <w:vAlign w:val="bottom"/>
            <w:gridSpan w:val="2"/>
          </w:tcPr>
          <w:p>
            <w:pPr>
              <w:jc w:val="right"/>
              <w:ind w:right="1219"/>
              <w:spacing w:after="0"/>
              <w:rPr>
                <w:sz w:val="20"/>
                <w:szCs w:val="20"/>
                <w:color w:val="auto"/>
              </w:rPr>
            </w:pPr>
            <w:r>
              <w:rPr>
                <w:rFonts w:ascii="Courier New" w:cs="Courier New" w:eastAsia="Courier New" w:hAnsi="Courier New"/>
                <w:sz w:val="12"/>
                <w:szCs w:val="12"/>
                <w:color w:val="auto"/>
              </w:rPr>
              <w:t>------------------</w:t>
            </w:r>
          </w:p>
        </w:tc>
      </w:tr>
      <w:tr>
        <w:trPr>
          <w:trHeight w:val="135"/>
        </w:trPr>
        <w:tc>
          <w:tcPr>
            <w:tcW w:w="5120" w:type="dxa"/>
            <w:vAlign w:val="bottom"/>
          </w:tcPr>
          <w:p>
            <w:pPr>
              <w:spacing w:after="0"/>
              <w:rPr>
                <w:sz w:val="11"/>
                <w:szCs w:val="11"/>
                <w:color w:val="auto"/>
              </w:rPr>
            </w:pPr>
          </w:p>
        </w:tc>
        <w:tc>
          <w:tcPr>
            <w:tcW w:w="760" w:type="dxa"/>
            <w:vAlign w:val="bottom"/>
          </w:tcPr>
          <w:p>
            <w:pPr>
              <w:jc w:val="right"/>
              <w:ind w:right="196"/>
              <w:spacing w:after="0"/>
              <w:rPr>
                <w:sz w:val="20"/>
                <w:szCs w:val="20"/>
                <w:color w:val="auto"/>
              </w:rPr>
            </w:pPr>
            <w:r>
              <w:rPr>
                <w:rFonts w:ascii="Courier New" w:cs="Courier New" w:eastAsia="Courier New" w:hAnsi="Courier New"/>
                <w:sz w:val="12"/>
                <w:szCs w:val="12"/>
                <w:color w:val="auto"/>
              </w:rPr>
              <w:t>2010</w:t>
            </w:r>
          </w:p>
        </w:tc>
        <w:tc>
          <w:tcPr>
            <w:tcW w:w="1900" w:type="dxa"/>
            <w:vAlign w:val="bottom"/>
          </w:tcPr>
          <w:p>
            <w:pPr>
              <w:jc w:val="right"/>
              <w:ind w:right="1299"/>
              <w:spacing w:after="0"/>
              <w:rPr>
                <w:sz w:val="20"/>
                <w:szCs w:val="20"/>
                <w:color w:val="auto"/>
              </w:rPr>
            </w:pPr>
            <w:r>
              <w:rPr>
                <w:rFonts w:ascii="Courier New" w:cs="Courier New" w:eastAsia="Courier New" w:hAnsi="Courier New"/>
                <w:sz w:val="12"/>
                <w:szCs w:val="12"/>
                <w:color w:val="auto"/>
              </w:rPr>
              <w:t>2009</w:t>
            </w:r>
          </w:p>
        </w:tc>
      </w:tr>
      <w:tr>
        <w:trPr>
          <w:trHeight w:val="137"/>
        </w:trPr>
        <w:tc>
          <w:tcPr>
            <w:tcW w:w="5120" w:type="dxa"/>
            <w:vAlign w:val="bottom"/>
          </w:tcPr>
          <w:p>
            <w:pPr>
              <w:spacing w:after="0"/>
              <w:rPr>
                <w:sz w:val="11"/>
                <w:szCs w:val="11"/>
                <w:color w:val="auto"/>
              </w:rPr>
            </w:pPr>
          </w:p>
        </w:tc>
        <w:tc>
          <w:tcPr>
            <w:tcW w:w="760" w:type="dxa"/>
            <w:vAlign w:val="bottom"/>
          </w:tcPr>
          <w:p>
            <w:pPr>
              <w:jc w:val="right"/>
              <w:ind w:right="116"/>
              <w:spacing w:after="0"/>
              <w:rPr>
                <w:sz w:val="20"/>
                <w:szCs w:val="20"/>
                <w:color w:val="auto"/>
              </w:rPr>
            </w:pPr>
            <w:r>
              <w:rPr>
                <w:rFonts w:ascii="Courier New" w:cs="Courier New" w:eastAsia="Courier New" w:hAnsi="Courier New"/>
                <w:sz w:val="12"/>
                <w:szCs w:val="12"/>
                <w:color w:val="auto"/>
              </w:rPr>
              <w:t>-------</w:t>
            </w:r>
          </w:p>
        </w:tc>
        <w:tc>
          <w:tcPr>
            <w:tcW w:w="1900" w:type="dxa"/>
            <w:vAlign w:val="bottom"/>
          </w:tcPr>
          <w:p>
            <w:pPr>
              <w:jc w:val="right"/>
              <w:ind w:right="1219"/>
              <w:spacing w:after="0"/>
              <w:rPr>
                <w:sz w:val="20"/>
                <w:szCs w:val="20"/>
                <w:color w:val="auto"/>
              </w:rPr>
            </w:pPr>
            <w:r>
              <w:rPr>
                <w:rFonts w:ascii="Courier New" w:cs="Courier New" w:eastAsia="Courier New" w:hAnsi="Courier New"/>
                <w:sz w:val="12"/>
                <w:szCs w:val="12"/>
                <w:color w:val="auto"/>
              </w:rPr>
              <w:t>-------</w:t>
            </w:r>
          </w:p>
        </w:tc>
      </w:tr>
      <w:tr>
        <w:trPr>
          <w:trHeight w:val="268"/>
        </w:trPr>
        <w:tc>
          <w:tcPr>
            <w:tcW w:w="5120" w:type="dxa"/>
            <w:vAlign w:val="bottom"/>
          </w:tcPr>
          <w:p>
            <w:pPr>
              <w:spacing w:after="0"/>
              <w:rPr>
                <w:sz w:val="20"/>
                <w:szCs w:val="20"/>
                <w:color w:val="auto"/>
              </w:rPr>
            </w:pPr>
            <w:r>
              <w:rPr>
                <w:rFonts w:ascii="Courier New" w:cs="Courier New" w:eastAsia="Courier New" w:hAnsi="Courier New"/>
                <w:sz w:val="12"/>
                <w:szCs w:val="12"/>
                <w:color w:val="auto"/>
              </w:rPr>
              <w:t>CASH FLOWS FROM OPERATING ACTIVITIES</w:t>
            </w:r>
          </w:p>
        </w:tc>
        <w:tc>
          <w:tcPr>
            <w:tcW w:w="76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Net earnings (loss)</w:t>
            </w:r>
          </w:p>
        </w:tc>
        <w:tc>
          <w:tcPr>
            <w:tcW w:w="760" w:type="dxa"/>
            <w:vAlign w:val="bottom"/>
          </w:tcPr>
          <w:p>
            <w:pPr>
              <w:jc w:val="right"/>
              <w:ind w:right="116"/>
              <w:spacing w:after="0"/>
              <w:rPr>
                <w:sz w:val="20"/>
                <w:szCs w:val="20"/>
                <w:color w:val="auto"/>
              </w:rPr>
            </w:pPr>
            <w:r>
              <w:rPr>
                <w:rFonts w:ascii="Courier New" w:cs="Courier New" w:eastAsia="Courier New" w:hAnsi="Courier New"/>
                <w:sz w:val="12"/>
                <w:szCs w:val="12"/>
                <w:color w:val="auto"/>
              </w:rPr>
              <w:t>$ 4,280</w:t>
            </w:r>
          </w:p>
        </w:tc>
        <w:tc>
          <w:tcPr>
            <w:tcW w:w="1900" w:type="dxa"/>
            <w:vAlign w:val="bottom"/>
          </w:tcPr>
          <w:p>
            <w:pPr>
              <w:jc w:val="right"/>
              <w:ind w:right="1139"/>
              <w:spacing w:after="0"/>
              <w:rPr>
                <w:sz w:val="20"/>
                <w:szCs w:val="20"/>
                <w:color w:val="auto"/>
              </w:rPr>
            </w:pPr>
            <w:r>
              <w:rPr>
                <w:rFonts w:ascii="Courier New" w:cs="Courier New" w:eastAsia="Courier New" w:hAnsi="Courier New"/>
                <w:sz w:val="12"/>
                <w:szCs w:val="12"/>
                <w:color w:val="auto"/>
              </w:rPr>
              <w:t>$(4,707)</w:t>
            </w: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Adjustments to reconcile net earnings (loss) to net cash</w:t>
            </w:r>
          </w:p>
        </w:tc>
        <w:tc>
          <w:tcPr>
            <w:tcW w:w="760" w:type="dxa"/>
            <w:vAlign w:val="bottom"/>
          </w:tcPr>
          <w:p>
            <w:pPr>
              <w:spacing w:after="0"/>
              <w:rPr>
                <w:sz w:val="11"/>
                <w:szCs w:val="11"/>
                <w:color w:val="auto"/>
              </w:rPr>
            </w:pPr>
          </w:p>
        </w:tc>
        <w:tc>
          <w:tcPr>
            <w:tcW w:w="1900" w:type="dxa"/>
            <w:vAlign w:val="bottom"/>
          </w:tcPr>
          <w:p>
            <w:pPr>
              <w:spacing w:after="0"/>
              <w:rPr>
                <w:sz w:val="11"/>
                <w:szCs w:val="11"/>
                <w:color w:val="auto"/>
              </w:rPr>
            </w:pPr>
          </w:p>
        </w:tc>
      </w:tr>
      <w:tr>
        <w:trPr>
          <w:trHeight w:val="135"/>
        </w:trPr>
        <w:tc>
          <w:tcPr>
            <w:tcW w:w="5120" w:type="dxa"/>
            <w:vAlign w:val="bottom"/>
          </w:tcPr>
          <w:p>
            <w:pPr>
              <w:ind w:left="220"/>
              <w:spacing w:after="0"/>
              <w:rPr>
                <w:sz w:val="20"/>
                <w:szCs w:val="20"/>
                <w:color w:val="auto"/>
              </w:rPr>
            </w:pPr>
            <w:r>
              <w:rPr>
                <w:rFonts w:ascii="Courier New" w:cs="Courier New" w:eastAsia="Courier New" w:hAnsi="Courier New"/>
                <w:sz w:val="12"/>
                <w:szCs w:val="12"/>
                <w:color w:val="auto"/>
              </w:rPr>
              <w:t>provided by (used in) operating activities:</w:t>
            </w:r>
          </w:p>
        </w:tc>
        <w:tc>
          <w:tcPr>
            <w:tcW w:w="760" w:type="dxa"/>
            <w:vAlign w:val="bottom"/>
          </w:tcPr>
          <w:p>
            <w:pPr>
              <w:spacing w:after="0"/>
              <w:rPr>
                <w:sz w:val="11"/>
                <w:szCs w:val="11"/>
                <w:color w:val="auto"/>
              </w:rPr>
            </w:pPr>
          </w:p>
        </w:tc>
        <w:tc>
          <w:tcPr>
            <w:tcW w:w="1900" w:type="dxa"/>
            <w:vAlign w:val="bottom"/>
          </w:tcPr>
          <w:p>
            <w:pPr>
              <w:spacing w:after="0"/>
              <w:rPr>
                <w:sz w:val="11"/>
                <w:szCs w:val="1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Depreciation and amortization</w:t>
            </w:r>
          </w:p>
        </w:tc>
        <w:tc>
          <w:tcPr>
            <w:tcW w:w="760" w:type="dxa"/>
            <w:vAlign w:val="bottom"/>
          </w:tcPr>
          <w:p>
            <w:pPr>
              <w:jc w:val="right"/>
              <w:ind w:right="116"/>
              <w:spacing w:after="0"/>
              <w:rPr>
                <w:sz w:val="20"/>
                <w:szCs w:val="20"/>
                <w:color w:val="auto"/>
              </w:rPr>
            </w:pPr>
            <w:r>
              <w:rPr>
                <w:rFonts w:ascii="Courier New" w:cs="Courier New" w:eastAsia="Courier New" w:hAnsi="Courier New"/>
                <w:sz w:val="12"/>
                <w:szCs w:val="12"/>
                <w:color w:val="auto"/>
              </w:rPr>
              <w:t>190</w:t>
            </w:r>
          </w:p>
        </w:tc>
        <w:tc>
          <w:tcPr>
            <w:tcW w:w="1900" w:type="dxa"/>
            <w:vAlign w:val="bottom"/>
          </w:tcPr>
          <w:p>
            <w:pPr>
              <w:jc w:val="right"/>
              <w:ind w:right="1219"/>
              <w:spacing w:after="0"/>
              <w:rPr>
                <w:sz w:val="20"/>
                <w:szCs w:val="20"/>
                <w:color w:val="auto"/>
              </w:rPr>
            </w:pPr>
            <w:r>
              <w:rPr>
                <w:rFonts w:ascii="Courier New" w:cs="Courier New" w:eastAsia="Courier New" w:hAnsi="Courier New"/>
                <w:sz w:val="12"/>
                <w:szCs w:val="12"/>
                <w:color w:val="auto"/>
              </w:rPr>
              <w:t>265</w:t>
            </w: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Foreign exchange loss</w:t>
            </w:r>
          </w:p>
        </w:tc>
        <w:tc>
          <w:tcPr>
            <w:tcW w:w="760" w:type="dxa"/>
            <w:vAlign w:val="bottom"/>
          </w:tcPr>
          <w:p>
            <w:pPr>
              <w:jc w:val="right"/>
              <w:ind w:right="116"/>
              <w:spacing w:after="0"/>
              <w:rPr>
                <w:sz w:val="20"/>
                <w:szCs w:val="20"/>
                <w:color w:val="auto"/>
              </w:rPr>
            </w:pPr>
            <w:r>
              <w:rPr>
                <w:rFonts w:ascii="Courier New" w:cs="Courier New" w:eastAsia="Courier New" w:hAnsi="Courier New"/>
                <w:sz w:val="12"/>
                <w:szCs w:val="12"/>
                <w:color w:val="auto"/>
              </w:rPr>
              <w:t>9</w:t>
            </w:r>
          </w:p>
        </w:tc>
        <w:tc>
          <w:tcPr>
            <w:tcW w:w="1900" w:type="dxa"/>
            <w:vAlign w:val="bottom"/>
          </w:tcPr>
          <w:p>
            <w:pPr>
              <w:jc w:val="right"/>
              <w:ind w:right="1219"/>
              <w:spacing w:after="0"/>
              <w:rPr>
                <w:sz w:val="20"/>
                <w:szCs w:val="20"/>
                <w:color w:val="auto"/>
              </w:rPr>
            </w:pPr>
            <w:r>
              <w:rPr>
                <w:rFonts w:ascii="Courier New" w:cs="Courier New" w:eastAsia="Courier New" w:hAnsi="Courier New"/>
                <w:sz w:val="12"/>
                <w:szCs w:val="12"/>
                <w:color w:val="auto"/>
              </w:rPr>
              <w:t>101</w:t>
            </w: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Amortization of deferred compensation related to restricted stock</w:t>
            </w:r>
          </w:p>
        </w:tc>
        <w:tc>
          <w:tcPr>
            <w:tcW w:w="760" w:type="dxa"/>
            <w:vAlign w:val="bottom"/>
          </w:tcPr>
          <w:p>
            <w:pPr>
              <w:jc w:val="right"/>
              <w:ind w:right="116"/>
              <w:spacing w:after="0"/>
              <w:rPr>
                <w:sz w:val="20"/>
                <w:szCs w:val="20"/>
                <w:color w:val="auto"/>
              </w:rPr>
            </w:pPr>
            <w:r>
              <w:rPr>
                <w:rFonts w:ascii="Courier New" w:cs="Courier New" w:eastAsia="Courier New" w:hAnsi="Courier New"/>
                <w:sz w:val="12"/>
                <w:szCs w:val="12"/>
                <w:color w:val="auto"/>
              </w:rPr>
              <w:t>96</w:t>
            </w:r>
          </w:p>
        </w:tc>
        <w:tc>
          <w:tcPr>
            <w:tcW w:w="1900" w:type="dxa"/>
            <w:vAlign w:val="bottom"/>
          </w:tcPr>
          <w:p>
            <w:pPr>
              <w:jc w:val="right"/>
              <w:ind w:right="1219"/>
              <w:spacing w:after="0"/>
              <w:rPr>
                <w:sz w:val="20"/>
                <w:szCs w:val="20"/>
                <w:color w:val="auto"/>
              </w:rPr>
            </w:pPr>
            <w:r>
              <w:rPr>
                <w:rFonts w:ascii="Courier New" w:cs="Courier New" w:eastAsia="Courier New" w:hAnsi="Courier New"/>
                <w:sz w:val="12"/>
                <w:szCs w:val="12"/>
                <w:color w:val="auto"/>
              </w:rPr>
              <w:t>66</w:t>
            </w: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(Gain) loss on disposal of property and equipment</w:t>
            </w:r>
          </w:p>
        </w:tc>
        <w:tc>
          <w:tcPr>
            <w:tcW w:w="760" w:type="dxa"/>
            <w:vAlign w:val="bottom"/>
          </w:tcPr>
          <w:p>
            <w:pPr>
              <w:jc w:val="right"/>
              <w:ind w:right="56"/>
              <w:spacing w:after="0"/>
              <w:rPr>
                <w:sz w:val="20"/>
                <w:szCs w:val="20"/>
                <w:color w:val="auto"/>
              </w:rPr>
            </w:pPr>
            <w:r>
              <w:rPr>
                <w:rFonts w:ascii="Courier New" w:cs="Courier New" w:eastAsia="Courier New" w:hAnsi="Courier New"/>
                <w:sz w:val="12"/>
                <w:szCs w:val="12"/>
                <w:color w:val="auto"/>
              </w:rPr>
              <w:t>(5)</w:t>
            </w:r>
          </w:p>
        </w:tc>
        <w:tc>
          <w:tcPr>
            <w:tcW w:w="1900" w:type="dxa"/>
            <w:vAlign w:val="bottom"/>
          </w:tcPr>
          <w:p>
            <w:pPr>
              <w:jc w:val="right"/>
              <w:ind w:right="1219"/>
              <w:spacing w:after="0"/>
              <w:rPr>
                <w:sz w:val="20"/>
                <w:szCs w:val="20"/>
                <w:color w:val="auto"/>
              </w:rPr>
            </w:pPr>
            <w:r>
              <w:rPr>
                <w:rFonts w:ascii="Courier New" w:cs="Courier New" w:eastAsia="Courier New" w:hAnsi="Courier New"/>
                <w:sz w:val="12"/>
                <w:szCs w:val="12"/>
                <w:color w:val="auto"/>
              </w:rPr>
              <w:t>33</w:t>
            </w: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Proceeds from sale of demonstration equipment, net of gain</w:t>
            </w:r>
          </w:p>
        </w:tc>
        <w:tc>
          <w:tcPr>
            <w:tcW w:w="760" w:type="dxa"/>
            <w:vAlign w:val="bottom"/>
          </w:tcPr>
          <w:p>
            <w:pPr>
              <w:jc w:val="right"/>
              <w:ind w:right="116"/>
              <w:spacing w:after="0"/>
              <w:rPr>
                <w:sz w:val="20"/>
                <w:szCs w:val="20"/>
                <w:color w:val="auto"/>
              </w:rPr>
            </w:pPr>
            <w:r>
              <w:rPr>
                <w:rFonts w:ascii="Courier New" w:cs="Courier New" w:eastAsia="Courier New" w:hAnsi="Courier New"/>
                <w:sz w:val="12"/>
                <w:szCs w:val="12"/>
                <w:color w:val="auto"/>
              </w:rPr>
              <w:t>8</w:t>
            </w:r>
          </w:p>
        </w:tc>
        <w:tc>
          <w:tcPr>
            <w:tcW w:w="1900" w:type="dxa"/>
            <w:vAlign w:val="bottom"/>
          </w:tcPr>
          <w:p>
            <w:pPr>
              <w:jc w:val="right"/>
              <w:ind w:right="1219"/>
              <w:spacing w:after="0"/>
              <w:rPr>
                <w:sz w:val="20"/>
                <w:szCs w:val="20"/>
                <w:color w:val="auto"/>
              </w:rPr>
            </w:pPr>
            <w:r>
              <w:rPr>
                <w:rFonts w:ascii="Courier New" w:cs="Courier New" w:eastAsia="Courier New" w:hAnsi="Courier New"/>
                <w:sz w:val="12"/>
                <w:szCs w:val="12"/>
                <w:color w:val="auto"/>
              </w:rPr>
              <w:t>3</w:t>
            </w: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Changes in assets and liabilities:</w:t>
            </w:r>
          </w:p>
        </w:tc>
        <w:tc>
          <w:tcPr>
            <w:tcW w:w="760" w:type="dxa"/>
            <w:vAlign w:val="bottom"/>
          </w:tcPr>
          <w:p>
            <w:pPr>
              <w:spacing w:after="0"/>
              <w:rPr>
                <w:sz w:val="11"/>
                <w:szCs w:val="11"/>
                <w:color w:val="auto"/>
              </w:rPr>
            </w:pPr>
          </w:p>
        </w:tc>
        <w:tc>
          <w:tcPr>
            <w:tcW w:w="1900" w:type="dxa"/>
            <w:vAlign w:val="bottom"/>
          </w:tcPr>
          <w:p>
            <w:pPr>
              <w:spacing w:after="0"/>
              <w:rPr>
                <w:sz w:val="11"/>
                <w:szCs w:val="1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Trade accounts receivable</w:t>
            </w:r>
          </w:p>
        </w:tc>
        <w:tc>
          <w:tcPr>
            <w:tcW w:w="760" w:type="dxa"/>
            <w:vAlign w:val="bottom"/>
          </w:tcPr>
          <w:p>
            <w:pPr>
              <w:jc w:val="right"/>
              <w:ind w:right="56"/>
              <w:spacing w:after="0"/>
              <w:rPr>
                <w:sz w:val="20"/>
                <w:szCs w:val="20"/>
                <w:color w:val="auto"/>
              </w:rPr>
            </w:pPr>
            <w:r>
              <w:rPr>
                <w:rFonts w:ascii="Courier New" w:cs="Courier New" w:eastAsia="Courier New" w:hAnsi="Courier New"/>
                <w:sz w:val="12"/>
                <w:szCs w:val="12"/>
                <w:color w:val="auto"/>
              </w:rPr>
              <w:t>(5,331)</w:t>
            </w:r>
          </w:p>
        </w:tc>
        <w:tc>
          <w:tcPr>
            <w:tcW w:w="1900" w:type="dxa"/>
            <w:vAlign w:val="bottom"/>
          </w:tcPr>
          <w:p>
            <w:pPr>
              <w:jc w:val="right"/>
              <w:ind w:right="1219"/>
              <w:spacing w:after="0"/>
              <w:rPr>
                <w:sz w:val="20"/>
                <w:szCs w:val="20"/>
                <w:color w:val="auto"/>
              </w:rPr>
            </w:pPr>
            <w:r>
              <w:rPr>
                <w:rFonts w:ascii="Courier New" w:cs="Courier New" w:eastAsia="Courier New" w:hAnsi="Courier New"/>
                <w:sz w:val="12"/>
                <w:szCs w:val="12"/>
                <w:color w:val="auto"/>
              </w:rPr>
              <w:t>911</w:t>
            </w:r>
          </w:p>
        </w:tc>
      </w:tr>
      <w:tr>
        <w:trPr>
          <w:trHeight w:val="137"/>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Inventories</w:t>
            </w:r>
          </w:p>
        </w:tc>
        <w:tc>
          <w:tcPr>
            <w:tcW w:w="760" w:type="dxa"/>
            <w:vAlign w:val="bottom"/>
          </w:tcPr>
          <w:p>
            <w:pPr>
              <w:jc w:val="right"/>
              <w:ind w:right="56"/>
              <w:spacing w:after="0"/>
              <w:rPr>
                <w:sz w:val="20"/>
                <w:szCs w:val="20"/>
                <w:color w:val="auto"/>
              </w:rPr>
            </w:pPr>
            <w:r>
              <w:rPr>
                <w:rFonts w:ascii="Courier New" w:cs="Courier New" w:eastAsia="Courier New" w:hAnsi="Courier New"/>
                <w:sz w:val="12"/>
                <w:szCs w:val="12"/>
                <w:color w:val="auto"/>
              </w:rPr>
              <w:t>(136)</w:t>
            </w:r>
          </w:p>
        </w:tc>
        <w:tc>
          <w:tcPr>
            <w:tcW w:w="1900" w:type="dxa"/>
            <w:vAlign w:val="bottom"/>
          </w:tcPr>
          <w:p>
            <w:pPr>
              <w:jc w:val="right"/>
              <w:ind w:right="1219"/>
              <w:spacing w:after="0"/>
              <w:rPr>
                <w:sz w:val="20"/>
                <w:szCs w:val="20"/>
                <w:color w:val="auto"/>
              </w:rPr>
            </w:pPr>
            <w:r>
              <w:rPr>
                <w:rFonts w:ascii="Courier New" w:cs="Courier New" w:eastAsia="Courier New" w:hAnsi="Courier New"/>
                <w:sz w:val="12"/>
                <w:szCs w:val="12"/>
                <w:color w:val="auto"/>
              </w:rPr>
              <w:t>914</w:t>
            </w:r>
          </w:p>
        </w:tc>
      </w:tr>
    </w:tbl>
    <w:p>
      <w:pPr>
        <w:sectPr>
          <w:pgSz w:w="11900" w:h="16839" w:orient="portrait"/>
          <w:cols w:equalWidth="0" w:num="1">
            <w:col w:w="10219"/>
          </w:cols>
          <w:pgMar w:left="240" w:top="131" w:right="1440"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Prepaid expenses and other current assets</w:t>
            </w:r>
          </w:p>
        </w:tc>
        <w:tc>
          <w:tcPr>
            <w:tcW w:w="180" w:type="dxa"/>
            <w:vAlign w:val="bottom"/>
          </w:tcPr>
          <w:p>
            <w:pPr>
              <w:spacing w:after="0"/>
              <w:rPr>
                <w:sz w:val="11"/>
                <w:szCs w:val="11"/>
                <w:color w:val="auto"/>
              </w:rPr>
            </w:pPr>
          </w:p>
        </w:tc>
        <w:tc>
          <w:tcPr>
            <w:tcW w:w="5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170</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483</w:t>
            </w: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Restricted certificates of deposit</w:t>
            </w:r>
          </w:p>
        </w:tc>
        <w:tc>
          <w:tcPr>
            <w:tcW w:w="180" w:type="dxa"/>
            <w:vAlign w:val="bottom"/>
          </w:tcPr>
          <w:p>
            <w:pPr>
              <w:spacing w:after="0"/>
              <w:rPr>
                <w:sz w:val="11"/>
                <w:szCs w:val="11"/>
                <w:color w:val="auto"/>
              </w:rPr>
            </w:pPr>
          </w:p>
        </w:tc>
        <w:tc>
          <w:tcPr>
            <w:tcW w:w="5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(250)</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Other assets</w:t>
            </w:r>
          </w:p>
        </w:tc>
        <w:tc>
          <w:tcPr>
            <w:tcW w:w="180" w:type="dxa"/>
            <w:vAlign w:val="bottom"/>
          </w:tcPr>
          <w:p>
            <w:pPr>
              <w:spacing w:after="0"/>
              <w:rPr>
                <w:sz w:val="11"/>
                <w:szCs w:val="11"/>
                <w:color w:val="auto"/>
              </w:rPr>
            </w:pPr>
          </w:p>
        </w:tc>
        <w:tc>
          <w:tcPr>
            <w:tcW w:w="5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32</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664</w:t>
            </w: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Accounts payable</w:t>
            </w:r>
          </w:p>
        </w:tc>
        <w:tc>
          <w:tcPr>
            <w:tcW w:w="180" w:type="dxa"/>
            <w:vAlign w:val="bottom"/>
          </w:tcPr>
          <w:p>
            <w:pPr>
              <w:spacing w:after="0"/>
              <w:rPr>
                <w:sz w:val="11"/>
                <w:szCs w:val="11"/>
                <w:color w:val="auto"/>
              </w:rPr>
            </w:pPr>
          </w:p>
        </w:tc>
        <w:tc>
          <w:tcPr>
            <w:tcW w:w="5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321</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(436)</w:t>
            </w: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Accrued wages and benefits</w:t>
            </w:r>
          </w:p>
        </w:tc>
        <w:tc>
          <w:tcPr>
            <w:tcW w:w="180" w:type="dxa"/>
            <w:vAlign w:val="bottom"/>
          </w:tcPr>
          <w:p>
            <w:pPr>
              <w:spacing w:after="0"/>
              <w:rPr>
                <w:sz w:val="11"/>
                <w:szCs w:val="11"/>
                <w:color w:val="auto"/>
              </w:rPr>
            </w:pPr>
          </w:p>
        </w:tc>
        <w:tc>
          <w:tcPr>
            <w:tcW w:w="5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647</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(306)</w:t>
            </w: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Accrued professional fees</w:t>
            </w:r>
          </w:p>
        </w:tc>
        <w:tc>
          <w:tcPr>
            <w:tcW w:w="180" w:type="dxa"/>
            <w:vAlign w:val="bottom"/>
          </w:tcPr>
          <w:p>
            <w:pPr>
              <w:spacing w:after="0"/>
              <w:rPr>
                <w:sz w:val="11"/>
                <w:szCs w:val="11"/>
                <w:color w:val="auto"/>
              </w:rPr>
            </w:pPr>
          </w:p>
        </w:tc>
        <w:tc>
          <w:tcPr>
            <w:tcW w:w="5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51</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(33)</w:t>
            </w: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Accrued warranty</w:t>
            </w:r>
          </w:p>
        </w:tc>
        <w:tc>
          <w:tcPr>
            <w:tcW w:w="180" w:type="dxa"/>
            <w:vAlign w:val="bottom"/>
          </w:tcPr>
          <w:p>
            <w:pPr>
              <w:spacing w:after="0"/>
              <w:rPr>
                <w:sz w:val="11"/>
                <w:szCs w:val="11"/>
                <w:color w:val="auto"/>
              </w:rPr>
            </w:pPr>
          </w:p>
        </w:tc>
        <w:tc>
          <w:tcPr>
            <w:tcW w:w="5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35</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(24)</w:t>
            </w: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Accrued sales commissions</w:t>
            </w:r>
          </w:p>
        </w:tc>
        <w:tc>
          <w:tcPr>
            <w:tcW w:w="180" w:type="dxa"/>
            <w:vAlign w:val="bottom"/>
          </w:tcPr>
          <w:p>
            <w:pPr>
              <w:spacing w:after="0"/>
              <w:rPr>
                <w:sz w:val="11"/>
                <w:szCs w:val="11"/>
                <w:color w:val="auto"/>
              </w:rPr>
            </w:pPr>
          </w:p>
        </w:tc>
        <w:tc>
          <w:tcPr>
            <w:tcW w:w="5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476</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54</w:t>
            </w: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Accrued restructuring and other charges</w:t>
            </w:r>
          </w:p>
        </w:tc>
        <w:tc>
          <w:tcPr>
            <w:tcW w:w="180" w:type="dxa"/>
            <w:vAlign w:val="bottom"/>
          </w:tcPr>
          <w:p>
            <w:pPr>
              <w:spacing w:after="0"/>
              <w:rPr>
                <w:sz w:val="11"/>
                <w:szCs w:val="11"/>
                <w:color w:val="auto"/>
              </w:rPr>
            </w:pPr>
          </w:p>
        </w:tc>
        <w:tc>
          <w:tcPr>
            <w:tcW w:w="5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(130)</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(97)</w:t>
            </w: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Other accrued expenses</w:t>
            </w:r>
          </w:p>
        </w:tc>
        <w:tc>
          <w:tcPr>
            <w:tcW w:w="180" w:type="dxa"/>
            <w:vAlign w:val="bottom"/>
          </w:tcPr>
          <w:p>
            <w:pPr>
              <w:spacing w:after="0"/>
              <w:rPr>
                <w:sz w:val="11"/>
                <w:szCs w:val="11"/>
                <w:color w:val="auto"/>
              </w:rPr>
            </w:pPr>
          </w:p>
        </w:tc>
        <w:tc>
          <w:tcPr>
            <w:tcW w:w="5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222</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(10)</w:t>
            </w: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Domestic and foreign income taxes payable</w:t>
            </w:r>
          </w:p>
        </w:tc>
        <w:tc>
          <w:tcPr>
            <w:tcW w:w="180" w:type="dxa"/>
            <w:vAlign w:val="bottom"/>
          </w:tcPr>
          <w:p>
            <w:pPr>
              <w:spacing w:after="0"/>
              <w:rPr>
                <w:sz w:val="11"/>
                <w:szCs w:val="11"/>
                <w:color w:val="auto"/>
              </w:rPr>
            </w:pPr>
          </w:p>
        </w:tc>
        <w:tc>
          <w:tcPr>
            <w:tcW w:w="5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(3)</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(125)</w:t>
            </w: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Deferred rent</w:t>
            </w:r>
          </w:p>
        </w:tc>
        <w:tc>
          <w:tcPr>
            <w:tcW w:w="180" w:type="dxa"/>
            <w:vAlign w:val="bottom"/>
          </w:tcPr>
          <w:p>
            <w:pPr>
              <w:spacing w:after="0"/>
              <w:rPr>
                <w:sz w:val="11"/>
                <w:szCs w:val="11"/>
                <w:color w:val="auto"/>
              </w:rPr>
            </w:pPr>
          </w:p>
        </w:tc>
        <w:tc>
          <w:tcPr>
            <w:tcW w:w="5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(59)</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(59)</w:t>
            </w: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provided by (used in) operating activities</w:t>
            </w:r>
          </w:p>
        </w:tc>
        <w:tc>
          <w:tcPr>
            <w:tcW w:w="180" w:type="dxa"/>
            <w:vAlign w:val="bottom"/>
          </w:tcPr>
          <w:p>
            <w:pPr>
              <w:spacing w:after="0"/>
              <w:rPr>
                <w:sz w:val="11"/>
                <w:szCs w:val="11"/>
                <w:color w:val="auto"/>
              </w:rPr>
            </w:pPr>
          </w:p>
        </w:tc>
        <w:tc>
          <w:tcPr>
            <w:tcW w:w="5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623</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w w:val="99"/>
              </w:rPr>
              <w:t>(2,303)</w:t>
            </w:r>
          </w:p>
        </w:tc>
      </w:tr>
      <w:tr>
        <w:trPr>
          <w:trHeight w:val="137"/>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5120" w:type="dxa"/>
            <w:vAlign w:val="bottom"/>
          </w:tcPr>
          <w:p>
            <w:pPr>
              <w:spacing w:after="0"/>
              <w:rPr>
                <w:sz w:val="20"/>
                <w:szCs w:val="20"/>
                <w:color w:val="auto"/>
              </w:rPr>
            </w:pPr>
            <w:r>
              <w:rPr>
                <w:rFonts w:ascii="Courier New" w:cs="Courier New" w:eastAsia="Courier New" w:hAnsi="Courier New"/>
                <w:sz w:val="12"/>
                <w:szCs w:val="12"/>
                <w:color w:val="auto"/>
              </w:rPr>
              <w:t>CASH FLOWS FROM INVESTING ACTIVITIES</w:t>
            </w: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Purchase of property and equipment</w:t>
            </w:r>
          </w:p>
        </w:tc>
        <w:tc>
          <w:tcPr>
            <w:tcW w:w="180" w:type="dxa"/>
            <w:vAlign w:val="bottom"/>
          </w:tcPr>
          <w:p>
            <w:pPr>
              <w:spacing w:after="0"/>
              <w:rPr>
                <w:sz w:val="11"/>
                <w:szCs w:val="11"/>
                <w:color w:val="auto"/>
              </w:rPr>
            </w:pPr>
          </w:p>
        </w:tc>
        <w:tc>
          <w:tcPr>
            <w:tcW w:w="5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(75)</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(41)</w:t>
            </w: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used in investing activities</w:t>
            </w:r>
          </w:p>
        </w:tc>
        <w:tc>
          <w:tcPr>
            <w:tcW w:w="180" w:type="dxa"/>
            <w:vAlign w:val="bottom"/>
          </w:tcPr>
          <w:p>
            <w:pPr>
              <w:spacing w:after="0"/>
              <w:rPr>
                <w:sz w:val="11"/>
                <w:szCs w:val="11"/>
                <w:color w:val="auto"/>
              </w:rPr>
            </w:pPr>
          </w:p>
        </w:tc>
        <w:tc>
          <w:tcPr>
            <w:tcW w:w="5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(75)</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(41)</w:t>
            </w:r>
          </w:p>
        </w:tc>
      </w:tr>
      <w:tr>
        <w:trPr>
          <w:trHeight w:val="137"/>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5120" w:type="dxa"/>
            <w:vAlign w:val="bottom"/>
          </w:tcPr>
          <w:p>
            <w:pPr>
              <w:spacing w:after="0"/>
              <w:rPr>
                <w:sz w:val="20"/>
                <w:szCs w:val="20"/>
                <w:color w:val="auto"/>
              </w:rPr>
            </w:pPr>
            <w:r>
              <w:rPr>
                <w:rFonts w:ascii="Courier New" w:cs="Courier New" w:eastAsia="Courier New" w:hAnsi="Courier New"/>
                <w:sz w:val="12"/>
                <w:szCs w:val="12"/>
                <w:color w:val="auto"/>
              </w:rPr>
              <w:t>CASH FLOWS FROM FINANCING ACTIVITIES</w:t>
            </w: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Repayment of capital lease obligations</w:t>
            </w:r>
          </w:p>
        </w:tc>
        <w:tc>
          <w:tcPr>
            <w:tcW w:w="180" w:type="dxa"/>
            <w:vAlign w:val="bottom"/>
          </w:tcPr>
          <w:p>
            <w:pPr>
              <w:spacing w:after="0"/>
              <w:rPr>
                <w:sz w:val="11"/>
                <w:szCs w:val="11"/>
                <w:color w:val="auto"/>
              </w:rPr>
            </w:pPr>
          </w:p>
        </w:tc>
        <w:tc>
          <w:tcPr>
            <w:tcW w:w="5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(4)</w:t>
            </w: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used in financing activities</w:t>
            </w:r>
          </w:p>
        </w:tc>
        <w:tc>
          <w:tcPr>
            <w:tcW w:w="180" w:type="dxa"/>
            <w:vAlign w:val="bottom"/>
          </w:tcPr>
          <w:p>
            <w:pPr>
              <w:spacing w:after="0"/>
              <w:rPr>
                <w:sz w:val="11"/>
                <w:szCs w:val="11"/>
                <w:color w:val="auto"/>
              </w:rPr>
            </w:pPr>
          </w:p>
        </w:tc>
        <w:tc>
          <w:tcPr>
            <w:tcW w:w="5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(4)</w:t>
            </w: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Effects of exchange rates on cash</w:t>
            </w:r>
          </w:p>
        </w:tc>
        <w:tc>
          <w:tcPr>
            <w:tcW w:w="180" w:type="dxa"/>
            <w:vAlign w:val="bottom"/>
          </w:tcPr>
          <w:p>
            <w:pPr>
              <w:spacing w:after="0"/>
              <w:rPr>
                <w:sz w:val="11"/>
                <w:szCs w:val="11"/>
                <w:color w:val="auto"/>
              </w:rPr>
            </w:pPr>
          </w:p>
        </w:tc>
        <w:tc>
          <w:tcPr>
            <w:tcW w:w="5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(61)</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(183)</w:t>
            </w: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provided by (used in) all activities</w:t>
            </w:r>
          </w:p>
        </w:tc>
        <w:tc>
          <w:tcPr>
            <w:tcW w:w="180" w:type="dxa"/>
            <w:vAlign w:val="bottom"/>
          </w:tcPr>
          <w:p>
            <w:pPr>
              <w:spacing w:after="0"/>
              <w:rPr>
                <w:sz w:val="11"/>
                <w:szCs w:val="11"/>
                <w:color w:val="auto"/>
              </w:rPr>
            </w:pPr>
          </w:p>
        </w:tc>
        <w:tc>
          <w:tcPr>
            <w:tcW w:w="5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487</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w w:val="99"/>
              </w:rPr>
              <w:t>(2,531)</w:t>
            </w: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beginning of period</w:t>
            </w:r>
          </w:p>
        </w:tc>
        <w:tc>
          <w:tcPr>
            <w:tcW w:w="180" w:type="dxa"/>
            <w:vAlign w:val="bottom"/>
          </w:tcPr>
          <w:p>
            <w:pPr>
              <w:spacing w:after="0"/>
              <w:rPr>
                <w:sz w:val="11"/>
                <w:szCs w:val="11"/>
                <w:color w:val="auto"/>
              </w:rPr>
            </w:pPr>
          </w:p>
        </w:tc>
        <w:tc>
          <w:tcPr>
            <w:tcW w:w="5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2,647</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7,137</w:t>
            </w: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end of period</w:t>
            </w: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$ 3,134</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$ 4,606</w:t>
            </w:r>
          </w:p>
        </w:tc>
      </w:tr>
      <w:tr>
        <w:trPr>
          <w:trHeight w:val="137"/>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5120" w:type="dxa"/>
            <w:vAlign w:val="bottom"/>
          </w:tcPr>
          <w:p>
            <w:pPr>
              <w:spacing w:after="0"/>
              <w:rPr>
                <w:sz w:val="20"/>
                <w:szCs w:val="20"/>
                <w:color w:val="auto"/>
              </w:rPr>
            </w:pPr>
            <w:r>
              <w:rPr>
                <w:rFonts w:ascii="Courier New" w:cs="Courier New" w:eastAsia="Courier New" w:hAnsi="Courier New"/>
                <w:sz w:val="12"/>
                <w:szCs w:val="12"/>
                <w:color w:val="auto"/>
              </w:rPr>
              <w:t>SUPPLEMENTAL SCHEDULE OF NON-CASH INVESTING AND FINANCING ACTIVITIES:</w:t>
            </w: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Issuance of non-vested shares of restricted stock</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411</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7"/>
        </w:trPr>
        <w:tc>
          <w:tcPr>
            <w:tcW w:w="5120" w:type="dxa"/>
            <w:vAlign w:val="bottom"/>
          </w:tcPr>
          <w:p>
            <w:pPr>
              <w:spacing w:after="0"/>
              <w:rPr>
                <w:sz w:val="20"/>
                <w:szCs w:val="20"/>
                <w:color w:val="auto"/>
              </w:rPr>
            </w:pPr>
            <w:r>
              <w:rPr>
                <w:rFonts w:ascii="Courier New" w:cs="Courier New" w:eastAsia="Courier New" w:hAnsi="Courier New"/>
                <w:sz w:val="12"/>
                <w:szCs w:val="12"/>
                <w:color w:val="auto"/>
              </w:rPr>
              <w:t>Forfeitures of non-vested shares of restricted stock</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(11)</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(64)</w:t>
            </w:r>
          </w:p>
        </w:tc>
      </w:tr>
      <w:tr>
        <w:trPr>
          <w:trHeight w:val="268"/>
        </w:trPr>
        <w:tc>
          <w:tcPr>
            <w:tcW w:w="5120" w:type="dxa"/>
            <w:vAlign w:val="bottom"/>
          </w:tcPr>
          <w:p>
            <w:pPr>
              <w:spacing w:after="0"/>
              <w:rPr>
                <w:sz w:val="20"/>
                <w:szCs w:val="20"/>
                <w:color w:val="auto"/>
              </w:rPr>
            </w:pPr>
            <w:r>
              <w:rPr>
                <w:rFonts w:ascii="Courier New" w:cs="Courier New" w:eastAsia="Courier New" w:hAnsi="Courier New"/>
                <w:sz w:val="12"/>
                <w:szCs w:val="12"/>
                <w:color w:val="auto"/>
              </w:rPr>
              <w:t>Cash payments (refunds) for:</w:t>
            </w: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Domestic and foreign income taxes</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(6)</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77</w:t>
            </w:r>
          </w:p>
        </w:tc>
      </w:tr>
      <w:tr>
        <w:trPr>
          <w:trHeight w:val="137"/>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Interest</w:t>
            </w:r>
          </w:p>
        </w:tc>
        <w:tc>
          <w:tcPr>
            <w:tcW w:w="180" w:type="dxa"/>
            <w:vAlign w:val="bottom"/>
          </w:tcPr>
          <w:p>
            <w:pPr>
              <w:spacing w:after="0"/>
              <w:rPr>
                <w:sz w:val="11"/>
                <w:szCs w:val="11"/>
                <w:color w:val="auto"/>
              </w:rPr>
            </w:pPr>
          </w:p>
        </w:tc>
        <w:tc>
          <w:tcPr>
            <w:tcW w:w="5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bl>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510667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0667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for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91" w:lineRule="exact"/>
        <w:rPr>
          <w:sz w:val="20"/>
          <w:szCs w:val="20"/>
          <w:color w:val="auto"/>
        </w:rPr>
      </w:pPr>
    </w:p>
    <w:p>
      <w:pPr>
        <w:ind w:left="540" w:right="420"/>
        <w:spacing w:after="0" w:line="332" w:lineRule="auto"/>
        <w:rPr>
          <w:sz w:val="20"/>
          <w:szCs w:val="20"/>
          <w:color w:val="auto"/>
        </w:rPr>
      </w:pPr>
      <w:r>
        <w:rPr>
          <w:rFonts w:ascii="Arial" w:cs="Arial" w:eastAsia="Arial" w:hAnsi="Arial"/>
          <w:sz w:val="16"/>
          <w:szCs w:val="16"/>
          <w:color w:val="auto"/>
        </w:rPr>
        <w:t>We are an independent designer, manufacturer and marketer of mechanical, thermal and electrical products that are primarily used by semiconductor manufacturers in conjunction with automatic test equipment ("ATE") in the testing of integrated circuits ("ICs" or "semiconductors").</w:t>
      </w:r>
    </w:p>
    <w:p>
      <w:pPr>
        <w:spacing w:after="0" w:line="139"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The consolidated entity is comprised of inTEST Corporation (parent) and our wholly-owned subsidiaries. We have three reportable segments which are also our reporting units: Mechanical Products, Thermal Products and Electrical Products. We manufacture our products in the U.S. Marketing and support activities are conducted worldwide from our facilities in the U.S., Germany and Singapore.</w:t>
      </w:r>
    </w:p>
    <w:p>
      <w:pPr>
        <w:spacing w:after="0" w:line="194" w:lineRule="exact"/>
        <w:rPr>
          <w:sz w:val="20"/>
          <w:szCs w:val="20"/>
          <w:color w:val="auto"/>
        </w:rPr>
      </w:pPr>
    </w:p>
    <w:p>
      <w:pPr>
        <w:ind w:left="540" w:right="20"/>
        <w:spacing w:after="0" w:line="289" w:lineRule="auto"/>
        <w:rPr>
          <w:sz w:val="20"/>
          <w:szCs w:val="20"/>
          <w:color w:val="auto"/>
        </w:rPr>
      </w:pPr>
      <w:r>
        <w:rPr>
          <w:rFonts w:ascii="Arial" w:cs="Arial" w:eastAsia="Arial" w:hAnsi="Arial"/>
          <w:sz w:val="16"/>
          <w:szCs w:val="16"/>
          <w:color w:val="auto"/>
        </w:rPr>
        <w:t>On April 14, 2009, we approved reductions in workforce in our Singaporean operation. In connection with this action, we centralized manufacturing of mechanical products in our Cherry Hill, New Jersey operation. During the fourth quarter of 2009, we closed our Japanese operation. Sales of our mechanical products that had been handled through this operation are now handled through our operation in Cherry Hill, New Jersey. Both of these operations were included in our Mechanical Products segment. In addition, during the third quarter of 2009, we approved the relocation of Sigma Systems Corporation ("Sigma") to Sharon, Massachusetts. Sigma now shares a facility with Temptronic Corporation. These two companies, along with an operation in Germany and the remaining sales and support operations of our subsidiary in Singapore, comprise our Thermal Products segment. The relocation of Sigma commenced in mid-December and was completed during the first quarter of 2010. All of these actions, including the costs associated with them, are discussed further in Note 4.</w:t>
      </w:r>
    </w:p>
    <w:p>
      <w:pPr>
        <w:spacing w:after="0" w:line="172"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color w:val="auto"/>
        </w:rPr>
        <w:t>The semiconductor industry in which we operate is characterized by rapid technological change, competitive pricing pressures and cyclical market patterns. This industry is subject to significant economic downturns at various times. Our financial results are affected by a wide variety of factors, including, but not limited to, general economic conditions worldwide or in the markets in which we operate, economic conditions specific to the semiconductor industry, our ability to safeguard patents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industry. As a result of these or other factors, we may experience significant period-to-period fluctuations in future operating results.</w:t>
      </w:r>
    </w:p>
    <w:p>
      <w:pPr>
        <w:spacing w:after="0" w:line="342" w:lineRule="exact"/>
        <w:rPr>
          <w:sz w:val="20"/>
          <w:szCs w:val="20"/>
          <w:color w:val="auto"/>
        </w:rPr>
      </w:pPr>
    </w:p>
    <w:p>
      <w:pPr>
        <w:ind w:left="540" w:right="6520" w:hanging="532"/>
        <w:spacing w:after="0" w:line="541" w:lineRule="auto"/>
        <w:tabs>
          <w:tab w:leader="none" w:pos="292"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u w:val="single" w:color="auto"/>
          <w:color w:val="auto"/>
        </w:rPr>
        <w:t>Basis of Presentation and Use of Estimates</w:t>
      </w:r>
    </w:p>
    <w:p>
      <w:pPr>
        <w:ind w:left="540"/>
        <w:spacing w:after="0" w:line="323" w:lineRule="auto"/>
        <w:rPr>
          <w:sz w:val="20"/>
          <w:szCs w:val="20"/>
          <w:color w:val="auto"/>
        </w:rPr>
      </w:pPr>
      <w:r>
        <w:rPr>
          <w:rFonts w:ascii="Arial" w:cs="Arial" w:eastAsia="Arial" w:hAnsi="Arial"/>
          <w:sz w:val="15"/>
          <w:szCs w:val="15"/>
          <w:color w:val="auto"/>
        </w:rPr>
        <w:t>The accompanying unaudited consolidated financial statements include our accounts and those of our wholly-owned subsidiaries. All significant intercompany accounts and transactions have been eliminated upon consolidation. The preparation of financial statements in conformity with accounting principles generally accepted in the United States of America requires us to make estimates and assumptions that affect the reported amounts of assets and liabilities and disclosure of contingent assets and liabilities at the date of the financial statements and the reported amounts of revenues and expenses</w:t>
      </w:r>
    </w:p>
    <w:p>
      <w:pPr>
        <w:sectPr>
          <w:pgSz w:w="11900" w:h="16838" w:orient="portrait"/>
          <w:cols w:equalWidth="0" w:num="1">
            <w:col w:w="11400"/>
          </w:cols>
          <w:pgMar w:left="240" w:top="132" w:right="259" w:bottom="0" w:gutter="0" w:footer="0" w:header="0"/>
        </w:sectPr>
      </w:pPr>
    </w:p>
    <w:bookmarkStart w:id="5" w:name="page6"/>
    <w:bookmarkEnd w:id="5"/>
    <w:p>
      <w:pPr>
        <w:spacing w:after="0" w:line="61" w:lineRule="exact"/>
        <w:rPr>
          <w:sz w:val="20"/>
          <w:szCs w:val="20"/>
          <w:color w:val="auto"/>
        </w:rPr>
      </w:pPr>
    </w:p>
    <w:p>
      <w:pPr>
        <w:ind w:left="532" w:right="220"/>
        <w:spacing w:after="0" w:line="332" w:lineRule="auto"/>
        <w:rPr>
          <w:sz w:val="20"/>
          <w:szCs w:val="20"/>
          <w:color w:val="auto"/>
        </w:rPr>
      </w:pPr>
      <w:r>
        <w:rPr>
          <w:rFonts w:ascii="Arial" w:cs="Arial" w:eastAsia="Arial" w:hAnsi="Arial"/>
          <w:sz w:val="16"/>
          <w:szCs w:val="16"/>
          <w:color w:val="auto"/>
        </w:rPr>
        <w:t>during the reporting period. Actual results could differ from those estimates. Certain of our accounts, including inventories, long-lived assets, goodwill, identifiable intangibles, deferred income tax valuation allowances and product warranty reserves, are particularly affected by estimates.</w:t>
      </w:r>
    </w:p>
    <w:p>
      <w:pPr>
        <w:spacing w:after="0" w:line="139" w:lineRule="exact"/>
        <w:rPr>
          <w:sz w:val="20"/>
          <w:szCs w:val="20"/>
          <w:color w:val="auto"/>
        </w:rPr>
      </w:pPr>
    </w:p>
    <w:p>
      <w:pPr>
        <w:ind w:left="532"/>
        <w:spacing w:after="0" w:line="294" w:lineRule="auto"/>
        <w:rPr>
          <w:sz w:val="20"/>
          <w:szCs w:val="20"/>
          <w:color w:val="auto"/>
        </w:rPr>
      </w:pPr>
      <w:r>
        <w:rPr>
          <w:rFonts w:ascii="Arial" w:cs="Arial" w:eastAsia="Arial" w:hAnsi="Arial"/>
          <w:sz w:val="16"/>
          <w:szCs w:val="16"/>
          <w:color w:val="auto"/>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Annual Report on Form 10-K for the year ended December 31, 2009 filed with the Securities and Exchange Commission on March 31, 2010 (the "2009 Form 10-K").</w:t>
      </w:r>
    </w:p>
    <w:p>
      <w:pPr>
        <w:spacing w:after="0" w:line="170"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sz w:val="20"/>
          <w:szCs w:val="20"/>
          <w:color w:val="auto"/>
        </w:rPr>
      </w:pPr>
    </w:p>
    <w:p>
      <w:pPr>
        <w:ind w:left="532"/>
        <w:spacing w:after="0"/>
        <w:rPr>
          <w:sz w:val="20"/>
          <w:szCs w:val="20"/>
          <w:color w:val="auto"/>
        </w:rPr>
      </w:pPr>
      <w:r>
        <w:rPr>
          <w:rFonts w:ascii="Arial" w:cs="Arial" w:eastAsia="Arial" w:hAnsi="Arial"/>
          <w:sz w:val="18"/>
          <w:szCs w:val="18"/>
          <w:color w:val="auto"/>
        </w:rPr>
        <w:t>Certain prior year amounts have been reclassified to be comparable with the current year's presentation.</w:t>
      </w:r>
    </w:p>
    <w:p>
      <w:pPr>
        <w:spacing w:after="0" w:line="18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- 6 -</w:t>
      </w:r>
    </w:p>
    <w:p>
      <w:pPr>
        <w:spacing w:after="0" w:line="179"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p>
      <w:pPr>
        <w:ind w:left="292" w:hanging="292"/>
        <w:spacing w:after="0"/>
        <w:tabs>
          <w:tab w:leader="none" w:pos="29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Inventories</w:t>
      </w:r>
    </w:p>
    <w:p>
      <w:pPr>
        <w:spacing w:after="0" w:line="225" w:lineRule="exact"/>
        <w:rPr>
          <w:sz w:val="20"/>
          <w:szCs w:val="20"/>
          <w:color w:val="auto"/>
        </w:rPr>
      </w:pPr>
    </w:p>
    <w:p>
      <w:pPr>
        <w:ind w:left="532" w:right="20"/>
        <w:spacing w:after="0" w:line="289" w:lineRule="auto"/>
        <w:rPr>
          <w:sz w:val="20"/>
          <w:szCs w:val="20"/>
          <w:color w:val="auto"/>
        </w:rPr>
      </w:pPr>
      <w:r>
        <w:rPr>
          <w:rFonts w:ascii="Arial" w:cs="Arial" w:eastAsia="Arial" w:hAnsi="Arial"/>
          <w:sz w:val="16"/>
          <w:szCs w:val="16"/>
          <w:color w:val="auto"/>
        </w:rPr>
        <w:t>Inventory is valued at standard cost, which approximates actual cost computed on a first-in, first-out basis, not in excess of market value. Cash flows from the sale of inventory are recorded in operating 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industry conditions, anticipated product life cycles, new product introductions and expected future use of the inventory. The charges for excess and obsolete inventory we record establish a new cost basis for the related inventory. We incurred excess and obsolete inventory charges of $353 and $635 for the six months ended June 30, 2010 and 2009, respectively.</w:t>
      </w:r>
    </w:p>
    <w:p>
      <w:pPr>
        <w:spacing w:after="0" w:line="172"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sz w:val="20"/>
          <w:szCs w:val="20"/>
          <w:color w:val="auto"/>
        </w:rPr>
      </w:pPr>
    </w:p>
    <w:p>
      <w:pPr>
        <w:ind w:left="532" w:right="80"/>
        <w:spacing w:after="0" w:line="288" w:lineRule="auto"/>
        <w:rPr>
          <w:sz w:val="20"/>
          <w:szCs w:val="20"/>
          <w:color w:val="auto"/>
        </w:rPr>
      </w:pPr>
      <w:r>
        <w:rPr>
          <w:rFonts w:ascii="Arial" w:cs="Arial" w:eastAsia="Arial" w:hAnsi="Arial"/>
          <w:sz w:val="16"/>
          <w:szCs w:val="16"/>
          <w:color w:val="auto"/>
        </w:rPr>
        <w:t>Goodwill is assessed for impairment at least annually in the fourth quarter, on a reporting unit basis, or more frequently when events and circumstances occur indicating that the recorded goodwill may be impaired. The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rates, terminal growth rates, forecasts of revenue and expense growth rates, changes in working capital, depreciation, amortization and capital expenditures. Changes in assumptions concerning future financial results or other underlying assumptions would have a significant impact on either the fair value of the reporting unit or the amount of the goodwill impairment charge.</w:t>
      </w:r>
    </w:p>
    <w:p>
      <w:pPr>
        <w:spacing w:after="0" w:line="174" w:lineRule="exact"/>
        <w:rPr>
          <w:sz w:val="20"/>
          <w:szCs w:val="20"/>
          <w:color w:val="auto"/>
        </w:rPr>
      </w:pPr>
    </w:p>
    <w:p>
      <w:pPr>
        <w:ind w:left="532" w:right="100"/>
        <w:spacing w:after="0" w:line="253" w:lineRule="auto"/>
        <w:rPr>
          <w:sz w:val="20"/>
          <w:szCs w:val="20"/>
          <w:color w:val="auto"/>
        </w:rPr>
      </w:pPr>
      <w:r>
        <w:rPr>
          <w:rFonts w:ascii="Arial" w:cs="Arial" w:eastAsia="Arial" w:hAnsi="Arial"/>
          <w:sz w:val="18"/>
          <w:szCs w:val="18"/>
          <w:color w:val="auto"/>
        </w:rPr>
        <w:t>During the goodwill impairment assessment, we perform a step I test to identify potential impairment, in which the fair value of a reporting unit is compared with its book value. If the book value of a reporting unit exceeds its fair value, a step II test is performed in which the implied fair value of goodwill is compared with the carrying amount of goodwill. If the carrying amount of goodwill exceeds the implied fair value, an impairment loss is recorded in an amount equal to that excess. Indefinite-lived intangible assets are assessed for impairment at least annually in the fourth quarter, or more frequently if events or changes in circumstances indicate that the asset might be impaired. The impairment test consists of a comparison of the fair value of an intangible asset with its carrying amount. If the carrying amount of an intangible asset exceeds its fair value, an impairment loss is recognized in an amount equal to that excess.</w:t>
      </w:r>
    </w:p>
    <w:p>
      <w:pPr>
        <w:spacing w:after="0" w:line="201" w:lineRule="exact"/>
        <w:rPr>
          <w:sz w:val="20"/>
          <w:szCs w:val="20"/>
          <w:color w:val="auto"/>
        </w:rPr>
      </w:pPr>
    </w:p>
    <w:p>
      <w:pPr>
        <w:ind w:left="532" w:right="100"/>
        <w:spacing w:after="0" w:line="294" w:lineRule="auto"/>
        <w:rPr>
          <w:sz w:val="20"/>
          <w:szCs w:val="20"/>
          <w:color w:val="auto"/>
        </w:rPr>
      </w:pPr>
      <w:r>
        <w:rPr>
          <w:rFonts w:ascii="Arial" w:cs="Arial" w:eastAsia="Arial" w:hAnsi="Arial"/>
          <w:sz w:val="16"/>
          <w:szCs w:val="16"/>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70"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ind w:left="532" w:right="240"/>
        <w:spacing w:after="0" w:line="256" w:lineRule="auto"/>
        <w:rPr>
          <w:sz w:val="20"/>
          <w:szCs w:val="20"/>
          <w:color w:val="auto"/>
        </w:rPr>
      </w:pPr>
      <w:r>
        <w:rPr>
          <w:rFonts w:ascii="Arial" w:cs="Arial" w:eastAsia="Arial" w:hAnsi="Arial"/>
          <w:sz w:val="18"/>
          <w:szCs w:val="18"/>
          <w:color w:val="auto"/>
        </w:rPr>
        <w:t>We account for stock-based compensation in accordance with Accounting Standards Codification ("ASC") Topic 718 (Compensation - Stock Compensation) which requires that employee share-based equity awards be accounted for under the fair value method and requires the use of an option pricing model for estimating fair value of stock options granted, which is then amortized to expense over the service periods. See further disclosures related to our stock-based compensation plan in Note 10.</w:t>
      </w:r>
    </w:p>
    <w:p>
      <w:pPr>
        <w:spacing w:after="0" w:line="197"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sz w:val="20"/>
          <w:szCs w:val="20"/>
          <w:color w:val="auto"/>
        </w:rPr>
      </w:pPr>
    </w:p>
    <w:p>
      <w:pPr>
        <w:ind w:left="532" w:right="300"/>
        <w:spacing w:after="0" w:line="268" w:lineRule="auto"/>
        <w:rPr>
          <w:sz w:val="20"/>
          <w:szCs w:val="20"/>
          <w:color w:val="auto"/>
        </w:rPr>
      </w:pPr>
      <w:r>
        <w:rPr>
          <w:rFonts w:ascii="Arial" w:cs="Arial" w:eastAsia="Arial" w:hAnsi="Arial"/>
          <w:sz w:val="18"/>
          <w:szCs w:val="18"/>
          <w:color w:val="auto"/>
        </w:rPr>
        <w:t>We have made an assessment of our operations and determined there were no material subsequent events requiring adjustment to, or disclosure in, our consolidated financial statements for the three and six months ended June 30, 2010.</w:t>
      </w:r>
    </w:p>
    <w:p>
      <w:pPr>
        <w:spacing w:after="0" w:line="36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- 7 -</w:t>
      </w:r>
    </w:p>
    <w:p>
      <w:pPr>
        <w:spacing w:after="0" w:line="200" w:lineRule="exact"/>
        <w:rPr>
          <w:sz w:val="20"/>
          <w:szCs w:val="20"/>
          <w:color w:val="auto"/>
        </w:rPr>
      </w:pPr>
    </w:p>
    <w:p>
      <w:pPr>
        <w:spacing w:after="0" w:line="370"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(Unaudited)</w:t>
      </w:r>
    </w:p>
    <w:p>
      <w:pPr>
        <w:sectPr>
          <w:pgSz w:w="11900" w:h="16900" w:orient="portrait"/>
          <w:cols w:equalWidth="0" w:num="1">
            <w:col w:w="11392"/>
          </w:cols>
          <w:pgMar w:left="248" w:top="131" w:right="259" w:bottom="0" w:gutter="0" w:footer="0" w:header="0"/>
        </w:sectPr>
      </w:pPr>
    </w:p>
    <w:bookmarkStart w:id="6" w:name="page7"/>
    <w:bookmarkEnd w:id="6"/>
    <w:p>
      <w:pPr>
        <w:ind w:left="292" w:hanging="292"/>
        <w:spacing w:after="0"/>
        <w:tabs>
          <w:tab w:leader="none" w:pos="29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left="532" w:right="60"/>
        <w:spacing w:after="0" w:line="290" w:lineRule="auto"/>
        <w:rPr>
          <w:sz w:val="20"/>
          <w:szCs w:val="20"/>
          <w:color w:val="auto"/>
        </w:rPr>
      </w:pPr>
      <w:r>
        <w:rPr>
          <w:rFonts w:ascii="Arial" w:cs="Arial" w:eastAsia="Arial" w:hAnsi="Arial"/>
          <w:sz w:val="16"/>
          <w:szCs w:val="16"/>
          <w:color w:val="auto"/>
        </w:rPr>
        <w:t>We recognize revenue when persuasive evidence of an arrangement exists, delivery has occurred or services have been rendered, the price is fixed or determinable, and collectibility is reasonably assured. Sales of our products are made through our sales employees, third-party sales representatives and distributors. There are no differences in revenue recognition policies based on the sales channel. We do not provide our customers with rights of return or exchanges. Revenue is generally recognized upon product shipment. Our customers' purchase orders do not typically contain any customer-specific acceptance criteria, other than that the product performs within the agreed upon specifications. We test all products manufactured as part of our quality assurance process to determine that they comply with specifications prior to shipment to a customer. To the extent that any customer purchase order contains customer-specific acceptance criteria, revenue recognition is deferred until customer acceptance.</w:t>
      </w:r>
    </w:p>
    <w:p>
      <w:pPr>
        <w:spacing w:after="0" w:line="172" w:lineRule="exact"/>
        <w:rPr>
          <w:sz w:val="20"/>
          <w:szCs w:val="20"/>
          <w:color w:val="auto"/>
        </w:rPr>
      </w:pPr>
    </w:p>
    <w:p>
      <w:pPr>
        <w:ind w:left="532" w:right="260"/>
        <w:spacing w:after="0" w:line="332" w:lineRule="auto"/>
        <w:rPr>
          <w:sz w:val="20"/>
          <w:szCs w:val="20"/>
          <w:color w:val="auto"/>
        </w:rPr>
      </w:pPr>
      <w:r>
        <w:rPr>
          <w:rFonts w:ascii="Arial" w:cs="Arial" w:eastAsia="Arial" w:hAnsi="Arial"/>
          <w:sz w:val="16"/>
          <w:szCs w:val="16"/>
          <w:color w:val="auto"/>
        </w:rPr>
        <w:t>With respect to sales tax collected from customers and remitted to governmental authorities, we use a net presentation in our consolidated statement of operations. As a result, there are no amounts included in either our net revenues or cost of revenues related to sales tax.</w:t>
      </w:r>
    </w:p>
    <w:p>
      <w:pPr>
        <w:spacing w:after="0" w:line="139"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Product Warranties</w:t>
      </w:r>
    </w:p>
    <w:p>
      <w:pPr>
        <w:spacing w:after="0" w:line="225" w:lineRule="exact"/>
        <w:rPr>
          <w:sz w:val="20"/>
          <w:szCs w:val="20"/>
          <w:color w:val="auto"/>
        </w:rPr>
      </w:pPr>
    </w:p>
    <w:p>
      <w:pPr>
        <w:ind w:left="532" w:right="320"/>
        <w:spacing w:after="0" w:line="268" w:lineRule="auto"/>
        <w:rPr>
          <w:sz w:val="20"/>
          <w:szCs w:val="20"/>
          <w:color w:val="auto"/>
        </w:rPr>
      </w:pPr>
      <w:r>
        <w:rPr>
          <w:rFonts w:ascii="Arial" w:cs="Arial" w:eastAsia="Arial" w:hAnsi="Arial"/>
          <w:sz w:val="18"/>
          <w:szCs w:val="18"/>
          <w:color w:val="auto"/>
        </w:rPr>
        <w:t>We generally provide product warranties and record estimated warranty expense at the time of sale based upon historical claims experience. Warranty expense is included in selling expense in the consolidated financial statements.</w:t>
      </w:r>
    </w:p>
    <w:p>
      <w:pPr>
        <w:spacing w:after="0" w:line="186"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Restructuring and Other Charges</w:t>
      </w:r>
    </w:p>
    <w:p>
      <w:pPr>
        <w:spacing w:after="0" w:line="225" w:lineRule="exact"/>
        <w:rPr>
          <w:sz w:val="20"/>
          <w:szCs w:val="20"/>
          <w:color w:val="auto"/>
        </w:rPr>
      </w:pPr>
    </w:p>
    <w:p>
      <w:pPr>
        <w:ind w:left="532" w:right="40"/>
        <w:spacing w:after="0" w:line="288" w:lineRule="auto"/>
        <w:rPr>
          <w:sz w:val="20"/>
          <w:szCs w:val="20"/>
          <w:color w:val="auto"/>
        </w:rPr>
      </w:pPr>
      <w:r>
        <w:rPr>
          <w:rFonts w:ascii="Arial" w:cs="Arial" w:eastAsia="Arial" w:hAnsi="Arial"/>
          <w:sz w:val="16"/>
          <w:szCs w:val="16"/>
          <w:color w:val="auto"/>
        </w:rPr>
        <w:t>We recognize a liability for restructuring costs at fair value only when the liability is incurred. The three main components of our restructuring plans have been related to workforce reductions, the consolidation of excess facilities and asset impairments. Workforce-related charges are accrued when it is determined that a liability has been incurred, which is generally after individuals have been notified of their termination dates and expected severance benefits. Plans to consolidate excess facilities result in charges for lease termination fees and future commitments to pay lease charges, net of estimated future sub-lease income. We recognize these charges when we have vacated the premises. In addition, as a result of plans to consolidate excess facilities, we may incur other associated costs such as charges to relocate inventory, equipment or personnel. We recognize charges for other associated costs when these costs are incurred, which is generally when the goods or services have been provided to us. As sets that may be impaired consist of property, plant and equipment and intangible assets. Asset impairment charges are based on an estimate of the amounts and timing of future cash flows related to the expected future remaining use and ultimate sale or disposal of the asset.</w:t>
      </w:r>
    </w:p>
    <w:p>
      <w:pPr>
        <w:spacing w:after="0" w:line="174"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ind w:left="532" w:right="20"/>
        <w:spacing w:after="0" w:line="291" w:lineRule="auto"/>
        <w:rPr>
          <w:sz w:val="20"/>
          <w:szCs w:val="20"/>
          <w:color w:val="auto"/>
        </w:rPr>
      </w:pPr>
      <w:r>
        <w:rPr>
          <w:rFonts w:ascii="Arial" w:cs="Arial" w:eastAsia="Arial" w:hAnsi="Arial"/>
          <w:sz w:val="16"/>
          <w:szCs w:val="16"/>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periods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74" w:lineRule="exact"/>
        <w:rPr>
          <w:sz w:val="20"/>
          <w:szCs w:val="20"/>
          <w:color w:val="auto"/>
        </w:rPr>
      </w:pPr>
    </w:p>
    <w:p>
      <w:pPr>
        <w:ind w:left="532"/>
        <w:spacing w:after="0" w:line="294" w:lineRule="auto"/>
        <w:rPr>
          <w:sz w:val="20"/>
          <w:szCs w:val="20"/>
          <w:color w:val="auto"/>
        </w:rPr>
      </w:pPr>
      <w:r>
        <w:rPr>
          <w:rFonts w:ascii="Arial" w:cs="Arial" w:eastAsia="Arial" w:hAnsi="Arial"/>
          <w:sz w:val="16"/>
          <w:szCs w:val="16"/>
          <w:color w:val="auto"/>
        </w:rPr>
        <w:t>For the six months ended June 30, 2010 we recorded income tax expense of $1 compared to an income tax benefit of $7 for the same period in 2009. On a quarterly basis, we record income tax expense or benefit based on the expected annualized effective tax rate for the various taxing jurisdictions in which we operate our businesses. Due to our history of operating losses in both our domestic and certain of our foreign operations, we have recorded a full valuation allowance against the deferred tax assets of these operations, including net operating loss carryforwards, where we believe it is more likely than not that we will not have sufficient taxable income to utilize these assets before they expire.</w:t>
      </w:r>
    </w:p>
    <w:p>
      <w:pPr>
        <w:spacing w:after="0" w:line="34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 - 8 -</w:t>
      </w:r>
    </w:p>
    <w:p>
      <w:pPr>
        <w:spacing w:after="0" w:line="200" w:lineRule="exact"/>
        <w:rPr>
          <w:sz w:val="20"/>
          <w:szCs w:val="20"/>
          <w:color w:val="auto"/>
        </w:rPr>
      </w:pPr>
    </w:p>
    <w:p>
      <w:pPr>
        <w:spacing w:after="0" w:line="370" w:lineRule="exact"/>
        <w:rPr>
          <w:sz w:val="20"/>
          <w:szCs w:val="20"/>
          <w:color w:val="auto"/>
        </w:rPr>
      </w:pPr>
    </w:p>
    <w:p>
      <w:pPr>
        <w:jc w:val="center"/>
        <w:ind w:left="54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left="5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(Unaudited)</w:t>
      </w:r>
    </w:p>
    <w:p>
      <w:pPr>
        <w:spacing w:after="0" w:line="388" w:lineRule="exact"/>
        <w:rPr>
          <w:sz w:val="20"/>
          <w:szCs w:val="20"/>
          <w:color w:val="auto"/>
        </w:rPr>
      </w:pPr>
    </w:p>
    <w:p>
      <w:pPr>
        <w:ind w:left="292" w:hanging="292"/>
        <w:spacing w:after="0"/>
        <w:tabs>
          <w:tab w:leader="none" w:pos="29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Net Earnings (Loss) Per Common Share</w:t>
      </w:r>
    </w:p>
    <w:p>
      <w:pPr>
        <w:spacing w:after="0" w:line="225" w:lineRule="exact"/>
        <w:rPr>
          <w:sz w:val="20"/>
          <w:szCs w:val="20"/>
          <w:color w:val="auto"/>
        </w:rPr>
      </w:pPr>
    </w:p>
    <w:p>
      <w:pPr>
        <w:ind w:left="532"/>
        <w:spacing w:after="0" w:line="255" w:lineRule="auto"/>
        <w:rPr>
          <w:sz w:val="20"/>
          <w:szCs w:val="20"/>
          <w:color w:val="auto"/>
        </w:rPr>
      </w:pPr>
      <w:r>
        <w:rPr>
          <w:rFonts w:ascii="Arial" w:cs="Arial" w:eastAsia="Arial" w:hAnsi="Arial"/>
          <w:sz w:val="18"/>
          <w:szCs w:val="18"/>
          <w:color w:val="auto"/>
        </w:rPr>
        <w:t>Net earnings (loss) per common share - basic is computed by dividing net earnings (loss) by the weighted average number of common shares outstanding during each period. Net earnings (loss) per common share - diluted is computed by dividing net earnings (loss) by the weighted average number of common shares and common share equivalents outstanding during each period. Common share equivalents represent stock options and unvested shares of restricted stock and are calculated using the treasury stock method. Common share equivalents are excluded from the calculation if their effect is anti-dilutive.</w:t>
      </w:r>
    </w:p>
    <w:p>
      <w:pPr>
        <w:spacing w:after="0" w:line="197" w:lineRule="exact"/>
        <w:rPr>
          <w:sz w:val="20"/>
          <w:szCs w:val="20"/>
          <w:color w:val="auto"/>
        </w:rPr>
      </w:pPr>
    </w:p>
    <w:p>
      <w:pPr>
        <w:jc w:val="both"/>
        <w:ind w:left="532" w:right="600"/>
        <w:spacing w:after="0" w:line="335" w:lineRule="auto"/>
        <w:rPr>
          <w:sz w:val="20"/>
          <w:szCs w:val="20"/>
          <w:color w:val="auto"/>
        </w:rPr>
      </w:pPr>
      <w:r>
        <w:rPr>
          <w:rFonts w:ascii="Arial" w:cs="Arial" w:eastAsia="Arial" w:hAnsi="Arial"/>
          <w:sz w:val="15"/>
          <w:szCs w:val="15"/>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and their respective weighted average exercise prices that were excluded from the calculation of diluted earnings per share because their effect was anti-dilutive:</w:t>
      </w:r>
    </w:p>
    <w:p>
      <w:pPr>
        <w:spacing w:after="0" w:line="100" w:lineRule="exact"/>
        <w:rPr>
          <w:sz w:val="20"/>
          <w:szCs w:val="20"/>
          <w:color w:val="auto"/>
        </w:rPr>
      </w:pPr>
    </w:p>
    <w:tbl>
      <w:tblPr>
        <w:tblLayout w:type="fixed"/>
        <w:tblInd w:w="552"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2520" w:type="dxa"/>
            <w:vAlign w:val="bottom"/>
            <w:gridSpan w:val="8"/>
          </w:tcPr>
          <w:p>
            <w:pPr>
              <w:jc w:val="center"/>
              <w:ind w:left="702"/>
              <w:spacing w:after="0"/>
              <w:rPr>
                <w:sz w:val="20"/>
                <w:szCs w:val="20"/>
                <w:color w:val="auto"/>
              </w:rPr>
            </w:pPr>
            <w:r>
              <w:rPr>
                <w:rFonts w:ascii="Arial" w:cs="Arial" w:eastAsia="Arial" w:hAnsi="Arial"/>
                <w:sz w:val="14"/>
                <w:szCs w:val="14"/>
                <w:b w:val="1"/>
                <w:bCs w:val="1"/>
                <w:i w:val="1"/>
                <w:iCs w:val="1"/>
                <w:color w:val="auto"/>
                <w:w w:val="85"/>
              </w:rPr>
              <w:t>Three Months Ended</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gridSpan w:val="6"/>
          </w:tcPr>
          <w:p>
            <w:pPr>
              <w:jc w:val="center"/>
              <w:ind w:right="280"/>
              <w:spacing w:after="0"/>
              <w:rPr>
                <w:sz w:val="20"/>
                <w:szCs w:val="20"/>
                <w:color w:val="auto"/>
              </w:rPr>
            </w:pPr>
            <w:r>
              <w:rPr>
                <w:rFonts w:ascii="Arial" w:cs="Arial" w:eastAsia="Arial" w:hAnsi="Arial"/>
                <w:sz w:val="14"/>
                <w:szCs w:val="14"/>
                <w:b w:val="1"/>
                <w:bCs w:val="1"/>
                <w:i w:val="1"/>
                <w:iCs w:val="1"/>
                <w:color w:val="auto"/>
                <w:w w:val="85"/>
              </w:rPr>
              <w:t>Six Months Ended</w:t>
            </w:r>
          </w:p>
        </w:tc>
      </w:tr>
      <w:tr>
        <w:trPr>
          <w:trHeight w:val="146"/>
        </w:trPr>
        <w:tc>
          <w:tcPr>
            <w:tcW w:w="4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jc w:val="center"/>
              <w:ind w:right="260"/>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32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jc w:val="center"/>
              <w:ind w:right="260"/>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280" w:type="dxa"/>
            <w:vAlign w:val="bottom"/>
            <w:gridSpan w:val="2"/>
          </w:tcPr>
          <w:p>
            <w:pPr>
              <w:spacing w:after="0"/>
              <w:rPr>
                <w:sz w:val="12"/>
                <w:szCs w:val="12"/>
                <w:color w:val="auto"/>
              </w:rPr>
            </w:pPr>
          </w:p>
        </w:tc>
      </w:tr>
      <w:tr>
        <w:trPr>
          <w:trHeight w:val="156"/>
        </w:trPr>
        <w:tc>
          <w:tcPr>
            <w:tcW w:w="4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2010</w:t>
            </w:r>
          </w:p>
        </w:tc>
        <w:tc>
          <w:tcPr>
            <w:tcW w:w="340" w:type="dxa"/>
            <w:vAlign w:val="bottom"/>
          </w:tcPr>
          <w:p>
            <w:pPr>
              <w:spacing w:after="0"/>
              <w:rPr>
                <w:sz w:val="13"/>
                <w:szCs w:val="13"/>
                <w:color w:val="auto"/>
              </w:rPr>
            </w:pPr>
          </w:p>
        </w:tc>
        <w:tc>
          <w:tcPr>
            <w:tcW w:w="5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2009</w:t>
            </w:r>
          </w:p>
        </w:tc>
        <w:tc>
          <w:tcPr>
            <w:tcW w:w="300" w:type="dxa"/>
            <w:vAlign w:val="bottom"/>
          </w:tcPr>
          <w:p>
            <w:pPr>
              <w:spacing w:after="0"/>
              <w:rPr>
                <w:sz w:val="13"/>
                <w:szCs w:val="13"/>
                <w:color w:val="auto"/>
              </w:rPr>
            </w:pPr>
          </w:p>
        </w:tc>
        <w:tc>
          <w:tcPr>
            <w:tcW w:w="880" w:type="dxa"/>
            <w:vAlign w:val="bottom"/>
            <w:gridSpan w:val="4"/>
          </w:tcPr>
          <w:p>
            <w:pPr>
              <w:jc w:val="right"/>
              <w:ind w:right="272"/>
              <w:spacing w:after="0" w:line="155" w:lineRule="exact"/>
              <w:rPr>
                <w:sz w:val="20"/>
                <w:szCs w:val="20"/>
                <w:color w:val="auto"/>
              </w:rPr>
            </w:pPr>
            <w:r>
              <w:rPr>
                <w:rFonts w:ascii="Arial" w:cs="Arial" w:eastAsia="Arial" w:hAnsi="Arial"/>
                <w:sz w:val="14"/>
                <w:szCs w:val="14"/>
                <w:b w:val="1"/>
                <w:bCs w:val="1"/>
                <w:i w:val="1"/>
                <w:iCs w:val="1"/>
                <w:color w:val="auto"/>
              </w:rPr>
              <w:t>2010</w:t>
            </w:r>
          </w:p>
        </w:tc>
        <w:tc>
          <w:tcPr>
            <w:tcW w:w="5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2009</w:t>
            </w:r>
          </w:p>
        </w:tc>
        <w:tc>
          <w:tcPr>
            <w:tcW w:w="260" w:type="dxa"/>
            <w:vAlign w:val="bottom"/>
          </w:tcPr>
          <w:p>
            <w:pPr>
              <w:spacing w:after="0"/>
              <w:rPr>
                <w:sz w:val="13"/>
                <w:szCs w:val="13"/>
                <w:color w:val="auto"/>
              </w:rPr>
            </w:pPr>
          </w:p>
        </w:tc>
      </w:tr>
      <w:tr>
        <w:trPr>
          <w:trHeight w:val="20"/>
        </w:trPr>
        <w:tc>
          <w:tcPr>
            <w:tcW w:w="4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5"/>
        </w:trPr>
        <w:tc>
          <w:tcPr>
            <w:tcW w:w="464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1720" w:type="dxa"/>
            <w:vAlign w:val="bottom"/>
            <w:gridSpan w:val="4"/>
          </w:tcPr>
          <w:p>
            <w:pPr>
              <w:jc w:val="right"/>
              <w:spacing w:after="0"/>
              <w:rPr>
                <w:sz w:val="20"/>
                <w:szCs w:val="20"/>
                <w:color w:val="auto"/>
              </w:rPr>
            </w:pPr>
            <w:r>
              <w:rPr>
                <w:rFonts w:ascii="Arial" w:cs="Arial" w:eastAsia="Arial" w:hAnsi="Arial"/>
                <w:sz w:val="18"/>
                <w:szCs w:val="18"/>
                <w:color w:val="auto"/>
              </w:rPr>
              <w:t>10,006,956</w:t>
            </w:r>
          </w:p>
        </w:tc>
        <w:tc>
          <w:tcPr>
            <w:tcW w:w="1680" w:type="dxa"/>
            <w:vAlign w:val="bottom"/>
            <w:gridSpan w:val="8"/>
          </w:tcPr>
          <w:p>
            <w:pPr>
              <w:jc w:val="right"/>
              <w:ind w:right="12"/>
              <w:spacing w:after="0"/>
              <w:rPr>
                <w:sz w:val="20"/>
                <w:szCs w:val="20"/>
                <w:color w:val="auto"/>
              </w:rPr>
            </w:pPr>
            <w:r>
              <w:rPr>
                <w:rFonts w:ascii="Arial" w:cs="Arial" w:eastAsia="Arial" w:hAnsi="Arial"/>
                <w:sz w:val="18"/>
                <w:szCs w:val="18"/>
                <w:color w:val="auto"/>
                <w:w w:val="90"/>
              </w:rPr>
              <w:t>9,973,225 10,000,061</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w w:val="92"/>
              </w:rPr>
              <w:t>9,965,152</w:t>
            </w:r>
          </w:p>
        </w:tc>
      </w:tr>
    </w:tbl>
    <w:p>
      <w:pPr>
        <w:spacing w:after="0" w:line="237" w:lineRule="exact"/>
        <w:rPr>
          <w:sz w:val="20"/>
          <w:szCs w:val="20"/>
          <w:color w:val="auto"/>
        </w:rPr>
      </w:pPr>
    </w:p>
    <w:p>
      <w:pPr>
        <w:ind w:left="552"/>
        <w:spacing w:after="0"/>
        <w:rPr>
          <w:sz w:val="20"/>
          <w:szCs w:val="20"/>
          <w:color w:val="auto"/>
        </w:rPr>
      </w:pPr>
      <w:r>
        <w:rPr>
          <w:rFonts w:ascii="Arial" w:cs="Arial" w:eastAsia="Arial" w:hAnsi="Arial"/>
          <w:sz w:val="18"/>
          <w:szCs w:val="18"/>
          <w:color w:val="auto"/>
        </w:rPr>
        <w:t>Potentially dilutive securities:</w:t>
      </w:r>
    </w:p>
    <w:p>
      <w:pPr>
        <w:sectPr>
          <w:pgSz w:w="11900" w:h="16838" w:orient="portrait"/>
          <w:cols w:equalWidth="0" w:num="1">
            <w:col w:w="11372"/>
          </w:cols>
          <w:pgMar w:left="248" w:top="341" w:right="279" w:bottom="0" w:gutter="0" w:footer="0" w:header="0"/>
        </w:sectPr>
      </w:pPr>
    </w:p>
    <w:bookmarkStart w:id="7" w:name="page8"/>
    <w:bookmarkEnd w:id="7"/>
    <w:tbl>
      <w:tblPr>
        <w:tblLayout w:type="fixed"/>
        <w:tblInd w:w="560" w:type="dxa"/>
        <w:tblCellMar>
          <w:top w:w="0" w:type="dxa"/>
          <w:left w:w="0" w:type="dxa"/>
          <w:bottom w:w="0" w:type="dxa"/>
          <w:right w:w="0" w:type="dxa"/>
        </w:tblCellMar>
      </w:tblPr>
      <w:tr>
        <w:trPr>
          <w:trHeight w:val="207"/>
        </w:trPr>
        <w:tc>
          <w:tcPr>
            <w:tcW w:w="5460" w:type="dxa"/>
            <w:vAlign w:val="bottom"/>
          </w:tcPr>
          <w:p>
            <w:pPr>
              <w:ind w:left="220"/>
              <w:spacing w:after="0"/>
              <w:rPr>
                <w:sz w:val="20"/>
                <w:szCs w:val="20"/>
                <w:color w:val="auto"/>
              </w:rPr>
            </w:pPr>
            <w:r>
              <w:rPr>
                <w:rFonts w:ascii="Arial" w:cs="Arial" w:eastAsia="Arial" w:hAnsi="Arial"/>
                <w:sz w:val="18"/>
                <w:szCs w:val="18"/>
                <w:color w:val="auto"/>
              </w:rPr>
              <w:t>Employee stock options and unvested shares of restricted stock</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179,408</w:t>
            </w:r>
          </w:p>
        </w:tc>
        <w:tc>
          <w:tcPr>
            <w:tcW w:w="160" w:type="dxa"/>
            <w:vAlign w:val="bottom"/>
            <w:gridSpan w:val="2"/>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93,085</w:t>
            </w:r>
          </w:p>
        </w:tc>
        <w:tc>
          <w:tcPr>
            <w:tcW w:w="180" w:type="dxa"/>
            <w:vAlign w:val="bottom"/>
            <w:gridSpan w:val="2"/>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439"/>
        </w:trPr>
        <w:tc>
          <w:tcPr>
            <w:tcW w:w="5460" w:type="dxa"/>
            <w:vAlign w:val="bottom"/>
          </w:tcPr>
          <w:p>
            <w:pPr>
              <w:spacing w:after="0"/>
              <w:rPr>
                <w:sz w:val="20"/>
                <w:szCs w:val="20"/>
                <w:color w:val="auto"/>
              </w:rPr>
            </w:pPr>
            <w:r>
              <w:rPr>
                <w:rFonts w:ascii="Arial" w:cs="Arial" w:eastAsia="Arial" w:hAnsi="Arial"/>
                <w:sz w:val="18"/>
                <w:szCs w:val="18"/>
                <w:color w:val="auto"/>
              </w:rPr>
              <w:t>Weighted average common shares outstanding - diluted</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0"/>
              </w:rPr>
              <w:t>10,186,364</w:t>
            </w: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9,973,225</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10,093,146</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9,965,152</w:t>
            </w:r>
          </w:p>
        </w:tc>
      </w:tr>
      <w:tr>
        <w:trPr>
          <w:trHeight w:val="931"/>
        </w:trPr>
        <w:tc>
          <w:tcPr>
            <w:tcW w:w="5460" w:type="dxa"/>
            <w:vAlign w:val="bottom"/>
          </w:tcPr>
          <w:p>
            <w:pPr>
              <w:spacing w:after="0"/>
              <w:rPr>
                <w:sz w:val="20"/>
                <w:szCs w:val="20"/>
                <w:color w:val="auto"/>
              </w:rPr>
            </w:pPr>
            <w:r>
              <w:rPr>
                <w:rFonts w:ascii="Arial" w:cs="Arial" w:eastAsia="Arial" w:hAnsi="Arial"/>
                <w:sz w:val="18"/>
                <w:szCs w:val="18"/>
                <w:color w:val="auto"/>
              </w:rPr>
              <w:t>Average number of potentially dilutive securities excluded</w:t>
            </w:r>
          </w:p>
        </w:tc>
        <w:tc>
          <w:tcPr>
            <w:tcW w:w="4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r>
      <w:tr>
        <w:trPr>
          <w:trHeight w:val="222"/>
        </w:trPr>
        <w:tc>
          <w:tcPr>
            <w:tcW w:w="5460" w:type="dxa"/>
            <w:vAlign w:val="bottom"/>
          </w:tcPr>
          <w:p>
            <w:pPr>
              <w:ind w:left="140"/>
              <w:spacing w:after="0"/>
              <w:rPr>
                <w:sz w:val="20"/>
                <w:szCs w:val="20"/>
                <w:color w:val="auto"/>
              </w:rPr>
            </w:pPr>
            <w:r>
              <w:rPr>
                <w:rFonts w:ascii="Arial" w:cs="Arial" w:eastAsia="Arial" w:hAnsi="Arial"/>
                <w:sz w:val="18"/>
                <w:szCs w:val="18"/>
                <w:color w:val="auto"/>
              </w:rPr>
              <w:t>from calculation</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149,083</w:t>
            </w: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504,749</w:t>
            </w:r>
          </w:p>
        </w:tc>
        <w:tc>
          <w:tcPr>
            <w:tcW w:w="780" w:type="dxa"/>
            <w:vAlign w:val="bottom"/>
          </w:tcPr>
          <w:p>
            <w:pPr>
              <w:jc w:val="right"/>
              <w:spacing w:after="0"/>
              <w:rPr>
                <w:sz w:val="20"/>
                <w:szCs w:val="20"/>
                <w:color w:val="auto"/>
              </w:rPr>
            </w:pPr>
            <w:r>
              <w:rPr>
                <w:rFonts w:ascii="Arial" w:cs="Arial" w:eastAsia="Arial" w:hAnsi="Arial"/>
                <w:sz w:val="18"/>
                <w:szCs w:val="18"/>
                <w:color w:val="auto"/>
              </w:rPr>
              <w:t>305,823</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517,842</w:t>
            </w:r>
          </w:p>
        </w:tc>
      </w:tr>
      <w:tr>
        <w:trPr>
          <w:trHeight w:val="459"/>
        </w:trPr>
        <w:tc>
          <w:tcPr>
            <w:tcW w:w="5460" w:type="dxa"/>
            <w:vAlign w:val="bottom"/>
          </w:tcPr>
          <w:p>
            <w:pPr>
              <w:spacing w:after="0"/>
              <w:rPr>
                <w:sz w:val="20"/>
                <w:szCs w:val="20"/>
                <w:color w:val="auto"/>
              </w:rPr>
            </w:pPr>
            <w:r>
              <w:rPr>
                <w:rFonts w:ascii="Arial" w:cs="Arial" w:eastAsia="Arial" w:hAnsi="Arial"/>
                <w:sz w:val="18"/>
                <w:szCs w:val="18"/>
                <w:color w:val="auto"/>
              </w:rPr>
              <w:t>Weighted average exercise price of excluded securities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$4.07</w:t>
            </w: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$3.57</w:t>
            </w:r>
          </w:p>
        </w:tc>
        <w:tc>
          <w:tcPr>
            <w:tcW w:w="780" w:type="dxa"/>
            <w:vAlign w:val="bottom"/>
          </w:tcPr>
          <w:p>
            <w:pPr>
              <w:jc w:val="right"/>
              <w:spacing w:after="0"/>
              <w:rPr>
                <w:sz w:val="20"/>
                <w:szCs w:val="20"/>
                <w:color w:val="auto"/>
              </w:rPr>
            </w:pPr>
            <w:r>
              <w:rPr>
                <w:rFonts w:ascii="Arial" w:cs="Arial" w:eastAsia="Arial" w:hAnsi="Arial"/>
                <w:sz w:val="18"/>
                <w:szCs w:val="18"/>
                <w:color w:val="auto"/>
              </w:rPr>
              <w:t>$3.67</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$3.58</w:t>
            </w:r>
          </w:p>
        </w:tc>
      </w:tr>
    </w:tbl>
    <w:p>
      <w:pPr>
        <w:spacing w:after="0" w:line="200" w:lineRule="exact"/>
        <w:rPr>
          <w:sz w:val="20"/>
          <w:szCs w:val="20"/>
          <w:color w:val="auto"/>
        </w:rPr>
      </w:pPr>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New Accounting Standards</w:t>
      </w:r>
    </w:p>
    <w:p>
      <w:pPr>
        <w:spacing w:after="0" w:line="225" w:lineRule="exact"/>
        <w:rPr>
          <w:sz w:val="20"/>
          <w:szCs w:val="20"/>
          <w:color w:val="auto"/>
        </w:rPr>
      </w:pPr>
    </w:p>
    <w:p>
      <w:pPr>
        <w:ind w:left="540" w:right="40"/>
        <w:spacing w:after="0" w:line="289" w:lineRule="auto"/>
        <w:rPr>
          <w:sz w:val="20"/>
          <w:szCs w:val="20"/>
          <w:color w:val="auto"/>
        </w:rPr>
      </w:pPr>
      <w:r>
        <w:rPr>
          <w:rFonts w:ascii="Arial" w:cs="Arial" w:eastAsia="Arial" w:hAnsi="Arial"/>
          <w:sz w:val="16"/>
          <w:szCs w:val="16"/>
          <w:color w:val="auto"/>
        </w:rPr>
        <w:t xml:space="preserve">In January 2010, the Financial Accounting Standards Board ("FASB") issued Accounting Standards Update ("ASU") No. 2010-06,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Measurements and Disclosures (Topic 820): Improving Disclosures about Fair Value Measurements </w:t>
      </w:r>
      <w:r>
        <w:rPr>
          <w:rFonts w:ascii="Arial" w:cs="Arial" w:eastAsia="Arial" w:hAnsi="Arial"/>
          <w:sz w:val="16"/>
          <w:szCs w:val="16"/>
          <w:color w:val="auto"/>
        </w:rPr>
        <w:t>("ASU 2010-06"), which amends the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with respect to fair value measurements. Specifically, the new guidance requires disclosure of amounts transferred in and out of Levels 1 and 2 fair value measurements, a reconciliation presented on a gross basis rather than a net basis of activity in Level 3 fair value measurements, greater disaggregation of the assets and liabilities for which fair value measurements are presented and more robust disclosure of the valuation techniques and inputs used to measure Level 2 and 3 fair value measurements. ASU 2010-06 is effective for interim and annual reporting periods beginning after December 15, 2009, with the exception of the new guidance around the Level 3 activity reconciliations, which is effective for fi scal years beginning after December 15, 2010. The adoption of ASU 2010-06 for reporting as of March 31, 2010 did not have any impact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191" w:lineRule="exact"/>
        <w:rPr>
          <w:sz w:val="20"/>
          <w:szCs w:val="20"/>
          <w:color w:val="auto"/>
        </w:rPr>
      </w:pPr>
    </w:p>
    <w:p>
      <w:pPr>
        <w:ind w:left="540" w:right="80"/>
        <w:spacing w:after="0" w:line="259" w:lineRule="auto"/>
        <w:rPr>
          <w:sz w:val="20"/>
          <w:szCs w:val="20"/>
          <w:color w:val="auto"/>
        </w:rPr>
      </w:pPr>
      <w:r>
        <w:rPr>
          <w:rFonts w:ascii="Arial" w:cs="Arial" w:eastAsia="Arial" w:hAnsi="Arial"/>
          <w:sz w:val="18"/>
          <w:szCs w:val="18"/>
          <w:color w:val="auto"/>
        </w:rPr>
        <w:t>At each of June 30, 2010 and December 31, 2009, our goodwill totaled $1,656 and our indefinite-lived intangible asset totaled $510. The goodwill and indefinite-lived intangible asset are both a result of our acquisition of Sigma in October 2008 and are allocated to our Thermal Products reporting unit, as discussed in Note 3 to the consolidated financial statements in our 2009 Form 10-K.</w:t>
      </w:r>
    </w:p>
    <w:p>
      <w:pPr>
        <w:spacing w:after="0" w:line="194" w:lineRule="exact"/>
        <w:rPr>
          <w:sz w:val="20"/>
          <w:szCs w:val="20"/>
          <w:color w:val="auto"/>
        </w:rPr>
      </w:pPr>
    </w:p>
    <w:p>
      <w:pPr>
        <w:ind w:left="540" w:right="40"/>
        <w:spacing w:after="0" w:line="291" w:lineRule="auto"/>
        <w:rPr>
          <w:sz w:val="20"/>
          <w:szCs w:val="20"/>
          <w:color w:val="auto"/>
        </w:rPr>
      </w:pPr>
      <w:r>
        <w:rPr>
          <w:rFonts w:ascii="Arial" w:cs="Arial" w:eastAsia="Arial" w:hAnsi="Arial"/>
          <w:sz w:val="16"/>
          <w:szCs w:val="16"/>
          <w:color w:val="auto"/>
        </w:rPr>
        <w:t>As of June 30, 2010 and December 31, 2009, we had finite-lived intangible assets which totaled $634 and $701, net of accumulated amortization of $236 and $169, respectively. At June 30, 2010 and December 31, 2009, we had three finite-lived intangible assets which consisted of customer relationships, software and patents held by Sigma at the time of our acquisition of this operation in October 2008, as discussed further in Note 3 to the consolidated financial statements in our 2009 Form 10-K. These intangible assets are being amortized on a straight-line basis over estimated useful lives of 72 months, 120 months and 60 months, respectively. As of June 30, 2010, these assets had remaining estimated useful lives of 51 months, 99 months, and 39 months, respectively. These intangible assets are allocated to our Thermal Products segment.</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- 9 -</w:t>
      </w:r>
    </w:p>
    <w:p>
      <w:pPr>
        <w:spacing w:after="0" w:line="179"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(Unaudited)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GOODWILL AND INTANGIBLE ASSETS </w:t>
      </w:r>
      <w:r>
        <w:rPr>
          <w:rFonts w:ascii="Arial" w:cs="Arial" w:eastAsia="Arial" w:hAnsi="Arial"/>
          <w:sz w:val="18"/>
          <w:szCs w:val="18"/>
          <w:color w:val="auto"/>
        </w:rPr>
        <w:t>(Continued)</w:t>
      </w:r>
    </w:p>
    <w:p>
      <w:pPr>
        <w:spacing w:after="0" w:line="19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following table sets forth changes in the amount of the carrying value of finite-lived intangible assets for the six months ended June 30, 2010:</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Balance - January 1, 2010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79"/>
              </w:rPr>
              <w:t>$701</w:t>
            </w:r>
          </w:p>
        </w:tc>
        <w:tc>
          <w:tcPr>
            <w:tcW w:w="40" w:type="dxa"/>
            <w:vAlign w:val="bottom"/>
          </w:tcPr>
          <w:p>
            <w:pPr>
              <w:spacing w:after="0"/>
              <w:rPr>
                <w:sz w:val="19"/>
                <w:szCs w:val="19"/>
                <w:color w:val="auto"/>
              </w:rPr>
            </w:pPr>
          </w:p>
        </w:tc>
      </w:tr>
      <w:tr>
        <w:trPr>
          <w:trHeight w:val="421"/>
        </w:trPr>
        <w:tc>
          <w:tcPr>
            <w:tcW w:w="3640" w:type="dxa"/>
            <w:vAlign w:val="bottom"/>
          </w:tcPr>
          <w:p>
            <w:pPr>
              <w:spacing w:after="0"/>
              <w:rPr>
                <w:sz w:val="20"/>
                <w:szCs w:val="20"/>
                <w:color w:val="auto"/>
              </w:rPr>
            </w:pPr>
            <w:r>
              <w:rPr>
                <w:rFonts w:ascii="Arial" w:cs="Arial" w:eastAsia="Arial" w:hAnsi="Arial"/>
                <w:sz w:val="18"/>
                <w:szCs w:val="18"/>
                <w:color w:val="auto"/>
              </w:rPr>
              <w:t>Amortization</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3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3640" w:type="dxa"/>
            <w:vAlign w:val="bottom"/>
          </w:tcPr>
          <w:p>
            <w:pPr>
              <w:spacing w:after="0"/>
              <w:rPr>
                <w:sz w:val="20"/>
                <w:szCs w:val="20"/>
                <w:color w:val="auto"/>
              </w:rPr>
            </w:pPr>
            <w:r>
              <w:rPr>
                <w:rFonts w:ascii="Arial" w:cs="Arial" w:eastAsia="Arial" w:hAnsi="Arial"/>
                <w:sz w:val="18"/>
                <w:szCs w:val="18"/>
                <w:color w:val="auto"/>
              </w:rPr>
              <w:t>Balance - June 30, 2010</w:t>
            </w: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634</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sets forth the estimated annual amortization expense for our finite-lived intangible assets for each of the next five years:</w:t>
      </w:r>
    </w:p>
    <w:p>
      <w:pPr>
        <w:spacing w:after="0" w:line="262"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2020" w:type="dxa"/>
            <w:vAlign w:val="bottom"/>
          </w:tcPr>
          <w:p>
            <w:pPr>
              <w:jc w:val="right"/>
              <w:ind w:right="1572"/>
              <w:spacing w:after="0"/>
              <w:rPr>
                <w:sz w:val="20"/>
                <w:szCs w:val="20"/>
                <w:color w:val="auto"/>
              </w:rPr>
            </w:pPr>
            <w:r>
              <w:rPr>
                <w:rFonts w:ascii="Arial" w:cs="Arial" w:eastAsia="Arial" w:hAnsi="Arial"/>
                <w:sz w:val="18"/>
                <w:szCs w:val="18"/>
                <w:color w:val="auto"/>
                <w:w w:val="84"/>
              </w:rPr>
              <w:t>2010</w:t>
            </w:r>
          </w:p>
        </w:tc>
        <w:tc>
          <w:tcPr>
            <w:tcW w:w="200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459"/>
        </w:trPr>
        <w:tc>
          <w:tcPr>
            <w:tcW w:w="2020" w:type="dxa"/>
            <w:vAlign w:val="bottom"/>
          </w:tcPr>
          <w:p>
            <w:pPr>
              <w:jc w:val="right"/>
              <w:ind w:right="1592"/>
              <w:spacing w:after="0"/>
              <w:rPr>
                <w:sz w:val="20"/>
                <w:szCs w:val="20"/>
                <w:color w:val="auto"/>
              </w:rPr>
            </w:pPr>
            <w:r>
              <w:rPr>
                <w:rFonts w:ascii="Arial" w:cs="Arial" w:eastAsia="Arial" w:hAnsi="Arial"/>
                <w:sz w:val="18"/>
                <w:szCs w:val="18"/>
                <w:color w:val="auto"/>
                <w:w w:val="79"/>
              </w:rPr>
              <w:t>2011</w:t>
            </w:r>
          </w:p>
        </w:tc>
        <w:tc>
          <w:tcPr>
            <w:tcW w:w="200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459"/>
        </w:trPr>
        <w:tc>
          <w:tcPr>
            <w:tcW w:w="2020" w:type="dxa"/>
            <w:vAlign w:val="bottom"/>
          </w:tcPr>
          <w:p>
            <w:pPr>
              <w:jc w:val="right"/>
              <w:ind w:right="1572"/>
              <w:spacing w:after="0"/>
              <w:rPr>
                <w:sz w:val="20"/>
                <w:szCs w:val="20"/>
                <w:color w:val="auto"/>
              </w:rPr>
            </w:pPr>
            <w:r>
              <w:rPr>
                <w:rFonts w:ascii="Arial" w:cs="Arial" w:eastAsia="Arial" w:hAnsi="Arial"/>
                <w:sz w:val="18"/>
                <w:szCs w:val="18"/>
                <w:color w:val="auto"/>
                <w:w w:val="84"/>
              </w:rPr>
              <w:t>2012</w:t>
            </w:r>
          </w:p>
        </w:tc>
        <w:tc>
          <w:tcPr>
            <w:tcW w:w="200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459"/>
        </w:trPr>
        <w:tc>
          <w:tcPr>
            <w:tcW w:w="2020" w:type="dxa"/>
            <w:vAlign w:val="bottom"/>
          </w:tcPr>
          <w:p>
            <w:pPr>
              <w:jc w:val="right"/>
              <w:ind w:right="1572"/>
              <w:spacing w:after="0"/>
              <w:rPr>
                <w:sz w:val="20"/>
                <w:szCs w:val="20"/>
                <w:color w:val="auto"/>
              </w:rPr>
            </w:pPr>
            <w:r>
              <w:rPr>
                <w:rFonts w:ascii="Arial" w:cs="Arial" w:eastAsia="Arial" w:hAnsi="Arial"/>
                <w:sz w:val="18"/>
                <w:szCs w:val="18"/>
                <w:color w:val="auto"/>
                <w:w w:val="84"/>
              </w:rPr>
              <w:t>2013</w:t>
            </w:r>
          </w:p>
        </w:tc>
        <w:tc>
          <w:tcPr>
            <w:tcW w:w="20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459"/>
        </w:trPr>
        <w:tc>
          <w:tcPr>
            <w:tcW w:w="2020" w:type="dxa"/>
            <w:vAlign w:val="bottom"/>
          </w:tcPr>
          <w:p>
            <w:pPr>
              <w:jc w:val="right"/>
              <w:ind w:right="1572"/>
              <w:spacing w:after="0"/>
              <w:rPr>
                <w:sz w:val="20"/>
                <w:szCs w:val="20"/>
                <w:color w:val="auto"/>
              </w:rPr>
            </w:pPr>
            <w:r>
              <w:rPr>
                <w:rFonts w:ascii="Arial" w:cs="Arial" w:eastAsia="Arial" w:hAnsi="Arial"/>
                <w:sz w:val="18"/>
                <w:szCs w:val="18"/>
                <w:color w:val="auto"/>
                <w:w w:val="84"/>
              </w:rPr>
              <w:t>2014</w:t>
            </w:r>
          </w:p>
        </w:tc>
        <w:tc>
          <w:tcPr>
            <w:tcW w:w="2000" w:type="dxa"/>
            <w:vAlign w:val="bottom"/>
          </w:tcPr>
          <w:p>
            <w:pPr>
              <w:jc w:val="right"/>
              <w:spacing w:after="0"/>
              <w:rPr>
                <w:sz w:val="20"/>
                <w:szCs w:val="20"/>
                <w:color w:val="auto"/>
              </w:rPr>
            </w:pPr>
            <w:r>
              <w:rPr>
                <w:rFonts w:ascii="Arial" w:cs="Arial" w:eastAsia="Arial" w:hAnsi="Arial"/>
                <w:sz w:val="18"/>
                <w:szCs w:val="18"/>
                <w:color w:val="auto"/>
              </w:rPr>
              <w:t>$ 73</w:t>
            </w: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RESTRUCTURING AND OTHER CHARGES</w:t>
      </w:r>
    </w:p>
    <w:p>
      <w:pPr>
        <w:spacing w:after="0" w:line="191"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In response to the significant decline in our orders and net revenues during 2008 and 2009, we took actions to reduce our cost structure. The actions taken in 2009 are discussed below. Actions taken in 2008 are discussed in Note 5 to the consolidated financial statements in our 2009 Form 10-K. The review of our operations is on-going. We continue to explore methods to further reduce our costs and we will likely incur additional restructuring charges in future periods; however, we cannot predict the amount of such charges at this time.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We consider some of the actions we took to be temporary in nature, such as certain salary and benefits reductions for current employees. At the time we</w:t>
      </w:r>
    </w:p>
    <w:p>
      <w:pPr>
        <w:sectPr>
          <w:pgSz w:w="11900" w:h="16838" w:orient="portrait"/>
          <w:cols w:equalWidth="0" w:num="1">
            <w:col w:w="11400"/>
          </w:cols>
          <w:pgMar w:left="240" w:top="135" w:right="259" w:bottom="0" w:gutter="0" w:footer="0" w:header="0"/>
        </w:sectPr>
      </w:pPr>
    </w:p>
    <w:bookmarkStart w:id="8" w:name="page9"/>
    <w:bookmarkEnd w:id="8"/>
    <w:p>
      <w:pPr>
        <w:ind w:left="540"/>
        <w:spacing w:after="0" w:line="291" w:lineRule="auto"/>
        <w:rPr>
          <w:sz w:val="20"/>
          <w:szCs w:val="20"/>
          <w:color w:val="auto"/>
        </w:rPr>
      </w:pPr>
      <w:r>
        <w:rPr>
          <w:rFonts w:ascii="Arial" w:cs="Arial" w:eastAsia="Arial" w:hAnsi="Arial"/>
          <w:sz w:val="16"/>
          <w:szCs w:val="16"/>
          <w:color w:val="auto"/>
        </w:rPr>
        <w:t>took these temporary actions, it was generally our intent to restore all or a portion of the reduced salary and benefits in future periods when our results of operations and our cash flows improved sufficiently so as to allow us to do so. Any such restoration would impact the ultimate level of savings which will result from our restructuring actions. Effective January 1, 2010, we restored all of the temporary salary reductions we implemented in 2008 and 2009 for our domestic employees, with the exception of the salary of our Executive Chairman, which was restored to approximately 65% of its full reinstated level, reflecting a voluntary continued 35% reduction in his salary. Effective April 1, 2010, we restored the 401(k) Plan discretionary matching contribution for all domestic employees which had been eliminated for most of these employees at the beginning o f 2009.</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2009 Restructuring Actions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Thermal Products Segment</w:t>
      </w:r>
    </w:p>
    <w:p>
      <w:pPr>
        <w:spacing w:after="0" w:line="15" w:lineRule="exact"/>
        <w:rPr>
          <w:sz w:val="20"/>
          <w:szCs w:val="20"/>
          <w:color w:val="auto"/>
        </w:rPr>
      </w:pPr>
    </w:p>
    <w:p>
      <w:pPr>
        <w:ind w:left="540" w:right="40"/>
        <w:spacing w:after="0" w:line="287" w:lineRule="auto"/>
        <w:rPr>
          <w:sz w:val="20"/>
          <w:szCs w:val="20"/>
          <w:color w:val="auto"/>
        </w:rPr>
      </w:pPr>
      <w:r>
        <w:rPr>
          <w:rFonts w:ascii="Arial" w:cs="Arial" w:eastAsia="Arial" w:hAnsi="Arial"/>
          <w:sz w:val="16"/>
          <w:szCs w:val="16"/>
          <w:color w:val="auto"/>
        </w:rPr>
        <w:t>During 2009, we approved three separate workforce reductions in our Thermal Products segment. On January 15, 2009, we approved a reduction of five employees, representing approximately 6% of the total employees in this segment and on February 19, 2009, we approved a reduction in workforce of six employees, representing approximately 8% of the total employees in this segment (collectively the "Q1 2009 TP Workforce Reduction"). We completed the communications of these actions to our employees on January 22, 2009 and February 19, 2009, respectively. We incurred $60 in total costs related to these actions for one-time termination benefits. These costs were incurred in the first quarter of 2009. On April 8, 2009, we approved a reduction of 11 employees, representing approximately 15% of the total employees in this segment (the "Q2 2009 TP Workforce Reduction"). We completed the communication of this action to our employees on April 15, 2009. We incurred approximately $62 in total costs related to these ac tions for one-time termination benefits. These costs were incurred in the second quarter of 2009. These actions were taken to reduce the operating expenses of this segment in response to current business conditions.</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- 10 -</w:t>
      </w:r>
    </w:p>
    <w:p>
      <w:pPr>
        <w:spacing w:after="0" w:line="200" w:lineRule="exact"/>
        <w:rPr>
          <w:sz w:val="20"/>
          <w:szCs w:val="20"/>
          <w:color w:val="auto"/>
        </w:rPr>
      </w:pPr>
    </w:p>
    <w:p>
      <w:pPr>
        <w:spacing w:after="0" w:line="370"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(Unaudited)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RESTRUCTURING AND OTHER CHARGES </w:t>
      </w:r>
      <w:r>
        <w:rPr>
          <w:rFonts w:ascii="Arial" w:cs="Arial" w:eastAsia="Arial" w:hAnsi="Arial"/>
          <w:sz w:val="18"/>
          <w:szCs w:val="18"/>
          <w:color w:val="auto"/>
        </w:rPr>
        <w:t>(Continued)</w:t>
      </w:r>
    </w:p>
    <w:p>
      <w:pPr>
        <w:spacing w:after="0" w:line="191" w:lineRule="exact"/>
        <w:rPr>
          <w:sz w:val="20"/>
          <w:szCs w:val="20"/>
          <w:color w:val="auto"/>
        </w:rPr>
      </w:pPr>
    </w:p>
    <w:p>
      <w:pPr>
        <w:ind w:left="540" w:right="20"/>
        <w:spacing w:after="0" w:line="288" w:lineRule="auto"/>
        <w:rPr>
          <w:sz w:val="20"/>
          <w:szCs w:val="20"/>
          <w:color w:val="auto"/>
        </w:rPr>
      </w:pPr>
      <w:r>
        <w:rPr>
          <w:rFonts w:ascii="Arial" w:cs="Arial" w:eastAsia="Arial" w:hAnsi="Arial"/>
          <w:sz w:val="16"/>
          <w:szCs w:val="16"/>
          <w:color w:val="auto"/>
        </w:rPr>
        <w:t>In September 2009, we approved the relocation of Sigma from El Cajon, California to Sharon, Massachusetts (the "Sigma Relocation") where Temptronic Corporation's manufacturing operations are located. As a result of the relocation, Sigma now shares a facility with Temptronic (both of these operations are part of our Thermal Products segment). On September 30, 2009, we announced this relocation to the Sigma employees. In connection with the facility closure in El Cajon, we terminated 18 Sigma employees, representing approximately 32% of the employees in this segment, and incurred approximately $115 in one-time termination benefits related to this action during the fourth quarter of 2009. We completed the facility closure in El Cajon during the fourth quarter of 2009 and completed the relocation of the product line to our facility in Sharon during the first quarter of 2010. During the fourth quarter of 2009, we incurred approximately $195 of facility closure costs related to this action. These costs included lease termination fees of approximately $62 and other costs associated with this consolidation of facilities, including the cost to relocate inventory, equipment and personnel, of approximately $133. This action was taken to reduce the operating expenses of this segment in response to current business conditions.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Mechanical Products Segment</w:t>
      </w:r>
    </w:p>
    <w:p>
      <w:pPr>
        <w:spacing w:after="0" w:line="15" w:lineRule="exact"/>
        <w:rPr>
          <w:sz w:val="20"/>
          <w:szCs w:val="20"/>
          <w:color w:val="auto"/>
        </w:rPr>
      </w:pPr>
    </w:p>
    <w:p>
      <w:pPr>
        <w:ind w:left="540" w:right="140"/>
        <w:spacing w:after="0" w:line="302" w:lineRule="auto"/>
        <w:rPr>
          <w:sz w:val="20"/>
          <w:szCs w:val="20"/>
          <w:color w:val="auto"/>
        </w:rPr>
      </w:pPr>
      <w:r>
        <w:rPr>
          <w:rFonts w:ascii="Arial" w:cs="Arial" w:eastAsia="Arial" w:hAnsi="Arial"/>
          <w:sz w:val="16"/>
          <w:szCs w:val="16"/>
          <w:color w:val="auto"/>
        </w:rPr>
        <w:t>On April 8, 2009, we approved a reduction in workforce in our Mechanical Products segment of 13 employees which represented approximately 20% of the employees in this segment. We incurred approximately $71 in total costs related to this action for one-time termination benefits. These costs were incurred in the second quarter of 2009. We completed the communication of this action to our employees on April 15, 2009.</w:t>
      </w:r>
    </w:p>
    <w:p>
      <w:pPr>
        <w:spacing w:after="0" w:line="163" w:lineRule="exact"/>
        <w:rPr>
          <w:sz w:val="20"/>
          <w:szCs w:val="20"/>
          <w:color w:val="auto"/>
        </w:rPr>
      </w:pPr>
    </w:p>
    <w:p>
      <w:pPr>
        <w:jc w:val="both"/>
        <w:ind w:left="540" w:right="100"/>
        <w:spacing w:after="0" w:line="294" w:lineRule="auto"/>
        <w:rPr>
          <w:sz w:val="20"/>
          <w:szCs w:val="20"/>
          <w:color w:val="auto"/>
        </w:rPr>
      </w:pPr>
      <w:r>
        <w:rPr>
          <w:rFonts w:ascii="Arial" w:cs="Arial" w:eastAsia="Arial" w:hAnsi="Arial"/>
          <w:sz w:val="16"/>
          <w:szCs w:val="16"/>
          <w:color w:val="auto"/>
        </w:rPr>
        <w:t>Also on April 8, 2009, we approved the closure of our Japanese operation, which was part of our Mechanical Products segment. The four full-time and one part-time employees were notified of this planned closure on April 24, 2009. Three full-time employees were terminated on May 31, 2009. The two remaining employees were terminated during the fourth quarter of 2009. No one-time termination benefits were paid to these employees when they were terminated. During the third quarter of 2009, we recorded facility closure costs of $27 for our Japanese operation. We vacated our Japanese facility at the end of the third quarter of 2009. We completed the closure of this operation during the fourth quarter of 2009.</w:t>
      </w:r>
    </w:p>
    <w:p>
      <w:pPr>
        <w:spacing w:after="0" w:line="170" w:lineRule="exact"/>
        <w:rPr>
          <w:sz w:val="20"/>
          <w:szCs w:val="20"/>
          <w:color w:val="auto"/>
        </w:rPr>
      </w:pPr>
    </w:p>
    <w:p>
      <w:pPr>
        <w:ind w:left="540" w:right="200"/>
        <w:spacing w:after="0" w:line="294" w:lineRule="auto"/>
        <w:rPr>
          <w:sz w:val="20"/>
          <w:szCs w:val="20"/>
          <w:color w:val="auto"/>
        </w:rPr>
      </w:pPr>
      <w:r>
        <w:rPr>
          <w:rFonts w:ascii="Arial" w:cs="Arial" w:eastAsia="Arial" w:hAnsi="Arial"/>
          <w:sz w:val="16"/>
          <w:szCs w:val="16"/>
          <w:color w:val="auto"/>
        </w:rPr>
        <w:t>On April 14, 2009, we approved reductions in workforce in our Singaporean operation, which was also part of our Mechanical Products segment at that time, of eight employees and notified these employees of their planned termination on April 20, 2009. We terminated four employees on May 15, 2009, one employee on May 31, 2009, and three employees on June 30, 2009. We incurred approximately $51 in total costs related to this action for one-time termination benefits. We incurred these costs during the second quarter of 2009. In connection with this action, we centralized manufacturing of all mechanical products in our Cherry Hill, New Jersey operation.</w:t>
      </w:r>
    </w:p>
    <w:p>
      <w:pPr>
        <w:spacing w:after="0" w:line="170" w:lineRule="exact"/>
        <w:rPr>
          <w:sz w:val="20"/>
          <w:szCs w:val="20"/>
          <w:color w:val="auto"/>
        </w:rPr>
      </w:pPr>
    </w:p>
    <w:p>
      <w:pPr>
        <w:ind w:left="540" w:right="580"/>
        <w:spacing w:after="0" w:line="268" w:lineRule="auto"/>
        <w:rPr>
          <w:sz w:val="20"/>
          <w:szCs w:val="20"/>
          <w:color w:val="auto"/>
        </w:rPr>
      </w:pPr>
      <w:r>
        <w:rPr>
          <w:rFonts w:ascii="Arial" w:cs="Arial" w:eastAsia="Arial" w:hAnsi="Arial"/>
          <w:sz w:val="18"/>
          <w:szCs w:val="18"/>
          <w:color w:val="auto"/>
        </w:rPr>
        <w:t>The reductions in force noted above for our Japanese and Singaporean operations totaled 13 employees, representing 26% of the employees in our Mechanical Products segment.</w:t>
      </w:r>
    </w:p>
    <w:p>
      <w:pPr>
        <w:spacing w:after="0" w:line="186" w:lineRule="exact"/>
        <w:rPr>
          <w:sz w:val="20"/>
          <w:szCs w:val="20"/>
          <w:color w:val="auto"/>
        </w:rPr>
      </w:pPr>
    </w:p>
    <w:p>
      <w:pPr>
        <w:ind w:left="540" w:right="460"/>
        <w:spacing w:after="0" w:line="268" w:lineRule="auto"/>
        <w:rPr>
          <w:sz w:val="20"/>
          <w:szCs w:val="20"/>
          <w:color w:val="auto"/>
        </w:rPr>
      </w:pPr>
      <w:r>
        <w:rPr>
          <w:rFonts w:ascii="Arial" w:cs="Arial" w:eastAsia="Arial" w:hAnsi="Arial"/>
          <w:sz w:val="18"/>
          <w:szCs w:val="18"/>
          <w:color w:val="auto"/>
        </w:rPr>
        <w:t>All of the actions discussed above (collectively, the "Q2 2009 MP Plan") were taken to reduce the operating expenses of this segment in response to current business conditions.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Electrical Products Segment</w:t>
      </w:r>
    </w:p>
    <w:p>
      <w:pPr>
        <w:spacing w:after="0" w:line="15" w:lineRule="exact"/>
        <w:rPr>
          <w:sz w:val="20"/>
          <w:szCs w:val="20"/>
          <w:color w:val="auto"/>
        </w:rPr>
      </w:pPr>
    </w:p>
    <w:p>
      <w:pPr>
        <w:ind w:left="540" w:right="100"/>
        <w:spacing w:after="0" w:line="295" w:lineRule="auto"/>
        <w:rPr>
          <w:sz w:val="20"/>
          <w:szCs w:val="20"/>
          <w:color w:val="auto"/>
        </w:rPr>
      </w:pPr>
      <w:r>
        <w:rPr>
          <w:rFonts w:ascii="Arial" w:cs="Arial" w:eastAsia="Arial" w:hAnsi="Arial"/>
          <w:sz w:val="16"/>
          <w:szCs w:val="16"/>
          <w:color w:val="auto"/>
        </w:rPr>
        <w:t>On April 27, 2009, we approved workforce reductions in our Electrical Products segment (the "Q2 2009 EP Workforce Reduction"). On April 30, 2009, we terminated 10 employees and an additional staff person was terminated on May 15, 2009, which represented 61% of the employees in this segment. We incurred approximately $77 in total costs related to these actions for one-time termination benefits. We incurred these costs during the second quarter of 2009. These actions were taken to reduce the operating expenses of this segment in response to current business conditions.</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Corporate Segment</w:t>
      </w:r>
    </w:p>
    <w:p>
      <w:pPr>
        <w:spacing w:after="0" w:line="15" w:lineRule="exact"/>
        <w:rPr>
          <w:sz w:val="20"/>
          <w:szCs w:val="20"/>
          <w:color w:val="auto"/>
        </w:rPr>
      </w:pPr>
    </w:p>
    <w:p>
      <w:pPr>
        <w:ind w:left="540" w:right="240"/>
        <w:spacing w:after="0" w:line="292" w:lineRule="auto"/>
        <w:rPr>
          <w:sz w:val="20"/>
          <w:szCs w:val="20"/>
          <w:color w:val="auto"/>
        </w:rPr>
      </w:pPr>
      <w:r>
        <w:rPr>
          <w:rFonts w:ascii="Arial" w:cs="Arial" w:eastAsia="Arial" w:hAnsi="Arial"/>
          <w:sz w:val="16"/>
          <w:szCs w:val="16"/>
          <w:color w:val="auto"/>
        </w:rPr>
        <w:t>On April 8, 2009, we approved a reduction in workforce in our Corporate segment of one employee which represented approximately 20% of the employees in this segment (the "Q2 2009 Corporate Workforce Reduction"). We incurred approximately $6 in total costs related to this action for one-time termination benefits. These costs were incurred in the second quarter of 2009. We also approved a reduction in the base salary of our Executive Chairman of approximately $152. We completed the communications of these actions to our employees on April 15, 2009. These actions were taken to reduce the operating expenses of this segment in response to current business conditions.</w:t>
      </w:r>
    </w:p>
    <w:p>
      <w:pPr>
        <w:sectPr>
          <w:pgSz w:w="11900" w:h="16838" w:orient="portrait"/>
          <w:cols w:equalWidth="0" w:num="1">
            <w:col w:w="11400"/>
          </w:cols>
          <w:pgMar w:left="240" w:top="131" w:right="259" w:bottom="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color w:val="auto"/>
        </w:rPr>
        <w:t>- - 11 -</w:t>
      </w:r>
    </w:p>
    <w:p>
      <w:pPr>
        <w:spacing w:after="0" w:line="395" w:lineRule="exact"/>
        <w:rPr>
          <w:sz w:val="20"/>
          <w:szCs w:val="20"/>
          <w:color w:val="auto"/>
        </w:rPr>
      </w:pPr>
    </w:p>
    <w:p>
      <w:pPr>
        <w:jc w:val="center"/>
        <w:ind w:left="54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left="5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(Unaudited)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RESTRUCTURING AND OTHER CHARGES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restructuring costs for the six months ended June 30, 2010 are summarized as follows:</w:t>
      </w:r>
    </w:p>
    <w:p>
      <w:pPr>
        <w:spacing w:after="0" w:line="183"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640" w:type="dxa"/>
            <w:vAlign w:val="bottom"/>
            <w:gridSpan w:val="5"/>
          </w:tcPr>
          <w:p>
            <w:pPr>
              <w:jc w:val="center"/>
              <w:ind w:right="40"/>
              <w:spacing w:after="0"/>
              <w:rPr>
                <w:sz w:val="20"/>
                <w:szCs w:val="20"/>
                <w:color w:val="auto"/>
              </w:rPr>
            </w:pPr>
            <w:r>
              <w:rPr>
                <w:rFonts w:ascii="Arial" w:cs="Arial" w:eastAsia="Arial" w:hAnsi="Arial"/>
                <w:sz w:val="14"/>
                <w:szCs w:val="14"/>
                <w:b w:val="1"/>
                <w:bCs w:val="1"/>
                <w:i w:val="1"/>
                <w:iCs w:val="1"/>
                <w:color w:val="auto"/>
                <w:w w:val="85"/>
              </w:rPr>
              <w:t>Sigma</w:t>
            </w:r>
          </w:p>
        </w:tc>
      </w:tr>
      <w:tr>
        <w:trPr>
          <w:trHeight w:val="146"/>
        </w:trPr>
        <w:tc>
          <w:tcPr>
            <w:tcW w:w="4520" w:type="dxa"/>
            <w:vAlign w:val="bottom"/>
          </w:tcPr>
          <w:p>
            <w:pPr>
              <w:spacing w:after="0"/>
              <w:rPr>
                <w:sz w:val="12"/>
                <w:szCs w:val="12"/>
                <w:color w:val="auto"/>
              </w:rPr>
            </w:pPr>
          </w:p>
        </w:tc>
        <w:tc>
          <w:tcPr>
            <w:tcW w:w="640" w:type="dxa"/>
            <w:vAlign w:val="bottom"/>
            <w:gridSpan w:val="5"/>
          </w:tcPr>
          <w:p>
            <w:pPr>
              <w:jc w:val="center"/>
              <w:ind w:right="40"/>
              <w:spacing w:after="0" w:line="146" w:lineRule="exact"/>
              <w:rPr>
                <w:sz w:val="20"/>
                <w:szCs w:val="20"/>
                <w:color w:val="auto"/>
              </w:rPr>
            </w:pPr>
            <w:r>
              <w:rPr>
                <w:rFonts w:ascii="Arial" w:cs="Arial" w:eastAsia="Arial" w:hAnsi="Arial"/>
                <w:sz w:val="14"/>
                <w:szCs w:val="14"/>
                <w:b w:val="1"/>
                <w:bCs w:val="1"/>
                <w:i w:val="1"/>
                <w:iCs w:val="1"/>
                <w:color w:val="auto"/>
                <w:w w:val="83"/>
              </w:rPr>
              <w:t>Relocation</w:t>
            </w:r>
          </w:p>
        </w:tc>
      </w:tr>
      <w:tr>
        <w:trPr>
          <w:trHeight w:val="235"/>
        </w:trPr>
        <w:tc>
          <w:tcPr>
            <w:tcW w:w="4520" w:type="dxa"/>
            <w:vAlign w:val="bottom"/>
          </w:tcPr>
          <w:p>
            <w:pPr>
              <w:spacing w:after="0"/>
              <w:rPr>
                <w:sz w:val="20"/>
                <w:szCs w:val="20"/>
                <w:color w:val="auto"/>
              </w:rPr>
            </w:pPr>
            <w:r>
              <w:rPr>
                <w:rFonts w:ascii="Arial" w:cs="Arial" w:eastAsia="Arial" w:hAnsi="Arial"/>
                <w:sz w:val="18"/>
                <w:szCs w:val="18"/>
                <w:color w:val="auto"/>
              </w:rPr>
              <w:t>Balance - January 1, 2010</w:t>
            </w:r>
          </w:p>
        </w:tc>
        <w:tc>
          <w:tcPr>
            <w:tcW w:w="6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$130</w:t>
            </w:r>
          </w:p>
        </w:tc>
        <w:tc>
          <w:tcPr>
            <w:tcW w:w="40" w:type="dxa"/>
            <w:vAlign w:val="bottom"/>
          </w:tcPr>
          <w:p>
            <w:pPr>
              <w:spacing w:after="0"/>
              <w:rPr>
                <w:sz w:val="20"/>
                <w:szCs w:val="20"/>
                <w:color w:val="auto"/>
              </w:rPr>
            </w:pPr>
          </w:p>
        </w:tc>
      </w:tr>
      <w:tr>
        <w:trPr>
          <w:trHeight w:val="453"/>
        </w:trPr>
        <w:tc>
          <w:tcPr>
            <w:tcW w:w="4520" w:type="dxa"/>
            <w:vAlign w:val="bottom"/>
          </w:tcPr>
          <w:p>
            <w:pPr>
              <w:spacing w:after="0"/>
              <w:rPr>
                <w:sz w:val="20"/>
                <w:szCs w:val="20"/>
                <w:color w:val="auto"/>
              </w:rPr>
            </w:pPr>
            <w:r>
              <w:rPr>
                <w:rFonts w:ascii="Arial" w:cs="Arial" w:eastAsia="Arial" w:hAnsi="Arial"/>
                <w:sz w:val="18"/>
                <w:szCs w:val="18"/>
                <w:color w:val="auto"/>
              </w:rPr>
              <w:t>Accruals for one-time termination benefits and facility</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4520" w:type="dxa"/>
            <w:vAlign w:val="bottom"/>
          </w:tcPr>
          <w:p>
            <w:pPr>
              <w:ind w:left="80"/>
              <w:spacing w:after="0"/>
              <w:rPr>
                <w:sz w:val="20"/>
                <w:szCs w:val="20"/>
                <w:color w:val="auto"/>
              </w:rPr>
            </w:pPr>
            <w:r>
              <w:rPr>
                <w:rFonts w:ascii="Arial" w:cs="Arial" w:eastAsia="Arial" w:hAnsi="Arial"/>
                <w:sz w:val="18"/>
                <w:szCs w:val="18"/>
                <w:color w:val="auto"/>
              </w:rPr>
              <w:t>closure costs</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19"/>
                <w:szCs w:val="19"/>
                <w:color w:val="auto"/>
              </w:rPr>
            </w:pPr>
          </w:p>
        </w:tc>
      </w:tr>
      <w:tr>
        <w:trPr>
          <w:trHeight w:val="453"/>
        </w:trPr>
        <w:tc>
          <w:tcPr>
            <w:tcW w:w="4520" w:type="dxa"/>
            <w:vAlign w:val="bottom"/>
          </w:tcPr>
          <w:p>
            <w:pPr>
              <w:spacing w:after="0"/>
              <w:rPr>
                <w:sz w:val="20"/>
                <w:szCs w:val="20"/>
                <w:color w:val="auto"/>
              </w:rPr>
            </w:pPr>
            <w:r>
              <w:rPr>
                <w:rFonts w:ascii="Arial" w:cs="Arial" w:eastAsia="Arial" w:hAnsi="Arial"/>
                <w:sz w:val="18"/>
                <w:szCs w:val="18"/>
                <w:color w:val="auto"/>
              </w:rPr>
              <w:t>Severance and other cash payments related to one-time</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4"/>
        </w:trPr>
        <w:tc>
          <w:tcPr>
            <w:tcW w:w="4520" w:type="dxa"/>
            <w:vAlign w:val="bottom"/>
          </w:tcPr>
          <w:p>
            <w:pPr>
              <w:ind w:left="80"/>
              <w:spacing w:after="0" w:line="184" w:lineRule="exact"/>
              <w:rPr>
                <w:sz w:val="20"/>
                <w:szCs w:val="20"/>
                <w:color w:val="auto"/>
              </w:rPr>
            </w:pPr>
            <w:r>
              <w:rPr>
                <w:rFonts w:ascii="Arial" w:cs="Arial" w:eastAsia="Arial" w:hAnsi="Arial"/>
                <w:sz w:val="18"/>
                <w:szCs w:val="18"/>
                <w:color w:val="auto"/>
              </w:rPr>
              <w:t>termination benefits and facility closure costs</w:t>
            </w:r>
          </w:p>
        </w:tc>
        <w:tc>
          <w:tcPr>
            <w:tcW w:w="640" w:type="dxa"/>
            <w:vAlign w:val="bottom"/>
            <w:gridSpan w:val="5"/>
          </w:tcPr>
          <w:p>
            <w:pPr>
              <w:jc w:val="right"/>
              <w:spacing w:after="0" w:line="184" w:lineRule="exact"/>
              <w:rPr>
                <w:sz w:val="20"/>
                <w:szCs w:val="20"/>
                <w:color w:val="auto"/>
              </w:rPr>
            </w:pPr>
            <w:r>
              <w:rPr>
                <w:rFonts w:ascii="Arial" w:cs="Arial" w:eastAsia="Arial" w:hAnsi="Arial"/>
                <w:sz w:val="18"/>
                <w:szCs w:val="18"/>
                <w:color w:val="auto"/>
              </w:rPr>
              <w:t>(130)</w:t>
            </w:r>
          </w:p>
        </w:tc>
      </w:tr>
      <w:tr>
        <w:trPr>
          <w:trHeight w:val="20"/>
        </w:trPr>
        <w:tc>
          <w:tcPr>
            <w:tcW w:w="4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4520" w:type="dxa"/>
            <w:vAlign w:val="bottom"/>
          </w:tcPr>
          <w:p>
            <w:pPr>
              <w:spacing w:after="0"/>
              <w:rPr>
                <w:sz w:val="20"/>
                <w:szCs w:val="20"/>
                <w:color w:val="auto"/>
              </w:rPr>
            </w:pPr>
            <w:r>
              <w:rPr>
                <w:rFonts w:ascii="Arial" w:cs="Arial" w:eastAsia="Arial" w:hAnsi="Arial"/>
                <w:sz w:val="18"/>
                <w:szCs w:val="18"/>
                <w:color w:val="auto"/>
              </w:rPr>
              <w:t>Balance - June 30, 2010</w:t>
            </w:r>
          </w:p>
        </w:tc>
        <w:tc>
          <w:tcPr>
            <w:tcW w:w="220" w:type="dxa"/>
            <w:vAlign w:val="bottom"/>
          </w:tcPr>
          <w:p>
            <w:pPr>
              <w:spacing w:after="0"/>
              <w:rPr>
                <w:sz w:val="24"/>
                <w:szCs w:val="24"/>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restructuring costs for the six months ended June 30, 2009 are summarized as follows:</w:t>
      </w:r>
    </w:p>
    <w:p>
      <w:pPr>
        <w:spacing w:after="0" w:line="22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620" w:type="dxa"/>
            <w:vAlign w:val="bottom"/>
            <w:gridSpan w:val="5"/>
          </w:tcPr>
          <w:p>
            <w:pPr>
              <w:jc w:val="center"/>
              <w:spacing w:after="0"/>
              <w:rPr>
                <w:sz w:val="20"/>
                <w:szCs w:val="20"/>
                <w:color w:val="auto"/>
              </w:rPr>
            </w:pPr>
            <w:r>
              <w:rPr>
                <w:rFonts w:ascii="Arial" w:cs="Arial" w:eastAsia="Arial" w:hAnsi="Arial"/>
                <w:sz w:val="14"/>
                <w:szCs w:val="14"/>
                <w:b w:val="1"/>
                <w:bCs w:val="1"/>
                <w:i w:val="1"/>
                <w:iCs w:val="1"/>
                <w:color w:val="auto"/>
                <w:w w:val="89"/>
              </w:rPr>
              <w:t>Q3 2008</w:t>
            </w:r>
          </w:p>
        </w:tc>
        <w:tc>
          <w:tcPr>
            <w:tcW w:w="300" w:type="dxa"/>
            <w:vAlign w:val="bottom"/>
          </w:tcPr>
          <w:p>
            <w:pPr>
              <w:spacing w:after="0"/>
              <w:rPr>
                <w:sz w:val="14"/>
                <w:szCs w:val="14"/>
                <w:color w:val="auto"/>
              </w:rPr>
            </w:pPr>
          </w:p>
        </w:tc>
        <w:tc>
          <w:tcPr>
            <w:tcW w:w="420" w:type="dxa"/>
            <w:vAlign w:val="bottom"/>
            <w:gridSpan w:val="5"/>
          </w:tcPr>
          <w:p>
            <w:pPr>
              <w:jc w:val="center"/>
              <w:ind w:right="40"/>
              <w:spacing w:after="0"/>
              <w:rPr>
                <w:sz w:val="20"/>
                <w:szCs w:val="20"/>
                <w:color w:val="auto"/>
              </w:rPr>
            </w:pPr>
            <w:r>
              <w:rPr>
                <w:rFonts w:ascii="Arial" w:cs="Arial" w:eastAsia="Arial" w:hAnsi="Arial"/>
                <w:sz w:val="14"/>
                <w:szCs w:val="14"/>
                <w:b w:val="1"/>
                <w:bCs w:val="1"/>
                <w:i w:val="1"/>
                <w:iCs w:val="1"/>
                <w:color w:val="auto"/>
                <w:w w:val="70"/>
              </w:rPr>
              <w:t>Q4 2008</w:t>
            </w:r>
          </w:p>
        </w:tc>
        <w:tc>
          <w:tcPr>
            <w:tcW w:w="20" w:type="dxa"/>
            <w:vAlign w:val="bottom"/>
          </w:tcPr>
          <w:p>
            <w:pPr>
              <w:spacing w:after="0"/>
              <w:rPr>
                <w:sz w:val="14"/>
                <w:szCs w:val="14"/>
                <w:color w:val="auto"/>
              </w:rPr>
            </w:pPr>
          </w:p>
        </w:tc>
        <w:tc>
          <w:tcPr>
            <w:tcW w:w="800" w:type="dxa"/>
            <w:vAlign w:val="bottom"/>
            <w:gridSpan w:val="5"/>
          </w:tcPr>
          <w:p>
            <w:pPr>
              <w:jc w:val="center"/>
              <w:ind w:left="32"/>
              <w:spacing w:after="0"/>
              <w:rPr>
                <w:sz w:val="20"/>
                <w:szCs w:val="20"/>
                <w:color w:val="auto"/>
              </w:rPr>
            </w:pPr>
            <w:r>
              <w:rPr>
                <w:rFonts w:ascii="Arial" w:cs="Arial" w:eastAsia="Arial" w:hAnsi="Arial"/>
                <w:sz w:val="14"/>
                <w:szCs w:val="14"/>
                <w:b w:val="1"/>
                <w:bCs w:val="1"/>
                <w:i w:val="1"/>
                <w:iCs w:val="1"/>
                <w:color w:val="auto"/>
                <w:w w:val="85"/>
              </w:rPr>
              <w:t>Q3 2008</w:t>
            </w:r>
          </w:p>
        </w:tc>
        <w:tc>
          <w:tcPr>
            <w:tcW w:w="940" w:type="dxa"/>
            <w:vAlign w:val="bottom"/>
            <w:gridSpan w:val="8"/>
          </w:tcPr>
          <w:p>
            <w:pPr>
              <w:jc w:val="center"/>
              <w:ind w:right="100"/>
              <w:spacing w:after="0"/>
              <w:rPr>
                <w:sz w:val="20"/>
                <w:szCs w:val="20"/>
                <w:color w:val="auto"/>
              </w:rPr>
            </w:pPr>
            <w:r>
              <w:rPr>
                <w:rFonts w:ascii="Arial" w:cs="Arial" w:eastAsia="Arial" w:hAnsi="Arial"/>
                <w:sz w:val="14"/>
                <w:szCs w:val="14"/>
                <w:b w:val="1"/>
                <w:bCs w:val="1"/>
                <w:i w:val="1"/>
                <w:iCs w:val="1"/>
                <w:color w:val="auto"/>
                <w:w w:val="89"/>
              </w:rPr>
              <w:t>Q4 2008</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95"/>
              </w:rPr>
              <w:t>MP</w:t>
            </w:r>
          </w:p>
        </w:tc>
        <w:tc>
          <w:tcPr>
            <w:tcW w:w="300" w:type="dxa"/>
            <w:vAlign w:val="bottom"/>
          </w:tcPr>
          <w:p>
            <w:pPr>
              <w:spacing w:after="0"/>
              <w:rPr>
                <w:sz w:val="12"/>
                <w:szCs w:val="12"/>
                <w:color w:val="auto"/>
              </w:rPr>
            </w:pPr>
          </w:p>
        </w:tc>
        <w:tc>
          <w:tcPr>
            <w:tcW w:w="42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rPr>
              <w:t>MP</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i w:val="1"/>
                <w:iCs w:val="1"/>
                <w:color w:val="auto"/>
                <w:w w:val="74"/>
              </w:rPr>
              <w:t>EP</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i w:val="1"/>
                <w:iCs w:val="1"/>
                <w:color w:val="auto"/>
                <w:w w:val="96"/>
              </w:rPr>
              <w:t>EP</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i w:val="1"/>
                <w:iCs w:val="1"/>
                <w:color w:val="auto"/>
                <w:w w:val="86"/>
              </w:rPr>
              <w:t>Sub-Total</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6"/>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center"/>
              <w:spacing w:after="0" w:line="146" w:lineRule="exact"/>
              <w:rPr>
                <w:sz w:val="20"/>
                <w:szCs w:val="20"/>
                <w:color w:val="auto"/>
              </w:rPr>
            </w:pPr>
            <w:r>
              <w:rPr>
                <w:rFonts w:ascii="Arial" w:cs="Arial" w:eastAsia="Arial" w:hAnsi="Arial"/>
                <w:sz w:val="14"/>
                <w:szCs w:val="14"/>
                <w:b w:val="1"/>
                <w:bCs w:val="1"/>
                <w:i w:val="1"/>
                <w:iCs w:val="1"/>
                <w:color w:val="auto"/>
                <w:w w:val="87"/>
              </w:rPr>
              <w:t>Plan</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Borders>
              <w:bottom w:val="single" w:sz="8" w:color="auto"/>
            </w:tcBorders>
            <w:gridSpan w:val="4"/>
          </w:tcPr>
          <w:p>
            <w:pPr>
              <w:jc w:val="center"/>
              <w:ind w:right="80"/>
              <w:spacing w:after="0" w:line="146" w:lineRule="exact"/>
              <w:rPr>
                <w:sz w:val="20"/>
                <w:szCs w:val="20"/>
                <w:color w:val="auto"/>
              </w:rPr>
            </w:pPr>
            <w:r>
              <w:rPr>
                <w:rFonts w:ascii="Arial" w:cs="Arial" w:eastAsia="Arial" w:hAnsi="Arial"/>
                <w:sz w:val="14"/>
                <w:szCs w:val="14"/>
                <w:b w:val="1"/>
                <w:bCs w:val="1"/>
                <w:i w:val="1"/>
                <w:iCs w:val="1"/>
                <w:color w:val="auto"/>
                <w:w w:val="87"/>
              </w:rPr>
              <w:t>Plan</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2"/>
                <w:szCs w:val="12"/>
                <w:b w:val="1"/>
                <w:bCs w:val="1"/>
                <w:i w:val="1"/>
                <w:iCs w:val="1"/>
                <w:color w:val="auto"/>
                <w:w w:val="70"/>
              </w:rPr>
              <w:t>Plan</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5"/>
          </w:tcPr>
          <w:p>
            <w:pPr>
              <w:jc w:val="center"/>
              <w:ind w:right="100"/>
              <w:spacing w:after="0" w:line="146" w:lineRule="exact"/>
              <w:rPr>
                <w:sz w:val="20"/>
                <w:szCs w:val="20"/>
                <w:color w:val="auto"/>
              </w:rPr>
            </w:pPr>
            <w:r>
              <w:rPr>
                <w:rFonts w:ascii="Arial" w:cs="Arial" w:eastAsia="Arial" w:hAnsi="Arial"/>
                <w:sz w:val="14"/>
                <w:szCs w:val="14"/>
                <w:b w:val="1"/>
                <w:bCs w:val="1"/>
                <w:i w:val="1"/>
                <w:iCs w:val="1"/>
                <w:color w:val="auto"/>
                <w:w w:val="81"/>
              </w:rPr>
              <w:t>Plan</w:t>
            </w:r>
          </w:p>
        </w:tc>
        <w:tc>
          <w:tcPr>
            <w:tcW w:w="280" w:type="dxa"/>
            <w:vAlign w:val="bottom"/>
          </w:tcPr>
          <w:p>
            <w:pPr>
              <w:spacing w:after="0"/>
              <w:rPr>
                <w:sz w:val="12"/>
                <w:szCs w:val="12"/>
                <w:color w:val="auto"/>
              </w:rPr>
            </w:pPr>
          </w:p>
        </w:tc>
        <w:tc>
          <w:tcPr>
            <w:tcW w:w="620" w:type="dxa"/>
            <w:vAlign w:val="bottom"/>
            <w:tcBorders>
              <w:bottom w:val="single" w:sz="8" w:color="auto"/>
            </w:tcBorders>
            <w:gridSpan w:val="4"/>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2008 Plans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35"/>
        </w:trPr>
        <w:tc>
          <w:tcPr>
            <w:tcW w:w="2280" w:type="dxa"/>
            <w:vAlign w:val="bottom"/>
          </w:tcPr>
          <w:p>
            <w:pPr>
              <w:spacing w:after="0"/>
              <w:rPr>
                <w:sz w:val="20"/>
                <w:szCs w:val="20"/>
                <w:color w:val="auto"/>
              </w:rPr>
            </w:pPr>
            <w:r>
              <w:rPr>
                <w:rFonts w:ascii="Arial" w:cs="Arial" w:eastAsia="Arial" w:hAnsi="Arial"/>
                <w:sz w:val="18"/>
                <w:szCs w:val="18"/>
                <w:color w:val="auto"/>
              </w:rPr>
              <w:t>Balance - January 1, 2009</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$ 72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gridSpan w:val="5"/>
          </w:tcPr>
          <w:p>
            <w:pPr>
              <w:jc w:val="right"/>
              <w:ind w:right="100"/>
              <w:spacing w:after="0"/>
              <w:rPr>
                <w:sz w:val="20"/>
                <w:szCs w:val="20"/>
                <w:color w:val="auto"/>
              </w:rPr>
            </w:pPr>
            <w:r>
              <w:rPr>
                <w:rFonts w:ascii="Arial" w:cs="Arial" w:eastAsia="Arial" w:hAnsi="Arial"/>
                <w:sz w:val="18"/>
                <w:szCs w:val="18"/>
                <w:color w:val="auto"/>
              </w:rPr>
              <w:t>$ 28</w:t>
            </w:r>
          </w:p>
        </w:tc>
        <w:tc>
          <w:tcPr>
            <w:tcW w:w="40" w:type="dxa"/>
            <w:vAlign w:val="bottom"/>
          </w:tcPr>
          <w:p>
            <w:pPr>
              <w:spacing w:after="0"/>
              <w:rPr>
                <w:sz w:val="20"/>
                <w:szCs w:val="20"/>
                <w:color w:val="auto"/>
              </w:rPr>
            </w:pPr>
          </w:p>
        </w:tc>
        <w:tc>
          <w:tcPr>
            <w:tcW w:w="700" w:type="dxa"/>
            <w:vAlign w:val="bottom"/>
            <w:gridSpan w:val="5"/>
          </w:tcPr>
          <w:p>
            <w:pPr>
              <w:jc w:val="right"/>
              <w:ind w:right="100"/>
              <w:spacing w:after="0"/>
              <w:rPr>
                <w:sz w:val="20"/>
                <w:szCs w:val="20"/>
                <w:color w:val="auto"/>
              </w:rPr>
            </w:pPr>
            <w:r>
              <w:rPr>
                <w:rFonts w:ascii="Arial" w:cs="Arial" w:eastAsia="Arial" w:hAnsi="Arial"/>
                <w:sz w:val="18"/>
                <w:szCs w:val="18"/>
                <w:color w:val="auto"/>
              </w:rPr>
              <w:t>$ 3</w:t>
            </w:r>
          </w:p>
        </w:tc>
        <w:tc>
          <w:tcPr>
            <w:tcW w:w="120" w:type="dxa"/>
            <w:vAlign w:val="bottom"/>
          </w:tcPr>
          <w:p>
            <w:pPr>
              <w:spacing w:after="0"/>
              <w:rPr>
                <w:sz w:val="20"/>
                <w:szCs w:val="20"/>
                <w:color w:val="auto"/>
              </w:rPr>
            </w:pP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$ 38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3"/>
        </w:trPr>
        <w:tc>
          <w:tcPr>
            <w:tcW w:w="2280" w:type="dxa"/>
            <w:vAlign w:val="bottom"/>
          </w:tcPr>
          <w:p>
            <w:pPr>
              <w:spacing w:after="0"/>
              <w:rPr>
                <w:sz w:val="20"/>
                <w:szCs w:val="20"/>
                <w:color w:val="auto"/>
              </w:rPr>
            </w:pPr>
            <w:r>
              <w:rPr>
                <w:rFonts w:ascii="Arial" w:cs="Arial" w:eastAsia="Arial" w:hAnsi="Arial"/>
                <w:sz w:val="18"/>
                <w:szCs w:val="18"/>
                <w:color w:val="auto"/>
              </w:rPr>
              <w:t>Accruals for (reversals of)</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2280" w:type="dxa"/>
            <w:vAlign w:val="bottom"/>
          </w:tcPr>
          <w:p>
            <w:pPr>
              <w:ind w:left="80"/>
              <w:spacing w:after="0"/>
              <w:rPr>
                <w:sz w:val="20"/>
                <w:szCs w:val="20"/>
                <w:color w:val="auto"/>
              </w:rPr>
            </w:pPr>
            <w:r>
              <w:rPr>
                <w:rFonts w:ascii="Arial" w:cs="Arial" w:eastAsia="Arial" w:hAnsi="Arial"/>
                <w:sz w:val="18"/>
                <w:szCs w:val="18"/>
                <w:color w:val="auto"/>
                <w:w w:val="93"/>
              </w:rPr>
              <w:t>one-time termination benefits</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 -</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w:t>
            </w:r>
          </w:p>
        </w:tc>
        <w:tc>
          <w:tcPr>
            <w:tcW w:w="120" w:type="dxa"/>
            <w:vAlign w:val="bottom"/>
          </w:tcPr>
          <w:p>
            <w:pPr>
              <w:spacing w:after="0"/>
              <w:rPr>
                <w:sz w:val="19"/>
                <w:szCs w:val="19"/>
                <w:color w:val="auto"/>
              </w:rPr>
            </w:pPr>
          </w:p>
        </w:tc>
        <w:tc>
          <w:tcPr>
            <w:tcW w:w="620" w:type="dxa"/>
            <w:vAlign w:val="bottom"/>
            <w:gridSpan w:val="6"/>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53"/>
        </w:trPr>
        <w:tc>
          <w:tcPr>
            <w:tcW w:w="2280" w:type="dxa"/>
            <w:vAlign w:val="bottom"/>
          </w:tcPr>
          <w:p>
            <w:pPr>
              <w:spacing w:after="0"/>
              <w:rPr>
                <w:sz w:val="20"/>
                <w:szCs w:val="20"/>
                <w:color w:val="auto"/>
              </w:rPr>
            </w:pPr>
            <w:r>
              <w:rPr>
                <w:rFonts w:ascii="Arial" w:cs="Arial" w:eastAsia="Arial" w:hAnsi="Arial"/>
                <w:sz w:val="18"/>
                <w:szCs w:val="18"/>
                <w:color w:val="auto"/>
              </w:rPr>
              <w:t>Severance and other cash</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280" w:type="dxa"/>
            <w:vAlign w:val="bottom"/>
          </w:tcPr>
          <w:p>
            <w:pPr>
              <w:ind w:left="80"/>
              <w:spacing w:after="0"/>
              <w:rPr>
                <w:sz w:val="20"/>
                <w:szCs w:val="20"/>
                <w:color w:val="auto"/>
              </w:rPr>
            </w:pPr>
            <w:r>
              <w:rPr>
                <w:rFonts w:ascii="Arial" w:cs="Arial" w:eastAsia="Arial" w:hAnsi="Arial"/>
                <w:sz w:val="18"/>
                <w:szCs w:val="18"/>
                <w:color w:val="auto"/>
                <w:w w:val="93"/>
              </w:rPr>
              <w:t>payments related to one-time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84"/>
        </w:trPr>
        <w:tc>
          <w:tcPr>
            <w:tcW w:w="2280" w:type="dxa"/>
            <w:vAlign w:val="bottom"/>
          </w:tcPr>
          <w:p>
            <w:pPr>
              <w:ind w:left="80"/>
              <w:spacing w:after="0" w:line="184" w:lineRule="exact"/>
              <w:rPr>
                <w:sz w:val="20"/>
                <w:szCs w:val="20"/>
                <w:color w:val="auto"/>
              </w:rPr>
            </w:pPr>
            <w:r>
              <w:rPr>
                <w:rFonts w:ascii="Arial" w:cs="Arial" w:eastAsia="Arial" w:hAnsi="Arial"/>
                <w:sz w:val="18"/>
                <w:szCs w:val="18"/>
                <w:color w:val="auto"/>
              </w:rPr>
              <w:t>termination benefits</w:t>
            </w:r>
          </w:p>
        </w:tc>
        <w:tc>
          <w:tcPr>
            <w:tcW w:w="180" w:type="dxa"/>
            <w:vAlign w:val="bottom"/>
            <w:gridSpan w:val="2"/>
          </w:tcPr>
          <w:p>
            <w:pPr>
              <w:spacing w:after="0"/>
              <w:rPr>
                <w:sz w:val="15"/>
                <w:szCs w:val="15"/>
                <w:color w:val="auto"/>
              </w:rPr>
            </w:pPr>
          </w:p>
        </w:tc>
        <w:tc>
          <w:tcPr>
            <w:tcW w:w="400" w:type="dxa"/>
            <w:vAlign w:val="bottom"/>
            <w:gridSpan w:val="2"/>
          </w:tcPr>
          <w:p>
            <w:pPr>
              <w:jc w:val="right"/>
              <w:spacing w:after="0" w:line="184" w:lineRule="exact"/>
              <w:rPr>
                <w:sz w:val="20"/>
                <w:szCs w:val="20"/>
                <w:color w:val="auto"/>
              </w:rPr>
            </w:pPr>
            <w:r>
              <w:rPr>
                <w:rFonts w:ascii="Arial" w:cs="Arial" w:eastAsia="Arial" w:hAnsi="Arial"/>
                <w:sz w:val="18"/>
                <w:szCs w:val="18"/>
                <w:color w:val="auto"/>
                <w:w w:val="99"/>
              </w:rPr>
              <w:t>(65)</w:t>
            </w:r>
          </w:p>
        </w:tc>
        <w:tc>
          <w:tcPr>
            <w:tcW w:w="40" w:type="dxa"/>
            <w:vAlign w:val="bottom"/>
          </w:tcPr>
          <w:p>
            <w:pPr>
              <w:spacing w:after="0"/>
              <w:rPr>
                <w:sz w:val="15"/>
                <w:szCs w:val="15"/>
                <w:color w:val="auto"/>
              </w:rPr>
            </w:pPr>
          </w:p>
        </w:tc>
        <w:tc>
          <w:tcPr>
            <w:tcW w:w="680" w:type="dxa"/>
            <w:vAlign w:val="bottom"/>
            <w:gridSpan w:val="5"/>
          </w:tcPr>
          <w:p>
            <w:pPr>
              <w:jc w:val="right"/>
              <w:ind w:right="60"/>
              <w:spacing w:after="0" w:line="184" w:lineRule="exact"/>
              <w:rPr>
                <w:sz w:val="20"/>
                <w:szCs w:val="20"/>
                <w:color w:val="auto"/>
              </w:rPr>
            </w:pPr>
            <w:r>
              <w:rPr>
                <w:rFonts w:ascii="Arial" w:cs="Arial" w:eastAsia="Arial" w:hAnsi="Arial"/>
                <w:sz w:val="18"/>
                <w:szCs w:val="18"/>
                <w:color w:val="auto"/>
              </w:rPr>
              <w:t>(23)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gridSpan w:val="2"/>
          </w:tcPr>
          <w:p>
            <w:pPr>
              <w:jc w:val="right"/>
              <w:ind w:right="100"/>
              <w:spacing w:after="0" w:line="184"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620" w:type="dxa"/>
            <w:vAlign w:val="bottom"/>
            <w:gridSpan w:val="6"/>
          </w:tcPr>
          <w:p>
            <w:pPr>
              <w:jc w:val="right"/>
              <w:spacing w:after="0" w:line="184" w:lineRule="exact"/>
              <w:rPr>
                <w:sz w:val="20"/>
                <w:szCs w:val="20"/>
                <w:color w:val="auto"/>
              </w:rPr>
            </w:pPr>
            <w:r>
              <w:rPr>
                <w:rFonts w:ascii="Arial" w:cs="Arial" w:eastAsia="Arial" w:hAnsi="Arial"/>
                <w:sz w:val="18"/>
                <w:szCs w:val="18"/>
                <w:color w:val="auto"/>
              </w:rPr>
              <w:t>(33)</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gridSpan w:val="5"/>
          </w:tcPr>
          <w:p>
            <w:pPr>
              <w:jc w:val="right"/>
              <w:ind w:right="160"/>
              <w:spacing w:after="0" w:line="184" w:lineRule="exact"/>
              <w:rPr>
                <w:sz w:val="20"/>
                <w:szCs w:val="20"/>
                <w:color w:val="auto"/>
              </w:rPr>
            </w:pPr>
            <w:r>
              <w:rPr>
                <w:rFonts w:ascii="Arial" w:cs="Arial" w:eastAsia="Arial" w:hAnsi="Arial"/>
                <w:sz w:val="18"/>
                <w:szCs w:val="18"/>
                <w:color w:val="auto"/>
              </w:rPr>
              <w:t>(121)</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2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right w:val="single" w:sz="8" w:color="auto"/>
            </w:tcBorders>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2280" w:type="dxa"/>
            <w:vAlign w:val="bottom"/>
          </w:tcPr>
          <w:p>
            <w:pPr>
              <w:spacing w:after="0"/>
              <w:rPr>
                <w:sz w:val="20"/>
                <w:szCs w:val="20"/>
                <w:color w:val="auto"/>
              </w:rPr>
            </w:pPr>
            <w:r>
              <w:rPr>
                <w:rFonts w:ascii="Arial" w:cs="Arial" w:eastAsia="Arial" w:hAnsi="Arial"/>
                <w:sz w:val="18"/>
                <w:szCs w:val="18"/>
                <w:color w:val="auto"/>
              </w:rPr>
              <w:t>Balance - June 30, 2009</w:t>
            </w:r>
          </w:p>
        </w:tc>
        <w:tc>
          <w:tcPr>
            <w:tcW w:w="18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$ 17</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75"/>
              </w:rPr>
              <w:t>$ -</w:t>
            </w:r>
          </w:p>
        </w:tc>
        <w:tc>
          <w:tcPr>
            <w:tcW w:w="120" w:type="dxa"/>
            <w:vAlign w:val="bottom"/>
          </w:tcPr>
          <w:p>
            <w:pPr>
              <w:spacing w:after="0"/>
              <w:rPr>
                <w:sz w:val="24"/>
                <w:szCs w:val="24"/>
                <w:color w:val="auto"/>
              </w:rPr>
            </w:pPr>
          </w:p>
        </w:tc>
        <w:tc>
          <w:tcPr>
            <w:tcW w:w="4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$ 22</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Borders>
              <w:right w:val="single" w:sz="8" w:color="auto"/>
            </w:tcBorders>
            <w:gridSpan w:val="3"/>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auto"/>
            </w:tcBorders>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77"/>
        </w:trPr>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gridSpan w:val="4"/>
          </w:tcPr>
          <w:p>
            <w:pPr>
              <w:jc w:val="center"/>
              <w:spacing w:after="0"/>
              <w:rPr>
                <w:sz w:val="20"/>
                <w:szCs w:val="20"/>
                <w:color w:val="auto"/>
              </w:rPr>
            </w:pPr>
            <w:r>
              <w:rPr>
                <w:rFonts w:ascii="Arial" w:cs="Arial" w:eastAsia="Arial" w:hAnsi="Arial"/>
                <w:sz w:val="14"/>
                <w:szCs w:val="14"/>
                <w:b w:val="1"/>
                <w:bCs w:val="1"/>
                <w:i w:val="1"/>
                <w:iCs w:val="1"/>
                <w:color w:val="auto"/>
                <w:w w:val="89"/>
              </w:rPr>
              <w:t>Q1 2009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5"/>
          </w:tcPr>
          <w:p>
            <w:pPr>
              <w:jc w:val="center"/>
              <w:ind w:right="220"/>
              <w:spacing w:after="0"/>
              <w:rPr>
                <w:sz w:val="20"/>
                <w:szCs w:val="20"/>
                <w:color w:val="auto"/>
              </w:rPr>
            </w:pPr>
            <w:r>
              <w:rPr>
                <w:rFonts w:ascii="Arial" w:cs="Arial" w:eastAsia="Arial" w:hAnsi="Arial"/>
                <w:sz w:val="14"/>
                <w:szCs w:val="14"/>
                <w:b w:val="1"/>
                <w:bCs w:val="1"/>
                <w:i w:val="1"/>
                <w:iCs w:val="1"/>
                <w:color w:val="auto"/>
                <w:w w:val="85"/>
              </w:rPr>
              <w:t>Q2 2009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gridSpan w:val="4"/>
          </w:tcPr>
          <w:p>
            <w:pPr>
              <w:jc w:val="center"/>
              <w:ind w:right="240"/>
              <w:spacing w:after="0"/>
              <w:rPr>
                <w:sz w:val="20"/>
                <w:szCs w:val="20"/>
                <w:color w:val="auto"/>
              </w:rPr>
            </w:pPr>
            <w:r>
              <w:rPr>
                <w:rFonts w:ascii="Arial" w:cs="Arial" w:eastAsia="Arial" w:hAnsi="Arial"/>
                <w:sz w:val="14"/>
                <w:szCs w:val="14"/>
                <w:b w:val="1"/>
                <w:bCs w:val="1"/>
                <w:i w:val="1"/>
                <w:iCs w:val="1"/>
                <w:color w:val="auto"/>
                <w:w w:val="85"/>
              </w:rPr>
              <w:t>Q2 2009</w:t>
            </w:r>
          </w:p>
        </w:tc>
        <w:tc>
          <w:tcPr>
            <w:tcW w:w="160" w:type="dxa"/>
            <w:vAlign w:val="bottom"/>
          </w:tcPr>
          <w:p>
            <w:pPr>
              <w:spacing w:after="0"/>
              <w:rPr>
                <w:sz w:val="24"/>
                <w:szCs w:val="24"/>
                <w:color w:val="auto"/>
              </w:rPr>
            </w:pPr>
          </w:p>
        </w:tc>
        <w:tc>
          <w:tcPr>
            <w:tcW w:w="900" w:type="dxa"/>
            <w:vAlign w:val="bottom"/>
            <w:gridSpan w:val="5"/>
          </w:tcPr>
          <w:p>
            <w:pPr>
              <w:jc w:val="center"/>
              <w:ind w:right="320"/>
              <w:spacing w:after="0"/>
              <w:rPr>
                <w:sz w:val="20"/>
                <w:szCs w:val="20"/>
                <w:color w:val="auto"/>
              </w:rPr>
            </w:pPr>
            <w:r>
              <w:rPr>
                <w:rFonts w:ascii="Arial" w:cs="Arial" w:eastAsia="Arial" w:hAnsi="Arial"/>
                <w:sz w:val="14"/>
                <w:szCs w:val="14"/>
                <w:b w:val="1"/>
                <w:bCs w:val="1"/>
                <w:i w:val="1"/>
                <w:iCs w:val="1"/>
                <w:color w:val="auto"/>
                <w:w w:val="85"/>
              </w:rPr>
              <w:t>Q2 2009</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9"/>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gridSpan w:val="2"/>
          </w:tcPr>
          <w:p>
            <w:pPr>
              <w:jc w:val="center"/>
              <w:ind w:right="92"/>
              <w:spacing w:after="0" w:line="149" w:lineRule="exact"/>
              <w:rPr>
                <w:sz w:val="20"/>
                <w:szCs w:val="20"/>
                <w:color w:val="auto"/>
              </w:rPr>
            </w:pPr>
            <w:r>
              <w:rPr>
                <w:rFonts w:ascii="Arial" w:cs="Arial" w:eastAsia="Arial" w:hAnsi="Arial"/>
                <w:sz w:val="14"/>
                <w:szCs w:val="14"/>
                <w:b w:val="1"/>
                <w:bCs w:val="1"/>
                <w:i w:val="1"/>
                <w:iCs w:val="1"/>
                <w:color w:val="auto"/>
                <w:w w:val="89"/>
              </w:rPr>
              <w:t>TP</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i w:val="1"/>
                <w:iCs w:val="1"/>
                <w:color w:val="auto"/>
              </w:rPr>
              <w:t>TP</w:t>
            </w:r>
          </w:p>
        </w:tc>
        <w:tc>
          <w:tcPr>
            <w:tcW w:w="940" w:type="dxa"/>
            <w:vAlign w:val="bottom"/>
            <w:gridSpan w:val="8"/>
          </w:tcPr>
          <w:p>
            <w:pPr>
              <w:jc w:val="right"/>
              <w:ind w:right="340"/>
              <w:spacing w:after="0" w:line="149" w:lineRule="exact"/>
              <w:rPr>
                <w:sz w:val="20"/>
                <w:szCs w:val="20"/>
                <w:color w:val="auto"/>
              </w:rPr>
            </w:pPr>
            <w:r>
              <w:rPr>
                <w:rFonts w:ascii="Arial" w:cs="Arial" w:eastAsia="Arial" w:hAnsi="Arial"/>
                <w:sz w:val="14"/>
                <w:szCs w:val="14"/>
                <w:b w:val="1"/>
                <w:bCs w:val="1"/>
                <w:i w:val="1"/>
                <w:iCs w:val="1"/>
                <w:color w:val="auto"/>
              </w:rPr>
              <w:t>Q2 2009</w:t>
            </w:r>
          </w:p>
        </w:tc>
        <w:tc>
          <w:tcPr>
            <w:tcW w:w="40" w:type="dxa"/>
            <w:vAlign w:val="bottom"/>
          </w:tcPr>
          <w:p>
            <w:pPr>
              <w:spacing w:after="0"/>
              <w:rPr>
                <w:sz w:val="12"/>
                <w:szCs w:val="12"/>
                <w:color w:val="auto"/>
              </w:rPr>
            </w:pPr>
          </w:p>
        </w:tc>
        <w:tc>
          <w:tcPr>
            <w:tcW w:w="8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i w:val="1"/>
                <w:iCs w:val="1"/>
                <w:color w:val="auto"/>
                <w:w w:val="96"/>
              </w:rPr>
              <w:t>EP</w:t>
            </w:r>
          </w:p>
        </w:tc>
        <w:tc>
          <w:tcPr>
            <w:tcW w:w="160" w:type="dxa"/>
            <w:vAlign w:val="bottom"/>
          </w:tcPr>
          <w:p>
            <w:pPr>
              <w:spacing w:after="0"/>
              <w:rPr>
                <w:sz w:val="12"/>
                <w:szCs w:val="12"/>
                <w:color w:val="auto"/>
              </w:rPr>
            </w:pPr>
          </w:p>
        </w:tc>
        <w:tc>
          <w:tcPr>
            <w:tcW w:w="90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i w:val="1"/>
                <w:iCs w:val="1"/>
                <w:color w:val="auto"/>
                <w:w w:val="83"/>
              </w:rPr>
              <w:t>Corporate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9"/>
          </w:tcPr>
          <w:p>
            <w:pPr>
              <w:jc w:val="center"/>
              <w:ind w:right="40"/>
              <w:spacing w:after="0" w:line="149" w:lineRule="exact"/>
              <w:rPr>
                <w:sz w:val="20"/>
                <w:szCs w:val="20"/>
                <w:color w:val="auto"/>
              </w:rPr>
            </w:pPr>
            <w:r>
              <w:rPr>
                <w:rFonts w:ascii="Arial" w:cs="Arial" w:eastAsia="Arial" w:hAnsi="Arial"/>
                <w:sz w:val="14"/>
                <w:szCs w:val="14"/>
                <w:b w:val="1"/>
                <w:bCs w:val="1"/>
                <w:i w:val="1"/>
                <w:iCs w:val="1"/>
                <w:color w:val="auto"/>
                <w:w w:val="86"/>
              </w:rPr>
              <w:t>Workforce</w:t>
            </w:r>
          </w:p>
        </w:tc>
        <w:tc>
          <w:tcPr>
            <w:tcW w:w="82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i w:val="1"/>
                <w:iCs w:val="1"/>
                <w:color w:val="auto"/>
                <w:w w:val="83"/>
              </w:rPr>
              <w:t>Workforce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w w:val="75"/>
              </w:rPr>
              <w:t>MP</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i w:val="1"/>
                <w:iCs w:val="1"/>
                <w:color w:val="auto"/>
                <w:w w:val="83"/>
              </w:rPr>
              <w:t>Workforce</w:t>
            </w:r>
          </w:p>
        </w:tc>
        <w:tc>
          <w:tcPr>
            <w:tcW w:w="106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i w:val="1"/>
                <w:iCs w:val="1"/>
                <w:color w:val="auto"/>
                <w:w w:val="83"/>
              </w:rPr>
              <w:t>Workforce</w:t>
            </w:r>
          </w:p>
        </w:tc>
        <w:tc>
          <w:tcPr>
            <w:tcW w:w="94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i w:val="1"/>
                <w:iCs w:val="1"/>
                <w:color w:val="auto"/>
                <w:w w:val="83"/>
              </w:rPr>
              <w:t>Sub-Total</w:t>
            </w:r>
          </w:p>
        </w:tc>
        <w:tc>
          <w:tcPr>
            <w:tcW w:w="6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i w:val="1"/>
                <w:iCs w:val="1"/>
                <w:color w:val="auto"/>
                <w:w w:val="89"/>
              </w:rPr>
              <w:t>Total</w:t>
            </w:r>
          </w:p>
        </w:tc>
      </w:tr>
      <w:tr>
        <w:trPr>
          <w:trHeight w:val="146"/>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9"/>
          </w:tcPr>
          <w:p>
            <w:pPr>
              <w:jc w:val="center"/>
              <w:ind w:right="40"/>
              <w:spacing w:after="0" w:line="146" w:lineRule="exact"/>
              <w:rPr>
                <w:sz w:val="20"/>
                <w:szCs w:val="20"/>
                <w:color w:val="auto"/>
              </w:rPr>
            </w:pPr>
            <w:r>
              <w:rPr>
                <w:rFonts w:ascii="Arial" w:cs="Arial" w:eastAsia="Arial" w:hAnsi="Arial"/>
                <w:sz w:val="14"/>
                <w:szCs w:val="14"/>
                <w:b w:val="1"/>
                <w:bCs w:val="1"/>
                <w:i w:val="1"/>
                <w:iCs w:val="1"/>
                <w:color w:val="auto"/>
                <w:w w:val="81"/>
              </w:rPr>
              <w:t>Reduction</w:t>
            </w:r>
          </w:p>
        </w:tc>
        <w:tc>
          <w:tcPr>
            <w:tcW w:w="820" w:type="dxa"/>
            <w:vAlign w:val="bottom"/>
            <w:gridSpan w:val="6"/>
          </w:tcPr>
          <w:p>
            <w:pPr>
              <w:jc w:val="center"/>
              <w:ind w:right="200"/>
              <w:spacing w:after="0" w:line="146" w:lineRule="exact"/>
              <w:rPr>
                <w:sz w:val="20"/>
                <w:szCs w:val="20"/>
                <w:color w:val="auto"/>
              </w:rPr>
            </w:pPr>
            <w:r>
              <w:rPr>
                <w:rFonts w:ascii="Arial" w:cs="Arial" w:eastAsia="Arial" w:hAnsi="Arial"/>
                <w:sz w:val="14"/>
                <w:szCs w:val="14"/>
                <w:b w:val="1"/>
                <w:bCs w:val="1"/>
                <w:i w:val="1"/>
                <w:iCs w:val="1"/>
                <w:color w:val="auto"/>
                <w:w w:val="84"/>
              </w:rPr>
              <w:t>Reduction</w:t>
            </w:r>
          </w:p>
        </w:tc>
        <w:tc>
          <w:tcPr>
            <w:tcW w:w="200" w:type="dxa"/>
            <w:vAlign w:val="bottom"/>
          </w:tcPr>
          <w:p>
            <w:pPr>
              <w:spacing w:after="0"/>
              <w:rPr>
                <w:sz w:val="12"/>
                <w:szCs w:val="12"/>
                <w:color w:val="auto"/>
              </w:rPr>
            </w:pPr>
          </w:p>
        </w:tc>
        <w:tc>
          <w:tcPr>
            <w:tcW w:w="320" w:type="dxa"/>
            <w:vAlign w:val="bottom"/>
            <w:gridSpan w:val="3"/>
          </w:tcPr>
          <w:p>
            <w:pPr>
              <w:ind w:left="20"/>
              <w:spacing w:after="0" w:line="146" w:lineRule="exact"/>
              <w:rPr>
                <w:sz w:val="20"/>
                <w:szCs w:val="20"/>
                <w:color w:val="auto"/>
              </w:rPr>
            </w:pPr>
            <w:r>
              <w:rPr>
                <w:rFonts w:ascii="Arial" w:cs="Arial" w:eastAsia="Arial" w:hAnsi="Arial"/>
                <w:sz w:val="14"/>
                <w:szCs w:val="14"/>
                <w:b w:val="1"/>
                <w:bCs w:val="1"/>
                <w:i w:val="1"/>
                <w:iCs w:val="1"/>
                <w:color w:val="auto"/>
                <w:w w:val="87"/>
              </w:rPr>
              <w:t>Plan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4"/>
          </w:tcPr>
          <w:p>
            <w:pPr>
              <w:jc w:val="center"/>
              <w:ind w:right="240"/>
              <w:spacing w:after="0" w:line="146" w:lineRule="exact"/>
              <w:rPr>
                <w:sz w:val="20"/>
                <w:szCs w:val="20"/>
                <w:color w:val="auto"/>
              </w:rPr>
            </w:pPr>
            <w:r>
              <w:rPr>
                <w:rFonts w:ascii="Arial" w:cs="Arial" w:eastAsia="Arial" w:hAnsi="Arial"/>
                <w:sz w:val="14"/>
                <w:szCs w:val="14"/>
                <w:b w:val="1"/>
                <w:bCs w:val="1"/>
                <w:i w:val="1"/>
                <w:iCs w:val="1"/>
                <w:color w:val="auto"/>
                <w:w w:val="84"/>
              </w:rPr>
              <w:t>Reduction</w:t>
            </w:r>
          </w:p>
        </w:tc>
        <w:tc>
          <w:tcPr>
            <w:tcW w:w="160" w:type="dxa"/>
            <w:vAlign w:val="bottom"/>
          </w:tcPr>
          <w:p>
            <w:pPr>
              <w:spacing w:after="0"/>
              <w:rPr>
                <w:sz w:val="12"/>
                <w:szCs w:val="12"/>
                <w:color w:val="auto"/>
              </w:rPr>
            </w:pPr>
          </w:p>
        </w:tc>
        <w:tc>
          <w:tcPr>
            <w:tcW w:w="900" w:type="dxa"/>
            <w:vAlign w:val="bottom"/>
            <w:gridSpan w:val="5"/>
          </w:tcPr>
          <w:p>
            <w:pPr>
              <w:jc w:val="center"/>
              <w:ind w:right="320"/>
              <w:spacing w:after="0" w:line="146" w:lineRule="exact"/>
              <w:rPr>
                <w:sz w:val="20"/>
                <w:szCs w:val="20"/>
                <w:color w:val="auto"/>
              </w:rPr>
            </w:pPr>
            <w:r>
              <w:rPr>
                <w:rFonts w:ascii="Arial" w:cs="Arial" w:eastAsia="Arial" w:hAnsi="Arial"/>
                <w:sz w:val="14"/>
                <w:szCs w:val="14"/>
                <w:b w:val="1"/>
                <w:bCs w:val="1"/>
                <w:i w:val="1"/>
                <w:iCs w:val="1"/>
                <w:color w:val="auto"/>
                <w:w w:val="84"/>
              </w:rPr>
              <w:t>Reduction</w:t>
            </w:r>
          </w:p>
        </w:tc>
        <w:tc>
          <w:tcPr>
            <w:tcW w:w="940" w:type="dxa"/>
            <w:vAlign w:val="bottom"/>
            <w:gridSpan w:val="4"/>
          </w:tcPr>
          <w:p>
            <w:pPr>
              <w:jc w:val="center"/>
              <w:ind w:right="320"/>
              <w:spacing w:after="0" w:line="146" w:lineRule="exact"/>
              <w:rPr>
                <w:sz w:val="20"/>
                <w:szCs w:val="20"/>
                <w:color w:val="auto"/>
              </w:rPr>
            </w:pPr>
            <w:r>
              <w:rPr>
                <w:rFonts w:ascii="Arial" w:cs="Arial" w:eastAsia="Arial" w:hAnsi="Arial"/>
                <w:sz w:val="14"/>
                <w:szCs w:val="14"/>
                <w:b w:val="1"/>
                <w:bCs w:val="1"/>
                <w:i w:val="1"/>
                <w:iCs w:val="1"/>
                <w:color w:val="auto"/>
                <w:w w:val="85"/>
              </w:rPr>
              <w:t>2009 Plans</w:t>
            </w:r>
          </w:p>
        </w:tc>
        <w:tc>
          <w:tcPr>
            <w:tcW w:w="680" w:type="dxa"/>
            <w:vAlign w:val="bottom"/>
            <w:gridSpan w:val="4"/>
          </w:tcPr>
          <w:p>
            <w:pPr>
              <w:jc w:val="center"/>
              <w:ind w:right="180"/>
              <w:spacing w:after="0" w:line="146" w:lineRule="exact"/>
              <w:rPr>
                <w:sz w:val="20"/>
                <w:szCs w:val="20"/>
                <w:color w:val="auto"/>
              </w:rPr>
            </w:pPr>
            <w:r>
              <w:rPr>
                <w:rFonts w:ascii="Arial" w:cs="Arial" w:eastAsia="Arial" w:hAnsi="Arial"/>
                <w:sz w:val="14"/>
                <w:szCs w:val="14"/>
                <w:b w:val="1"/>
                <w:bCs w:val="1"/>
                <w:i w:val="1"/>
                <w:iCs w:val="1"/>
                <w:color w:val="auto"/>
                <w:w w:val="84"/>
              </w:rPr>
              <w:t>All Plans</w:t>
            </w:r>
          </w:p>
        </w:tc>
      </w:tr>
      <w:tr>
        <w:trPr>
          <w:trHeight w:val="20"/>
        </w:trPr>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right w:val="single" w:sz="8" w:color="auto"/>
            </w:tcBorders>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5"/>
        </w:trPr>
        <w:tc>
          <w:tcPr>
            <w:tcW w:w="2280" w:type="dxa"/>
            <w:vAlign w:val="bottom"/>
          </w:tcPr>
          <w:p>
            <w:pPr>
              <w:spacing w:after="0"/>
              <w:rPr>
                <w:sz w:val="20"/>
                <w:szCs w:val="20"/>
                <w:color w:val="auto"/>
              </w:rPr>
            </w:pPr>
            <w:r>
              <w:rPr>
                <w:rFonts w:ascii="Arial" w:cs="Arial" w:eastAsia="Arial" w:hAnsi="Arial"/>
                <w:sz w:val="18"/>
                <w:szCs w:val="18"/>
                <w:color w:val="auto"/>
              </w:rPr>
              <w:t>Balance - January 1, 2009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gridSpan w:val="3"/>
          </w:tcPr>
          <w:p>
            <w:pPr>
              <w:jc w:val="center"/>
              <w:ind w:left="139"/>
              <w:spacing w:after="0"/>
              <w:rPr>
                <w:sz w:val="20"/>
                <w:szCs w:val="20"/>
                <w:color w:val="auto"/>
              </w:rPr>
            </w:pPr>
            <w:r>
              <w:rPr>
                <w:rFonts w:ascii="Arial" w:cs="Arial" w:eastAsia="Arial" w:hAnsi="Arial"/>
                <w:sz w:val="18"/>
                <w:szCs w:val="18"/>
                <w:color w:val="auto"/>
                <w:w w:val="79"/>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gridSpan w:val="3"/>
          </w:tcPr>
          <w:p>
            <w:pPr>
              <w:jc w:val="right"/>
              <w:ind w:right="5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0"/>
                <w:szCs w:val="20"/>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40" w:type="dxa"/>
            <w:vAlign w:val="bottom"/>
          </w:tcPr>
          <w:p>
            <w:pPr>
              <w:jc w:val="center"/>
              <w:ind w:left="60"/>
              <w:spacing w:after="0"/>
              <w:rPr>
                <w:sz w:val="20"/>
                <w:szCs w:val="20"/>
                <w:color w:val="auto"/>
              </w:rPr>
            </w:pPr>
            <w:r>
              <w:rPr>
                <w:rFonts w:ascii="Arial" w:cs="Arial" w:eastAsia="Arial" w:hAnsi="Arial"/>
                <w:sz w:val="18"/>
                <w:szCs w:val="18"/>
                <w:color w:val="auto"/>
                <w:w w:val="79"/>
              </w:rPr>
              <w:t>$</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141</w:t>
            </w:r>
          </w:p>
        </w:tc>
      </w:tr>
      <w:tr>
        <w:trPr>
          <w:trHeight w:val="453"/>
        </w:trPr>
        <w:tc>
          <w:tcPr>
            <w:tcW w:w="2280" w:type="dxa"/>
            <w:vAlign w:val="bottom"/>
          </w:tcPr>
          <w:p>
            <w:pPr>
              <w:spacing w:after="0"/>
              <w:rPr>
                <w:sz w:val="20"/>
                <w:szCs w:val="20"/>
                <w:color w:val="auto"/>
              </w:rPr>
            </w:pPr>
            <w:r>
              <w:rPr>
                <w:rFonts w:ascii="Arial" w:cs="Arial" w:eastAsia="Arial" w:hAnsi="Arial"/>
                <w:sz w:val="18"/>
                <w:szCs w:val="18"/>
                <w:color w:val="auto"/>
              </w:rPr>
              <w:t>Accruals for one-time</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2280" w:type="dxa"/>
            <w:vAlign w:val="bottom"/>
          </w:tcPr>
          <w:p>
            <w:pPr>
              <w:ind w:left="80"/>
              <w:spacing w:after="0"/>
              <w:rPr>
                <w:sz w:val="20"/>
                <w:szCs w:val="20"/>
                <w:color w:val="auto"/>
              </w:rPr>
            </w:pPr>
            <w:r>
              <w:rPr>
                <w:rFonts w:ascii="Arial" w:cs="Arial" w:eastAsia="Arial" w:hAnsi="Arial"/>
                <w:sz w:val="18"/>
                <w:szCs w:val="18"/>
                <w:color w:val="auto"/>
              </w:rPr>
              <w:t>termination benefits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6"/>
          </w:tcPr>
          <w:p>
            <w:pPr>
              <w:jc w:val="right"/>
              <w:spacing w:after="0"/>
              <w:rPr>
                <w:sz w:val="20"/>
                <w:szCs w:val="20"/>
                <w:color w:val="auto"/>
              </w:rPr>
            </w:pPr>
            <w:r>
              <w:rPr>
                <w:rFonts w:ascii="Arial" w:cs="Arial" w:eastAsia="Arial" w:hAnsi="Arial"/>
                <w:sz w:val="18"/>
                <w:szCs w:val="18"/>
                <w:color w:val="auto"/>
              </w:rPr>
              <w:t>122</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327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329</w:t>
            </w:r>
          </w:p>
        </w:tc>
      </w:tr>
      <w:tr>
        <w:trPr>
          <w:trHeight w:val="453"/>
        </w:trPr>
        <w:tc>
          <w:tcPr>
            <w:tcW w:w="2280" w:type="dxa"/>
            <w:vAlign w:val="bottom"/>
          </w:tcPr>
          <w:p>
            <w:pPr>
              <w:spacing w:after="0"/>
              <w:rPr>
                <w:sz w:val="20"/>
                <w:szCs w:val="20"/>
                <w:color w:val="auto"/>
              </w:rPr>
            </w:pPr>
            <w:r>
              <w:rPr>
                <w:rFonts w:ascii="Arial" w:cs="Arial" w:eastAsia="Arial" w:hAnsi="Arial"/>
                <w:sz w:val="18"/>
                <w:szCs w:val="18"/>
                <w:color w:val="auto"/>
              </w:rPr>
              <w:t>Severance and other cash</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280" w:type="dxa"/>
            <w:vAlign w:val="bottom"/>
          </w:tcPr>
          <w:p>
            <w:pPr>
              <w:ind w:left="80"/>
              <w:spacing w:after="0"/>
              <w:rPr>
                <w:sz w:val="20"/>
                <w:szCs w:val="20"/>
                <w:color w:val="auto"/>
              </w:rPr>
            </w:pPr>
            <w:r>
              <w:rPr>
                <w:rFonts w:ascii="Arial" w:cs="Arial" w:eastAsia="Arial" w:hAnsi="Arial"/>
                <w:sz w:val="18"/>
                <w:szCs w:val="18"/>
                <w:color w:val="auto"/>
                <w:w w:val="93"/>
              </w:rPr>
              <w:t>payments related to one-time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84"/>
        </w:trPr>
        <w:tc>
          <w:tcPr>
            <w:tcW w:w="2280" w:type="dxa"/>
            <w:vAlign w:val="bottom"/>
          </w:tcPr>
          <w:p>
            <w:pPr>
              <w:ind w:left="80"/>
              <w:spacing w:after="0" w:line="184" w:lineRule="exact"/>
              <w:rPr>
                <w:sz w:val="20"/>
                <w:szCs w:val="20"/>
                <w:color w:val="auto"/>
              </w:rPr>
            </w:pPr>
            <w:r>
              <w:rPr>
                <w:rFonts w:ascii="Arial" w:cs="Arial" w:eastAsia="Arial" w:hAnsi="Arial"/>
                <w:sz w:val="18"/>
                <w:szCs w:val="18"/>
                <w:color w:val="auto"/>
              </w:rPr>
              <w:t>termination benefits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4"/>
                <w:szCs w:val="14"/>
                <w:color w:val="auto"/>
                <w:w w:val="72"/>
              </w:rPr>
              <w:t>(60)</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5"/>
          </w:tcPr>
          <w:p>
            <w:pPr>
              <w:jc w:val="right"/>
              <w:ind w:right="60"/>
              <w:spacing w:after="0" w:line="184" w:lineRule="exact"/>
              <w:rPr>
                <w:sz w:val="20"/>
                <w:szCs w:val="20"/>
                <w:color w:val="auto"/>
              </w:rPr>
            </w:pPr>
            <w:r>
              <w:rPr>
                <w:rFonts w:ascii="Arial" w:cs="Arial" w:eastAsia="Arial" w:hAnsi="Arial"/>
                <w:sz w:val="18"/>
                <w:szCs w:val="18"/>
                <w:color w:val="auto"/>
              </w:rPr>
              <w:t>(62)</w:t>
            </w:r>
          </w:p>
        </w:tc>
        <w:tc>
          <w:tcPr>
            <w:tcW w:w="120" w:type="dxa"/>
            <w:vAlign w:val="bottom"/>
          </w:tcPr>
          <w:p>
            <w:pPr>
              <w:spacing w:after="0"/>
              <w:rPr>
                <w:sz w:val="15"/>
                <w:szCs w:val="15"/>
                <w:color w:val="auto"/>
              </w:rPr>
            </w:pPr>
          </w:p>
        </w:tc>
        <w:tc>
          <w:tcPr>
            <w:tcW w:w="940" w:type="dxa"/>
            <w:vAlign w:val="bottom"/>
            <w:gridSpan w:val="8"/>
          </w:tcPr>
          <w:p>
            <w:pPr>
              <w:ind w:left="320"/>
              <w:spacing w:after="0" w:line="184" w:lineRule="exact"/>
              <w:rPr>
                <w:sz w:val="20"/>
                <w:szCs w:val="20"/>
                <w:color w:val="auto"/>
              </w:rPr>
            </w:pPr>
            <w:r>
              <w:rPr>
                <w:rFonts w:ascii="Arial" w:cs="Arial" w:eastAsia="Arial" w:hAnsi="Arial"/>
                <w:sz w:val="18"/>
                <w:szCs w:val="18"/>
                <w:color w:val="auto"/>
              </w:rPr>
              <w:t>(113)</w:t>
            </w:r>
          </w:p>
        </w:tc>
        <w:tc>
          <w:tcPr>
            <w:tcW w:w="860" w:type="dxa"/>
            <w:vAlign w:val="bottom"/>
            <w:gridSpan w:val="5"/>
          </w:tcPr>
          <w:p>
            <w:pPr>
              <w:jc w:val="right"/>
              <w:ind w:right="140"/>
              <w:spacing w:after="0" w:line="184" w:lineRule="exact"/>
              <w:rPr>
                <w:sz w:val="20"/>
                <w:szCs w:val="20"/>
                <w:color w:val="auto"/>
              </w:rPr>
            </w:pPr>
            <w:r>
              <w:rPr>
                <w:rFonts w:ascii="Arial" w:cs="Arial" w:eastAsia="Arial" w:hAnsi="Arial"/>
                <w:sz w:val="18"/>
                <w:szCs w:val="18"/>
                <w:color w:val="auto"/>
              </w:rPr>
              <w:t>(66)</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3"/>
          </w:tcPr>
          <w:p>
            <w:pPr>
              <w:jc w:val="right"/>
              <w:ind w:right="220"/>
              <w:spacing w:after="0" w:line="184" w:lineRule="exact"/>
              <w:rPr>
                <w:sz w:val="20"/>
                <w:szCs w:val="20"/>
                <w:color w:val="auto"/>
              </w:rPr>
            </w:pPr>
            <w:r>
              <w:rPr>
                <w:rFonts w:ascii="Arial" w:cs="Arial" w:eastAsia="Arial" w:hAnsi="Arial"/>
                <w:sz w:val="18"/>
                <w:szCs w:val="18"/>
                <w:color w:val="auto"/>
                <w:w w:val="90"/>
              </w:rPr>
              <w:t>(6)</w:t>
            </w:r>
          </w:p>
        </w:tc>
        <w:tc>
          <w:tcPr>
            <w:tcW w:w="940" w:type="dxa"/>
            <w:vAlign w:val="bottom"/>
            <w:gridSpan w:val="4"/>
          </w:tcPr>
          <w:p>
            <w:pPr>
              <w:jc w:val="right"/>
              <w:ind w:right="300"/>
              <w:spacing w:after="0" w:line="184" w:lineRule="exact"/>
              <w:rPr>
                <w:sz w:val="20"/>
                <w:szCs w:val="20"/>
                <w:color w:val="auto"/>
              </w:rPr>
            </w:pPr>
            <w:r>
              <w:rPr>
                <w:rFonts w:ascii="Arial" w:cs="Arial" w:eastAsia="Arial" w:hAnsi="Arial"/>
                <w:sz w:val="18"/>
                <w:szCs w:val="18"/>
                <w:color w:val="auto"/>
              </w:rPr>
              <w:t>(307)</w:t>
            </w:r>
          </w:p>
        </w:tc>
        <w:tc>
          <w:tcPr>
            <w:tcW w:w="680" w:type="dxa"/>
            <w:vAlign w:val="bottom"/>
            <w:gridSpan w:val="4"/>
          </w:tcPr>
          <w:p>
            <w:pPr>
              <w:jc w:val="right"/>
              <w:spacing w:after="0" w:line="184" w:lineRule="exact"/>
              <w:rPr>
                <w:sz w:val="20"/>
                <w:szCs w:val="20"/>
                <w:color w:val="auto"/>
              </w:rPr>
            </w:pPr>
            <w:r>
              <w:rPr>
                <w:rFonts w:ascii="Arial" w:cs="Arial" w:eastAsia="Arial" w:hAnsi="Arial"/>
                <w:sz w:val="18"/>
                <w:szCs w:val="18"/>
                <w:color w:val="auto"/>
              </w:rPr>
              <w:t>(428)</w:t>
            </w:r>
          </w:p>
        </w:tc>
      </w:tr>
      <w:tr>
        <w:trPr>
          <w:trHeight w:val="20"/>
        </w:trPr>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right w:val="single" w:sz="8" w:color="auto"/>
            </w:tcBorders>
            <w:gridSpan w:val="3"/>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right w:val="single" w:sz="8" w:color="auto"/>
            </w:tcBorders>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2280" w:type="dxa"/>
            <w:vAlign w:val="bottom"/>
          </w:tcPr>
          <w:p>
            <w:pPr>
              <w:spacing w:after="0"/>
              <w:rPr>
                <w:sz w:val="20"/>
                <w:szCs w:val="20"/>
                <w:color w:val="auto"/>
              </w:rPr>
            </w:pPr>
            <w:r>
              <w:rPr>
                <w:rFonts w:ascii="Arial" w:cs="Arial" w:eastAsia="Arial" w:hAnsi="Arial"/>
                <w:sz w:val="18"/>
                <w:szCs w:val="18"/>
                <w:color w:val="auto"/>
              </w:rPr>
              <w:t>Balance - June 30, 2009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gridSpan w:val="3"/>
          </w:tcPr>
          <w:p>
            <w:pPr>
              <w:jc w:val="center"/>
              <w:ind w:left="139"/>
              <w:spacing w:after="0"/>
              <w:rPr>
                <w:sz w:val="20"/>
                <w:szCs w:val="20"/>
                <w:color w:val="auto"/>
              </w:rPr>
            </w:pPr>
            <w:r>
              <w:rPr>
                <w:rFonts w:ascii="Arial" w:cs="Arial" w:eastAsia="Arial" w:hAnsi="Arial"/>
                <w:sz w:val="18"/>
                <w:szCs w:val="18"/>
                <w:color w:val="auto"/>
                <w:w w:val="79"/>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99"/>
              </w:rPr>
              <w:t>9</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$ 11</w:t>
            </w:r>
          </w:p>
        </w:tc>
        <w:tc>
          <w:tcPr>
            <w:tcW w:w="240" w:type="dxa"/>
            <w:vAlign w:val="bottom"/>
          </w:tcPr>
          <w:p>
            <w:pPr>
              <w:spacing w:after="0"/>
              <w:rPr>
                <w:sz w:val="24"/>
                <w:szCs w:val="24"/>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42</w:t>
            </w:r>
          </w:p>
        </w:tc>
      </w:tr>
      <w:tr>
        <w:trPr>
          <w:trHeight w:val="20"/>
        </w:trPr>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MAJOR CUSTOMERS</w:t>
      </w:r>
    </w:p>
    <w:p>
      <w:pPr>
        <w:spacing w:after="0" w:line="191"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Texas Instruments Incorporated and Teradyne, Inc. each accounted for 15% of our consolidated net revenues for the six months ended June 30, 2010. While all three of our operating segments sold products to these customers, these revenues were primarily generated by our Mechanical Products and Electrical Products segments. During the six months ended June 30, 2010, no other customer accounted for 10% or more of our consolidated net revenues. During the six months ended June 30, 2009, no customer accounted for 10% or more of our consolidated net revenues.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00"/>
          </w:cols>
          <w:pgMar w:left="240" w:top="347" w:right="259"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000"/>
        <w:spacing w:after="0"/>
        <w:rPr>
          <w:sz w:val="20"/>
          <w:szCs w:val="20"/>
          <w:color w:val="auto"/>
        </w:rPr>
      </w:pPr>
      <w:r>
        <w:rPr>
          <w:rFonts w:ascii="Arial" w:cs="Arial" w:eastAsia="Arial" w:hAnsi="Arial"/>
          <w:sz w:val="16"/>
          <w:szCs w:val="16"/>
          <w:b w:val="1"/>
          <w:bCs w:val="1"/>
          <w:color w:val="auto"/>
        </w:rPr>
        <w:t>inTEST CORPORATION</w:t>
      </w:r>
    </w:p>
    <w:p>
      <w:pPr>
        <w:sectPr>
          <w:pgSz w:w="11900" w:h="16838" w:orient="portrait"/>
          <w:cols w:equalWidth="0" w:num="1">
            <w:col w:w="11400"/>
          </w:cols>
          <w:pgMar w:left="240" w:top="347" w:right="259" w:bottom="15" w:gutter="0" w:footer="0" w:header="0"/>
          <w:type w:val="continuous"/>
        </w:sectPr>
      </w:pPr>
    </w:p>
    <w:bookmarkStart w:id="10" w:name="page11"/>
    <w:bookmarkEnd w:id="10"/>
    <w:p>
      <w:pPr>
        <w:jc w:val="center"/>
        <w:ind w:left="5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Inventories held at June 30, 2010 and December 31, 2009 were comprised of the following:</w:t>
      </w:r>
    </w:p>
    <w:p>
      <w:pPr>
        <w:spacing w:after="0" w:line="183"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440" w:type="dxa"/>
            <w:vAlign w:val="bottom"/>
            <w:gridSpan w:val="4"/>
          </w:tcPr>
          <w:p>
            <w:pPr>
              <w:ind w:left="680"/>
              <w:spacing w:after="0"/>
              <w:rPr>
                <w:sz w:val="20"/>
                <w:szCs w:val="20"/>
                <w:color w:val="auto"/>
              </w:rPr>
            </w:pPr>
            <w:r>
              <w:rPr>
                <w:rFonts w:ascii="Arial" w:cs="Arial" w:eastAsia="Arial" w:hAnsi="Arial"/>
                <w:sz w:val="14"/>
                <w:szCs w:val="14"/>
                <w:b w:val="1"/>
                <w:bCs w:val="1"/>
                <w:i w:val="1"/>
                <w:iCs w:val="1"/>
                <w:color w:val="auto"/>
              </w:rPr>
              <w:t>June 30,</w:t>
            </w:r>
          </w:p>
        </w:tc>
        <w:tc>
          <w:tcPr>
            <w:tcW w:w="540" w:type="dxa"/>
            <w:vAlign w:val="bottom"/>
            <w:gridSpan w:val="3"/>
          </w:tcPr>
          <w:p>
            <w:pPr>
              <w:jc w:val="center"/>
              <w:ind w:right="40"/>
              <w:spacing w:after="0"/>
              <w:rPr>
                <w:sz w:val="20"/>
                <w:szCs w:val="20"/>
                <w:color w:val="auto"/>
              </w:rPr>
            </w:pPr>
            <w:r>
              <w:rPr>
                <w:rFonts w:ascii="Arial" w:cs="Arial" w:eastAsia="Arial" w:hAnsi="Arial"/>
                <w:sz w:val="14"/>
                <w:szCs w:val="14"/>
                <w:b w:val="1"/>
                <w:bCs w:val="1"/>
                <w:i w:val="1"/>
                <w:iCs w:val="1"/>
                <w:color w:val="auto"/>
                <w:w w:val="86"/>
              </w:rPr>
              <w:t>Dec. 31,</w:t>
            </w:r>
          </w:p>
        </w:tc>
      </w:tr>
      <w:tr>
        <w:trPr>
          <w:trHeight w:val="146"/>
        </w:trPr>
        <w:tc>
          <w:tcPr>
            <w:tcW w:w="2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Borders>
              <w:bottom w:val="single" w:sz="8" w:color="auto"/>
            </w:tcBorders>
            <w:gridSpan w:val="2"/>
          </w:tcPr>
          <w:p>
            <w:pPr>
              <w:jc w:val="right"/>
              <w:ind w:right="72"/>
              <w:spacing w:after="0" w:line="146" w:lineRule="exact"/>
              <w:rPr>
                <w:sz w:val="20"/>
                <w:szCs w:val="20"/>
                <w:color w:val="auto"/>
              </w:rPr>
            </w:pPr>
            <w:r>
              <w:rPr>
                <w:rFonts w:ascii="Arial" w:cs="Arial" w:eastAsia="Arial" w:hAnsi="Arial"/>
                <w:sz w:val="14"/>
                <w:szCs w:val="14"/>
                <w:b w:val="1"/>
                <w:bCs w:val="1"/>
                <w:i w:val="1"/>
                <w:iCs w:val="1"/>
                <w:color w:val="auto"/>
              </w:rPr>
              <w:t>2010</w:t>
            </w:r>
          </w:p>
        </w:tc>
        <w:tc>
          <w:tcPr>
            <w:tcW w:w="220" w:type="dxa"/>
            <w:vAlign w:val="bottom"/>
          </w:tcPr>
          <w:p>
            <w:pPr>
              <w:spacing w:after="0"/>
              <w:rPr>
                <w:sz w:val="12"/>
                <w:szCs w:val="12"/>
                <w:color w:val="auto"/>
              </w:rPr>
            </w:pPr>
          </w:p>
        </w:tc>
        <w:tc>
          <w:tcPr>
            <w:tcW w:w="480" w:type="dxa"/>
            <w:vAlign w:val="bottom"/>
            <w:tcBorders>
              <w:bottom w:val="single" w:sz="8" w:color="auto"/>
            </w:tcBorders>
            <w:gridSpan w:val="2"/>
          </w:tcPr>
          <w:p>
            <w:pPr>
              <w:jc w:val="right"/>
              <w:ind w:right="12"/>
              <w:spacing w:after="0" w:line="146" w:lineRule="exact"/>
              <w:rPr>
                <w:sz w:val="20"/>
                <w:szCs w:val="20"/>
                <w:color w:val="auto"/>
              </w:rPr>
            </w:pPr>
            <w:r>
              <w:rPr>
                <w:rFonts w:ascii="Arial" w:cs="Arial" w:eastAsia="Arial" w:hAnsi="Arial"/>
                <w:sz w:val="14"/>
                <w:szCs w:val="14"/>
                <w:b w:val="1"/>
                <w:bCs w:val="1"/>
                <w:i w:val="1"/>
                <w:iCs w:val="1"/>
                <w:color w:val="auto"/>
              </w:rPr>
              <w:t>2009</w:t>
            </w:r>
          </w:p>
        </w:tc>
        <w:tc>
          <w:tcPr>
            <w:tcW w:w="60" w:type="dxa"/>
            <w:vAlign w:val="bottom"/>
          </w:tcPr>
          <w:p>
            <w:pPr>
              <w:spacing w:after="0"/>
              <w:rPr>
                <w:sz w:val="12"/>
                <w:szCs w:val="12"/>
                <w:color w:val="auto"/>
              </w:rPr>
            </w:pPr>
          </w:p>
        </w:tc>
      </w:tr>
      <w:tr>
        <w:trPr>
          <w:trHeight w:val="235"/>
        </w:trPr>
        <w:tc>
          <w:tcPr>
            <w:tcW w:w="2780" w:type="dxa"/>
            <w:vAlign w:val="bottom"/>
          </w:tcPr>
          <w:p>
            <w:pPr>
              <w:spacing w:after="0"/>
              <w:rPr>
                <w:sz w:val="20"/>
                <w:szCs w:val="20"/>
                <w:color w:val="auto"/>
              </w:rPr>
            </w:pPr>
            <w:r>
              <w:rPr>
                <w:rFonts w:ascii="Arial" w:cs="Arial" w:eastAsia="Arial" w:hAnsi="Arial"/>
                <w:sz w:val="18"/>
                <w:szCs w:val="18"/>
                <w:color w:val="auto"/>
              </w:rPr>
              <w:t>Raw materials</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$2,209</w:t>
            </w:r>
          </w:p>
        </w:tc>
        <w:tc>
          <w:tcPr>
            <w:tcW w:w="22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$2,176</w:t>
            </w:r>
          </w:p>
        </w:tc>
      </w:tr>
      <w:tr>
        <w:trPr>
          <w:trHeight w:val="459"/>
        </w:trPr>
        <w:tc>
          <w:tcPr>
            <w:tcW w:w="2780" w:type="dxa"/>
            <w:vAlign w:val="bottom"/>
          </w:tcPr>
          <w:p>
            <w:pPr>
              <w:spacing w:after="0"/>
              <w:rPr>
                <w:sz w:val="20"/>
                <w:szCs w:val="20"/>
                <w:color w:val="auto"/>
              </w:rPr>
            </w:pPr>
            <w:r>
              <w:rPr>
                <w:rFonts w:ascii="Arial" w:cs="Arial" w:eastAsia="Arial" w:hAnsi="Arial"/>
                <w:sz w:val="18"/>
                <w:szCs w:val="18"/>
                <w:color w:val="auto"/>
              </w:rPr>
              <w:t>Work in process</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512</w:t>
            </w:r>
          </w:p>
        </w:tc>
        <w:tc>
          <w:tcPr>
            <w:tcW w:w="22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285</w:t>
            </w:r>
          </w:p>
        </w:tc>
      </w:tr>
      <w:tr>
        <w:trPr>
          <w:trHeight w:val="459"/>
        </w:trPr>
        <w:tc>
          <w:tcPr>
            <w:tcW w:w="2780" w:type="dxa"/>
            <w:vAlign w:val="bottom"/>
          </w:tcPr>
          <w:p>
            <w:pPr>
              <w:spacing w:after="0"/>
              <w:rPr>
                <w:sz w:val="20"/>
                <w:szCs w:val="20"/>
                <w:color w:val="auto"/>
              </w:rPr>
            </w:pPr>
            <w:r>
              <w:rPr>
                <w:rFonts w:ascii="Arial" w:cs="Arial" w:eastAsia="Arial" w:hAnsi="Arial"/>
                <w:sz w:val="18"/>
                <w:szCs w:val="18"/>
                <w:color w:val="auto"/>
              </w:rPr>
              <w:t>Inventory consigned to others</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72</w:t>
            </w:r>
          </w:p>
        </w:tc>
      </w:tr>
      <w:tr>
        <w:trPr>
          <w:trHeight w:val="421"/>
        </w:trPr>
        <w:tc>
          <w:tcPr>
            <w:tcW w:w="2780" w:type="dxa"/>
            <w:vAlign w:val="bottom"/>
          </w:tcPr>
          <w:p>
            <w:pPr>
              <w:spacing w:after="0"/>
              <w:rPr>
                <w:sz w:val="20"/>
                <w:szCs w:val="20"/>
                <w:color w:val="auto"/>
              </w:rPr>
            </w:pPr>
            <w:r>
              <w:rPr>
                <w:rFonts w:ascii="Arial" w:cs="Arial" w:eastAsia="Arial" w:hAnsi="Arial"/>
                <w:sz w:val="18"/>
                <w:szCs w:val="18"/>
                <w:color w:val="auto"/>
              </w:rPr>
              <w:t>Finished goods</w:t>
            </w:r>
          </w:p>
        </w:tc>
        <w:tc>
          <w:tcPr>
            <w:tcW w:w="780" w:type="dxa"/>
            <w:vAlign w:val="bottom"/>
            <w:gridSpan w:val="2"/>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531</w:t>
            </w:r>
          </w:p>
        </w:tc>
      </w:tr>
      <w:tr>
        <w:trPr>
          <w:trHeight w:val="439"/>
        </w:trPr>
        <w:tc>
          <w:tcPr>
            <w:tcW w:w="278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3,176</w:t>
            </w:r>
          </w:p>
        </w:tc>
        <w:tc>
          <w:tcPr>
            <w:tcW w:w="22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3,064</w:t>
            </w:r>
          </w:p>
        </w:tc>
      </w:tr>
      <w:tr>
        <w:trPr>
          <w:trHeight w:val="20"/>
        </w:trPr>
        <w:tc>
          <w:tcPr>
            <w:tcW w:w="2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Notes Payable to Stockholder</w:t>
      </w:r>
    </w:p>
    <w:p>
      <w:pPr>
        <w:spacing w:after="0" w:line="225" w:lineRule="exact"/>
        <w:rPr>
          <w:sz w:val="20"/>
          <w:szCs w:val="20"/>
          <w:color w:val="auto"/>
        </w:rPr>
      </w:pPr>
    </w:p>
    <w:p>
      <w:pPr>
        <w:jc w:val="both"/>
        <w:ind w:left="540" w:right="160"/>
        <w:spacing w:after="0" w:line="256" w:lineRule="auto"/>
        <w:rPr>
          <w:sz w:val="20"/>
          <w:szCs w:val="20"/>
          <w:color w:val="auto"/>
        </w:rPr>
      </w:pPr>
      <w:r>
        <w:rPr>
          <w:rFonts w:ascii="Arial" w:cs="Arial" w:eastAsia="Arial" w:hAnsi="Arial"/>
          <w:sz w:val="18"/>
          <w:szCs w:val="18"/>
          <w:color w:val="auto"/>
        </w:rPr>
        <w:t>As a result of our acquisition of Sigma as more fully discussed in Note 3 to the consolidated financial statements in our 2009 Form 10-K, we have non-negotiable promissory notes in an aggregate principal amount of $1,525 outstanding at June 30, 2010 and December 31, 2009. The notes bear interest at the prime rate plus 1.25% and are secured by the assets of Sigma. Interest is payable annually on the anniversary of closing. Principal is payable in four equal annual installments of $381 beginning on October 6, 2010.</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Line of Credit</w:t>
      </w:r>
    </w:p>
    <w:p>
      <w:pPr>
        <w:spacing w:after="0" w:line="225"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At each of June 30, 2010 and December 31, 2009, we have a secured credit facility that provides for maximum borrowings of $250. We have not used this credit facility to borrow any funds. Our usage consists of the issuance of letters of credit in the face amount of $250. This facility had been secured by all assets of inTEST Corporation, Temptronic Corporation and inTEST Silicon Valley Corporation, excluding all patents, trademarks and applications for same. During the quarter ended September 30, 2009, we agreed with the lender who provides this secured credit facility to release their liens against the assets of our operations in exchange for pledged certificates of deposit in amounts equal to the face amount of the letters of credit issued under this facility. These certificates of deposit are included in Restricted Certificates of Deposit on our balance sheet. We pay a quarterly fee of 1.5% per annum on the total amount of the outstanding letters of credit. This credit facility expires on September 30, 201 0. We expect to renew it for an additional year.</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sz w:val="20"/>
          <w:szCs w:val="20"/>
          <w:color w:val="auto"/>
        </w:rPr>
      </w:pPr>
    </w:p>
    <w:p>
      <w:pPr>
        <w:ind w:left="540" w:right="40"/>
        <w:spacing w:after="0" w:line="298" w:lineRule="auto"/>
        <w:rPr>
          <w:sz w:val="20"/>
          <w:szCs w:val="20"/>
          <w:color w:val="auto"/>
        </w:rPr>
      </w:pPr>
      <w:r>
        <w:rPr>
          <w:rFonts w:ascii="Arial" w:cs="Arial" w:eastAsia="Arial" w:hAnsi="Arial"/>
          <w:sz w:val="16"/>
          <w:szCs w:val="16"/>
          <w:color w:val="auto"/>
        </w:rPr>
        <w:t>At each of June 30, 2010 and December 31, 2009, we had an outstanding letter of credit in the amount of $200. This letter of credit was originally issued in December 2000 as a security deposit under a lease that our Temptronic subsidiary entered into for its facility in Sharon, Massachusetts. This letter of credit expires January 1, 2011; however, the terms of the lease require that the letter of credit be renewed at least thirty days prior to its expiration date for successive terms of not less than one year throughout the entire lease term, which ends February 28, 2011.</w:t>
      </w:r>
    </w:p>
    <w:p>
      <w:pPr>
        <w:spacing w:after="0" w:line="167" w:lineRule="exact"/>
        <w:rPr>
          <w:sz w:val="20"/>
          <w:szCs w:val="20"/>
          <w:color w:val="auto"/>
        </w:rPr>
      </w:pPr>
    </w:p>
    <w:p>
      <w:pPr>
        <w:ind w:left="540" w:right="60"/>
        <w:spacing w:after="0" w:line="323" w:lineRule="auto"/>
        <w:rPr>
          <w:sz w:val="20"/>
          <w:szCs w:val="20"/>
          <w:color w:val="auto"/>
        </w:rPr>
      </w:pPr>
      <w:r>
        <w:rPr>
          <w:rFonts w:ascii="Arial" w:cs="Arial" w:eastAsia="Arial" w:hAnsi="Arial"/>
          <w:sz w:val="15"/>
          <w:szCs w:val="15"/>
          <w:color w:val="auto"/>
        </w:rPr>
        <w:t>At each of June 30, 2010 and December 31, 2009, we also had an outstanding letter of credit in the amount of $50. This letter of credit was issued in September 2004 as a portion of the security deposit under a lease that we entered into for a facility for our Electrical Products operation based in northern California. This letter of credit expires September 13, 2010, however, the terms of the lease require that the letter of credit be renewed at least thirty days prior to its expiration date for successive terms of not less than one year until June 30, 2012, which is sixty days after the expiration of the lease term.</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left="54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left="5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(Unaudited)</w:t>
      </w:r>
    </w:p>
    <w:p>
      <w:pPr>
        <w:spacing w:after="0" w:line="388"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DEBT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On April 1, 2010, an additional letter of credit in the amount of $250 was issued. This letter of credit is secured by a separate pledged certificate of deposit in the amount of $250. This letter of credit was issued as a security deposit under a lease that we have entered into for a facility in Mount Laurel, New Jersey. Our Mechanical Products operation which is currently located in Cherry Hill, New Jersey will be relocating to this smaller facility in Mount Laurel, New Jersey during the fourth quarter of 2010. This letter of credit expires April 1, 2011; however, the terms of the lease require that the letter of credit be renewed at least thirty days prior to its expiration date for successive terms of not less than one year throughout the entire lease term, which ends 123 months after we take occupancy of the facility. Provided that there is no event of default as defined under the terms and conditions of the lease, the required amount of the letter of credit shall decrease to $125 as of the sixty-four th month of the term of the lease and to $90 as of the one-hundredth month of the term of the lease.</w:t>
      </w:r>
    </w:p>
    <w:p>
      <w:pPr>
        <w:sectPr>
          <w:pgSz w:w="11900" w:h="16838" w:orient="portrait"/>
          <w:cols w:equalWidth="0" w:num="1">
            <w:col w:w="11400"/>
          </w:cols>
          <w:pgMar w:left="240" w:top="125" w:right="259" w:bottom="0" w:gutter="0" w:footer="0" w:header="0"/>
        </w:sect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LEASEHOLD IMPROVEMENTS AND DEFERRED RENT</w:t>
      </w:r>
    </w:p>
    <w:p>
      <w:pPr>
        <w:sectPr>
          <w:pgSz w:w="11900" w:h="16838" w:orient="portrait"/>
          <w:cols w:equalWidth="0" w:num="1">
            <w:col w:w="11400"/>
          </w:cols>
          <w:pgMar w:left="240" w:top="125" w:right="259" w:bottom="0" w:gutter="0" w:footer="0" w:header="0"/>
          <w:type w:val="continuous"/>
        </w:sectPr>
      </w:pPr>
    </w:p>
    <w:bookmarkStart w:id="11" w:name="page12"/>
    <w:bookmarkEnd w:id="11"/>
    <w:p>
      <w:pPr>
        <w:spacing w:after="0" w:line="28" w:lineRule="exact"/>
        <w:rPr>
          <w:sz w:val="20"/>
          <w:szCs w:val="20"/>
          <w:color w:val="auto"/>
        </w:rPr>
      </w:pPr>
    </w:p>
    <w:p>
      <w:pPr>
        <w:ind w:left="540" w:right="60"/>
        <w:spacing w:after="0" w:line="298" w:lineRule="auto"/>
        <w:rPr>
          <w:sz w:val="20"/>
          <w:szCs w:val="20"/>
          <w:color w:val="auto"/>
        </w:rPr>
      </w:pPr>
      <w:r>
        <w:rPr>
          <w:rFonts w:ascii="Arial" w:cs="Arial" w:eastAsia="Arial" w:hAnsi="Arial"/>
          <w:sz w:val="16"/>
          <w:szCs w:val="16"/>
          <w:color w:val="auto"/>
        </w:rPr>
        <w:t>We record tenant improvements made to our leased facilities based on the amount of the total cost to construct the improvements regardless of whether a portion of that cost was paid through an allowance provided by the facility's landlord. The amount of the allowance, if any, is recorded as deferred rent. We amortize deferred rent on a straight-line basis over the lease term and record the amortization as a reduction of rent expense. Amortization of deferred rent for the six months ended June 30, 2010 and 2009 was $59 and $59, respectively.</w:t>
      </w:r>
    </w:p>
    <w:p>
      <w:pPr>
        <w:spacing w:after="0" w:line="167" w:lineRule="exact"/>
        <w:rPr>
          <w:sz w:val="20"/>
          <w:szCs w:val="20"/>
          <w:color w:val="auto"/>
        </w:rPr>
      </w:pPr>
    </w:p>
    <w:p>
      <w:pPr>
        <w:ind w:left="540" w:right="200"/>
        <w:spacing w:after="0" w:line="306" w:lineRule="auto"/>
        <w:rPr>
          <w:sz w:val="20"/>
          <w:szCs w:val="20"/>
          <w:color w:val="auto"/>
        </w:rPr>
      </w:pPr>
      <w:r>
        <w:rPr>
          <w:rFonts w:ascii="Arial" w:cs="Arial" w:eastAsia="Arial" w:hAnsi="Arial"/>
          <w:sz w:val="16"/>
          <w:szCs w:val="16"/>
          <w:color w:val="auto"/>
        </w:rPr>
        <w:t>In addition, certain of our operating leases contain predetermined fixed escalations of minimum rentals during the original lease terms. For these leases, we recognize the related rental expense on a straight-line basis over the life of the lease and record the difference between the amounts charged to operations and amounts paid as accrued rent which is included in other accrued expenses on our balance sheet.</w:t>
      </w:r>
    </w:p>
    <w:p>
      <w:pPr>
        <w:spacing w:after="0" w:line="330" w:lineRule="exact"/>
        <w:rPr>
          <w:sz w:val="20"/>
          <w:szCs w:val="20"/>
          <w:color w:val="auto"/>
        </w:rPr>
      </w:pPr>
    </w:p>
    <w:p>
      <w:pPr>
        <w:ind w:left="540" w:right="9440" w:hanging="532"/>
        <w:spacing w:after="0" w:line="577" w:lineRule="auto"/>
        <w:tabs>
          <w:tab w:leader="none" w:pos="292"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GUARANTEES </w:t>
      </w:r>
      <w:r>
        <w:rPr>
          <w:rFonts w:ascii="Arial" w:cs="Arial" w:eastAsia="Arial" w:hAnsi="Arial"/>
          <w:sz w:val="15"/>
          <w:szCs w:val="15"/>
          <w:b w:val="1"/>
          <w:bCs w:val="1"/>
          <w:i w:val="1"/>
          <w:iCs w:val="1"/>
          <w:u w:val="single" w:color="auto"/>
          <w:color w:val="auto"/>
        </w:rPr>
        <w:t>Product Warranties</w:t>
      </w:r>
    </w:p>
    <w:p>
      <w:pPr>
        <w:ind w:left="540" w:right="380"/>
        <w:spacing w:after="0" w:line="268" w:lineRule="auto"/>
        <w:rPr>
          <w:sz w:val="20"/>
          <w:szCs w:val="20"/>
          <w:color w:val="auto"/>
        </w:rPr>
      </w:pPr>
      <w:r>
        <w:rPr>
          <w:rFonts w:ascii="Arial" w:cs="Arial" w:eastAsia="Arial" w:hAnsi="Arial"/>
          <w:sz w:val="18"/>
          <w:szCs w:val="18"/>
          <w:color w:val="auto"/>
        </w:rPr>
        <w:t>Warranty expense for the six months ended June 30, 2010 and 2009 was $102 and $35, respectively. The following table sets forth the changes in the liability for product warranties for the six months ended June 30, 2010:</w:t>
      </w:r>
    </w:p>
    <w:p>
      <w:pPr>
        <w:spacing w:after="0" w:line="159"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Balance - January 1, 2010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84"/>
              </w:rPr>
              <w:t>$228</w:t>
            </w:r>
          </w:p>
        </w:tc>
        <w:tc>
          <w:tcPr>
            <w:tcW w:w="40" w:type="dxa"/>
            <w:vAlign w:val="bottom"/>
          </w:tcPr>
          <w:p>
            <w:pPr>
              <w:spacing w:after="0"/>
              <w:rPr>
                <w:sz w:val="19"/>
                <w:szCs w:val="19"/>
                <w:color w:val="auto"/>
              </w:rPr>
            </w:pPr>
          </w:p>
        </w:tc>
      </w:tr>
      <w:tr>
        <w:trPr>
          <w:trHeight w:val="459"/>
        </w:trPr>
        <w:tc>
          <w:tcPr>
            <w:tcW w:w="4980" w:type="dxa"/>
            <w:vAlign w:val="bottom"/>
          </w:tcPr>
          <w:p>
            <w:pPr>
              <w:spacing w:after="0"/>
              <w:rPr>
                <w:sz w:val="20"/>
                <w:szCs w:val="20"/>
                <w:color w:val="auto"/>
              </w:rPr>
            </w:pPr>
            <w:r>
              <w:rPr>
                <w:rFonts w:ascii="Arial" w:cs="Arial" w:eastAsia="Arial" w:hAnsi="Arial"/>
                <w:sz w:val="18"/>
                <w:szCs w:val="18"/>
                <w:color w:val="auto"/>
              </w:rPr>
              <w:t>Payments made under product warranty</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(67)</w:t>
            </w:r>
          </w:p>
        </w:tc>
      </w:tr>
      <w:tr>
        <w:trPr>
          <w:trHeight w:val="421"/>
        </w:trPr>
        <w:tc>
          <w:tcPr>
            <w:tcW w:w="4980" w:type="dxa"/>
            <w:vAlign w:val="bottom"/>
          </w:tcPr>
          <w:p>
            <w:pPr>
              <w:spacing w:after="0"/>
              <w:rPr>
                <w:sz w:val="20"/>
                <w:szCs w:val="20"/>
                <w:color w:val="auto"/>
              </w:rPr>
            </w:pPr>
            <w:r>
              <w:rPr>
                <w:rFonts w:ascii="Arial" w:cs="Arial" w:eastAsia="Arial" w:hAnsi="Arial"/>
                <w:sz w:val="18"/>
                <w:szCs w:val="18"/>
                <w:color w:val="auto"/>
              </w:rPr>
              <w:t>Accruals for product warranty</w:t>
            </w:r>
          </w:p>
        </w:tc>
        <w:tc>
          <w:tcPr>
            <w:tcW w:w="4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102</w:t>
            </w:r>
          </w:p>
        </w:tc>
        <w:tc>
          <w:tcPr>
            <w:tcW w:w="40" w:type="dxa"/>
            <w:vAlign w:val="bottom"/>
          </w:tcPr>
          <w:p>
            <w:pPr>
              <w:spacing w:after="0"/>
              <w:rPr>
                <w:sz w:val="24"/>
                <w:szCs w:val="24"/>
                <w:color w:val="auto"/>
              </w:rPr>
            </w:pPr>
          </w:p>
        </w:tc>
      </w:tr>
      <w:tr>
        <w:trPr>
          <w:trHeight w:val="439"/>
        </w:trPr>
        <w:tc>
          <w:tcPr>
            <w:tcW w:w="4980" w:type="dxa"/>
            <w:vAlign w:val="bottom"/>
          </w:tcPr>
          <w:p>
            <w:pPr>
              <w:spacing w:after="0"/>
              <w:rPr>
                <w:sz w:val="20"/>
                <w:szCs w:val="20"/>
                <w:color w:val="auto"/>
              </w:rPr>
            </w:pPr>
            <w:r>
              <w:rPr>
                <w:rFonts w:ascii="Arial" w:cs="Arial" w:eastAsia="Arial" w:hAnsi="Arial"/>
                <w:sz w:val="18"/>
                <w:szCs w:val="18"/>
                <w:color w:val="auto"/>
              </w:rPr>
              <w:t>Balance - June 30, 2010</w:t>
            </w: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263</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U.K. Lease Guarantee</w:t>
      </w:r>
    </w:p>
    <w:p>
      <w:pPr>
        <w:spacing w:after="0" w:line="225" w:lineRule="exact"/>
        <w:rPr>
          <w:sz w:val="20"/>
          <w:szCs w:val="20"/>
          <w:color w:val="auto"/>
        </w:rPr>
      </w:pPr>
    </w:p>
    <w:p>
      <w:pPr>
        <w:ind w:left="540"/>
        <w:spacing w:after="0" w:line="253" w:lineRule="auto"/>
        <w:rPr>
          <w:sz w:val="20"/>
          <w:szCs w:val="20"/>
          <w:color w:val="auto"/>
        </w:rPr>
      </w:pPr>
      <w:r>
        <w:rPr>
          <w:rFonts w:ascii="Arial" w:cs="Arial" w:eastAsia="Arial" w:hAnsi="Arial"/>
          <w:sz w:val="18"/>
          <w:szCs w:val="18"/>
          <w:color w:val="auto"/>
        </w:rPr>
        <w:t>In connection with the closure of our U.K. manufacturing operation, we have entered into a sub-leasing arrangement for the facility which was occupied by this operation prior to its closure. As a condition of the sub-lease, the landlord of this facility has required that we guarantee the performance of the sub-lessee with respect to the lease payments. We have performed a credit analysis of the sub-lessee and believe that a default by them with regard to their obligations under the sub-lease agreement is remote. However, as of June 30, 2010, there was approximately $41 of future payments that we would be obligated to make if the sub-lessee were to default and we were unable to enter into a new sub-lease agreement with another party. Our original lease on this facility extends through December 31, 2010. As of June 30, 2010 we have not recorded any amounts in our financial statements related to this guarantee.</w:t>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- 14 -</w:t>
      </w:r>
    </w:p>
    <w:p>
      <w:pPr>
        <w:spacing w:after="0" w:line="200" w:lineRule="exact"/>
        <w:rPr>
          <w:sz w:val="20"/>
          <w:szCs w:val="20"/>
          <w:color w:val="auto"/>
        </w:rPr>
      </w:pPr>
    </w:p>
    <w:p>
      <w:pPr>
        <w:spacing w:after="0" w:line="370"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(Unaudited)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91" w:lineRule="exact"/>
        <w:rPr>
          <w:sz w:val="20"/>
          <w:szCs w:val="20"/>
          <w:color w:val="auto"/>
        </w:rPr>
      </w:pPr>
    </w:p>
    <w:p>
      <w:pPr>
        <w:ind w:left="540" w:right="280"/>
        <w:spacing w:after="0" w:line="268" w:lineRule="auto"/>
        <w:rPr>
          <w:sz w:val="20"/>
          <w:szCs w:val="20"/>
          <w:color w:val="auto"/>
        </w:rPr>
      </w:pPr>
      <w:r>
        <w:rPr>
          <w:rFonts w:ascii="Arial" w:cs="Arial" w:eastAsia="Arial" w:hAnsi="Arial"/>
          <w:sz w:val="18"/>
          <w:szCs w:val="18"/>
          <w:color w:val="auto"/>
        </w:rPr>
        <w:t>As of June 30, 2010, we have outstanding stock options and unvested restricted stock awards granted under stock-based employee compensation plans that are described more fully in Note 16 to the consolidated financial statements in our 2009 Form 10-K.</w:t>
      </w:r>
    </w:p>
    <w:p>
      <w:pPr>
        <w:spacing w:after="0" w:line="186" w:lineRule="exact"/>
        <w:rPr>
          <w:sz w:val="20"/>
          <w:szCs w:val="20"/>
          <w:color w:val="auto"/>
        </w:rPr>
      </w:pPr>
    </w:p>
    <w:p>
      <w:pPr>
        <w:ind w:left="540" w:right="260"/>
        <w:spacing w:after="0" w:line="268" w:lineRule="auto"/>
        <w:rPr>
          <w:sz w:val="20"/>
          <w:szCs w:val="20"/>
          <w:color w:val="auto"/>
        </w:rPr>
      </w:pPr>
      <w:r>
        <w:rPr>
          <w:rFonts w:ascii="Arial" w:cs="Arial" w:eastAsia="Arial" w:hAnsi="Arial"/>
          <w:sz w:val="18"/>
          <w:szCs w:val="18"/>
          <w:color w:val="auto"/>
        </w:rPr>
        <w:t>As of June 30, 2010, total compensation expense to be recognized in future periods was $493. The weighted average period over which this expense is expected to be recognized is 3.3 years. All of this expense is related to nonvested shares of restricted stock.</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Restricted Stock Awards</w:t>
      </w:r>
    </w:p>
    <w:p>
      <w:pPr>
        <w:spacing w:after="0" w:line="225" w:lineRule="exact"/>
        <w:rPr>
          <w:sz w:val="20"/>
          <w:szCs w:val="20"/>
          <w:color w:val="auto"/>
        </w:rPr>
      </w:pPr>
    </w:p>
    <w:p>
      <w:pPr>
        <w:ind w:left="540" w:right="400"/>
        <w:spacing w:after="0" w:line="335" w:lineRule="auto"/>
        <w:rPr>
          <w:sz w:val="20"/>
          <w:szCs w:val="20"/>
          <w:color w:val="auto"/>
        </w:rPr>
      </w:pPr>
      <w:r>
        <w:rPr>
          <w:rFonts w:ascii="Arial" w:cs="Arial" w:eastAsia="Arial" w:hAnsi="Arial"/>
          <w:sz w:val="15"/>
          <w:szCs w:val="15"/>
          <w:color w:val="auto"/>
        </w:rPr>
        <w:t>We record compensation expense for restricted stock awards (nonvested shares) based on the quoted market price of our stock at the grant date and amortize the expense over the vesting period. Restricted stock awards generally vest over four years. The following table shows the allocation of the compensation expense we recorded during the three months and six months ended June 30, 2010 and 2009, respectively, related to nonvested shares:</w:t>
      </w:r>
    </w:p>
    <w:p>
      <w:pPr>
        <w:spacing w:after="0" w:line="10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000" w:type="dxa"/>
            <w:vAlign w:val="bottom"/>
            <w:gridSpan w:val="10"/>
          </w:tcPr>
          <w:p>
            <w:pPr>
              <w:jc w:val="center"/>
              <w:ind w:left="540"/>
              <w:spacing w:after="0"/>
              <w:rPr>
                <w:sz w:val="20"/>
                <w:szCs w:val="20"/>
                <w:color w:val="auto"/>
              </w:rPr>
            </w:pPr>
            <w:r>
              <w:rPr>
                <w:rFonts w:ascii="Arial" w:cs="Arial" w:eastAsia="Arial" w:hAnsi="Arial"/>
                <w:sz w:val="14"/>
                <w:szCs w:val="14"/>
                <w:b w:val="1"/>
                <w:bCs w:val="1"/>
                <w:i w:val="1"/>
                <w:iCs w:val="1"/>
                <w:color w:val="auto"/>
                <w:w w:val="85"/>
              </w:rPr>
              <w:t>Three Months Ended</w:t>
            </w:r>
          </w:p>
        </w:tc>
        <w:tc>
          <w:tcPr>
            <w:tcW w:w="1240" w:type="dxa"/>
            <w:vAlign w:val="bottom"/>
            <w:gridSpan w:val="11"/>
          </w:tcPr>
          <w:p>
            <w:pPr>
              <w:jc w:val="center"/>
              <w:spacing w:after="0"/>
              <w:rPr>
                <w:sz w:val="20"/>
                <w:szCs w:val="20"/>
                <w:color w:val="auto"/>
              </w:rPr>
            </w:pPr>
            <w:r>
              <w:rPr>
                <w:rFonts w:ascii="Arial" w:cs="Arial" w:eastAsia="Arial" w:hAnsi="Arial"/>
                <w:sz w:val="14"/>
                <w:szCs w:val="14"/>
                <w:b w:val="1"/>
                <w:bCs w:val="1"/>
                <w:i w:val="1"/>
                <w:iCs w:val="1"/>
                <w:color w:val="auto"/>
                <w:w w:val="85"/>
              </w:rPr>
              <w:t>Six Months Ended</w:t>
            </w:r>
          </w:p>
        </w:tc>
      </w:tr>
      <w:tr>
        <w:trPr>
          <w:trHeight w:val="146"/>
        </w:trPr>
        <w:tc>
          <w:tcPr>
            <w:tcW w:w="4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3"/>
          </w:tcPr>
          <w:p>
            <w:pPr>
              <w:jc w:val="center"/>
              <w:ind w:right="40"/>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7"/>
          </w:tcPr>
          <w:p>
            <w:pPr>
              <w:jc w:val="center"/>
              <w:ind w:right="220"/>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100" w:type="dxa"/>
            <w:vAlign w:val="bottom"/>
          </w:tcPr>
          <w:p>
            <w:pPr>
              <w:spacing w:after="0"/>
              <w:rPr>
                <w:sz w:val="12"/>
                <w:szCs w:val="12"/>
                <w:color w:val="auto"/>
              </w:rPr>
            </w:pPr>
          </w:p>
        </w:tc>
      </w:tr>
      <w:tr>
        <w:trPr>
          <w:trHeight w:val="156"/>
        </w:trPr>
        <w:tc>
          <w:tcPr>
            <w:tcW w:w="4020" w:type="dxa"/>
            <w:vAlign w:val="bottom"/>
          </w:tcPr>
          <w:p>
            <w:pPr>
              <w:spacing w:after="0"/>
              <w:rPr>
                <w:sz w:val="13"/>
                <w:szCs w:val="13"/>
                <w:color w:val="auto"/>
              </w:rPr>
            </w:pPr>
          </w:p>
        </w:tc>
        <w:tc>
          <w:tcPr>
            <w:tcW w:w="1300" w:type="dxa"/>
            <w:vAlign w:val="bottom"/>
            <w:gridSpan w:val="5"/>
          </w:tcPr>
          <w:p>
            <w:pPr>
              <w:jc w:val="right"/>
              <w:ind w:right="140"/>
              <w:spacing w:after="0" w:line="155" w:lineRule="exact"/>
              <w:rPr>
                <w:sz w:val="20"/>
                <w:szCs w:val="20"/>
                <w:color w:val="auto"/>
              </w:rPr>
            </w:pPr>
            <w:r>
              <w:rPr>
                <w:rFonts w:ascii="Arial" w:cs="Arial" w:eastAsia="Arial" w:hAnsi="Arial"/>
                <w:sz w:val="14"/>
                <w:szCs w:val="14"/>
                <w:b w:val="1"/>
                <w:bCs w:val="1"/>
                <w:i w:val="1"/>
                <w:iCs w:val="1"/>
                <w:color w:val="auto"/>
              </w:rPr>
              <w:t>2010</w:t>
            </w:r>
          </w:p>
        </w:tc>
        <w:tc>
          <w:tcPr>
            <w:tcW w:w="300" w:type="dxa"/>
            <w:vAlign w:val="bottom"/>
          </w:tcPr>
          <w:p>
            <w:pPr>
              <w:spacing w:after="0"/>
              <w:rPr>
                <w:sz w:val="13"/>
                <w:szCs w:val="13"/>
                <w:color w:val="auto"/>
              </w:rPr>
            </w:pPr>
          </w:p>
        </w:tc>
        <w:tc>
          <w:tcPr>
            <w:tcW w:w="2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2009</w:t>
            </w:r>
          </w:p>
        </w:tc>
        <w:tc>
          <w:tcPr>
            <w:tcW w:w="120" w:type="dxa"/>
            <w:vAlign w:val="bottom"/>
          </w:tcPr>
          <w:p>
            <w:pPr>
              <w:spacing w:after="0"/>
              <w:rPr>
                <w:sz w:val="13"/>
                <w:szCs w:val="13"/>
                <w:color w:val="auto"/>
              </w:rPr>
            </w:pPr>
          </w:p>
        </w:tc>
        <w:tc>
          <w:tcPr>
            <w:tcW w:w="5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i w:val="1"/>
                <w:iCs w:val="1"/>
                <w:color w:val="auto"/>
              </w:rPr>
              <w:t>2010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gridSpan w:val="4"/>
          </w:tcPr>
          <w:p>
            <w:pPr>
              <w:jc w:val="right"/>
              <w:ind w:right="20"/>
              <w:spacing w:after="0" w:line="155" w:lineRule="exact"/>
              <w:rPr>
                <w:sz w:val="20"/>
                <w:szCs w:val="20"/>
                <w:color w:val="auto"/>
              </w:rPr>
            </w:pPr>
            <w:r>
              <w:rPr>
                <w:rFonts w:ascii="Arial" w:cs="Arial" w:eastAsia="Arial" w:hAnsi="Arial"/>
                <w:sz w:val="14"/>
                <w:szCs w:val="14"/>
                <w:b w:val="1"/>
                <w:bCs w:val="1"/>
                <w:i w:val="1"/>
                <w:iCs w:val="1"/>
                <w:color w:val="auto"/>
              </w:rPr>
              <w:t>2009</w:t>
            </w:r>
          </w:p>
        </w:tc>
        <w:tc>
          <w:tcPr>
            <w:tcW w:w="100" w:type="dxa"/>
            <w:vAlign w:val="bottom"/>
          </w:tcPr>
          <w:p>
            <w:pPr>
              <w:spacing w:after="0"/>
              <w:rPr>
                <w:sz w:val="13"/>
                <w:szCs w:val="13"/>
                <w:color w:val="auto"/>
              </w:rPr>
            </w:pPr>
          </w:p>
        </w:tc>
      </w:tr>
      <w:tr>
        <w:trPr>
          <w:trHeight w:val="20"/>
        </w:trPr>
        <w:tc>
          <w:tcPr>
            <w:tcW w:w="40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2"/>
        </w:trPr>
        <w:tc>
          <w:tcPr>
            <w:tcW w:w="4020" w:type="dxa"/>
            <w:vAlign w:val="bottom"/>
          </w:tcPr>
          <w:p>
            <w:pPr>
              <w:spacing w:after="0"/>
              <w:rPr>
                <w:sz w:val="20"/>
                <w:szCs w:val="20"/>
                <w:color w:val="auto"/>
              </w:rPr>
            </w:pPr>
            <w:r>
              <w:rPr>
                <w:rFonts w:ascii="Arial" w:cs="Arial" w:eastAsia="Arial" w:hAnsi="Arial"/>
                <w:sz w:val="18"/>
                <w:szCs w:val="18"/>
                <w:color w:val="auto"/>
              </w:rPr>
              <w:t>Cost of revenues</w:t>
            </w:r>
          </w:p>
        </w:tc>
        <w:tc>
          <w:tcPr>
            <w:tcW w:w="900" w:type="dxa"/>
            <w:vAlign w:val="bottom"/>
            <w:gridSpan w:val="2"/>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  3</w:t>
            </w:r>
          </w:p>
        </w:tc>
        <w:tc>
          <w:tcPr>
            <w:tcW w:w="300" w:type="dxa"/>
            <w:vAlign w:val="bottom"/>
          </w:tcPr>
          <w:p>
            <w:pPr>
              <w:spacing w:after="0"/>
              <w:rPr>
                <w:sz w:val="24"/>
                <w:szCs w:val="24"/>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  2</w:t>
            </w:r>
          </w:p>
        </w:tc>
        <w:tc>
          <w:tcPr>
            <w:tcW w:w="740" w:type="dxa"/>
            <w:vAlign w:val="bottom"/>
            <w:gridSpan w:val="6"/>
          </w:tcPr>
          <w:p>
            <w:pPr>
              <w:jc w:val="right"/>
              <w:ind w:right="120"/>
              <w:spacing w:after="0"/>
              <w:rPr>
                <w:sz w:val="20"/>
                <w:szCs w:val="20"/>
                <w:color w:val="auto"/>
              </w:rPr>
            </w:pPr>
            <w:r>
              <w:rPr>
                <w:rFonts w:ascii="Arial" w:cs="Arial" w:eastAsia="Arial" w:hAnsi="Arial"/>
                <w:sz w:val="18"/>
                <w:szCs w:val="18"/>
                <w:color w:val="auto"/>
              </w:rPr>
              <w:t>$  5</w:t>
            </w:r>
          </w:p>
        </w:tc>
        <w:tc>
          <w:tcPr>
            <w:tcW w:w="500" w:type="dxa"/>
            <w:vAlign w:val="bottom"/>
            <w:gridSpan w:val="5"/>
          </w:tcPr>
          <w:p>
            <w:pPr>
              <w:jc w:val="right"/>
              <w:spacing w:after="0"/>
              <w:rPr>
                <w:sz w:val="20"/>
                <w:szCs w:val="20"/>
                <w:color w:val="auto"/>
              </w:rPr>
            </w:pPr>
            <w:r>
              <w:rPr>
                <w:rFonts w:ascii="Arial" w:cs="Arial" w:eastAsia="Arial" w:hAnsi="Arial"/>
                <w:sz w:val="18"/>
                <w:szCs w:val="18"/>
                <w:color w:val="auto"/>
              </w:rPr>
              <w:t>$  3</w:t>
            </w:r>
          </w:p>
        </w:tc>
      </w:tr>
      <w:tr>
        <w:trPr>
          <w:trHeight w:val="459"/>
        </w:trPr>
        <w:tc>
          <w:tcPr>
            <w:tcW w:w="4020" w:type="dxa"/>
            <w:vAlign w:val="bottom"/>
          </w:tcPr>
          <w:p>
            <w:pPr>
              <w:spacing w:after="0"/>
              <w:rPr>
                <w:sz w:val="20"/>
                <w:szCs w:val="20"/>
                <w:color w:val="auto"/>
              </w:rPr>
            </w:pPr>
            <w:r>
              <w:rPr>
                <w:rFonts w:ascii="Arial" w:cs="Arial" w:eastAsia="Arial" w:hAnsi="Arial"/>
                <w:sz w:val="18"/>
                <w:szCs w:val="18"/>
                <w:color w:val="auto"/>
              </w:rPr>
              <w:t>Selling expenses</w:t>
            </w:r>
          </w:p>
        </w:tc>
        <w:tc>
          <w:tcPr>
            <w:tcW w:w="1300" w:type="dxa"/>
            <w:vAlign w:val="bottom"/>
            <w:gridSpan w:val="5"/>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4"/>
                <w:szCs w:val="24"/>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2</w:t>
            </w:r>
          </w:p>
        </w:tc>
        <w:tc>
          <w:tcPr>
            <w:tcW w:w="740" w:type="dxa"/>
            <w:vAlign w:val="bottom"/>
            <w:gridSpan w:val="6"/>
          </w:tcPr>
          <w:p>
            <w:pPr>
              <w:jc w:val="right"/>
              <w:ind w:right="120"/>
              <w:spacing w:after="0"/>
              <w:rPr>
                <w:sz w:val="20"/>
                <w:szCs w:val="20"/>
                <w:color w:val="auto"/>
              </w:rPr>
            </w:pPr>
            <w:r>
              <w:rPr>
                <w:rFonts w:ascii="Arial" w:cs="Arial" w:eastAsia="Arial" w:hAnsi="Arial"/>
                <w:sz w:val="18"/>
                <w:szCs w:val="18"/>
                <w:color w:val="auto"/>
              </w:rPr>
              <w:t>8</w:t>
            </w:r>
          </w:p>
        </w:tc>
        <w:tc>
          <w:tcPr>
            <w:tcW w:w="500" w:type="dxa"/>
            <w:vAlign w:val="bottom"/>
            <w:gridSpan w:val="5"/>
          </w:tcPr>
          <w:p>
            <w:pPr>
              <w:jc w:val="right"/>
              <w:spacing w:after="0"/>
              <w:rPr>
                <w:sz w:val="20"/>
                <w:szCs w:val="20"/>
                <w:color w:val="auto"/>
              </w:rPr>
            </w:pPr>
            <w:r>
              <w:rPr>
                <w:rFonts w:ascii="Arial" w:cs="Arial" w:eastAsia="Arial" w:hAnsi="Arial"/>
                <w:sz w:val="18"/>
                <w:szCs w:val="18"/>
                <w:color w:val="auto"/>
              </w:rPr>
              <w:t>5</w:t>
            </w:r>
          </w:p>
        </w:tc>
      </w:tr>
      <w:tr>
        <w:trPr>
          <w:trHeight w:val="459"/>
        </w:trPr>
        <w:tc>
          <w:tcPr>
            <w:tcW w:w="4020" w:type="dxa"/>
            <w:vAlign w:val="bottom"/>
          </w:tcPr>
          <w:p>
            <w:pPr>
              <w:spacing w:after="0"/>
              <w:rPr>
                <w:sz w:val="20"/>
                <w:szCs w:val="20"/>
                <w:color w:val="auto"/>
              </w:rPr>
            </w:pPr>
            <w:r>
              <w:rPr>
                <w:rFonts w:ascii="Arial" w:cs="Arial" w:eastAsia="Arial" w:hAnsi="Arial"/>
                <w:sz w:val="18"/>
                <w:szCs w:val="18"/>
                <w:color w:val="auto"/>
              </w:rPr>
              <w:t>Engineering and product development expense</w:t>
            </w:r>
          </w:p>
        </w:tc>
        <w:tc>
          <w:tcPr>
            <w:tcW w:w="1300" w:type="dxa"/>
            <w:vAlign w:val="bottom"/>
            <w:gridSpan w:val="5"/>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4"/>
                <w:szCs w:val="24"/>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3</w:t>
            </w:r>
          </w:p>
        </w:tc>
        <w:tc>
          <w:tcPr>
            <w:tcW w:w="740" w:type="dxa"/>
            <w:vAlign w:val="bottom"/>
            <w:gridSpan w:val="6"/>
          </w:tcPr>
          <w:p>
            <w:pPr>
              <w:jc w:val="right"/>
              <w:ind w:right="120"/>
              <w:spacing w:after="0"/>
              <w:rPr>
                <w:sz w:val="20"/>
                <w:szCs w:val="20"/>
                <w:color w:val="auto"/>
              </w:rPr>
            </w:pPr>
            <w:r>
              <w:rPr>
                <w:rFonts w:ascii="Arial" w:cs="Arial" w:eastAsia="Arial" w:hAnsi="Arial"/>
                <w:sz w:val="18"/>
                <w:szCs w:val="18"/>
                <w:color w:val="auto"/>
              </w:rPr>
              <w:t>16</w:t>
            </w:r>
          </w:p>
        </w:tc>
        <w:tc>
          <w:tcPr>
            <w:tcW w:w="500" w:type="dxa"/>
            <w:vAlign w:val="bottom"/>
            <w:gridSpan w:val="5"/>
          </w:tcPr>
          <w:p>
            <w:pPr>
              <w:jc w:val="right"/>
              <w:spacing w:after="0"/>
              <w:rPr>
                <w:sz w:val="20"/>
                <w:szCs w:val="20"/>
                <w:color w:val="auto"/>
              </w:rPr>
            </w:pPr>
            <w:r>
              <w:rPr>
                <w:rFonts w:ascii="Arial" w:cs="Arial" w:eastAsia="Arial" w:hAnsi="Arial"/>
                <w:sz w:val="18"/>
                <w:szCs w:val="18"/>
                <w:color w:val="auto"/>
              </w:rPr>
              <w:t>11</w:t>
            </w:r>
          </w:p>
        </w:tc>
      </w:tr>
      <w:tr>
        <w:trPr>
          <w:trHeight w:val="421"/>
        </w:trPr>
        <w:tc>
          <w:tcPr>
            <w:tcW w:w="40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40" w:type="dxa"/>
            <w:vAlign w:val="bottom"/>
            <w:gridSpan w:val="3"/>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360" w:type="dxa"/>
            <w:vAlign w:val="bottom"/>
            <w:gridSpan w:val="3"/>
          </w:tcPr>
          <w:p>
            <w:pPr>
              <w:spacing w:after="0"/>
              <w:rPr>
                <w:sz w:val="24"/>
                <w:szCs w:val="24"/>
                <w:color w:val="auto"/>
              </w:rPr>
            </w:pP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67</w:t>
            </w:r>
          </w:p>
        </w:tc>
        <w:tc>
          <w:tcPr>
            <w:tcW w:w="500" w:type="dxa"/>
            <w:vAlign w:val="bottom"/>
            <w:gridSpan w:val="5"/>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40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r>
      <w:tr>
        <w:trPr>
          <w:trHeight w:val="439"/>
        </w:trPr>
        <w:tc>
          <w:tcPr>
            <w:tcW w:w="4020" w:type="dxa"/>
            <w:vAlign w:val="bottom"/>
          </w:tcPr>
          <w:p>
            <w:pPr>
              <w:spacing w:after="0"/>
              <w:rPr>
                <w:sz w:val="24"/>
                <w:szCs w:val="24"/>
                <w:color w:val="auto"/>
              </w:rPr>
            </w:pPr>
          </w:p>
        </w:tc>
        <w:tc>
          <w:tcPr>
            <w:tcW w:w="130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w:t>
            </w:r>
          </w:p>
        </w:tc>
        <w:tc>
          <w:tcPr>
            <w:tcW w:w="300" w:type="dxa"/>
            <w:vAlign w:val="bottom"/>
          </w:tcPr>
          <w:p>
            <w:pPr>
              <w:spacing w:after="0"/>
              <w:rPr>
                <w:sz w:val="24"/>
                <w:szCs w:val="24"/>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w:t>
            </w:r>
          </w:p>
        </w:tc>
        <w:tc>
          <w:tcPr>
            <w:tcW w:w="740" w:type="dxa"/>
            <w:vAlign w:val="bottom"/>
            <w:gridSpan w:val="6"/>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w:t>
            </w:r>
          </w:p>
        </w:tc>
        <w:tc>
          <w:tcPr>
            <w:tcW w:w="50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w:t>
            </w:r>
          </w:p>
        </w:tc>
      </w:tr>
      <w:tr>
        <w:trPr>
          <w:trHeight w:val="20"/>
        </w:trPr>
        <w:tc>
          <w:tcPr>
            <w:tcW w:w="4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bl>
    <w:p>
      <w:pPr>
        <w:spacing w:after="0" w:line="3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was no compensation expense capitalized in the six months ended June 30, 2010 or 2009.</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activity related to nonvested shares for the six months ended June 30, 2010:</w:t>
      </w:r>
    </w:p>
    <w:p>
      <w:pPr>
        <w:sectPr>
          <w:pgSz w:w="11900" w:h="16866" w:orient="portrait"/>
          <w:cols w:equalWidth="0" w:num="1">
            <w:col w:w="11400"/>
          </w:cols>
          <w:pgMar w:left="240" w:top="131" w:right="259" w:bottom="0" w:gutter="0" w:footer="0" w:header="0"/>
        </w:sectPr>
      </w:pPr>
    </w:p>
    <w:bookmarkStart w:id="12" w:name="page13"/>
    <w:bookmarkEnd w:id="12"/>
    <w:p>
      <w:pPr>
        <w:spacing w:after="0" w:line="5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i w:val="1"/>
                <w:iCs w:val="1"/>
                <w:color w:val="auto"/>
                <w:w w:val="82"/>
              </w:rPr>
              <w:t>Weighted</w:t>
            </w:r>
          </w:p>
        </w:tc>
      </w:tr>
      <w:tr>
        <w:trPr>
          <w:trHeight w:val="149"/>
        </w:trPr>
        <w:tc>
          <w:tcPr>
            <w:tcW w:w="3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r>
      <w:tr>
        <w:trPr>
          <w:trHeight w:val="149"/>
        </w:trPr>
        <w:tc>
          <w:tcPr>
            <w:tcW w:w="3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i w:val="1"/>
                <w:iCs w:val="1"/>
                <w:color w:val="auto"/>
                <w:w w:val="79"/>
              </w:rPr>
              <w:t>Number</w:t>
            </w:r>
          </w:p>
        </w:tc>
        <w:tc>
          <w:tcPr>
            <w:tcW w:w="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9"/>
              </w:rPr>
              <w:t>Grant Date</w:t>
            </w:r>
          </w:p>
        </w:tc>
      </w:tr>
      <w:tr>
        <w:trPr>
          <w:trHeight w:val="146"/>
        </w:trPr>
        <w:tc>
          <w:tcPr>
            <w:tcW w:w="3980" w:type="dxa"/>
            <w:vAlign w:val="bottom"/>
          </w:tcPr>
          <w:p>
            <w:pPr>
              <w:spacing w:after="0"/>
              <w:rPr>
                <w:sz w:val="12"/>
                <w:szCs w:val="12"/>
                <w:color w:val="auto"/>
              </w:rPr>
            </w:pPr>
          </w:p>
        </w:tc>
        <w:tc>
          <w:tcPr>
            <w:tcW w:w="1400" w:type="dxa"/>
            <w:vAlign w:val="bottom"/>
            <w:gridSpan w:val="4"/>
          </w:tcPr>
          <w:p>
            <w:pPr>
              <w:jc w:val="right"/>
              <w:ind w:right="200"/>
              <w:spacing w:after="0" w:line="146" w:lineRule="exact"/>
              <w:rPr>
                <w:sz w:val="20"/>
                <w:szCs w:val="20"/>
                <w:color w:val="auto"/>
              </w:rPr>
            </w:pPr>
            <w:r>
              <w:rPr>
                <w:rFonts w:ascii="Arial" w:cs="Arial" w:eastAsia="Arial" w:hAnsi="Arial"/>
                <w:sz w:val="14"/>
                <w:szCs w:val="14"/>
                <w:b w:val="1"/>
                <w:bCs w:val="1"/>
                <w:i w:val="1"/>
                <w:iCs w:val="1"/>
                <w:color w:val="auto"/>
              </w:rPr>
              <w:t>of Shares</w:t>
            </w:r>
          </w:p>
        </w:tc>
        <w:tc>
          <w:tcPr>
            <w:tcW w:w="80" w:type="dxa"/>
            <w:vAlign w:val="bottom"/>
          </w:tcPr>
          <w:p>
            <w:pPr>
              <w:spacing w:after="0"/>
              <w:rPr>
                <w:sz w:val="12"/>
                <w:szCs w:val="12"/>
                <w:color w:val="auto"/>
              </w:rPr>
            </w:pPr>
          </w:p>
        </w:tc>
        <w:tc>
          <w:tcPr>
            <w:tcW w:w="620" w:type="dxa"/>
            <w:vAlign w:val="bottom"/>
            <w:gridSpan w:val="2"/>
          </w:tcPr>
          <w:p>
            <w:pPr>
              <w:jc w:val="center"/>
              <w:ind w:right="20"/>
              <w:spacing w:after="0" w:line="146" w:lineRule="exact"/>
              <w:rPr>
                <w:sz w:val="20"/>
                <w:szCs w:val="20"/>
                <w:color w:val="auto"/>
              </w:rPr>
            </w:pPr>
            <w:r>
              <w:rPr>
                <w:rFonts w:ascii="Arial" w:cs="Arial" w:eastAsia="Arial" w:hAnsi="Arial"/>
                <w:sz w:val="14"/>
                <w:szCs w:val="14"/>
                <w:b w:val="1"/>
                <w:bCs w:val="1"/>
                <w:i w:val="1"/>
                <w:iCs w:val="1"/>
                <w:color w:val="auto"/>
                <w:w w:val="89"/>
              </w:rPr>
              <w:t>Fair Value</w:t>
            </w:r>
          </w:p>
        </w:tc>
      </w:tr>
      <w:tr>
        <w:trPr>
          <w:trHeight w:val="20"/>
        </w:trPr>
        <w:tc>
          <w:tcPr>
            <w:tcW w:w="398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3980" w:type="dxa"/>
            <w:vAlign w:val="bottom"/>
          </w:tcPr>
          <w:p>
            <w:pPr>
              <w:spacing w:after="0"/>
              <w:rPr>
                <w:sz w:val="20"/>
                <w:szCs w:val="20"/>
                <w:color w:val="auto"/>
              </w:rPr>
            </w:pPr>
            <w:r>
              <w:rPr>
                <w:rFonts w:ascii="Arial" w:cs="Arial" w:eastAsia="Arial" w:hAnsi="Arial"/>
                <w:sz w:val="18"/>
                <w:szCs w:val="18"/>
                <w:color w:val="auto"/>
              </w:rPr>
              <w:t>Nonvested shares outstanding, January 1, 2010</w:t>
            </w:r>
          </w:p>
        </w:tc>
        <w:tc>
          <w:tcPr>
            <w:tcW w:w="72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66,500</w:t>
            </w:r>
          </w:p>
        </w:tc>
        <w:tc>
          <w:tcPr>
            <w:tcW w:w="1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$4.14</w:t>
            </w:r>
          </w:p>
        </w:tc>
        <w:tc>
          <w:tcPr>
            <w:tcW w:w="20" w:type="dxa"/>
            <w:vAlign w:val="bottom"/>
          </w:tcPr>
          <w:p>
            <w:pPr>
              <w:spacing w:after="0"/>
              <w:rPr>
                <w:sz w:val="20"/>
                <w:szCs w:val="20"/>
                <w:color w:val="auto"/>
              </w:rPr>
            </w:pPr>
          </w:p>
        </w:tc>
      </w:tr>
      <w:tr>
        <w:trPr>
          <w:trHeight w:val="459"/>
        </w:trPr>
        <w:tc>
          <w:tcPr>
            <w:tcW w:w="39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263,750</w:t>
            </w:r>
          </w:p>
        </w:tc>
        <w:tc>
          <w:tcPr>
            <w:tcW w:w="1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24"/>
                <w:szCs w:val="24"/>
                <w:color w:val="auto"/>
              </w:rPr>
            </w:pPr>
          </w:p>
        </w:tc>
      </w:tr>
      <w:tr>
        <w:trPr>
          <w:trHeight w:val="459"/>
        </w:trPr>
        <w:tc>
          <w:tcPr>
            <w:tcW w:w="3980" w:type="dxa"/>
            <w:vAlign w:val="bottom"/>
          </w:tcPr>
          <w:p>
            <w:pPr>
              <w:ind w:left="140"/>
              <w:spacing w:after="0"/>
              <w:rPr>
                <w:sz w:val="20"/>
                <w:szCs w:val="20"/>
                <w:color w:val="auto"/>
              </w:rPr>
            </w:pPr>
            <w:r>
              <w:rPr>
                <w:rFonts w:ascii="Arial" w:cs="Arial" w:eastAsia="Arial" w:hAnsi="Arial"/>
                <w:sz w:val="18"/>
                <w:szCs w:val="18"/>
                <w:color w:val="auto"/>
              </w:rPr>
              <w:t>Vested</w:t>
            </w:r>
          </w:p>
        </w:tc>
        <w:tc>
          <w:tcPr>
            <w:tcW w:w="1400" w:type="dxa"/>
            <w:vAlign w:val="bottom"/>
            <w:gridSpan w:val="4"/>
          </w:tcPr>
          <w:p>
            <w:pPr>
              <w:jc w:val="right"/>
              <w:ind w:right="80"/>
              <w:spacing w:after="0"/>
              <w:rPr>
                <w:sz w:val="20"/>
                <w:szCs w:val="20"/>
                <w:color w:val="auto"/>
              </w:rPr>
            </w:pPr>
            <w:r>
              <w:rPr>
                <w:rFonts w:ascii="Arial" w:cs="Arial" w:eastAsia="Arial" w:hAnsi="Arial"/>
                <w:sz w:val="18"/>
                <w:szCs w:val="18"/>
                <w:color w:val="auto"/>
              </w:rPr>
              <w:t>(19,500)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4.10</w:t>
            </w:r>
          </w:p>
        </w:tc>
        <w:tc>
          <w:tcPr>
            <w:tcW w:w="20" w:type="dxa"/>
            <w:vAlign w:val="bottom"/>
          </w:tcPr>
          <w:p>
            <w:pPr>
              <w:spacing w:after="0"/>
              <w:rPr>
                <w:sz w:val="24"/>
                <w:szCs w:val="24"/>
                <w:color w:val="auto"/>
              </w:rPr>
            </w:pPr>
          </w:p>
        </w:tc>
      </w:tr>
      <w:tr>
        <w:trPr>
          <w:trHeight w:val="421"/>
        </w:trPr>
        <w:tc>
          <w:tcPr>
            <w:tcW w:w="398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720" w:type="dxa"/>
            <w:vAlign w:val="bottom"/>
          </w:tcPr>
          <w:p>
            <w:pPr>
              <w:spacing w:after="0"/>
              <w:rPr>
                <w:sz w:val="24"/>
                <w:szCs w:val="24"/>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(2,500)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4.24</w:t>
            </w:r>
          </w:p>
        </w:tc>
        <w:tc>
          <w:tcPr>
            <w:tcW w:w="20" w:type="dxa"/>
            <w:vAlign w:val="bottom"/>
          </w:tcPr>
          <w:p>
            <w:pPr>
              <w:spacing w:after="0"/>
              <w:rPr>
                <w:sz w:val="24"/>
                <w:szCs w:val="24"/>
                <w:color w:val="auto"/>
              </w:rPr>
            </w:pPr>
          </w:p>
        </w:tc>
      </w:tr>
      <w:tr>
        <w:trPr>
          <w:trHeight w:val="439"/>
        </w:trPr>
        <w:tc>
          <w:tcPr>
            <w:tcW w:w="3980" w:type="dxa"/>
            <w:vAlign w:val="bottom"/>
          </w:tcPr>
          <w:p>
            <w:pPr>
              <w:spacing w:after="0"/>
              <w:rPr>
                <w:sz w:val="20"/>
                <w:szCs w:val="20"/>
                <w:color w:val="auto"/>
              </w:rPr>
            </w:pPr>
            <w:r>
              <w:rPr>
                <w:rFonts w:ascii="Arial" w:cs="Arial" w:eastAsia="Arial" w:hAnsi="Arial"/>
                <w:sz w:val="18"/>
                <w:szCs w:val="18"/>
                <w:color w:val="auto"/>
              </w:rPr>
              <w:t>Nonvested shares outstanding, June 30, 2010</w:t>
            </w:r>
          </w:p>
        </w:tc>
        <w:tc>
          <w:tcPr>
            <w:tcW w:w="720" w:type="dxa"/>
            <w:vAlign w:val="bottom"/>
          </w:tcPr>
          <w:p>
            <w:pPr>
              <w:spacing w:after="0"/>
              <w:rPr>
                <w:sz w:val="24"/>
                <w:szCs w:val="24"/>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2"/>
              </w:rPr>
              <w:t>308,250</w:t>
            </w:r>
          </w:p>
        </w:tc>
        <w:tc>
          <w:tcPr>
            <w:tcW w:w="1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24"/>
                <w:szCs w:val="24"/>
                <w:color w:val="auto"/>
              </w:rPr>
            </w:pPr>
          </w:p>
        </w:tc>
      </w:tr>
      <w:tr>
        <w:trPr>
          <w:trHeight w:val="20"/>
        </w:trPr>
        <w:tc>
          <w:tcPr>
            <w:tcW w:w="3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stock option activity for the six months ended June 30, 2010:</w:t>
      </w:r>
    </w:p>
    <w:p>
      <w:pPr>
        <w:spacing w:after="0" w:line="22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2"/>
              </w:rPr>
              <w:t>Weighted</w:t>
            </w:r>
          </w:p>
        </w:tc>
      </w:tr>
      <w:tr>
        <w:trPr>
          <w:trHeight w:val="149"/>
        </w:trPr>
        <w:tc>
          <w:tcPr>
            <w:tcW w:w="4740" w:type="dxa"/>
            <w:vAlign w:val="bottom"/>
          </w:tcPr>
          <w:p>
            <w:pPr>
              <w:spacing w:after="0"/>
              <w:rPr>
                <w:sz w:val="12"/>
                <w:szCs w:val="12"/>
                <w:color w:val="auto"/>
              </w:rPr>
            </w:pPr>
          </w:p>
        </w:tc>
        <w:tc>
          <w:tcPr>
            <w:tcW w:w="66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i w:val="1"/>
                <w:iCs w:val="1"/>
                <w:color w:val="auto"/>
                <w:w w:val="86"/>
              </w:rPr>
              <w:t>Number</w:t>
            </w:r>
          </w:p>
        </w:tc>
        <w:tc>
          <w:tcPr>
            <w:tcW w:w="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r>
      <w:tr>
        <w:trPr>
          <w:trHeight w:val="146"/>
        </w:trPr>
        <w:tc>
          <w:tcPr>
            <w:tcW w:w="4740" w:type="dxa"/>
            <w:vAlign w:val="bottom"/>
          </w:tcPr>
          <w:p>
            <w:pPr>
              <w:spacing w:after="0"/>
              <w:rPr>
                <w:sz w:val="12"/>
                <w:szCs w:val="12"/>
                <w:color w:val="auto"/>
              </w:rPr>
            </w:pPr>
          </w:p>
        </w:tc>
        <w:tc>
          <w:tcPr>
            <w:tcW w:w="660" w:type="dxa"/>
            <w:vAlign w:val="bottom"/>
            <w:gridSpan w:val="4"/>
          </w:tcPr>
          <w:p>
            <w:pPr>
              <w:jc w:val="center"/>
              <w:ind w:right="180"/>
              <w:spacing w:after="0" w:line="146" w:lineRule="exact"/>
              <w:rPr>
                <w:sz w:val="20"/>
                <w:szCs w:val="20"/>
                <w:color w:val="auto"/>
              </w:rPr>
            </w:pPr>
            <w:r>
              <w:rPr>
                <w:rFonts w:ascii="Arial" w:cs="Arial" w:eastAsia="Arial" w:hAnsi="Arial"/>
                <w:sz w:val="14"/>
                <w:szCs w:val="14"/>
                <w:b w:val="1"/>
                <w:bCs w:val="1"/>
                <w:i w:val="1"/>
                <w:iCs w:val="1"/>
                <w:color w:val="auto"/>
                <w:w w:val="75"/>
              </w:rPr>
              <w:t>of Shares</w:t>
            </w:r>
          </w:p>
        </w:tc>
        <w:tc>
          <w:tcPr>
            <w:tcW w:w="86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Exercise Price</w:t>
            </w:r>
          </w:p>
        </w:tc>
      </w:tr>
      <w:tr>
        <w:trPr>
          <w:trHeight w:val="20"/>
        </w:trPr>
        <w:tc>
          <w:tcPr>
            <w:tcW w:w="47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4740" w:type="dxa"/>
            <w:vAlign w:val="bottom"/>
          </w:tcPr>
          <w:p>
            <w:pPr>
              <w:spacing w:after="0"/>
              <w:rPr>
                <w:sz w:val="20"/>
                <w:szCs w:val="20"/>
                <w:color w:val="auto"/>
              </w:rPr>
            </w:pPr>
            <w:r>
              <w:rPr>
                <w:rFonts w:ascii="Arial" w:cs="Arial" w:eastAsia="Arial" w:hAnsi="Arial"/>
                <w:sz w:val="18"/>
                <w:szCs w:val="18"/>
                <w:color w:val="auto"/>
                <w:w w:val="98"/>
              </w:rPr>
              <w:t>Options outstanding, January 1, 2010 (408,000 exercisable)</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408,000</w:t>
            </w:r>
          </w:p>
        </w:tc>
        <w:tc>
          <w:tcPr>
            <w:tcW w:w="80" w:type="dxa"/>
            <w:vAlign w:val="bottom"/>
          </w:tcPr>
          <w:p>
            <w:pPr>
              <w:spacing w:after="0"/>
              <w:rPr>
                <w:sz w:val="20"/>
                <w:szCs w:val="20"/>
                <w:color w:val="auto"/>
              </w:rPr>
            </w:pPr>
          </w:p>
        </w:tc>
        <w:tc>
          <w:tcPr>
            <w:tcW w:w="860" w:type="dxa"/>
            <w:vAlign w:val="bottom"/>
            <w:gridSpan w:val="2"/>
          </w:tcPr>
          <w:p>
            <w:pPr>
              <w:jc w:val="right"/>
              <w:ind w:right="52"/>
              <w:spacing w:after="0"/>
              <w:rPr>
                <w:sz w:val="20"/>
                <w:szCs w:val="20"/>
                <w:color w:val="auto"/>
              </w:rPr>
            </w:pPr>
            <w:r>
              <w:rPr>
                <w:rFonts w:ascii="Arial" w:cs="Arial" w:eastAsia="Arial" w:hAnsi="Arial"/>
                <w:sz w:val="18"/>
                <w:szCs w:val="18"/>
                <w:color w:val="auto"/>
              </w:rPr>
              <w:t>$3.45</w:t>
            </w:r>
          </w:p>
        </w:tc>
      </w:tr>
      <w:tr>
        <w:trPr>
          <w:trHeight w:val="459"/>
        </w:trPr>
        <w:tc>
          <w:tcPr>
            <w:tcW w:w="4740" w:type="dxa"/>
            <w:vAlign w:val="bottom"/>
          </w:tcPr>
          <w:p>
            <w:pPr>
              <w:ind w:left="140"/>
              <w:spacing w:after="0"/>
              <w:rPr>
                <w:sz w:val="20"/>
                <w:szCs w:val="20"/>
                <w:color w:val="auto"/>
              </w:rPr>
            </w:pPr>
            <w:r>
              <w:rPr>
                <w:rFonts w:ascii="Arial" w:cs="Arial" w:eastAsia="Arial" w:hAnsi="Arial"/>
                <w:sz w:val="18"/>
                <w:szCs w:val="18"/>
                <w:color w:val="auto"/>
              </w:rPr>
              <w:t>Granted</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r>
      <w:tr>
        <w:trPr>
          <w:trHeight w:val="459"/>
        </w:trPr>
        <w:tc>
          <w:tcPr>
            <w:tcW w:w="474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r>
      <w:tr>
        <w:trPr>
          <w:trHeight w:val="421"/>
        </w:trPr>
        <w:tc>
          <w:tcPr>
            <w:tcW w:w="4740" w:type="dxa"/>
            <w:vAlign w:val="bottom"/>
          </w:tcPr>
          <w:p>
            <w:pPr>
              <w:ind w:left="140"/>
              <w:spacing w:after="0"/>
              <w:rPr>
                <w:sz w:val="20"/>
                <w:szCs w:val="20"/>
                <w:color w:val="auto"/>
              </w:rPr>
            </w:pPr>
            <w:r>
              <w:rPr>
                <w:rFonts w:ascii="Arial" w:cs="Arial" w:eastAsia="Arial" w:hAnsi="Arial"/>
                <w:sz w:val="18"/>
                <w:szCs w:val="18"/>
                <w:color w:val="auto"/>
              </w:rPr>
              <w:t>Forfeited/Expired</w:t>
            </w: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w w:val="89"/>
              </w:rPr>
              <w:t>(51,000)</w:t>
            </w:r>
          </w:p>
        </w:tc>
        <w:tc>
          <w:tcPr>
            <w:tcW w:w="860" w:type="dxa"/>
            <w:vAlign w:val="bottom"/>
            <w:gridSpan w:val="2"/>
          </w:tcPr>
          <w:p>
            <w:pPr>
              <w:jc w:val="right"/>
              <w:ind w:right="52"/>
              <w:spacing w:after="0"/>
              <w:rPr>
                <w:sz w:val="20"/>
                <w:szCs w:val="20"/>
                <w:color w:val="auto"/>
              </w:rPr>
            </w:pPr>
            <w:r>
              <w:rPr>
                <w:rFonts w:ascii="Arial" w:cs="Arial" w:eastAsia="Arial" w:hAnsi="Arial"/>
                <w:sz w:val="18"/>
                <w:szCs w:val="18"/>
                <w:color w:val="auto"/>
              </w:rPr>
              <w:t>4.86</w:t>
            </w:r>
          </w:p>
        </w:tc>
      </w:tr>
      <w:tr>
        <w:trPr>
          <w:trHeight w:val="20"/>
        </w:trPr>
        <w:tc>
          <w:tcPr>
            <w:tcW w:w="4740" w:type="dxa"/>
            <w:vAlign w:val="bottom"/>
            <w:tcBorders>
              <w:right w:val="single" w:sz="8" w:color="auto"/>
            </w:tcBorders>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439"/>
        </w:trPr>
        <w:tc>
          <w:tcPr>
            <w:tcW w:w="4740" w:type="dxa"/>
            <w:vAlign w:val="bottom"/>
          </w:tcPr>
          <w:p>
            <w:pPr>
              <w:spacing w:after="0"/>
              <w:rPr>
                <w:sz w:val="20"/>
                <w:szCs w:val="20"/>
                <w:color w:val="auto"/>
              </w:rPr>
            </w:pPr>
            <w:r>
              <w:rPr>
                <w:rFonts w:ascii="Arial" w:cs="Arial" w:eastAsia="Arial" w:hAnsi="Arial"/>
                <w:sz w:val="18"/>
                <w:szCs w:val="18"/>
                <w:color w:val="auto"/>
              </w:rPr>
              <w:t>Options outstanding, June 30, 2010 (357,000 exercisable)</w:t>
            </w: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357,000</w:t>
            </w:r>
          </w:p>
        </w:tc>
        <w:tc>
          <w:tcPr>
            <w:tcW w:w="80" w:type="dxa"/>
            <w:vAlign w:val="bottom"/>
          </w:tcPr>
          <w:p>
            <w:pPr>
              <w:spacing w:after="0"/>
              <w:rPr>
                <w:sz w:val="24"/>
                <w:szCs w:val="24"/>
                <w:color w:val="auto"/>
              </w:rPr>
            </w:pPr>
          </w:p>
        </w:tc>
        <w:tc>
          <w:tcPr>
            <w:tcW w:w="860" w:type="dxa"/>
            <w:vAlign w:val="bottom"/>
            <w:gridSpan w:val="2"/>
          </w:tcPr>
          <w:p>
            <w:pPr>
              <w:jc w:val="right"/>
              <w:ind w:right="52"/>
              <w:spacing w:after="0"/>
              <w:rPr>
                <w:sz w:val="20"/>
                <w:szCs w:val="20"/>
                <w:color w:val="auto"/>
              </w:rPr>
            </w:pPr>
            <w:r>
              <w:rPr>
                <w:rFonts w:ascii="Arial" w:cs="Arial" w:eastAsia="Arial" w:hAnsi="Arial"/>
                <w:sz w:val="18"/>
                <w:szCs w:val="18"/>
                <w:color w:val="auto"/>
              </w:rPr>
              <w:t>3.25</w:t>
            </w: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- 15 -</w:t>
      </w:r>
    </w:p>
    <w:p>
      <w:pPr>
        <w:spacing w:after="0" w:line="395"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(Unaudited)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191" w:lineRule="exact"/>
        <w:rPr>
          <w:sz w:val="20"/>
          <w:szCs w:val="20"/>
          <w:color w:val="auto"/>
        </w:rPr>
      </w:pPr>
    </w:p>
    <w:p>
      <w:pPr>
        <w:ind w:left="540" w:right="80"/>
        <w:spacing w:after="0" w:line="294" w:lineRule="auto"/>
        <w:rPr>
          <w:sz w:val="20"/>
          <w:szCs w:val="20"/>
          <w:color w:val="auto"/>
        </w:rPr>
      </w:pPr>
      <w:r>
        <w:rPr>
          <w:rFonts w:ascii="Arial" w:cs="Arial" w:eastAsia="Arial" w:hAnsi="Arial"/>
          <w:sz w:val="16"/>
          <w:szCs w:val="16"/>
          <w:color w:val="auto"/>
        </w:rPr>
        <w:t>We have a defined contribution 401(k) plan (the "inTEST 401(k) Plan") for our employees who work in the U.S. As a part of this plan, we may match a portion of employee contributions. This plan, including our discretionary employer matching contributions, is more fully discussed in Note 17 to the consolidated financial statements in our 2009 Form 10-K. Effective April 1, 2010, we restored the 401(k) Plan discretionary matching contribution for all domestic employees which had been eliminated for most of these employees at the beginning of 2009. Total expense recorded related to these matching contributions was $103 and $0 for the six months ended June 30, 2010 and 2009, respectively.</w:t>
      </w:r>
    </w:p>
    <w:p>
      <w:pPr>
        <w:spacing w:after="0" w:line="170" w:lineRule="exact"/>
        <w:rPr>
          <w:sz w:val="20"/>
          <w:szCs w:val="20"/>
          <w:color w:val="auto"/>
        </w:rPr>
      </w:pPr>
    </w:p>
    <w:p>
      <w:pPr>
        <w:ind w:left="540" w:right="20"/>
        <w:spacing w:after="0" w:line="286" w:lineRule="auto"/>
        <w:rPr>
          <w:sz w:val="20"/>
          <w:szCs w:val="20"/>
          <w:color w:val="auto"/>
        </w:rPr>
      </w:pPr>
      <w:r>
        <w:rPr>
          <w:rFonts w:ascii="Arial" w:cs="Arial" w:eastAsia="Arial" w:hAnsi="Arial"/>
          <w:sz w:val="16"/>
          <w:szCs w:val="16"/>
          <w:color w:val="auto"/>
        </w:rPr>
        <w:t>In addition to the employer matching contributions for which employees of our Temptronic subsidiary are eligible, upon the termination of the Temptronic Equity Participation Plan ("EPP"), we acknowledged that it was our intention to contribute $3,000 in the aggregate to the inTEST 401(k) Plan as a form of profit sharing (not to exceed $300 per year) for the benefit of Temptronic employees. The amount of these profit sharing contributions approximates the amount that we had been committed to contribute to the EPP as of its termination date. All such profit sharing contributions are at the discretion of management, and will be allocated to employees annually in essentially the same manner in which the shares held by the EPP had been allocated. The vesting provisions for these contributions will be the same as those of the inTEST 401(k) Plan. Effective April 1, 2010, we restored the profit sharing contributions which had been suspended at the beginning of 2009 due to operating losses being incurred by Temptroni c. Accruals for profit sharing contributions totaling $75 and $0 were made during the six month periods ended June 30, 2010 and 2009, respectively. Through June 30, 2010, we had made a total of $1,403 in profit sharing contributions. We have historically funded these obligations through the use of treasury shares during the quarter subsequent to the quarter in which we record the profit sharing liability, although management has the discretion to use cash to fund these obligations. Our current intention is to use cash to fund these obligations when our stock price is below $3.00 per share.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have three reportable segments, which are also our reporting units: Mechanical Products, Thermal Products and Electrical Products.</w:t>
      </w:r>
    </w:p>
    <w:p>
      <w:pPr>
        <w:spacing w:after="0" w:line="225"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The Mechanical Products segment includes the operations of our Cherry Hill, New Jersey manufacturing facility and the operations of Diamond, which we acquired in July 2008, as more fully discussed in Note 3 to the consolidated financial statements in our 2009 Form 10-K. In addition, in 2009, our Mechanical Products segment included the operations of two of our foreign subsidiaries: inTEST KK (Japan) and inTEST Pte, Limited (Singapore). As discussed more fully in Note 4, we closed inTEST KK during the fourth quarter of 2009. In addition, we reduced our workforce significantly at inTEST Pte and have centralized the manufacturing of all Mechanical Products in our Cherry Hill, New Jersey manufacturing facility. As a result of this workforce reduction and centralization of manufacturing operations, the remaining operations at inTEST Pte are primarily the sale and servicing of Thermal Products. Accordingly, effective January 1, 2010, this operation is included in our Thermal Products segment for reporting and we h ave reclassified the 2009 segment disclosures to reflect this change. Sales of our Mechanical Products segment consist primarily of manipulator and docking hardware products, which we design, manufacture and market. In addition, this segment provides post warranty service and support for various ATE equipment.</w:t>
      </w:r>
    </w:p>
    <w:p>
      <w:pPr>
        <w:spacing w:after="0" w:line="174" w:lineRule="exact"/>
        <w:rPr>
          <w:sz w:val="20"/>
          <w:szCs w:val="20"/>
          <w:color w:val="auto"/>
        </w:rPr>
      </w:pPr>
    </w:p>
    <w:p>
      <w:pPr>
        <w:jc w:val="both"/>
        <w:ind w:left="540" w:right="180"/>
        <w:spacing w:after="0" w:line="370" w:lineRule="auto"/>
        <w:rPr>
          <w:sz w:val="20"/>
          <w:szCs w:val="20"/>
          <w:color w:val="auto"/>
        </w:rPr>
      </w:pPr>
      <w:r>
        <w:rPr>
          <w:rFonts w:ascii="Arial" w:cs="Arial" w:eastAsia="Arial" w:hAnsi="Arial"/>
          <w:sz w:val="15"/>
          <w:szCs w:val="15"/>
          <w:color w:val="auto"/>
        </w:rPr>
        <w:t>The Thermal Products segment includes the operations of Temptronic Corporation in Sharon, Massachusetts, Temptronic GmbH (Germany) and Sigma, which we acquired in October 2008, as more fully discussed in Note 3 to the consolidated financial statements in our 2009 Form 10-K. As noted above,</w:t>
      </w:r>
    </w:p>
    <w:p>
      <w:pPr>
        <w:sectPr>
          <w:pgSz w:w="11900" w:h="16894" w:orient="portrait"/>
          <w:cols w:equalWidth="0" w:num="1">
            <w:col w:w="11420"/>
          </w:cols>
          <w:pgMar w:left="240" w:top="130" w:right="239" w:bottom="0" w:gutter="0" w:footer="0" w:header="0"/>
        </w:sectPr>
      </w:pPr>
    </w:p>
    <w:bookmarkStart w:id="13" w:name="page14"/>
    <w:bookmarkEnd w:id="13"/>
    <w:p>
      <w:pPr>
        <w:spacing w:after="0" w:line="124" w:lineRule="exact"/>
        <w:rPr>
          <w:sz w:val="20"/>
          <w:szCs w:val="20"/>
          <w:color w:val="auto"/>
        </w:rPr>
      </w:pPr>
    </w:p>
    <w:p>
      <w:pPr>
        <w:jc w:val="both"/>
        <w:ind w:left="540" w:right="420"/>
        <w:spacing w:after="0" w:line="259" w:lineRule="auto"/>
        <w:rPr>
          <w:sz w:val="20"/>
          <w:szCs w:val="20"/>
          <w:color w:val="auto"/>
        </w:rPr>
      </w:pPr>
      <w:r>
        <w:rPr>
          <w:rFonts w:ascii="Arial" w:cs="Arial" w:eastAsia="Arial" w:hAnsi="Arial"/>
          <w:sz w:val="18"/>
          <w:szCs w:val="18"/>
          <w:color w:val="auto"/>
        </w:rPr>
        <w:t>effective January 1, 2010, this segment also includes the operations of inTEST Pte, Limited. Sales of this segment consist primarily of temperature management systems which we design, manufacture and market under our Temptronic and Sigma Systems product lines. In addition, this segment provides post warranty service and support.</w:t>
      </w:r>
    </w:p>
    <w:p>
      <w:pPr>
        <w:spacing w:after="0" w:line="194"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The Electrical Products segment includes the operations of inTEST Silicon Valley Corporation. Sales of this segment consist primarily of tester interface products which we design, manufacture and market.</w:t>
      </w:r>
    </w:p>
    <w:p>
      <w:pPr>
        <w:spacing w:after="0" w:line="186" w:lineRule="exact"/>
        <w:rPr>
          <w:sz w:val="20"/>
          <w:szCs w:val="20"/>
          <w:color w:val="auto"/>
        </w:rPr>
      </w:pPr>
    </w:p>
    <w:p>
      <w:pPr>
        <w:ind w:left="540" w:right="160"/>
        <w:spacing w:after="0" w:line="298" w:lineRule="auto"/>
        <w:rPr>
          <w:sz w:val="20"/>
          <w:szCs w:val="20"/>
          <w:color w:val="auto"/>
        </w:rPr>
      </w:pPr>
      <w:r>
        <w:rPr>
          <w:rFonts w:ascii="Arial" w:cs="Arial" w:eastAsia="Arial" w:hAnsi="Arial"/>
          <w:sz w:val="16"/>
          <w:szCs w:val="16"/>
          <w:color w:val="auto"/>
        </w:rPr>
        <w:t>We operate our business worldwide, and all three segments sell their products both domestically and internationally. All three segments sell to semiconductor manufacturers, third-party test and assembly houses and ATE manufacturers. Our Thermal Products segment also sells into a variety of industries outside of the semiconductor industry, including the aerospace, automotive, communications, consumer electronics, defense and medical industries. Intercompany pricing between segments is either a multiple of cost for component parts or list price for finished goods.</w:t>
      </w:r>
    </w:p>
    <w:p>
      <w:pPr>
        <w:spacing w:after="0" w:line="12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- 16 -</w:t>
      </w:r>
    </w:p>
    <w:p>
      <w:pPr>
        <w:spacing w:after="0" w:line="179" w:lineRule="exact"/>
        <w:rPr>
          <w:sz w:val="20"/>
          <w:szCs w:val="20"/>
          <w:color w:val="auto"/>
        </w:rPr>
      </w:pPr>
    </w:p>
    <w:p>
      <w:pPr>
        <w:jc w:val="center"/>
        <w:ind w:left="54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left="5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SEGMENT INFORMATION </w:t>
      </w:r>
      <w:r>
        <w:rPr>
          <w:rFonts w:ascii="Arial" w:cs="Arial" w:eastAsia="Arial" w:hAnsi="Arial"/>
          <w:sz w:val="18"/>
          <w:szCs w:val="18"/>
          <w:color w:val="auto"/>
        </w:rPr>
        <w:t>(Continued)</w:t>
      </w:r>
    </w:p>
    <w:p>
      <w:pPr>
        <w:sectPr>
          <w:pgSz w:w="11900" w:h="16962" w:orient="portrait"/>
          <w:cols w:equalWidth="0" w:num="1">
            <w:col w:w="11280"/>
          </w:cols>
          <w:pgMar w:left="240" w:top="131" w:right="379" w:bottom="0" w:gutter="0" w:footer="0" w:header="0"/>
        </w:sectPr>
      </w:pPr>
    </w:p>
    <w:p>
      <w:pPr>
        <w:spacing w:after="0" w:line="200" w:lineRule="exact"/>
        <w:rPr>
          <w:sz w:val="20"/>
          <w:szCs w:val="20"/>
          <w:color w:val="auto"/>
        </w:rPr>
      </w:pPr>
    </w:p>
    <w:p>
      <w:pPr>
        <w:spacing w:after="0" w:line="328"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Net revenues from unaffiliated customers: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8"/>
          </w:tcPr>
          <w:p>
            <w:pPr>
              <w:jc w:val="center"/>
              <w:ind w:right="280"/>
              <w:spacing w:after="0"/>
              <w:rPr>
                <w:sz w:val="20"/>
                <w:szCs w:val="20"/>
                <w:color w:val="auto"/>
              </w:rPr>
            </w:pPr>
            <w:r>
              <w:rPr>
                <w:rFonts w:ascii="Arial" w:cs="Arial" w:eastAsia="Arial" w:hAnsi="Arial"/>
                <w:sz w:val="14"/>
                <w:szCs w:val="14"/>
                <w:b w:val="1"/>
                <w:bCs w:val="1"/>
                <w:i w:val="1"/>
                <w:iCs w:val="1"/>
                <w:color w:val="auto"/>
                <w:w w:val="85"/>
              </w:rPr>
              <w:t>Three Months Ended</w:t>
            </w:r>
          </w:p>
        </w:tc>
        <w:tc>
          <w:tcPr>
            <w:tcW w:w="1380" w:type="dxa"/>
            <w:vAlign w:val="bottom"/>
            <w:gridSpan w:val="7"/>
          </w:tcPr>
          <w:p>
            <w:pPr>
              <w:jc w:val="center"/>
              <w:ind w:left="32"/>
              <w:spacing w:after="0"/>
              <w:rPr>
                <w:sz w:val="20"/>
                <w:szCs w:val="20"/>
                <w:color w:val="auto"/>
              </w:rPr>
            </w:pPr>
            <w:r>
              <w:rPr>
                <w:rFonts w:ascii="Arial" w:cs="Arial" w:eastAsia="Arial" w:hAnsi="Arial"/>
                <w:sz w:val="14"/>
                <w:szCs w:val="14"/>
                <w:b w:val="1"/>
                <w:bCs w:val="1"/>
                <w:i w:val="1"/>
                <w:iCs w:val="1"/>
                <w:color w:val="auto"/>
                <w:w w:val="85"/>
              </w:rPr>
              <w:t>Six Months Ended</w:t>
            </w:r>
          </w:p>
        </w:tc>
      </w:tr>
      <w:tr>
        <w:trPr>
          <w:trHeight w:val="146"/>
        </w:trPr>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center"/>
              <w:ind w:left="52"/>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center"/>
              <w:ind w:left="52"/>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56"/>
        </w:trPr>
        <w:tc>
          <w:tcPr>
            <w:tcW w:w="180" w:type="dxa"/>
            <w:vAlign w:val="bottom"/>
            <w:gridSpan w:val="2"/>
          </w:tcPr>
          <w:p>
            <w:pPr>
              <w:spacing w:after="0"/>
              <w:rPr>
                <w:sz w:val="13"/>
                <w:szCs w:val="13"/>
                <w:color w:val="auto"/>
              </w:rPr>
            </w:pPr>
          </w:p>
        </w:tc>
        <w:tc>
          <w:tcPr>
            <w:tcW w:w="280" w:type="dxa"/>
            <w:vAlign w:val="bottom"/>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2010</w:t>
            </w:r>
          </w:p>
        </w:tc>
        <w:tc>
          <w:tcPr>
            <w:tcW w:w="440" w:type="dxa"/>
            <w:vAlign w:val="bottom"/>
          </w:tcPr>
          <w:p>
            <w:pPr>
              <w:spacing w:after="0"/>
              <w:rPr>
                <w:sz w:val="13"/>
                <w:szCs w:val="13"/>
                <w:color w:val="auto"/>
              </w:rPr>
            </w:pPr>
          </w:p>
        </w:tc>
        <w:tc>
          <w:tcPr>
            <w:tcW w:w="560" w:type="dxa"/>
            <w:vAlign w:val="bottom"/>
            <w:gridSpan w:val="4"/>
          </w:tcPr>
          <w:p>
            <w:pPr>
              <w:jc w:val="right"/>
              <w:ind w:right="220"/>
              <w:spacing w:after="0" w:line="155" w:lineRule="exact"/>
              <w:rPr>
                <w:sz w:val="20"/>
                <w:szCs w:val="20"/>
                <w:color w:val="auto"/>
              </w:rPr>
            </w:pPr>
            <w:r>
              <w:rPr>
                <w:rFonts w:ascii="Arial" w:cs="Arial" w:eastAsia="Arial" w:hAnsi="Arial"/>
                <w:sz w:val="14"/>
                <w:szCs w:val="14"/>
                <w:b w:val="1"/>
                <w:bCs w:val="1"/>
                <w:i w:val="1"/>
                <w:iCs w:val="1"/>
                <w:color w:val="auto"/>
              </w:rPr>
              <w:t>2009</w:t>
            </w:r>
          </w:p>
        </w:tc>
        <w:tc>
          <w:tcPr>
            <w:tcW w:w="1040" w:type="dxa"/>
            <w:vAlign w:val="bottom"/>
            <w:gridSpan w:val="4"/>
          </w:tcPr>
          <w:p>
            <w:pPr>
              <w:jc w:val="right"/>
              <w:ind w:right="460"/>
              <w:spacing w:after="0" w:line="155" w:lineRule="exact"/>
              <w:rPr>
                <w:sz w:val="20"/>
                <w:szCs w:val="20"/>
                <w:color w:val="auto"/>
              </w:rPr>
            </w:pPr>
            <w:r>
              <w:rPr>
                <w:rFonts w:ascii="Arial" w:cs="Arial" w:eastAsia="Arial" w:hAnsi="Arial"/>
                <w:sz w:val="14"/>
                <w:szCs w:val="14"/>
                <w:b w:val="1"/>
                <w:bCs w:val="1"/>
                <w:i w:val="1"/>
                <w:iCs w:val="1"/>
                <w:color w:val="auto"/>
              </w:rPr>
              <w:t>2010</w:t>
            </w:r>
          </w:p>
        </w:tc>
        <w:tc>
          <w:tcPr>
            <w:tcW w:w="3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2009</w:t>
            </w: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bl>
    <w:p>
      <w:pPr>
        <w:spacing w:after="0" w:line="215" w:lineRule="exact"/>
        <w:rPr>
          <w:sz w:val="20"/>
          <w:szCs w:val="20"/>
          <w:color w:val="auto"/>
        </w:rPr>
      </w:pPr>
    </w:p>
    <w:p>
      <w:pPr>
        <w:sectPr>
          <w:pgSz w:w="11900" w:h="16962" w:orient="portrait"/>
          <w:cols w:equalWidth="0" w:num="2">
            <w:col w:w="4320" w:space="720"/>
            <w:col w:w="6240"/>
          </w:cols>
          <w:pgMar w:left="240" w:top="131" w:right="379" w:bottom="0" w:gutter="0" w:footer="0" w:header="0"/>
          <w:type w:val="continuous"/>
        </w:sectPr>
      </w:pPr>
    </w:p>
    <w:p>
      <w:pPr>
        <w:spacing w:after="0" w:line="87" w:lineRule="exact"/>
        <w:rPr>
          <w:sz w:val="20"/>
          <w:szCs w:val="20"/>
          <w:color w:val="auto"/>
        </w:rPr>
      </w:pPr>
    </w:p>
    <w:tbl>
      <w:tblPr>
        <w:tblLayout w:type="fixed"/>
        <w:tblInd w:w="560" w:type="dxa"/>
        <w:tblCellMar>
          <w:top w:w="0" w:type="dxa"/>
          <w:left w:w="0" w:type="dxa"/>
          <w:bottom w:w="0" w:type="dxa"/>
          <w:right w:w="0" w:type="dxa"/>
        </w:tblCellMar>
      </w:tblPr>
      <w:tr>
        <w:trPr>
          <w:trHeight w:val="222"/>
        </w:trPr>
        <w:tc>
          <w:tcPr>
            <w:tcW w:w="4540" w:type="dxa"/>
            <w:vAlign w:val="bottom"/>
          </w:tcPr>
          <w:p>
            <w:pPr>
              <w:spacing w:after="0"/>
              <w:rPr>
                <w:sz w:val="20"/>
                <w:szCs w:val="20"/>
                <w:color w:val="auto"/>
              </w:rPr>
            </w:pPr>
            <w:r>
              <w:rPr>
                <w:rFonts w:ascii="Arial" w:cs="Arial" w:eastAsia="Arial" w:hAnsi="Arial"/>
                <w:sz w:val="18"/>
                <w:szCs w:val="18"/>
                <w:color w:val="auto"/>
              </w:rPr>
              <w:t>Mechanical Products</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76"/>
              </w:rPr>
              <w:t>$ 7,778</w:t>
            </w:r>
          </w:p>
        </w:tc>
        <w:tc>
          <w:tcPr>
            <w:tcW w:w="260" w:type="dxa"/>
            <w:vAlign w:val="bottom"/>
          </w:tcPr>
          <w:p>
            <w:pPr>
              <w:spacing w:after="0"/>
              <w:rPr>
                <w:sz w:val="19"/>
                <w:szCs w:val="19"/>
                <w:color w:val="auto"/>
              </w:rPr>
            </w:pPr>
          </w:p>
        </w:tc>
        <w:tc>
          <w:tcPr>
            <w:tcW w:w="780" w:type="dxa"/>
            <w:vAlign w:val="bottom"/>
            <w:gridSpan w:val="7"/>
          </w:tcPr>
          <w:p>
            <w:pPr>
              <w:jc w:val="right"/>
              <w:ind w:right="220"/>
              <w:spacing w:after="0"/>
              <w:rPr>
                <w:sz w:val="20"/>
                <w:szCs w:val="20"/>
                <w:color w:val="auto"/>
              </w:rPr>
            </w:pPr>
            <w:r>
              <w:rPr>
                <w:rFonts w:ascii="Arial" w:cs="Arial" w:eastAsia="Arial" w:hAnsi="Arial"/>
                <w:sz w:val="18"/>
                <w:szCs w:val="18"/>
                <w:color w:val="auto"/>
                <w:w w:val="98"/>
              </w:rPr>
              <w:t>$1,751</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w w:val="86"/>
              </w:rPr>
              <w:t>$12,534</w:t>
            </w:r>
          </w:p>
        </w:tc>
        <w:tc>
          <w:tcPr>
            <w:tcW w:w="340" w:type="dxa"/>
            <w:vAlign w:val="bottom"/>
          </w:tcPr>
          <w:p>
            <w:pPr>
              <w:spacing w:after="0"/>
              <w:rPr>
                <w:sz w:val="19"/>
                <w:szCs w:val="19"/>
                <w:color w:val="auto"/>
              </w:rPr>
            </w:pPr>
          </w:p>
        </w:tc>
        <w:tc>
          <w:tcPr>
            <w:tcW w:w="520" w:type="dxa"/>
            <w:vAlign w:val="bottom"/>
            <w:gridSpan w:val="4"/>
          </w:tcPr>
          <w:p>
            <w:pPr>
              <w:jc w:val="right"/>
              <w:ind w:right="40"/>
              <w:spacing w:after="0"/>
              <w:rPr>
                <w:sz w:val="20"/>
                <w:szCs w:val="20"/>
                <w:color w:val="auto"/>
              </w:rPr>
            </w:pPr>
            <w:r>
              <w:rPr>
                <w:rFonts w:ascii="Arial" w:cs="Arial" w:eastAsia="Arial" w:hAnsi="Arial"/>
                <w:sz w:val="18"/>
                <w:szCs w:val="18"/>
                <w:color w:val="auto"/>
                <w:w w:val="83"/>
              </w:rPr>
              <w:t>$2,304</w:t>
            </w:r>
          </w:p>
        </w:tc>
      </w:tr>
      <w:tr>
        <w:trPr>
          <w:trHeight w:val="459"/>
        </w:trPr>
        <w:tc>
          <w:tcPr>
            <w:tcW w:w="4540" w:type="dxa"/>
            <w:vAlign w:val="bottom"/>
          </w:tcPr>
          <w:p>
            <w:pPr>
              <w:spacing w:after="0"/>
              <w:rPr>
                <w:sz w:val="20"/>
                <w:szCs w:val="20"/>
                <w:color w:val="auto"/>
              </w:rPr>
            </w:pPr>
            <w:r>
              <w:rPr>
                <w:rFonts w:ascii="Arial" w:cs="Arial" w:eastAsia="Arial" w:hAnsi="Arial"/>
                <w:sz w:val="18"/>
                <w:szCs w:val="18"/>
                <w:color w:val="auto"/>
              </w:rPr>
              <w:t>Thermal Products</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4,726</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4"/>
          </w:tcPr>
          <w:p>
            <w:pPr>
              <w:jc w:val="right"/>
              <w:ind w:right="220"/>
              <w:spacing w:after="0"/>
              <w:rPr>
                <w:sz w:val="20"/>
                <w:szCs w:val="20"/>
                <w:color w:val="auto"/>
              </w:rPr>
            </w:pPr>
            <w:r>
              <w:rPr>
                <w:rFonts w:ascii="Arial" w:cs="Arial" w:eastAsia="Arial" w:hAnsi="Arial"/>
                <w:sz w:val="18"/>
                <w:szCs w:val="18"/>
                <w:color w:val="auto"/>
                <w:w w:val="88"/>
              </w:rPr>
              <w:t>2,863</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8,238</w:t>
            </w:r>
          </w:p>
        </w:tc>
        <w:tc>
          <w:tcPr>
            <w:tcW w:w="340" w:type="dxa"/>
            <w:vAlign w:val="bottom"/>
          </w:tcPr>
          <w:p>
            <w:pPr>
              <w:spacing w:after="0"/>
              <w:rPr>
                <w:sz w:val="24"/>
                <w:szCs w:val="24"/>
                <w:color w:val="auto"/>
              </w:rPr>
            </w:pPr>
          </w:p>
        </w:tc>
        <w:tc>
          <w:tcPr>
            <w:tcW w:w="520" w:type="dxa"/>
            <w:vAlign w:val="bottom"/>
            <w:gridSpan w:val="4"/>
          </w:tcPr>
          <w:p>
            <w:pPr>
              <w:jc w:val="right"/>
              <w:ind w:right="40"/>
              <w:spacing w:after="0"/>
              <w:rPr>
                <w:sz w:val="20"/>
                <w:szCs w:val="20"/>
                <w:color w:val="auto"/>
              </w:rPr>
            </w:pPr>
            <w:r>
              <w:rPr>
                <w:rFonts w:ascii="Arial" w:cs="Arial" w:eastAsia="Arial" w:hAnsi="Arial"/>
                <w:sz w:val="18"/>
                <w:szCs w:val="18"/>
                <w:color w:val="auto"/>
              </w:rPr>
              <w:t>6,574</w:t>
            </w:r>
          </w:p>
        </w:tc>
      </w:tr>
      <w:tr>
        <w:trPr>
          <w:trHeight w:val="459"/>
        </w:trPr>
        <w:tc>
          <w:tcPr>
            <w:tcW w:w="4540" w:type="dxa"/>
            <w:vAlign w:val="bottom"/>
          </w:tcPr>
          <w:p>
            <w:pPr>
              <w:spacing w:after="0"/>
              <w:rPr>
                <w:sz w:val="20"/>
                <w:szCs w:val="20"/>
                <w:color w:val="auto"/>
              </w:rPr>
            </w:pPr>
            <w:r>
              <w:rPr>
                <w:rFonts w:ascii="Arial" w:cs="Arial" w:eastAsia="Arial" w:hAnsi="Arial"/>
                <w:sz w:val="18"/>
                <w:szCs w:val="18"/>
                <w:color w:val="auto"/>
              </w:rPr>
              <w:t>Electrical Products</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2,776</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4"/>
          </w:tcPr>
          <w:p>
            <w:pPr>
              <w:jc w:val="right"/>
              <w:ind w:right="220"/>
              <w:spacing w:after="0"/>
              <w:rPr>
                <w:sz w:val="20"/>
                <w:szCs w:val="20"/>
                <w:color w:val="auto"/>
              </w:rPr>
            </w:pPr>
            <w:r>
              <w:rPr>
                <w:rFonts w:ascii="Arial" w:cs="Arial" w:eastAsia="Arial" w:hAnsi="Arial"/>
                <w:sz w:val="18"/>
                <w:szCs w:val="18"/>
                <w:color w:val="auto"/>
              </w:rPr>
              <w:t>442</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4,038</w:t>
            </w:r>
          </w:p>
        </w:tc>
        <w:tc>
          <w:tcPr>
            <w:tcW w:w="340" w:type="dxa"/>
            <w:vAlign w:val="bottom"/>
          </w:tcPr>
          <w:p>
            <w:pPr>
              <w:spacing w:after="0"/>
              <w:rPr>
                <w:sz w:val="24"/>
                <w:szCs w:val="24"/>
                <w:color w:val="auto"/>
              </w:rPr>
            </w:pPr>
          </w:p>
        </w:tc>
        <w:tc>
          <w:tcPr>
            <w:tcW w:w="520" w:type="dxa"/>
            <w:vAlign w:val="bottom"/>
            <w:gridSpan w:val="4"/>
          </w:tcPr>
          <w:p>
            <w:pPr>
              <w:jc w:val="right"/>
              <w:ind w:right="40"/>
              <w:spacing w:after="0"/>
              <w:rPr>
                <w:sz w:val="20"/>
                <w:szCs w:val="20"/>
                <w:color w:val="auto"/>
              </w:rPr>
            </w:pPr>
            <w:r>
              <w:rPr>
                <w:rFonts w:ascii="Arial" w:cs="Arial" w:eastAsia="Arial" w:hAnsi="Arial"/>
                <w:sz w:val="18"/>
                <w:szCs w:val="18"/>
                <w:color w:val="auto"/>
              </w:rPr>
              <w:t>943</w:t>
            </w:r>
          </w:p>
        </w:tc>
      </w:tr>
      <w:tr>
        <w:trPr>
          <w:trHeight w:val="421"/>
        </w:trPr>
        <w:tc>
          <w:tcPr>
            <w:tcW w:w="4540" w:type="dxa"/>
            <w:vAlign w:val="bottom"/>
          </w:tcPr>
          <w:p>
            <w:pPr>
              <w:spacing w:after="0"/>
              <w:rPr>
                <w:sz w:val="20"/>
                <w:szCs w:val="20"/>
                <w:color w:val="auto"/>
              </w:rPr>
            </w:pPr>
            <w:r>
              <w:rPr>
                <w:rFonts w:ascii="Arial" w:cs="Arial" w:eastAsia="Arial" w:hAnsi="Arial"/>
                <w:sz w:val="18"/>
                <w:szCs w:val="18"/>
                <w:color w:val="auto"/>
              </w:rPr>
              <w:t>Intersegment sales</w:t>
            </w:r>
          </w:p>
        </w:tc>
        <w:tc>
          <w:tcPr>
            <w:tcW w:w="720" w:type="dxa"/>
            <w:vAlign w:val="bottom"/>
            <w:gridSpan w:val="4"/>
          </w:tcPr>
          <w:p>
            <w:pPr>
              <w:jc w:val="right"/>
              <w:ind w:right="20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4"/>
          </w:tcPr>
          <w:p>
            <w:pPr>
              <w:jc w:val="right"/>
              <w:ind w:right="180"/>
              <w:spacing w:after="0"/>
              <w:rPr>
                <w:sz w:val="20"/>
                <w:szCs w:val="20"/>
                <w:color w:val="auto"/>
              </w:rPr>
            </w:pPr>
            <w:r>
              <w:rPr>
                <w:rFonts w:ascii="Arial" w:cs="Arial" w:eastAsia="Arial" w:hAnsi="Arial"/>
                <w:sz w:val="18"/>
                <w:szCs w:val="18"/>
                <w:color w:val="auto"/>
              </w:rPr>
              <w:t>(384)</w:t>
            </w:r>
          </w:p>
        </w:tc>
        <w:tc>
          <w:tcPr>
            <w:tcW w:w="900" w:type="dxa"/>
            <w:vAlign w:val="bottom"/>
            <w:gridSpan w:val="5"/>
          </w:tcPr>
          <w:p>
            <w:pPr>
              <w:jc w:val="right"/>
              <w:ind w:right="280"/>
              <w:spacing w:after="0"/>
              <w:rPr>
                <w:sz w:val="20"/>
                <w:szCs w:val="20"/>
                <w:color w:val="auto"/>
              </w:rPr>
            </w:pPr>
            <w:r>
              <w:rPr>
                <w:rFonts w:ascii="Arial" w:cs="Arial" w:eastAsia="Arial" w:hAnsi="Arial"/>
                <w:sz w:val="18"/>
                <w:szCs w:val="18"/>
                <w:color w:val="auto"/>
              </w:rPr>
              <w:t>(21)</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(754)</w:t>
            </w:r>
          </w:p>
        </w:tc>
      </w:tr>
      <w:tr>
        <w:trPr>
          <w:trHeight w:val="20"/>
        </w:trPr>
        <w:tc>
          <w:tcPr>
            <w:tcW w:w="45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454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70"/>
              </w:rPr>
              <w:t>$</w:t>
            </w:r>
            <w:r>
              <w:rPr>
                <w:rFonts w:ascii="Arial" w:cs="Arial" w:eastAsia="Arial" w:hAnsi="Arial"/>
                <w:sz w:val="18"/>
                <w:szCs w:val="18"/>
                <w:color w:val="auto"/>
                <w:w w:val="70"/>
              </w:rPr>
              <w:t>15,260</w:t>
            </w:r>
          </w:p>
        </w:tc>
        <w:tc>
          <w:tcPr>
            <w:tcW w:w="260" w:type="dxa"/>
            <w:vAlign w:val="bottom"/>
          </w:tcPr>
          <w:p>
            <w:pPr>
              <w:spacing w:after="0"/>
              <w:rPr>
                <w:sz w:val="24"/>
                <w:szCs w:val="24"/>
                <w:color w:val="auto"/>
              </w:rPr>
            </w:pPr>
          </w:p>
        </w:tc>
        <w:tc>
          <w:tcPr>
            <w:tcW w:w="780" w:type="dxa"/>
            <w:vAlign w:val="bottom"/>
            <w:gridSpan w:val="7"/>
          </w:tcPr>
          <w:p>
            <w:pPr>
              <w:jc w:val="right"/>
              <w:ind w:right="2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4,672</w:t>
            </w:r>
          </w:p>
        </w:tc>
        <w:tc>
          <w:tcPr>
            <w:tcW w:w="56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24,789</w:t>
            </w:r>
          </w:p>
        </w:tc>
        <w:tc>
          <w:tcPr>
            <w:tcW w:w="340" w:type="dxa"/>
            <w:vAlign w:val="bottom"/>
          </w:tcPr>
          <w:p>
            <w:pPr>
              <w:spacing w:after="0"/>
              <w:rPr>
                <w:sz w:val="24"/>
                <w:szCs w:val="24"/>
                <w:color w:val="auto"/>
              </w:rPr>
            </w:pPr>
          </w:p>
        </w:tc>
        <w:tc>
          <w:tcPr>
            <w:tcW w:w="520" w:type="dxa"/>
            <w:vAlign w:val="bottom"/>
            <w:gridSpan w:val="4"/>
          </w:tcPr>
          <w:p>
            <w:pPr>
              <w:jc w:val="right"/>
              <w:ind w:right="4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9,067</w:t>
            </w:r>
          </w:p>
        </w:tc>
      </w:tr>
      <w:tr>
        <w:trPr>
          <w:trHeight w:val="410"/>
        </w:trPr>
        <w:tc>
          <w:tcPr>
            <w:tcW w:w="4540" w:type="dxa"/>
            <w:vAlign w:val="bottom"/>
          </w:tcPr>
          <w:p>
            <w:pPr>
              <w:spacing w:after="0"/>
              <w:rPr>
                <w:sz w:val="20"/>
                <w:szCs w:val="20"/>
                <w:color w:val="auto"/>
              </w:rPr>
            </w:pPr>
            <w:r>
              <w:rPr>
                <w:rFonts w:ascii="Arial" w:cs="Arial" w:eastAsia="Arial" w:hAnsi="Arial"/>
                <w:sz w:val="18"/>
                <w:szCs w:val="18"/>
                <w:b w:val="1"/>
                <w:bCs w:val="1"/>
                <w:i w:val="1"/>
                <w:iCs w:val="1"/>
                <w:color w:val="auto"/>
              </w:rPr>
              <w:t>Intersegment sales:</w:t>
            </w: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4540" w:type="dxa"/>
            <w:vAlign w:val="bottom"/>
          </w:tcPr>
          <w:p>
            <w:pPr>
              <w:spacing w:after="0"/>
              <w:rPr>
                <w:sz w:val="20"/>
                <w:szCs w:val="20"/>
                <w:color w:val="auto"/>
              </w:rPr>
            </w:pPr>
            <w:r>
              <w:rPr>
                <w:rFonts w:ascii="Arial" w:cs="Arial" w:eastAsia="Arial" w:hAnsi="Arial"/>
                <w:sz w:val="18"/>
                <w:szCs w:val="18"/>
                <w:color w:val="auto"/>
              </w:rPr>
              <w:t>Mechanical Products</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  4</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4"/>
          </w:tcPr>
          <w:p>
            <w:pPr>
              <w:jc w:val="right"/>
              <w:ind w:right="220"/>
              <w:spacing w:after="0"/>
              <w:rPr>
                <w:sz w:val="20"/>
                <w:szCs w:val="20"/>
                <w:color w:val="auto"/>
              </w:rPr>
            </w:pPr>
            <w:r>
              <w:rPr>
                <w:rFonts w:ascii="Arial" w:cs="Arial" w:eastAsia="Arial" w:hAnsi="Arial"/>
                <w:sz w:val="18"/>
                <w:szCs w:val="18"/>
                <w:color w:val="auto"/>
              </w:rPr>
              <w:t>$  -</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$ 4</w:t>
            </w:r>
          </w:p>
        </w:tc>
        <w:tc>
          <w:tcPr>
            <w:tcW w:w="340" w:type="dxa"/>
            <w:vAlign w:val="bottom"/>
          </w:tcPr>
          <w:p>
            <w:pPr>
              <w:spacing w:after="0"/>
              <w:rPr>
                <w:sz w:val="24"/>
                <w:szCs w:val="24"/>
                <w:color w:val="auto"/>
              </w:rPr>
            </w:pPr>
          </w:p>
        </w:tc>
        <w:tc>
          <w:tcPr>
            <w:tcW w:w="520" w:type="dxa"/>
            <w:vAlign w:val="bottom"/>
            <w:gridSpan w:val="4"/>
          </w:tcPr>
          <w:p>
            <w:pPr>
              <w:jc w:val="right"/>
              <w:ind w:right="40"/>
              <w:spacing w:after="0"/>
              <w:rPr>
                <w:sz w:val="20"/>
                <w:szCs w:val="20"/>
                <w:color w:val="auto"/>
              </w:rPr>
            </w:pPr>
            <w:r>
              <w:rPr>
                <w:rFonts w:ascii="Arial" w:cs="Arial" w:eastAsia="Arial" w:hAnsi="Arial"/>
                <w:sz w:val="18"/>
                <w:szCs w:val="18"/>
                <w:color w:val="auto"/>
              </w:rPr>
              <w:t>$  -</w:t>
            </w:r>
          </w:p>
        </w:tc>
      </w:tr>
      <w:tr>
        <w:trPr>
          <w:trHeight w:val="459"/>
        </w:trPr>
        <w:tc>
          <w:tcPr>
            <w:tcW w:w="4540" w:type="dxa"/>
            <w:vAlign w:val="bottom"/>
          </w:tcPr>
          <w:p>
            <w:pPr>
              <w:spacing w:after="0"/>
              <w:rPr>
                <w:sz w:val="20"/>
                <w:szCs w:val="20"/>
                <w:color w:val="auto"/>
              </w:rPr>
            </w:pPr>
            <w:r>
              <w:rPr>
                <w:rFonts w:ascii="Arial" w:cs="Arial" w:eastAsia="Arial" w:hAnsi="Arial"/>
                <w:sz w:val="18"/>
                <w:szCs w:val="18"/>
                <w:color w:val="auto"/>
              </w:rPr>
              <w:t>Thermal Products</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4"/>
          </w:tcPr>
          <w:p>
            <w:pPr>
              <w:jc w:val="right"/>
              <w:ind w:right="220"/>
              <w:spacing w:after="0"/>
              <w:rPr>
                <w:sz w:val="20"/>
                <w:szCs w:val="20"/>
                <w:color w:val="auto"/>
              </w:rPr>
            </w:pPr>
            <w:r>
              <w:rPr>
                <w:rFonts w:ascii="Arial" w:cs="Arial" w:eastAsia="Arial" w:hAnsi="Arial"/>
                <w:sz w:val="18"/>
                <w:szCs w:val="18"/>
                <w:color w:val="auto"/>
              </w:rPr>
              <w:t>142</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20" w:type="dxa"/>
            <w:vAlign w:val="bottom"/>
            <w:gridSpan w:val="4"/>
          </w:tcPr>
          <w:p>
            <w:pPr>
              <w:jc w:val="right"/>
              <w:ind w:right="40"/>
              <w:spacing w:after="0"/>
              <w:rPr>
                <w:sz w:val="20"/>
                <w:szCs w:val="20"/>
                <w:color w:val="auto"/>
              </w:rPr>
            </w:pPr>
            <w:r>
              <w:rPr>
                <w:rFonts w:ascii="Arial" w:cs="Arial" w:eastAsia="Arial" w:hAnsi="Arial"/>
                <w:sz w:val="18"/>
                <w:szCs w:val="18"/>
                <w:color w:val="auto"/>
              </w:rPr>
              <w:t>410</w:t>
            </w:r>
          </w:p>
        </w:tc>
      </w:tr>
      <w:tr>
        <w:trPr>
          <w:trHeight w:val="421"/>
        </w:trPr>
        <w:tc>
          <w:tcPr>
            <w:tcW w:w="4540" w:type="dxa"/>
            <w:vAlign w:val="bottom"/>
          </w:tcPr>
          <w:p>
            <w:pPr>
              <w:spacing w:after="0"/>
              <w:rPr>
                <w:sz w:val="20"/>
                <w:szCs w:val="20"/>
                <w:color w:val="auto"/>
              </w:rPr>
            </w:pPr>
            <w:r>
              <w:rPr>
                <w:rFonts w:ascii="Arial" w:cs="Arial" w:eastAsia="Arial" w:hAnsi="Arial"/>
                <w:sz w:val="18"/>
                <w:szCs w:val="18"/>
                <w:color w:val="auto"/>
              </w:rPr>
              <w:t>Electrical Products</w:t>
            </w:r>
          </w:p>
        </w:tc>
        <w:tc>
          <w:tcPr>
            <w:tcW w:w="80" w:type="dxa"/>
            <w:vAlign w:val="bottom"/>
          </w:tcPr>
          <w:p>
            <w:pPr>
              <w:spacing w:after="0"/>
              <w:rPr>
                <w:sz w:val="24"/>
                <w:szCs w:val="2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24"/>
                <w:szCs w:val="24"/>
                <w:color w:val="auto"/>
              </w:rPr>
            </w:pPr>
          </w:p>
        </w:tc>
        <w:tc>
          <w:tcPr>
            <w:tcW w:w="320" w:type="dxa"/>
            <w:vAlign w:val="bottom"/>
            <w:gridSpan w:val="3"/>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344</w:t>
            </w:r>
          </w:p>
        </w:tc>
        <w:tc>
          <w:tcPr>
            <w:tcW w:w="40" w:type="dxa"/>
            <w:vAlign w:val="bottom"/>
          </w:tcPr>
          <w:p>
            <w:pPr>
              <w:spacing w:after="0"/>
              <w:rPr>
                <w:sz w:val="24"/>
                <w:szCs w:val="24"/>
                <w:color w:val="auto"/>
              </w:rPr>
            </w:pPr>
          </w:p>
        </w:tc>
      </w:tr>
      <w:tr>
        <w:trPr>
          <w:trHeight w:val="439"/>
        </w:trPr>
        <w:tc>
          <w:tcPr>
            <w:tcW w:w="454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$ 20</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4"/>
          </w:tcPr>
          <w:p>
            <w:pPr>
              <w:jc w:val="right"/>
              <w:ind w:right="22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384</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$ 21</w:t>
            </w:r>
          </w:p>
        </w:tc>
        <w:tc>
          <w:tcPr>
            <w:tcW w:w="340" w:type="dxa"/>
            <w:vAlign w:val="bottom"/>
          </w:tcPr>
          <w:p>
            <w:pPr>
              <w:spacing w:after="0"/>
              <w:rPr>
                <w:sz w:val="24"/>
                <w:szCs w:val="24"/>
                <w:color w:val="auto"/>
              </w:rPr>
            </w:pPr>
          </w:p>
        </w:tc>
        <w:tc>
          <w:tcPr>
            <w:tcW w:w="520" w:type="dxa"/>
            <w:vAlign w:val="bottom"/>
            <w:gridSpan w:val="4"/>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754</w:t>
            </w:r>
          </w:p>
        </w:tc>
      </w:tr>
      <w:tr>
        <w:trPr>
          <w:trHeight w:val="410"/>
        </w:trPr>
        <w:tc>
          <w:tcPr>
            <w:tcW w:w="4540" w:type="dxa"/>
            <w:vAlign w:val="bottom"/>
          </w:tcPr>
          <w:p>
            <w:pPr>
              <w:spacing w:after="0"/>
              <w:rPr>
                <w:sz w:val="20"/>
                <w:szCs w:val="20"/>
                <w:color w:val="auto"/>
              </w:rPr>
            </w:pPr>
            <w:r>
              <w:rPr>
                <w:rFonts w:ascii="Arial" w:cs="Arial" w:eastAsia="Arial" w:hAnsi="Arial"/>
                <w:sz w:val="18"/>
                <w:szCs w:val="18"/>
                <w:b w:val="1"/>
                <w:bCs w:val="1"/>
                <w:i w:val="1"/>
                <w:iCs w:val="1"/>
                <w:color w:val="auto"/>
              </w:rPr>
              <w:t>Earnings (loss) before income taxes:</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4540" w:type="dxa"/>
            <w:vAlign w:val="bottom"/>
          </w:tcPr>
          <w:p>
            <w:pPr>
              <w:spacing w:after="0"/>
              <w:rPr>
                <w:sz w:val="20"/>
                <w:szCs w:val="20"/>
                <w:color w:val="auto"/>
              </w:rPr>
            </w:pPr>
            <w:r>
              <w:rPr>
                <w:rFonts w:ascii="Arial" w:cs="Arial" w:eastAsia="Arial" w:hAnsi="Arial"/>
                <w:sz w:val="18"/>
                <w:szCs w:val="18"/>
                <w:color w:val="auto"/>
              </w:rPr>
              <w:t>Mechanical Products</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87"/>
              </w:rPr>
              <w:t>$1,864</w:t>
            </w:r>
          </w:p>
        </w:tc>
        <w:tc>
          <w:tcPr>
            <w:tcW w:w="260" w:type="dxa"/>
            <w:vAlign w:val="bottom"/>
          </w:tcPr>
          <w:p>
            <w:pPr>
              <w:spacing w:after="0"/>
              <w:rPr>
                <w:sz w:val="24"/>
                <w:szCs w:val="24"/>
                <w:color w:val="auto"/>
              </w:rPr>
            </w:pPr>
          </w:p>
        </w:tc>
        <w:tc>
          <w:tcPr>
            <w:tcW w:w="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4"/>
          </w:tcPr>
          <w:p>
            <w:pPr>
              <w:jc w:val="right"/>
              <w:ind w:right="180"/>
              <w:spacing w:after="0"/>
              <w:rPr>
                <w:sz w:val="20"/>
                <w:szCs w:val="20"/>
                <w:color w:val="auto"/>
              </w:rPr>
            </w:pPr>
            <w:r>
              <w:rPr>
                <w:rFonts w:ascii="Arial" w:cs="Arial" w:eastAsia="Arial" w:hAnsi="Arial"/>
                <w:sz w:val="18"/>
                <w:szCs w:val="18"/>
                <w:color w:val="auto"/>
              </w:rPr>
              <w:t>(749)</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$2,914</w:t>
            </w:r>
          </w:p>
        </w:tc>
        <w:tc>
          <w:tcPr>
            <w:tcW w:w="340" w:type="dxa"/>
            <w:vAlign w:val="bottom"/>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w w:val="74"/>
              </w:rPr>
              <w:t>$(2,243)</w:t>
            </w:r>
          </w:p>
        </w:tc>
      </w:tr>
      <w:tr>
        <w:trPr>
          <w:trHeight w:val="459"/>
        </w:trPr>
        <w:tc>
          <w:tcPr>
            <w:tcW w:w="4540" w:type="dxa"/>
            <w:vAlign w:val="bottom"/>
          </w:tcPr>
          <w:p>
            <w:pPr>
              <w:spacing w:after="0"/>
              <w:rPr>
                <w:sz w:val="20"/>
                <w:szCs w:val="20"/>
                <w:color w:val="auto"/>
              </w:rPr>
            </w:pPr>
            <w:r>
              <w:rPr>
                <w:rFonts w:ascii="Arial" w:cs="Arial" w:eastAsia="Arial" w:hAnsi="Arial"/>
                <w:sz w:val="18"/>
                <w:szCs w:val="18"/>
                <w:color w:val="auto"/>
              </w:rPr>
              <w:t>Thermal Products</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475</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4"/>
          </w:tcPr>
          <w:p>
            <w:pPr>
              <w:jc w:val="right"/>
              <w:ind w:right="180"/>
              <w:spacing w:after="0"/>
              <w:rPr>
                <w:sz w:val="20"/>
                <w:szCs w:val="20"/>
                <w:color w:val="auto"/>
              </w:rPr>
            </w:pPr>
            <w:r>
              <w:rPr>
                <w:rFonts w:ascii="Arial" w:cs="Arial" w:eastAsia="Arial" w:hAnsi="Arial"/>
                <w:sz w:val="18"/>
                <w:szCs w:val="18"/>
                <w:color w:val="auto"/>
              </w:rPr>
              <w:t>(812)</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499</w:t>
            </w:r>
          </w:p>
        </w:tc>
        <w:tc>
          <w:tcPr>
            <w:tcW w:w="340" w:type="dxa"/>
            <w:vAlign w:val="bottom"/>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w w:val="87"/>
              </w:rPr>
              <w:t>(1,540)</w:t>
            </w:r>
          </w:p>
        </w:tc>
      </w:tr>
      <w:tr>
        <w:trPr>
          <w:trHeight w:val="459"/>
        </w:trPr>
        <w:tc>
          <w:tcPr>
            <w:tcW w:w="4540" w:type="dxa"/>
            <w:vAlign w:val="bottom"/>
          </w:tcPr>
          <w:p>
            <w:pPr>
              <w:spacing w:after="0"/>
              <w:rPr>
                <w:sz w:val="20"/>
                <w:szCs w:val="20"/>
                <w:color w:val="auto"/>
              </w:rPr>
            </w:pPr>
            <w:r>
              <w:rPr>
                <w:rFonts w:ascii="Arial" w:cs="Arial" w:eastAsia="Arial" w:hAnsi="Arial"/>
                <w:sz w:val="18"/>
                <w:szCs w:val="18"/>
                <w:color w:val="auto"/>
              </w:rPr>
              <w:t>Electrical Products</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960</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4"/>
          </w:tcPr>
          <w:p>
            <w:pPr>
              <w:jc w:val="right"/>
              <w:ind w:right="180"/>
              <w:spacing w:after="0"/>
              <w:rPr>
                <w:sz w:val="20"/>
                <w:szCs w:val="20"/>
                <w:color w:val="auto"/>
              </w:rPr>
            </w:pPr>
            <w:r>
              <w:rPr>
                <w:rFonts w:ascii="Arial" w:cs="Arial" w:eastAsia="Arial" w:hAnsi="Arial"/>
                <w:sz w:val="18"/>
                <w:szCs w:val="18"/>
                <w:color w:val="auto"/>
              </w:rPr>
              <w:t>(415)</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1,125</w:t>
            </w:r>
          </w:p>
        </w:tc>
        <w:tc>
          <w:tcPr>
            <w:tcW w:w="340" w:type="dxa"/>
            <w:vAlign w:val="bottom"/>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(870)</w:t>
            </w:r>
          </w:p>
        </w:tc>
      </w:tr>
      <w:tr>
        <w:trPr>
          <w:trHeight w:val="421"/>
        </w:trPr>
        <w:tc>
          <w:tcPr>
            <w:tcW w:w="4540" w:type="dxa"/>
            <w:vAlign w:val="bottom"/>
          </w:tcPr>
          <w:p>
            <w:pPr>
              <w:spacing w:after="0"/>
              <w:rPr>
                <w:sz w:val="20"/>
                <w:szCs w:val="20"/>
                <w:color w:val="auto"/>
              </w:rPr>
            </w:pPr>
            <w:r>
              <w:rPr>
                <w:rFonts w:ascii="Arial" w:cs="Arial" w:eastAsia="Arial" w:hAnsi="Arial"/>
                <w:sz w:val="18"/>
                <w:szCs w:val="18"/>
                <w:color w:val="auto"/>
              </w:rPr>
              <w:t>Corporate</w:t>
            </w:r>
          </w:p>
        </w:tc>
        <w:tc>
          <w:tcPr>
            <w:tcW w:w="720" w:type="dxa"/>
            <w:vAlign w:val="bottom"/>
            <w:gridSpan w:val="4"/>
          </w:tcPr>
          <w:p>
            <w:pPr>
              <w:jc w:val="right"/>
              <w:ind w:right="200"/>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4"/>
          </w:tcPr>
          <w:p>
            <w:pPr>
              <w:jc w:val="right"/>
              <w:ind w:right="220"/>
              <w:spacing w:after="0"/>
              <w:rPr>
                <w:sz w:val="20"/>
                <w:szCs w:val="20"/>
                <w:color w:val="auto"/>
              </w:rPr>
            </w:pPr>
            <w:r>
              <w:rPr>
                <w:rFonts w:ascii="Arial" w:cs="Arial" w:eastAsia="Arial" w:hAnsi="Arial"/>
                <w:sz w:val="18"/>
                <w:szCs w:val="18"/>
                <w:color w:val="auto"/>
              </w:rPr>
              <w:t>16</w:t>
            </w:r>
          </w:p>
        </w:tc>
        <w:tc>
          <w:tcPr>
            <w:tcW w:w="900" w:type="dxa"/>
            <w:vAlign w:val="bottom"/>
            <w:gridSpan w:val="5"/>
          </w:tcPr>
          <w:p>
            <w:pPr>
              <w:jc w:val="right"/>
              <w:ind w:right="280"/>
              <w:spacing w:after="0"/>
              <w:rPr>
                <w:sz w:val="20"/>
                <w:szCs w:val="20"/>
                <w:color w:val="auto"/>
              </w:rPr>
            </w:pPr>
            <w:r>
              <w:rPr>
                <w:rFonts w:ascii="Arial" w:cs="Arial" w:eastAsia="Arial" w:hAnsi="Arial"/>
                <w:sz w:val="18"/>
                <w:szCs w:val="18"/>
                <w:color w:val="auto"/>
              </w:rPr>
              <w:t>(257)</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4540" w:type="dxa"/>
            <w:vAlign w:val="bottom"/>
            <w:tcBorders>
              <w:right w:val="single" w:sz="8" w:color="auto"/>
            </w:tcBorders>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39"/>
        </w:trPr>
        <w:tc>
          <w:tcPr>
            <w:tcW w:w="454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3,166</w:t>
            </w:r>
          </w:p>
        </w:tc>
        <w:tc>
          <w:tcPr>
            <w:tcW w:w="260" w:type="dxa"/>
            <w:vAlign w:val="bottom"/>
          </w:tcPr>
          <w:p>
            <w:pPr>
              <w:spacing w:after="0"/>
              <w:rPr>
                <w:sz w:val="24"/>
                <w:szCs w:val="24"/>
                <w:color w:val="auto"/>
              </w:rPr>
            </w:pPr>
          </w:p>
        </w:tc>
        <w:tc>
          <w:tcPr>
            <w:tcW w:w="780" w:type="dxa"/>
            <w:vAlign w:val="bottom"/>
            <w:gridSpan w:val="7"/>
          </w:tcPr>
          <w:p>
            <w:pPr>
              <w:jc w:val="right"/>
              <w:ind w:right="1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(1,960)</w:t>
            </w:r>
          </w:p>
        </w:tc>
        <w:tc>
          <w:tcPr>
            <w:tcW w:w="5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4,281</w:t>
            </w:r>
          </w:p>
        </w:tc>
        <w:tc>
          <w:tcPr>
            <w:tcW w:w="340" w:type="dxa"/>
            <w:vAlign w:val="bottom"/>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74"/>
              </w:rPr>
              <w:t>$</w:t>
            </w:r>
            <w:r>
              <w:rPr>
                <w:rFonts w:ascii="Arial" w:cs="Arial" w:eastAsia="Arial" w:hAnsi="Arial"/>
                <w:sz w:val="18"/>
                <w:szCs w:val="18"/>
                <w:color w:val="auto"/>
                <w:w w:val="74"/>
              </w:rPr>
              <w:t>(4,714)</w:t>
            </w:r>
          </w:p>
        </w:tc>
      </w:tr>
      <w:tr>
        <w:trPr>
          <w:trHeight w:val="410"/>
        </w:trPr>
        <w:tc>
          <w:tcPr>
            <w:tcW w:w="4540" w:type="dxa"/>
            <w:vAlign w:val="bottom"/>
          </w:tcPr>
          <w:p>
            <w:pPr>
              <w:spacing w:after="0"/>
              <w:rPr>
                <w:sz w:val="20"/>
                <w:szCs w:val="20"/>
                <w:color w:val="auto"/>
              </w:rPr>
            </w:pPr>
            <w:r>
              <w:rPr>
                <w:rFonts w:ascii="Arial" w:cs="Arial" w:eastAsia="Arial" w:hAnsi="Arial"/>
                <w:sz w:val="18"/>
                <w:szCs w:val="18"/>
                <w:b w:val="1"/>
                <w:bCs w:val="1"/>
                <w:i w:val="1"/>
                <w:iCs w:val="1"/>
                <w:color w:val="auto"/>
              </w:rPr>
              <w:t>Net earnings (loss):</w:t>
            </w: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4540" w:type="dxa"/>
            <w:vAlign w:val="bottom"/>
          </w:tcPr>
          <w:p>
            <w:pPr>
              <w:spacing w:after="0"/>
              <w:rPr>
                <w:sz w:val="20"/>
                <w:szCs w:val="20"/>
                <w:color w:val="auto"/>
              </w:rPr>
            </w:pPr>
            <w:r>
              <w:rPr>
                <w:rFonts w:ascii="Arial" w:cs="Arial" w:eastAsia="Arial" w:hAnsi="Arial"/>
                <w:sz w:val="18"/>
                <w:szCs w:val="18"/>
                <w:color w:val="auto"/>
              </w:rPr>
              <w:t>Mechanical Products</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87"/>
              </w:rPr>
              <w:t>$1,859</w:t>
            </w:r>
          </w:p>
        </w:tc>
        <w:tc>
          <w:tcPr>
            <w:tcW w:w="260" w:type="dxa"/>
            <w:vAlign w:val="bottom"/>
          </w:tcPr>
          <w:p>
            <w:pPr>
              <w:spacing w:after="0"/>
              <w:rPr>
                <w:sz w:val="24"/>
                <w:szCs w:val="24"/>
                <w:color w:val="auto"/>
              </w:rPr>
            </w:pPr>
          </w:p>
        </w:tc>
        <w:tc>
          <w:tcPr>
            <w:tcW w:w="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4"/>
          </w:tcPr>
          <w:p>
            <w:pPr>
              <w:jc w:val="right"/>
              <w:ind w:right="180"/>
              <w:spacing w:after="0"/>
              <w:rPr>
                <w:sz w:val="20"/>
                <w:szCs w:val="20"/>
                <w:color w:val="auto"/>
              </w:rPr>
            </w:pPr>
            <w:r>
              <w:rPr>
                <w:rFonts w:ascii="Arial" w:cs="Arial" w:eastAsia="Arial" w:hAnsi="Arial"/>
                <w:sz w:val="18"/>
                <w:szCs w:val="18"/>
                <w:color w:val="auto"/>
              </w:rPr>
              <w:t>(753)</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$2,906</w:t>
            </w:r>
          </w:p>
        </w:tc>
        <w:tc>
          <w:tcPr>
            <w:tcW w:w="340" w:type="dxa"/>
            <w:vAlign w:val="bottom"/>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w w:val="74"/>
              </w:rPr>
              <w:t>$(2,248)</w:t>
            </w:r>
          </w:p>
        </w:tc>
      </w:tr>
      <w:tr>
        <w:trPr>
          <w:trHeight w:val="459"/>
        </w:trPr>
        <w:tc>
          <w:tcPr>
            <w:tcW w:w="4540" w:type="dxa"/>
            <w:vAlign w:val="bottom"/>
          </w:tcPr>
          <w:p>
            <w:pPr>
              <w:spacing w:after="0"/>
              <w:rPr>
                <w:sz w:val="20"/>
                <w:szCs w:val="20"/>
                <w:color w:val="auto"/>
              </w:rPr>
            </w:pPr>
            <w:r>
              <w:rPr>
                <w:rFonts w:ascii="Arial" w:cs="Arial" w:eastAsia="Arial" w:hAnsi="Arial"/>
                <w:sz w:val="18"/>
                <w:szCs w:val="18"/>
                <w:color w:val="auto"/>
              </w:rPr>
              <w:t>Thermal Products</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482</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4"/>
          </w:tcPr>
          <w:p>
            <w:pPr>
              <w:jc w:val="right"/>
              <w:ind w:right="180"/>
              <w:spacing w:after="0"/>
              <w:rPr>
                <w:sz w:val="20"/>
                <w:szCs w:val="20"/>
                <w:color w:val="auto"/>
              </w:rPr>
            </w:pPr>
            <w:r>
              <w:rPr>
                <w:rFonts w:ascii="Arial" w:cs="Arial" w:eastAsia="Arial" w:hAnsi="Arial"/>
                <w:sz w:val="18"/>
                <w:szCs w:val="18"/>
                <w:color w:val="auto"/>
              </w:rPr>
              <w:t>(800)</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506</w:t>
            </w:r>
          </w:p>
        </w:tc>
        <w:tc>
          <w:tcPr>
            <w:tcW w:w="340" w:type="dxa"/>
            <w:vAlign w:val="bottom"/>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w w:val="87"/>
              </w:rPr>
              <w:t>(1,528)</w:t>
            </w:r>
          </w:p>
        </w:tc>
      </w:tr>
      <w:tr>
        <w:trPr>
          <w:trHeight w:val="459"/>
        </w:trPr>
        <w:tc>
          <w:tcPr>
            <w:tcW w:w="4540" w:type="dxa"/>
            <w:vAlign w:val="bottom"/>
          </w:tcPr>
          <w:p>
            <w:pPr>
              <w:spacing w:after="0"/>
              <w:rPr>
                <w:sz w:val="20"/>
                <w:szCs w:val="20"/>
                <w:color w:val="auto"/>
              </w:rPr>
            </w:pPr>
            <w:r>
              <w:rPr>
                <w:rFonts w:ascii="Arial" w:cs="Arial" w:eastAsia="Arial" w:hAnsi="Arial"/>
                <w:sz w:val="18"/>
                <w:szCs w:val="18"/>
                <w:color w:val="auto"/>
              </w:rPr>
              <w:t>Electrical Products</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960</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4"/>
          </w:tcPr>
          <w:p>
            <w:pPr>
              <w:jc w:val="right"/>
              <w:ind w:right="180"/>
              <w:spacing w:after="0"/>
              <w:rPr>
                <w:sz w:val="20"/>
                <w:szCs w:val="20"/>
                <w:color w:val="auto"/>
              </w:rPr>
            </w:pPr>
            <w:r>
              <w:rPr>
                <w:rFonts w:ascii="Arial" w:cs="Arial" w:eastAsia="Arial" w:hAnsi="Arial"/>
                <w:sz w:val="18"/>
                <w:szCs w:val="18"/>
                <w:color w:val="auto"/>
              </w:rPr>
              <w:t>(415)</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1,125</w:t>
            </w:r>
          </w:p>
        </w:tc>
        <w:tc>
          <w:tcPr>
            <w:tcW w:w="340" w:type="dxa"/>
            <w:vAlign w:val="bottom"/>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(870)</w:t>
            </w:r>
          </w:p>
        </w:tc>
      </w:tr>
      <w:tr>
        <w:trPr>
          <w:trHeight w:val="421"/>
        </w:trPr>
        <w:tc>
          <w:tcPr>
            <w:tcW w:w="4540" w:type="dxa"/>
            <w:vAlign w:val="bottom"/>
          </w:tcPr>
          <w:p>
            <w:pPr>
              <w:spacing w:after="0"/>
              <w:rPr>
                <w:sz w:val="20"/>
                <w:szCs w:val="20"/>
                <w:color w:val="auto"/>
              </w:rPr>
            </w:pPr>
            <w:r>
              <w:rPr>
                <w:rFonts w:ascii="Arial" w:cs="Arial" w:eastAsia="Arial" w:hAnsi="Arial"/>
                <w:sz w:val="18"/>
                <w:szCs w:val="18"/>
                <w:color w:val="auto"/>
              </w:rPr>
              <w:t>Corporate</w:t>
            </w:r>
          </w:p>
        </w:tc>
        <w:tc>
          <w:tcPr>
            <w:tcW w:w="720" w:type="dxa"/>
            <w:vAlign w:val="bottom"/>
            <w:gridSpan w:val="4"/>
          </w:tcPr>
          <w:p>
            <w:pPr>
              <w:jc w:val="right"/>
              <w:ind w:right="200"/>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4"/>
          </w:tcPr>
          <w:p>
            <w:pPr>
              <w:jc w:val="right"/>
              <w:ind w:right="220"/>
              <w:spacing w:after="0"/>
              <w:rPr>
                <w:sz w:val="20"/>
                <w:szCs w:val="20"/>
                <w:color w:val="auto"/>
              </w:rPr>
            </w:pPr>
            <w:r>
              <w:rPr>
                <w:rFonts w:ascii="Arial" w:cs="Arial" w:eastAsia="Arial" w:hAnsi="Arial"/>
                <w:sz w:val="18"/>
                <w:szCs w:val="18"/>
                <w:color w:val="auto"/>
              </w:rPr>
              <w:t>16</w:t>
            </w:r>
          </w:p>
        </w:tc>
        <w:tc>
          <w:tcPr>
            <w:tcW w:w="900" w:type="dxa"/>
            <w:vAlign w:val="bottom"/>
            <w:gridSpan w:val="5"/>
          </w:tcPr>
          <w:p>
            <w:pPr>
              <w:jc w:val="right"/>
              <w:ind w:right="280"/>
              <w:spacing w:after="0"/>
              <w:rPr>
                <w:sz w:val="20"/>
                <w:szCs w:val="20"/>
                <w:color w:val="auto"/>
              </w:rPr>
            </w:pPr>
            <w:r>
              <w:rPr>
                <w:rFonts w:ascii="Arial" w:cs="Arial" w:eastAsia="Arial" w:hAnsi="Arial"/>
                <w:sz w:val="18"/>
                <w:szCs w:val="18"/>
                <w:color w:val="auto"/>
              </w:rPr>
              <w:t>(257)</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4540" w:type="dxa"/>
            <w:vAlign w:val="bottom"/>
            <w:tcBorders>
              <w:right w:val="single" w:sz="8" w:color="auto"/>
            </w:tcBorders>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39"/>
        </w:trPr>
        <w:tc>
          <w:tcPr>
            <w:tcW w:w="454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3,168</w:t>
            </w:r>
          </w:p>
        </w:tc>
        <w:tc>
          <w:tcPr>
            <w:tcW w:w="260" w:type="dxa"/>
            <w:vAlign w:val="bottom"/>
          </w:tcPr>
          <w:p>
            <w:pPr>
              <w:spacing w:after="0"/>
              <w:rPr>
                <w:sz w:val="24"/>
                <w:szCs w:val="24"/>
                <w:color w:val="auto"/>
              </w:rPr>
            </w:pPr>
          </w:p>
        </w:tc>
        <w:tc>
          <w:tcPr>
            <w:tcW w:w="780" w:type="dxa"/>
            <w:vAlign w:val="bottom"/>
            <w:gridSpan w:val="7"/>
          </w:tcPr>
          <w:p>
            <w:pPr>
              <w:jc w:val="right"/>
              <w:ind w:right="1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(1,952)</w:t>
            </w:r>
          </w:p>
        </w:tc>
        <w:tc>
          <w:tcPr>
            <w:tcW w:w="5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4,280</w:t>
            </w:r>
          </w:p>
        </w:tc>
        <w:tc>
          <w:tcPr>
            <w:tcW w:w="340" w:type="dxa"/>
            <w:vAlign w:val="bottom"/>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74"/>
              </w:rPr>
              <w:t>$</w:t>
            </w:r>
            <w:r>
              <w:rPr>
                <w:rFonts w:ascii="Arial" w:cs="Arial" w:eastAsia="Arial" w:hAnsi="Arial"/>
                <w:sz w:val="18"/>
                <w:szCs w:val="18"/>
                <w:color w:val="auto"/>
                <w:w w:val="74"/>
              </w:rPr>
              <w:t>(4,707)</w:t>
            </w:r>
          </w:p>
        </w:tc>
      </w:tr>
      <w:tr>
        <w:trPr>
          <w:trHeight w:val="20"/>
        </w:trPr>
        <w:tc>
          <w:tcPr>
            <w:tcW w:w="4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962" w:orient="portrait"/>
          <w:cols w:equalWidth="0" w:num="1">
            <w:col w:w="11280"/>
          </w:cols>
          <w:pgMar w:left="240" w:top="131" w:right="379" w:bottom="0" w:gutter="0" w:footer="0" w:header="0"/>
          <w:type w:val="continuous"/>
        </w:sectPr>
      </w:pPr>
    </w:p>
    <w:p>
      <w:pPr>
        <w:spacing w:after="0" w:line="237"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Identifiable assets: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i w:val="1"/>
          <w:iCs w:val="1"/>
          <w:color w:val="auto"/>
        </w:rPr>
        <w:t>June 30,</w:t>
      </w:r>
      <w:r>
        <w:rPr>
          <w:sz w:val="20"/>
          <w:szCs w:val="20"/>
          <w:color w:val="auto"/>
        </w:rPr>
        <w:tab/>
      </w:r>
      <w:r>
        <w:rPr>
          <w:rFonts w:ascii="Arial" w:cs="Arial" w:eastAsia="Arial" w:hAnsi="Arial"/>
          <w:sz w:val="12"/>
          <w:szCs w:val="12"/>
          <w:b w:val="1"/>
          <w:bCs w:val="1"/>
          <w:i w:val="1"/>
          <w:iCs w:val="1"/>
          <w:color w:val="auto"/>
        </w:rPr>
        <w:t>Dec. 31,</w:t>
      </w:r>
    </w:p>
    <w:p>
      <w:pPr>
        <w:spacing w:after="0" w:line="28" w:lineRule="exact"/>
        <w:rPr>
          <w:sz w:val="20"/>
          <w:szCs w:val="20"/>
          <w:color w:val="auto"/>
        </w:rPr>
      </w:pPr>
    </w:p>
    <w:p>
      <w:pPr>
        <w:ind w:left="100"/>
        <w:spacing w:after="0"/>
        <w:tabs>
          <w:tab w:leader="none" w:pos="880" w:val="left"/>
        </w:tabs>
        <w:rPr>
          <w:sz w:val="20"/>
          <w:szCs w:val="20"/>
          <w:color w:val="auto"/>
        </w:rPr>
      </w:pPr>
      <w:r>
        <w:rPr>
          <w:rFonts w:ascii="Arial" w:cs="Arial" w:eastAsia="Arial" w:hAnsi="Arial"/>
          <w:sz w:val="14"/>
          <w:szCs w:val="14"/>
          <w:b w:val="1"/>
          <w:bCs w:val="1"/>
          <w:i w:val="1"/>
          <w:iCs w:val="1"/>
          <w:color w:val="auto"/>
        </w:rPr>
        <w:t>2010</w:t>
      </w:r>
      <w:r>
        <w:rPr>
          <w:sz w:val="20"/>
          <w:szCs w:val="20"/>
          <w:color w:val="auto"/>
        </w:rPr>
        <w:tab/>
      </w:r>
      <w:r>
        <w:rPr>
          <w:rFonts w:ascii="Arial" w:cs="Arial" w:eastAsia="Arial" w:hAnsi="Arial"/>
          <w:sz w:val="14"/>
          <w:szCs w:val="14"/>
          <w:b w:val="1"/>
          <w:bCs w:val="1"/>
          <w:i w:val="1"/>
          <w:i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-8890</wp:posOffset>
            </wp:positionV>
            <wp:extent cx="8445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44550" cy="8890"/>
                    </a:xfrm>
                    <a:prstGeom prst="rect">
                      <a:avLst/>
                    </a:prstGeom>
                    <a:noFill/>
                  </pic:spPr>
                </pic:pic>
              </a:graphicData>
            </a:graphic>
          </wp:anchor>
        </w:drawing>
      </w:r>
    </w:p>
    <w:p>
      <w:pPr>
        <w:spacing w:after="0" w:line="112" w:lineRule="exact"/>
        <w:rPr>
          <w:sz w:val="20"/>
          <w:szCs w:val="20"/>
          <w:color w:val="auto"/>
        </w:rPr>
      </w:pPr>
    </w:p>
    <w:p>
      <w:pPr>
        <w:sectPr>
          <w:pgSz w:w="11900" w:h="16962" w:orient="portrait"/>
          <w:cols w:equalWidth="0" w:num="2">
            <w:col w:w="5880" w:space="720"/>
            <w:col w:w="4680"/>
          </w:cols>
          <w:pgMar w:left="240" w:top="131" w:right="379" w:bottom="0" w:gutter="0" w:footer="0" w:header="0"/>
          <w:type w:val="continuous"/>
        </w:sectPr>
      </w:pPr>
    </w:p>
    <w:tbl>
      <w:tblPr>
        <w:tblLayout w:type="fixed"/>
        <w:tblInd w:w="560" w:type="dxa"/>
        <w:tblCellMar>
          <w:top w:w="0" w:type="dxa"/>
          <w:left w:w="0" w:type="dxa"/>
          <w:bottom w:w="0" w:type="dxa"/>
          <w:right w:w="0" w:type="dxa"/>
        </w:tblCellMar>
      </w:tblPr>
      <w:tr>
        <w:trPr>
          <w:trHeight w:val="222"/>
        </w:trPr>
        <w:tc>
          <w:tcPr>
            <w:tcW w:w="3760" w:type="dxa"/>
            <w:vAlign w:val="bottom"/>
          </w:tcPr>
          <w:p>
            <w:pPr>
              <w:spacing w:after="0"/>
              <w:rPr>
                <w:sz w:val="20"/>
                <w:szCs w:val="20"/>
                <w:color w:val="auto"/>
              </w:rPr>
            </w:pPr>
            <w:r>
              <w:rPr>
                <w:rFonts w:ascii="Arial" w:cs="Arial" w:eastAsia="Arial" w:hAnsi="Arial"/>
                <w:sz w:val="18"/>
                <w:szCs w:val="18"/>
                <w:color w:val="auto"/>
              </w:rPr>
              <w:t>Mechanical Products</w:t>
            </w:r>
          </w:p>
        </w:tc>
        <w:tc>
          <w:tcPr>
            <w:tcW w:w="2960" w:type="dxa"/>
            <w:vAlign w:val="bottom"/>
          </w:tcPr>
          <w:p>
            <w:pPr>
              <w:jc w:val="right"/>
              <w:ind w:right="12"/>
              <w:spacing w:after="0"/>
              <w:rPr>
                <w:sz w:val="20"/>
                <w:szCs w:val="20"/>
                <w:color w:val="auto"/>
              </w:rPr>
            </w:pPr>
            <w:r>
              <w:rPr>
                <w:rFonts w:ascii="Arial" w:cs="Arial" w:eastAsia="Arial" w:hAnsi="Arial"/>
                <w:sz w:val="18"/>
                <w:szCs w:val="18"/>
                <w:color w:val="auto"/>
              </w:rPr>
              <w:t>$ 8,307</w:t>
            </w:r>
          </w:p>
        </w:tc>
        <w:tc>
          <w:tcPr>
            <w:tcW w:w="700" w:type="dxa"/>
            <w:vAlign w:val="bottom"/>
          </w:tcPr>
          <w:p>
            <w:pPr>
              <w:jc w:val="right"/>
              <w:spacing w:after="0"/>
              <w:rPr>
                <w:sz w:val="20"/>
                <w:szCs w:val="20"/>
                <w:color w:val="auto"/>
              </w:rPr>
            </w:pPr>
            <w:r>
              <w:rPr>
                <w:rFonts w:ascii="Arial" w:cs="Arial" w:eastAsia="Arial" w:hAnsi="Arial"/>
                <w:sz w:val="18"/>
                <w:szCs w:val="18"/>
                <w:color w:val="auto"/>
              </w:rPr>
              <w:t>$ 5,004</w:t>
            </w:r>
          </w:p>
        </w:tc>
      </w:tr>
      <w:tr>
        <w:trPr>
          <w:trHeight w:val="459"/>
        </w:trPr>
        <w:tc>
          <w:tcPr>
            <w:tcW w:w="3760" w:type="dxa"/>
            <w:vAlign w:val="bottom"/>
          </w:tcPr>
          <w:p>
            <w:pPr>
              <w:spacing w:after="0"/>
              <w:rPr>
                <w:sz w:val="20"/>
                <w:szCs w:val="20"/>
                <w:color w:val="auto"/>
              </w:rPr>
            </w:pPr>
            <w:r>
              <w:rPr>
                <w:rFonts w:ascii="Arial" w:cs="Arial" w:eastAsia="Arial" w:hAnsi="Arial"/>
                <w:sz w:val="18"/>
                <w:szCs w:val="18"/>
                <w:color w:val="auto"/>
              </w:rPr>
              <w:t>Thermal Products</w:t>
            </w:r>
          </w:p>
        </w:tc>
        <w:tc>
          <w:tcPr>
            <w:tcW w:w="2960" w:type="dxa"/>
            <w:vAlign w:val="bottom"/>
          </w:tcPr>
          <w:p>
            <w:pPr>
              <w:jc w:val="right"/>
              <w:ind w:right="12"/>
              <w:spacing w:after="0"/>
              <w:rPr>
                <w:sz w:val="20"/>
                <w:szCs w:val="20"/>
                <w:color w:val="auto"/>
              </w:rPr>
            </w:pPr>
            <w:r>
              <w:rPr>
                <w:rFonts w:ascii="Arial" w:cs="Arial" w:eastAsia="Arial" w:hAnsi="Arial"/>
                <w:sz w:val="18"/>
                <w:szCs w:val="18"/>
                <w:color w:val="auto"/>
              </w:rPr>
              <w:t>9,732</w:t>
            </w:r>
          </w:p>
        </w:tc>
        <w:tc>
          <w:tcPr>
            <w:tcW w:w="700" w:type="dxa"/>
            <w:vAlign w:val="bottom"/>
          </w:tcPr>
          <w:p>
            <w:pPr>
              <w:jc w:val="right"/>
              <w:spacing w:after="0"/>
              <w:rPr>
                <w:sz w:val="20"/>
                <w:szCs w:val="20"/>
                <w:color w:val="auto"/>
              </w:rPr>
            </w:pPr>
            <w:r>
              <w:rPr>
                <w:rFonts w:ascii="Arial" w:cs="Arial" w:eastAsia="Arial" w:hAnsi="Arial"/>
                <w:sz w:val="18"/>
                <w:szCs w:val="18"/>
                <w:color w:val="auto"/>
              </w:rPr>
              <w:t>8,954</w:t>
            </w:r>
          </w:p>
        </w:tc>
      </w:tr>
      <w:tr>
        <w:trPr>
          <w:trHeight w:val="458"/>
        </w:trPr>
        <w:tc>
          <w:tcPr>
            <w:tcW w:w="3760" w:type="dxa"/>
            <w:vAlign w:val="bottom"/>
          </w:tcPr>
          <w:p>
            <w:pPr>
              <w:spacing w:after="0"/>
              <w:rPr>
                <w:sz w:val="24"/>
                <w:szCs w:val="24"/>
                <w:color w:val="auto"/>
              </w:rPr>
            </w:pPr>
          </w:p>
        </w:tc>
        <w:tc>
          <w:tcPr>
            <w:tcW w:w="2960" w:type="dxa"/>
            <w:vAlign w:val="bottom"/>
          </w:tcPr>
          <w:p>
            <w:pPr>
              <w:jc w:val="right"/>
              <w:ind w:right="12"/>
              <w:spacing w:after="0"/>
              <w:rPr>
                <w:sz w:val="20"/>
                <w:szCs w:val="20"/>
                <w:color w:val="auto"/>
              </w:rPr>
            </w:pPr>
            <w:r>
              <w:rPr>
                <w:rFonts w:ascii="Arial" w:cs="Arial" w:eastAsia="Arial" w:hAnsi="Arial"/>
                <w:sz w:val="18"/>
                <w:szCs w:val="18"/>
                <w:color w:val="auto"/>
              </w:rPr>
              <w:t>2,896</w:t>
            </w:r>
          </w:p>
        </w:tc>
        <w:tc>
          <w:tcPr>
            <w:tcW w:w="700" w:type="dxa"/>
            <w:vAlign w:val="bottom"/>
          </w:tcPr>
          <w:p>
            <w:pPr>
              <w:jc w:val="right"/>
              <w:spacing w:after="0"/>
              <w:rPr>
                <w:sz w:val="20"/>
                <w:szCs w:val="20"/>
                <w:color w:val="auto"/>
              </w:rPr>
            </w:pPr>
            <w:r>
              <w:rPr>
                <w:rFonts w:ascii="Arial" w:cs="Arial" w:eastAsia="Arial" w:hAnsi="Arial"/>
                <w:sz w:val="18"/>
                <w:szCs w:val="18"/>
                <w:color w:val="auto"/>
              </w:rPr>
              <w:t>1,186</w:t>
            </w:r>
          </w:p>
        </w:tc>
      </w:tr>
    </w:tbl>
    <w:p>
      <w:pPr>
        <w:sectPr>
          <w:pgSz w:w="11900" w:h="16962" w:orient="portrait"/>
          <w:cols w:equalWidth="0" w:num="1">
            <w:col w:w="11280"/>
          </w:cols>
          <w:pgMar w:left="240" w:top="131" w:right="379" w:bottom="0" w:gutter="0" w:footer="0" w:header="0"/>
          <w:type w:val="continuous"/>
        </w:sectPr>
      </w:pPr>
    </w:p>
    <w:bookmarkStart w:id="14" w:name="page15"/>
    <w:bookmarkEnd w:id="14"/>
    <w:p>
      <w:pPr>
        <w:spacing w:after="0" w:line="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Electrical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4194175</wp:posOffset>
            </wp:positionH>
            <wp:positionV relativeFrom="paragraph">
              <wp:posOffset>-116840</wp:posOffset>
            </wp:positionV>
            <wp:extent cx="8680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8045" cy="8890"/>
                    </a:xfrm>
                    <a:prstGeom prst="rect">
                      <a:avLst/>
                    </a:prstGeom>
                    <a:noFill/>
                  </pic:spPr>
                </pic:pic>
              </a:graphicData>
            </a:graphic>
          </wp:anchor>
        </w:drawing>
      </w:r>
    </w:p>
    <w:p>
      <w:pPr>
        <w:spacing w:after="0" w:line="232" w:lineRule="exact"/>
        <w:rPr>
          <w:sz w:val="20"/>
          <w:szCs w:val="20"/>
          <w:color w:val="auto"/>
        </w:rPr>
      </w:pPr>
    </w:p>
    <w:p>
      <w:pPr>
        <w:ind w:left="6600"/>
        <w:spacing w:after="0"/>
        <w:tabs>
          <w:tab w:leader="none" w:pos="7380" w:val="left"/>
        </w:tabs>
        <w:rPr>
          <w:sz w:val="20"/>
          <w:szCs w:val="20"/>
          <w:color w:val="auto"/>
        </w:rPr>
      </w:pPr>
      <w:r>
        <w:rPr>
          <w:rFonts w:ascii="Arial" w:cs="Arial" w:eastAsia="Arial" w:hAnsi="Arial"/>
          <w:sz w:val="18"/>
          <w:szCs w:val="18"/>
          <w:u w:val="single" w:color="auto"/>
          <w:color w:val="auto"/>
        </w:rPr>
        <w:t>$20,935</w:t>
      </w:r>
      <w:r>
        <w:rPr>
          <w:sz w:val="20"/>
          <w:szCs w:val="20"/>
          <w:color w:val="auto"/>
        </w:rPr>
        <w:tab/>
      </w:r>
      <w:r>
        <w:rPr>
          <w:rFonts w:ascii="Arial" w:cs="Arial" w:eastAsia="Arial" w:hAnsi="Arial"/>
          <w:sz w:val="16"/>
          <w:szCs w:val="16"/>
          <w:u w:val="single" w:color="auto"/>
          <w:color w:val="auto"/>
        </w:rPr>
        <w:t>$15,144</w:t>
      </w:r>
    </w:p>
    <w:p>
      <w:pPr>
        <w:spacing w:after="0" w:line="387" w:lineRule="exact"/>
        <w:rPr>
          <w:sz w:val="20"/>
          <w:szCs w:val="20"/>
          <w:color w:val="auto"/>
        </w:rPr>
      </w:pPr>
    </w:p>
    <w:p>
      <w:pPr>
        <w:ind w:left="540" w:right="120"/>
        <w:spacing w:after="0" w:line="268" w:lineRule="auto"/>
        <w:rPr>
          <w:sz w:val="20"/>
          <w:szCs w:val="20"/>
          <w:color w:val="auto"/>
        </w:rPr>
      </w:pPr>
      <w:r>
        <w:rPr>
          <w:rFonts w:ascii="Arial" w:cs="Arial" w:eastAsia="Arial" w:hAnsi="Arial"/>
          <w:sz w:val="18"/>
          <w:szCs w:val="18"/>
          <w:color w:val="auto"/>
        </w:rPr>
        <w:t>The following table provides information about our geographic areas of operation. Net revenues from unaffiliated customers are based on the location of the selling entity.</w:t>
      </w:r>
    </w:p>
    <w:p>
      <w:pPr>
        <w:sectPr>
          <w:pgSz w:w="11900" w:h="16857"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324"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Net revenues from unaffiliated customers: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80" w:type="dxa"/>
            <w:vAlign w:val="bottom"/>
            <w:gridSpan w:val="8"/>
          </w:tcPr>
          <w:p>
            <w:pPr>
              <w:jc w:val="center"/>
              <w:ind w:right="280"/>
              <w:spacing w:after="0"/>
              <w:rPr>
                <w:sz w:val="20"/>
                <w:szCs w:val="20"/>
                <w:color w:val="auto"/>
              </w:rPr>
            </w:pPr>
            <w:r>
              <w:rPr>
                <w:rFonts w:ascii="Arial" w:cs="Arial" w:eastAsia="Arial" w:hAnsi="Arial"/>
                <w:sz w:val="14"/>
                <w:szCs w:val="14"/>
                <w:b w:val="1"/>
                <w:bCs w:val="1"/>
                <w:i w:val="1"/>
                <w:iCs w:val="1"/>
                <w:color w:val="auto"/>
                <w:w w:val="86"/>
              </w:rPr>
              <w:t>Three Months Ended</w:t>
            </w:r>
          </w:p>
        </w:tc>
        <w:tc>
          <w:tcPr>
            <w:tcW w:w="1400" w:type="dxa"/>
            <w:vAlign w:val="bottom"/>
            <w:gridSpan w:val="6"/>
          </w:tcPr>
          <w:p>
            <w:pPr>
              <w:jc w:val="center"/>
              <w:ind w:left="12"/>
              <w:spacing w:after="0"/>
              <w:rPr>
                <w:sz w:val="20"/>
                <w:szCs w:val="20"/>
                <w:color w:val="auto"/>
              </w:rPr>
            </w:pPr>
            <w:r>
              <w:rPr>
                <w:rFonts w:ascii="Arial" w:cs="Arial" w:eastAsia="Arial" w:hAnsi="Arial"/>
                <w:sz w:val="14"/>
                <w:szCs w:val="14"/>
                <w:b w:val="1"/>
                <w:bCs w:val="1"/>
                <w:i w:val="1"/>
                <w:iCs w:val="1"/>
                <w:color w:val="auto"/>
                <w:w w:val="85"/>
              </w:rPr>
              <w:t>Six Months Ended</w:t>
            </w:r>
          </w:p>
        </w:tc>
      </w:tr>
      <w:tr>
        <w:trPr>
          <w:trHeight w:val="146"/>
        </w:trPr>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center"/>
              <w:ind w:left="32"/>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1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56"/>
        </w:trPr>
        <w:tc>
          <w:tcPr>
            <w:tcW w:w="180" w:type="dxa"/>
            <w:vAlign w:val="bottom"/>
            <w:gridSpan w:val="2"/>
          </w:tcPr>
          <w:p>
            <w:pPr>
              <w:spacing w:after="0"/>
              <w:rPr>
                <w:sz w:val="13"/>
                <w:szCs w:val="13"/>
                <w:color w:val="auto"/>
              </w:rPr>
            </w:pPr>
          </w:p>
        </w:tc>
        <w:tc>
          <w:tcPr>
            <w:tcW w:w="280" w:type="dxa"/>
            <w:vAlign w:val="bottom"/>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2010</w:t>
            </w:r>
          </w:p>
        </w:tc>
        <w:tc>
          <w:tcPr>
            <w:tcW w:w="460" w:type="dxa"/>
            <w:vAlign w:val="bottom"/>
          </w:tcPr>
          <w:p>
            <w:pPr>
              <w:spacing w:after="0"/>
              <w:rPr>
                <w:sz w:val="13"/>
                <w:szCs w:val="13"/>
                <w:color w:val="auto"/>
              </w:rPr>
            </w:pPr>
          </w:p>
        </w:tc>
        <w:tc>
          <w:tcPr>
            <w:tcW w:w="560" w:type="dxa"/>
            <w:vAlign w:val="bottom"/>
            <w:gridSpan w:val="4"/>
          </w:tcPr>
          <w:p>
            <w:pPr>
              <w:jc w:val="right"/>
              <w:ind w:right="220"/>
              <w:spacing w:after="0" w:line="155" w:lineRule="exact"/>
              <w:rPr>
                <w:sz w:val="20"/>
                <w:szCs w:val="20"/>
                <w:color w:val="auto"/>
              </w:rPr>
            </w:pPr>
            <w:r>
              <w:rPr>
                <w:rFonts w:ascii="Arial" w:cs="Arial" w:eastAsia="Arial" w:hAnsi="Arial"/>
                <w:sz w:val="14"/>
                <w:szCs w:val="14"/>
                <w:b w:val="1"/>
                <w:bCs w:val="1"/>
                <w:i w:val="1"/>
                <w:iCs w:val="1"/>
                <w:color w:val="auto"/>
              </w:rPr>
              <w:t>2009</w:t>
            </w:r>
          </w:p>
        </w:tc>
        <w:tc>
          <w:tcPr>
            <w:tcW w:w="1140" w:type="dxa"/>
            <w:vAlign w:val="bottom"/>
            <w:gridSpan w:val="4"/>
          </w:tcPr>
          <w:p>
            <w:pPr>
              <w:jc w:val="right"/>
              <w:ind w:right="540"/>
              <w:spacing w:after="0" w:line="155" w:lineRule="exact"/>
              <w:rPr>
                <w:sz w:val="20"/>
                <w:szCs w:val="20"/>
                <w:color w:val="auto"/>
              </w:rPr>
            </w:pPr>
            <w:r>
              <w:rPr>
                <w:rFonts w:ascii="Arial" w:cs="Arial" w:eastAsia="Arial" w:hAnsi="Arial"/>
                <w:sz w:val="14"/>
                <w:szCs w:val="14"/>
                <w:b w:val="1"/>
                <w:bCs w:val="1"/>
                <w:i w:val="1"/>
                <w:iCs w:val="1"/>
                <w:color w:val="auto"/>
              </w:rPr>
              <w:t>2010</w:t>
            </w: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76"/>
              </w:rPr>
              <w:t>2009</w:t>
            </w:r>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bl>
    <w:p>
      <w:pPr>
        <w:spacing w:after="0" w:line="215" w:lineRule="exact"/>
        <w:rPr>
          <w:sz w:val="20"/>
          <w:szCs w:val="20"/>
          <w:color w:val="auto"/>
        </w:rPr>
      </w:pPr>
    </w:p>
    <w:p>
      <w:pPr>
        <w:sectPr>
          <w:pgSz w:w="11900" w:h="16857" w:orient="portrait"/>
          <w:cols w:equalWidth="0" w:num="2">
            <w:col w:w="4360" w:space="720"/>
            <w:col w:w="6320"/>
          </w:cols>
          <w:pgMar w:left="240" w:top="131" w:right="259" w:bottom="0" w:gutter="0" w:footer="0" w:header="0"/>
          <w:type w:val="continuous"/>
        </w:sectPr>
      </w:pPr>
    </w:p>
    <w:p>
      <w:pPr>
        <w:spacing w:after="0" w:line="87" w:lineRule="exact"/>
        <w:rPr>
          <w:sz w:val="20"/>
          <w:szCs w:val="20"/>
          <w:color w:val="auto"/>
        </w:rPr>
      </w:pPr>
    </w:p>
    <w:tbl>
      <w:tblPr>
        <w:tblLayout w:type="fixed"/>
        <w:tblInd w:w="560" w:type="dxa"/>
        <w:tblCellMar>
          <w:top w:w="0" w:type="dxa"/>
          <w:left w:w="0" w:type="dxa"/>
          <w:bottom w:w="0" w:type="dxa"/>
          <w:right w:w="0" w:type="dxa"/>
        </w:tblCellMar>
      </w:tblPr>
      <w:tr>
        <w:trPr>
          <w:trHeight w:val="222"/>
        </w:trPr>
        <w:tc>
          <w:tcPr>
            <w:tcW w:w="2900" w:type="dxa"/>
            <w:vAlign w:val="bottom"/>
          </w:tcPr>
          <w:p>
            <w:pPr>
              <w:spacing w:after="0"/>
              <w:rPr>
                <w:sz w:val="20"/>
                <w:szCs w:val="20"/>
                <w:color w:val="auto"/>
              </w:rPr>
            </w:pPr>
            <w:r>
              <w:rPr>
                <w:rFonts w:ascii="Arial" w:cs="Arial" w:eastAsia="Arial" w:hAnsi="Arial"/>
                <w:sz w:val="18"/>
                <w:szCs w:val="18"/>
                <w:color w:val="auto"/>
              </w:rPr>
              <w:t>U.S.</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$14,140</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$3,739</w:t>
            </w:r>
          </w:p>
        </w:tc>
        <w:tc>
          <w:tcPr>
            <w:tcW w:w="620" w:type="dxa"/>
            <w:vAlign w:val="bottom"/>
            <w:gridSpan w:val="5"/>
          </w:tcPr>
          <w:p>
            <w:pPr>
              <w:jc w:val="right"/>
              <w:spacing w:after="0"/>
              <w:rPr>
                <w:sz w:val="20"/>
                <w:szCs w:val="20"/>
                <w:color w:val="auto"/>
              </w:rPr>
            </w:pPr>
            <w:r>
              <w:rPr>
                <w:rFonts w:ascii="Arial" w:cs="Arial" w:eastAsia="Arial" w:hAnsi="Arial"/>
                <w:sz w:val="18"/>
                <w:szCs w:val="18"/>
                <w:color w:val="auto"/>
                <w:w w:val="92"/>
              </w:rPr>
              <w:t>$22,960</w:t>
            </w: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$7,110</w:t>
            </w:r>
          </w:p>
        </w:tc>
      </w:tr>
      <w:tr>
        <w:trPr>
          <w:trHeight w:val="459"/>
        </w:trPr>
        <w:tc>
          <w:tcPr>
            <w:tcW w:w="2900" w:type="dxa"/>
            <w:vAlign w:val="bottom"/>
          </w:tcPr>
          <w:p>
            <w:pPr>
              <w:spacing w:after="0"/>
              <w:rPr>
                <w:sz w:val="20"/>
                <w:szCs w:val="20"/>
                <w:color w:val="auto"/>
              </w:rPr>
            </w:pPr>
            <w:r>
              <w:rPr>
                <w:rFonts w:ascii="Arial" w:cs="Arial" w:eastAsia="Arial" w:hAnsi="Arial"/>
                <w:sz w:val="18"/>
                <w:szCs w:val="18"/>
                <w:color w:val="auto"/>
              </w:rPr>
              <w:t>Europe</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391</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267</w:t>
            </w: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708</w:t>
            </w: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695</w:t>
            </w:r>
          </w:p>
        </w:tc>
      </w:tr>
      <w:tr>
        <w:trPr>
          <w:trHeight w:val="421"/>
        </w:trPr>
        <w:tc>
          <w:tcPr>
            <w:tcW w:w="2900" w:type="dxa"/>
            <w:vAlign w:val="bottom"/>
          </w:tcPr>
          <w:p>
            <w:pPr>
              <w:spacing w:after="0"/>
              <w:rPr>
                <w:sz w:val="20"/>
                <w:szCs w:val="20"/>
                <w:color w:val="auto"/>
              </w:rPr>
            </w:pPr>
            <w:r>
              <w:rPr>
                <w:rFonts w:ascii="Arial" w:cs="Arial" w:eastAsia="Arial" w:hAnsi="Arial"/>
                <w:sz w:val="18"/>
                <w:szCs w:val="18"/>
                <w:color w:val="auto"/>
              </w:rPr>
              <w:t>Asia-Pacific</w:t>
            </w:r>
          </w:p>
        </w:tc>
        <w:tc>
          <w:tcPr>
            <w:tcW w:w="1680" w:type="dxa"/>
            <w:vAlign w:val="bottom"/>
            <w:gridSpan w:val="2"/>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38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18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1,121</w:t>
            </w:r>
          </w:p>
        </w:tc>
        <w:tc>
          <w:tcPr>
            <w:tcW w:w="340" w:type="dxa"/>
            <w:vAlign w:val="bottom"/>
            <w:gridSpan w:val="2"/>
          </w:tcPr>
          <w:p>
            <w:pPr>
              <w:spacing w:after="0"/>
              <w:rPr>
                <w:sz w:val="24"/>
                <w:szCs w:val="24"/>
                <w:color w:val="auto"/>
              </w:rPr>
            </w:pPr>
          </w:p>
        </w:tc>
        <w:tc>
          <w:tcPr>
            <w:tcW w:w="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1,262</w:t>
            </w:r>
          </w:p>
        </w:tc>
      </w:tr>
      <w:tr>
        <w:trPr>
          <w:trHeight w:val="439"/>
        </w:trPr>
        <w:tc>
          <w:tcPr>
            <w:tcW w:w="2900" w:type="dxa"/>
            <w:vAlign w:val="bottom"/>
          </w:tcPr>
          <w:p>
            <w:pPr>
              <w:spacing w:after="0"/>
              <w:rPr>
                <w:sz w:val="24"/>
                <w:szCs w:val="24"/>
                <w:color w:val="auto"/>
              </w:rPr>
            </w:pPr>
          </w:p>
        </w:tc>
        <w:tc>
          <w:tcPr>
            <w:tcW w:w="21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15,260</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4,672</w:t>
            </w:r>
          </w:p>
        </w:tc>
        <w:tc>
          <w:tcPr>
            <w:tcW w:w="62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24,789</w:t>
            </w:r>
          </w:p>
        </w:tc>
        <w:tc>
          <w:tcPr>
            <w:tcW w:w="82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9,067</w:t>
            </w:r>
          </w:p>
        </w:tc>
      </w:tr>
      <w:tr>
        <w:trPr>
          <w:trHeight w:val="20"/>
        </w:trPr>
        <w:tc>
          <w:tcPr>
            <w:tcW w:w="2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601"/>
        </w:trPr>
        <w:tc>
          <w:tcPr>
            <w:tcW w:w="2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5"/>
          </w:tcPr>
          <w:p>
            <w:pPr>
              <w:jc w:val="center"/>
              <w:ind w:right="60"/>
              <w:spacing w:after="0"/>
              <w:rPr>
                <w:sz w:val="20"/>
                <w:szCs w:val="20"/>
                <w:color w:val="auto"/>
              </w:rPr>
            </w:pPr>
            <w:r>
              <w:rPr>
                <w:rFonts w:ascii="Arial" w:cs="Arial" w:eastAsia="Arial" w:hAnsi="Arial"/>
                <w:sz w:val="14"/>
                <w:szCs w:val="14"/>
                <w:b w:val="1"/>
                <w:bCs w:val="1"/>
                <w:i w:val="1"/>
                <w:iCs w:val="1"/>
                <w:color w:val="auto"/>
                <w:w w:val="85"/>
              </w:rPr>
              <w:t>June 30,</w:t>
            </w:r>
          </w:p>
        </w:tc>
        <w:tc>
          <w:tcPr>
            <w:tcW w:w="200" w:type="dxa"/>
            <w:vAlign w:val="bottom"/>
          </w:tcPr>
          <w:p>
            <w:pPr>
              <w:spacing w:after="0"/>
              <w:rPr>
                <w:sz w:val="24"/>
                <w:szCs w:val="24"/>
                <w:color w:val="auto"/>
              </w:rPr>
            </w:pPr>
          </w:p>
        </w:tc>
        <w:tc>
          <w:tcPr>
            <w:tcW w:w="620" w:type="dxa"/>
            <w:vAlign w:val="bottom"/>
            <w:gridSpan w:val="5"/>
          </w:tcPr>
          <w:p>
            <w:pPr>
              <w:jc w:val="center"/>
              <w:ind w:right="80"/>
              <w:spacing w:after="0"/>
              <w:rPr>
                <w:sz w:val="20"/>
                <w:szCs w:val="20"/>
                <w:color w:val="auto"/>
              </w:rPr>
            </w:pPr>
            <w:r>
              <w:rPr>
                <w:rFonts w:ascii="Arial" w:cs="Arial" w:eastAsia="Arial" w:hAnsi="Arial"/>
                <w:sz w:val="14"/>
                <w:szCs w:val="14"/>
                <w:b w:val="1"/>
                <w:bCs w:val="1"/>
                <w:i w:val="1"/>
                <w:iCs w:val="1"/>
                <w:color w:val="auto"/>
                <w:w w:val="86"/>
              </w:rPr>
              <w:t>Dec. 31,</w:t>
            </w:r>
          </w:p>
        </w:tc>
      </w:tr>
      <w:tr>
        <w:trPr>
          <w:trHeight w:val="163"/>
        </w:trPr>
        <w:tc>
          <w:tcPr>
            <w:tcW w:w="2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gridSpan w:val="4"/>
          </w:tcPr>
          <w:p>
            <w:pPr>
              <w:jc w:val="right"/>
              <w:ind w:right="32"/>
              <w:spacing w:after="0"/>
              <w:rPr>
                <w:sz w:val="20"/>
                <w:szCs w:val="20"/>
                <w:color w:val="auto"/>
              </w:rPr>
            </w:pPr>
            <w:r>
              <w:rPr>
                <w:rFonts w:ascii="Arial" w:cs="Arial" w:eastAsia="Arial" w:hAnsi="Arial"/>
                <w:sz w:val="14"/>
                <w:szCs w:val="14"/>
                <w:b w:val="1"/>
                <w:bCs w:val="1"/>
                <w:i w:val="1"/>
                <w:iCs w:val="1"/>
                <w:color w:val="auto"/>
              </w:rPr>
              <w:t>2010</w:t>
            </w:r>
          </w:p>
        </w:tc>
        <w:tc>
          <w:tcPr>
            <w:tcW w:w="80" w:type="dxa"/>
            <w:vAlign w:val="bottom"/>
          </w:tcPr>
          <w:p>
            <w:pPr>
              <w:spacing w:after="0"/>
              <w:rPr>
                <w:sz w:val="14"/>
                <w:szCs w:val="14"/>
                <w:color w:val="auto"/>
              </w:rPr>
            </w:pPr>
          </w:p>
        </w:tc>
        <w:tc>
          <w:tcPr>
            <w:tcW w:w="740" w:type="dxa"/>
            <w:vAlign w:val="bottom"/>
            <w:gridSpan w:val="5"/>
          </w:tcPr>
          <w:p>
            <w:pPr>
              <w:jc w:val="right"/>
              <w:ind w:right="52"/>
              <w:spacing w:after="0"/>
              <w:rPr>
                <w:sz w:val="20"/>
                <w:szCs w:val="20"/>
                <w:color w:val="auto"/>
              </w:rPr>
            </w:pPr>
            <w:r>
              <w:rPr>
                <w:rFonts w:ascii="Arial" w:cs="Arial" w:eastAsia="Arial" w:hAnsi="Arial"/>
                <w:sz w:val="14"/>
                <w:szCs w:val="14"/>
                <w:b w:val="1"/>
                <w:bCs w:val="1"/>
                <w:i w:val="1"/>
                <w:iCs w:val="1"/>
                <w:color w:val="auto"/>
              </w:rPr>
              <w:t>2009</w:t>
            </w:r>
          </w:p>
        </w:tc>
        <w:tc>
          <w:tcPr>
            <w:tcW w:w="80" w:type="dxa"/>
            <w:vAlign w:val="bottom"/>
          </w:tcPr>
          <w:p>
            <w:pPr>
              <w:spacing w:after="0"/>
              <w:rPr>
                <w:sz w:val="14"/>
                <w:szCs w:val="14"/>
                <w:color w:val="auto"/>
              </w:rPr>
            </w:pPr>
          </w:p>
        </w:tc>
      </w:tr>
      <w:tr>
        <w:trPr>
          <w:trHeight w:val="262"/>
        </w:trPr>
        <w:tc>
          <w:tcPr>
            <w:tcW w:w="2900" w:type="dxa"/>
            <w:vAlign w:val="bottom"/>
          </w:tcPr>
          <w:p>
            <w:pPr>
              <w:spacing w:after="0"/>
              <w:rPr>
                <w:sz w:val="20"/>
                <w:szCs w:val="20"/>
                <w:color w:val="auto"/>
              </w:rPr>
            </w:pPr>
            <w:r>
              <w:rPr>
                <w:rFonts w:ascii="Arial" w:cs="Arial" w:eastAsia="Arial" w:hAnsi="Arial"/>
                <w:sz w:val="18"/>
                <w:szCs w:val="18"/>
                <w:b w:val="1"/>
                <w:bCs w:val="1"/>
                <w:i w:val="1"/>
                <w:iCs w:val="1"/>
                <w:color w:val="auto"/>
              </w:rPr>
              <w:t>Long-lived assets:</w:t>
            </w: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r>
      <w:tr>
        <w:trPr>
          <w:trHeight w:val="459"/>
        </w:trPr>
        <w:tc>
          <w:tcPr>
            <w:tcW w:w="2900" w:type="dxa"/>
            <w:vAlign w:val="bottom"/>
          </w:tcPr>
          <w:p>
            <w:pPr>
              <w:spacing w:after="0"/>
              <w:rPr>
                <w:sz w:val="20"/>
                <w:szCs w:val="20"/>
                <w:color w:val="auto"/>
              </w:rPr>
            </w:pPr>
            <w:r>
              <w:rPr>
                <w:rFonts w:ascii="Arial" w:cs="Arial" w:eastAsia="Arial" w:hAnsi="Arial"/>
                <w:sz w:val="18"/>
                <w:szCs w:val="18"/>
                <w:color w:val="auto"/>
              </w:rPr>
              <w:t>U.S.</w:t>
            </w: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$140</w:t>
            </w: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$200</w:t>
            </w:r>
          </w:p>
        </w:tc>
      </w:tr>
      <w:tr>
        <w:trPr>
          <w:trHeight w:val="459"/>
        </w:trPr>
        <w:tc>
          <w:tcPr>
            <w:tcW w:w="2900" w:type="dxa"/>
            <w:vAlign w:val="bottom"/>
          </w:tcPr>
          <w:p>
            <w:pPr>
              <w:spacing w:after="0"/>
              <w:rPr>
                <w:sz w:val="20"/>
                <w:szCs w:val="20"/>
                <w:color w:val="auto"/>
              </w:rPr>
            </w:pPr>
            <w:r>
              <w:rPr>
                <w:rFonts w:ascii="Arial" w:cs="Arial" w:eastAsia="Arial" w:hAnsi="Arial"/>
                <w:sz w:val="18"/>
                <w:szCs w:val="18"/>
                <w:color w:val="auto"/>
              </w:rPr>
              <w:t>Europe</w:t>
            </w: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58</w:t>
            </w: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91</w:t>
            </w:r>
          </w:p>
        </w:tc>
      </w:tr>
      <w:tr>
        <w:trPr>
          <w:trHeight w:val="421"/>
        </w:trPr>
        <w:tc>
          <w:tcPr>
            <w:tcW w:w="2900" w:type="dxa"/>
            <w:vAlign w:val="bottom"/>
          </w:tcPr>
          <w:p>
            <w:pPr>
              <w:spacing w:after="0"/>
              <w:rPr>
                <w:sz w:val="20"/>
                <w:szCs w:val="20"/>
                <w:color w:val="auto"/>
              </w:rPr>
            </w:pPr>
            <w:r>
              <w:rPr>
                <w:rFonts w:ascii="Arial" w:cs="Arial" w:eastAsia="Arial" w:hAnsi="Arial"/>
                <w:sz w:val="18"/>
                <w:szCs w:val="18"/>
                <w:color w:val="auto"/>
              </w:rPr>
              <w:t>Asia-Pacific</w:t>
            </w: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gridSpan w:val="3"/>
          </w:tcPr>
          <w:p>
            <w:pPr>
              <w:spacing w:after="0"/>
              <w:rPr>
                <w:sz w:val="24"/>
                <w:szCs w:val="2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w:t>
            </w:r>
          </w:p>
        </w:tc>
        <w:tc>
          <w:tcPr>
            <w:tcW w:w="600" w:type="dxa"/>
            <w:vAlign w:val="bottom"/>
            <w:gridSpan w:val="4"/>
          </w:tcPr>
          <w:p>
            <w:pPr>
              <w:spacing w:after="0"/>
              <w:rPr>
                <w:sz w:val="24"/>
                <w:szCs w:val="24"/>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w:t>
            </w:r>
          </w:p>
        </w:tc>
      </w:tr>
      <w:tr>
        <w:trPr>
          <w:trHeight w:val="439"/>
        </w:trPr>
        <w:tc>
          <w:tcPr>
            <w:tcW w:w="2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235</w:t>
            </w:r>
          </w:p>
        </w:tc>
        <w:tc>
          <w:tcPr>
            <w:tcW w:w="82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297</w:t>
            </w:r>
          </w:p>
        </w:tc>
      </w:tr>
      <w:tr>
        <w:trPr>
          <w:trHeight w:val="20"/>
        </w:trPr>
        <w:tc>
          <w:tcPr>
            <w:tcW w:w="2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bl>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Risk Factors and Forward-Looking Statements</w:t>
      </w:r>
    </w:p>
    <w:p>
      <w:pPr>
        <w:spacing w:after="0" w:line="231" w:lineRule="exact"/>
        <w:rPr>
          <w:sz w:val="20"/>
          <w:szCs w:val="20"/>
          <w:color w:val="auto"/>
        </w:rPr>
      </w:pPr>
    </w:p>
    <w:p>
      <w:pPr>
        <w:ind w:left="540" w:right="60"/>
        <w:spacing w:after="0" w:line="254" w:lineRule="auto"/>
        <w:rPr>
          <w:sz w:val="20"/>
          <w:szCs w:val="20"/>
          <w:color w:val="auto"/>
        </w:rPr>
      </w:pPr>
      <w:r>
        <w:rPr>
          <w:rFonts w:ascii="Arial" w:cs="Arial" w:eastAsia="Arial" w:hAnsi="Arial"/>
          <w:sz w:val="18"/>
          <w:szCs w:val="18"/>
          <w:color w:val="auto"/>
        </w:rPr>
        <w:t>In addition to historical information, this discussion and analysis contains statements relating to possible future events and results that are considered "forward-looking statements" within the meaning of the Private Securities Litigation Reform Act of 1995. These statements can often be identified by the use of forward-looking terminology such as "believes," "expects," "intends," "may," "will," "should" "or anticipates" or similar terminology. These statements involve risks and uncertainties and are based on various assumptions. Although we believe that our expectations are based on reasonable assumptions, investors and prospective investors are cautioned that such statements are only projections, and there cannot be any assurance that these events or results will occur.</w:t>
      </w:r>
    </w:p>
    <w:p>
      <w:pPr>
        <w:spacing w:after="0" w:line="198"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Information about the primary risks and uncertainties that could cause our actual future results to differ materially from our historic results or the results described in the forward-looking statements made in this report or presented elsewhere by Management from time to time are included in Part I, Item 1A - "Risk Factors" of our 2009 Form 10-K. Material changes to such risk factors may be reported in subsequent Quarterly Reports on Form 10-Q in Part II, Item 1A. There have been no such changes from the risk factors set forth in our 2009 Form 10-K.</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Overview</w:t>
      </w:r>
    </w:p>
    <w:p>
      <w:pPr>
        <w:spacing w:after="0" w:line="231" w:lineRule="exact"/>
        <w:rPr>
          <w:sz w:val="20"/>
          <w:szCs w:val="20"/>
          <w:color w:val="auto"/>
        </w:rPr>
      </w:pPr>
    </w:p>
    <w:p>
      <w:pPr>
        <w:ind w:left="540" w:right="280"/>
        <w:spacing w:after="0" w:line="268" w:lineRule="auto"/>
        <w:rPr>
          <w:sz w:val="20"/>
          <w:szCs w:val="20"/>
          <w:color w:val="auto"/>
        </w:rPr>
      </w:pPr>
      <w:r>
        <w:rPr>
          <w:rFonts w:ascii="Arial" w:cs="Arial" w:eastAsia="Arial" w:hAnsi="Arial"/>
          <w:sz w:val="18"/>
          <w:szCs w:val="18"/>
          <w:color w:val="auto"/>
        </w:rPr>
        <w:t>This MD&amp;A should be read in conjunction with the accompanying consolidated financial statements. See, also, Part I, Item 1A - "Risk Factors" of our 2009 Form 10-K.</w:t>
      </w:r>
    </w:p>
    <w:p>
      <w:pPr>
        <w:spacing w:after="0" w:line="186" w:lineRule="exact"/>
        <w:rPr>
          <w:sz w:val="20"/>
          <w:szCs w:val="20"/>
          <w:color w:val="auto"/>
        </w:rPr>
      </w:pPr>
    </w:p>
    <w:p>
      <w:pPr>
        <w:ind w:left="540" w:right="20"/>
        <w:spacing w:after="0" w:line="286" w:lineRule="auto"/>
        <w:rPr>
          <w:sz w:val="20"/>
          <w:szCs w:val="20"/>
          <w:color w:val="auto"/>
        </w:rPr>
      </w:pPr>
      <w:r>
        <w:rPr>
          <w:rFonts w:ascii="Arial" w:cs="Arial" w:eastAsia="Arial" w:hAnsi="Arial"/>
          <w:sz w:val="16"/>
          <w:szCs w:val="16"/>
          <w:color w:val="auto"/>
        </w:rPr>
        <w:t>Our business and results of operations are substantially dependent upon the demand for ATE by semiconductor manufacturers and companies that specialize in the testing of ICs. Demand for ATE is driven by semiconductor manufacturers that are opening new, or expanding existing, semiconductor fabrication facilities or upgrading existing equipment, which in turn is dependent upon the current and anticipated market demand for semiconductors and products incorporating semiconductors. In the past, the semiconductor industry has been highly cyclical with recurring periods of oversupply, which often have a severe impact on the semiconductor industry's demand for ATE, including the products we manufacture. This can cause wide fluctuations in both our orders and net revenues and, depending on our ability to react quickly to these shifts in demand, can significantly impact our results of operations. These industry cycles are difficult to predict and in recent years have become more volatile and, in most cases, shorter in duration. Because the industry cycles are generally characterized 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our industry,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78" w:lineRule="exact"/>
        <w:rPr>
          <w:sz w:val="20"/>
          <w:szCs w:val="20"/>
          <w:color w:val="auto"/>
        </w:rPr>
      </w:pPr>
    </w:p>
    <w:p>
      <w:pPr>
        <w:ind w:left="540" w:right="40"/>
        <w:spacing w:after="0" w:line="318" w:lineRule="auto"/>
        <w:rPr>
          <w:sz w:val="20"/>
          <w:szCs w:val="20"/>
          <w:color w:val="auto"/>
        </w:rPr>
      </w:pPr>
      <w:r>
        <w:rPr>
          <w:rFonts w:ascii="Arial" w:cs="Arial" w:eastAsia="Arial" w:hAnsi="Arial"/>
          <w:sz w:val="15"/>
          <w:szCs w:val="15"/>
          <w:color w:val="auto"/>
        </w:rPr>
        <w:t>We believe that purchases of most of our products are typically made from semiconductor manufacturers' capital expenditure budgets. Certain portions of our business, however, are generally less dependent upon the capital expenditure budgets of the end users. For example, purchases of certain related ATE interface products, such as sockets and interface boards, which must be replaced periodically, are typically made from the end users' operating budgets. In addition, purchases of certain of our products, such as docking hardware, for the purpose of upgrading or improving the utilization, performance and efficiency of existing ATE, tend to be counter cyclical to sales of new ATE. Moreover, we believe a portion of our sales of thermal products results from</w:t>
      </w:r>
    </w:p>
    <w:p>
      <w:pPr>
        <w:sectPr>
          <w:pgSz w:w="11900" w:h="16857" w:orient="portrait"/>
          <w:cols w:equalWidth="0" w:num="1">
            <w:col w:w="11400"/>
          </w:cols>
          <w:pgMar w:left="240" w:top="131" w:right="259" w:bottom="0" w:gutter="0" w:footer="0" w:header="0"/>
          <w:type w:val="continuous"/>
        </w:sectPr>
      </w:pPr>
    </w:p>
    <w:bookmarkStart w:id="15" w:name="page16"/>
    <w:bookmarkEnd w:id="15"/>
    <w:p>
      <w:pPr>
        <w:ind w:left="540" w:right="220"/>
        <w:spacing w:after="0" w:line="335" w:lineRule="auto"/>
        <w:rPr>
          <w:sz w:val="20"/>
          <w:szCs w:val="20"/>
          <w:color w:val="auto"/>
        </w:rPr>
      </w:pPr>
      <w:r>
        <w:rPr>
          <w:rFonts w:ascii="Arial" w:cs="Arial" w:eastAsia="Arial" w:hAnsi="Arial"/>
          <w:sz w:val="15"/>
          <w:szCs w:val="15"/>
          <w:color w:val="auto"/>
        </w:rPr>
        <w:t>the increasing need for temperature testing of circuit boards and specialized components that do not have the design or quantity to be tested in an electronic device handler. In addition, we market our Thermostream temperature management systems in industries outside semiconductor test, such as the automotive, aerospace, medical and telecommunications industries. We believe that these industries usually are less cyclical than the ATE industry.</w:t>
      </w:r>
    </w:p>
    <w:p>
      <w:pPr>
        <w:spacing w:after="0" w:line="142"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While the majority of our orders and net revenues are derived from the ATE market, our operating results do not always follow the overall trend in the ATE market in any given period. We believe that these anomalies may be driven by a variety of changes within the ATE market, including, for example, changing product requirements, longer time periods between new product offerings by OEMs and changes in customer buying patterns. In particular, demand for our mechanical and electrical products, which are sold exclusively within the ATE industry, and our operating margins in these product segments have been affected by shifts in the competitive landscape, including (i) customers placing heightened emphasis on shorter lead times (which places increased demands on our available engineering and production capacity increasing unit costs) and ordering in smaller quantities (which prevents us from acquiring component materials in larger volumes at lower cost and increasing unit costs), (ii) the increasing practice of O EM manufacturers to specify other suppliers as primary vendors, with less frequent opportunities to compete for such designations, (iii) the increased role of third-party test and assembly houses in the ATE</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- 18 -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market and their requirement of products with a greater range of use at the lowest cost, and (iv) customer supply line management groups demanding lower prices and spreading purchases across multiple vendors. In addition, due to the global recession, several semiconductor manufacturers have failed, which has resulted in a significant amount of used ATE equipment coming onto the market, which has reduced demand for certain types of new ATE equipment. While the supply of used equipment on the market has negatively impacted demand in all our product segments, we believe our Thermal Products segment has experienced a higher level of loss of current sales due to this issue. We currently expect the increased demand for ATE equipment will consume the supply of used equipment within several quarters, but we cannot determine with any degree of certainty when this issue of oversupply of used equipment will cease. These shifts in market practices have had, and may continue to have, varying levels of impact on our op erating results, which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Net Revenues and Orders</w:t>
      </w:r>
    </w:p>
    <w:p>
      <w:pPr>
        <w:spacing w:after="0" w:line="225" w:lineRule="exact"/>
        <w:rPr>
          <w:sz w:val="20"/>
          <w:szCs w:val="20"/>
          <w:color w:val="auto"/>
        </w:rPr>
      </w:pPr>
    </w:p>
    <w:p>
      <w:pPr>
        <w:ind w:left="540" w:right="540"/>
        <w:spacing w:after="0" w:line="268" w:lineRule="auto"/>
        <w:rPr>
          <w:sz w:val="20"/>
          <w:szCs w:val="20"/>
          <w:color w:val="auto"/>
        </w:rPr>
      </w:pPr>
      <w:r>
        <w:rPr>
          <w:rFonts w:ascii="Arial" w:cs="Arial" w:eastAsia="Arial" w:hAnsi="Arial"/>
          <w:sz w:val="18"/>
          <w:szCs w:val="18"/>
          <w:color w:val="auto"/>
        </w:rPr>
        <w:t>The following table sets forth, for the periods indicated, a breakdown of the net revenues from unaffiliated customers both by product segment and geographic area (based on the location of the selling entity).</w:t>
      </w: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100"/>
        <w:spacing w:after="0"/>
        <w:rPr>
          <w:sz w:val="20"/>
          <w:szCs w:val="20"/>
          <w:color w:val="auto"/>
        </w:rPr>
      </w:pPr>
      <w:r>
        <w:rPr>
          <w:rFonts w:ascii="Arial" w:cs="Arial" w:eastAsia="Arial" w:hAnsi="Arial"/>
          <w:sz w:val="15"/>
          <w:szCs w:val="15"/>
          <w:b w:val="1"/>
          <w:bCs w:val="1"/>
          <w:i w:val="1"/>
          <w:iCs w:val="1"/>
          <w:color w:val="auto"/>
        </w:rPr>
        <w:t>Net revenues from unaffiliated customers: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2120"/>
        <w:spacing w:after="0"/>
        <w:rPr>
          <w:sz w:val="20"/>
          <w:szCs w:val="20"/>
          <w:color w:val="auto"/>
        </w:rPr>
      </w:pPr>
      <w:r>
        <w:rPr>
          <w:rFonts w:ascii="Arial" w:cs="Arial" w:eastAsia="Arial" w:hAnsi="Arial"/>
          <w:sz w:val="14"/>
          <w:szCs w:val="14"/>
          <w:b w:val="1"/>
          <w:bCs w:val="1"/>
          <w:i w:val="1"/>
          <w:iCs w:val="1"/>
          <w:color w:val="auto"/>
        </w:rPr>
        <w:t>(in 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-8890</wp:posOffset>
            </wp:positionV>
            <wp:extent cx="18796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7960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60" w:type="dxa"/>
            <w:vAlign w:val="bottom"/>
            <w:tcBorders>
              <w:bottom w:val="single" w:sz="8" w:color="auto"/>
            </w:tcBorders>
            <w:gridSpan w:val="8"/>
          </w:tcPr>
          <w:p>
            <w:pPr>
              <w:ind w:left="240"/>
              <w:spacing w:after="0"/>
              <w:rPr>
                <w:sz w:val="20"/>
                <w:szCs w:val="20"/>
                <w:color w:val="auto"/>
              </w:rPr>
            </w:pPr>
            <w:r>
              <w:rPr>
                <w:rFonts w:ascii="Arial" w:cs="Arial" w:eastAsia="Arial" w:hAnsi="Arial"/>
                <w:sz w:val="14"/>
                <w:szCs w:val="14"/>
                <w:b w:val="1"/>
                <w:bCs w:val="1"/>
                <w:i w:val="1"/>
                <w:iCs w:val="1"/>
                <w:color w:val="auto"/>
              </w:rPr>
              <w:t>Three Months Ended</w:t>
            </w:r>
          </w:p>
        </w:tc>
        <w:tc>
          <w:tcPr>
            <w:tcW w:w="360" w:type="dxa"/>
            <w:vAlign w:val="bottom"/>
            <w:gridSpan w:val="2"/>
          </w:tcPr>
          <w:p>
            <w:pPr>
              <w:spacing w:after="0"/>
              <w:rPr>
                <w:sz w:val="14"/>
                <w:szCs w:val="14"/>
                <w:color w:val="auto"/>
              </w:rPr>
            </w:pPr>
          </w:p>
        </w:tc>
        <w:tc>
          <w:tcPr>
            <w:tcW w:w="10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i w:val="1"/>
                <w:iCs w:val="1"/>
                <w:color w:val="auto"/>
                <w:w w:val="85"/>
              </w:rPr>
              <w:t>Six Months Ended</w:t>
            </w:r>
          </w:p>
        </w:tc>
      </w:tr>
      <w:tr>
        <w:trPr>
          <w:trHeight w:val="223"/>
        </w:trPr>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i w:val="1"/>
                <w:iCs w:val="1"/>
                <w:color w:val="auto"/>
              </w:rPr>
              <w:t>June 30,</w:t>
            </w:r>
          </w:p>
        </w:tc>
        <w:tc>
          <w:tcPr>
            <w:tcW w:w="200" w:type="dxa"/>
            <w:vAlign w:val="bottom"/>
          </w:tcPr>
          <w:p>
            <w:pPr>
              <w:spacing w:after="0"/>
              <w:rPr>
                <w:sz w:val="19"/>
                <w:szCs w:val="19"/>
                <w:color w:val="auto"/>
              </w:rPr>
            </w:pPr>
          </w:p>
        </w:tc>
        <w:tc>
          <w:tcPr>
            <w:tcW w:w="5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i w:val="1"/>
                <w:iCs w:val="1"/>
                <w:color w:val="auto"/>
                <w:w w:val="86"/>
              </w:rPr>
              <w:t>March 31,</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i w:val="1"/>
                <w:iCs w:val="1"/>
                <w:color w:val="auto"/>
                <w:w w:val="85"/>
              </w:rPr>
              <w:t>June 30,</w:t>
            </w:r>
          </w:p>
        </w:tc>
        <w:tc>
          <w:tcPr>
            <w:tcW w:w="40" w:type="dxa"/>
            <w:vAlign w:val="bottom"/>
          </w:tcPr>
          <w:p>
            <w:pPr>
              <w:spacing w:after="0"/>
              <w:rPr>
                <w:sz w:val="19"/>
                <w:szCs w:val="19"/>
                <w:color w:val="auto"/>
              </w:rPr>
            </w:pPr>
          </w:p>
        </w:tc>
      </w:tr>
      <w:tr>
        <w:trPr>
          <w:trHeight w:val="156"/>
        </w:trPr>
        <w:tc>
          <w:tcPr>
            <w:tcW w:w="2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2010</w:t>
            </w: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rPr>
              <w:t>2009</w:t>
            </w:r>
          </w:p>
        </w:tc>
        <w:tc>
          <w:tcPr>
            <w:tcW w:w="20" w:type="dxa"/>
            <w:vAlign w:val="bottom"/>
          </w:tcPr>
          <w:p>
            <w:pPr>
              <w:spacing w:after="0"/>
              <w:rPr>
                <w:sz w:val="13"/>
                <w:szCs w:val="13"/>
                <w:color w:val="auto"/>
              </w:rPr>
            </w:pPr>
          </w:p>
        </w:tc>
        <w:tc>
          <w:tcPr>
            <w:tcW w:w="7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2010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gridSpan w:val="4"/>
          </w:tcPr>
          <w:p>
            <w:pPr>
              <w:jc w:val="right"/>
              <w:ind w:right="400"/>
              <w:spacing w:after="0" w:line="155" w:lineRule="exact"/>
              <w:rPr>
                <w:sz w:val="20"/>
                <w:szCs w:val="20"/>
                <w:color w:val="auto"/>
              </w:rPr>
            </w:pPr>
            <w:r>
              <w:rPr>
                <w:rFonts w:ascii="Arial" w:cs="Arial" w:eastAsia="Arial" w:hAnsi="Arial"/>
                <w:sz w:val="14"/>
                <w:szCs w:val="14"/>
                <w:b w:val="1"/>
                <w:bCs w:val="1"/>
                <w:i w:val="1"/>
                <w:iCs w:val="1"/>
                <w:color w:val="auto"/>
                <w:w w:val="96"/>
              </w:rPr>
              <w:t>2010</w:t>
            </w:r>
          </w:p>
        </w:tc>
        <w:tc>
          <w:tcPr>
            <w:tcW w:w="260" w:type="dxa"/>
            <w:vAlign w:val="bottom"/>
          </w:tcPr>
          <w:p>
            <w:pPr>
              <w:jc w:val="right"/>
              <w:spacing w:after="0" w:line="155" w:lineRule="exact"/>
              <w:rPr>
                <w:sz w:val="20"/>
                <w:szCs w:val="20"/>
                <w:color w:val="auto"/>
              </w:rPr>
            </w:pPr>
            <w:r>
              <w:rPr>
                <w:rFonts w:ascii="Arial" w:cs="Arial" w:eastAsia="Arial" w:hAnsi="Arial"/>
                <w:sz w:val="14"/>
                <w:szCs w:val="14"/>
                <w:b w:val="1"/>
                <w:bCs w:val="1"/>
                <w:i w:val="1"/>
                <w:iCs w:val="1"/>
                <w:color w:val="auto"/>
                <w:w w:val="76"/>
              </w:rPr>
              <w:t>2009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5520" w:space="720"/>
            <w:col w:w="5160"/>
          </w:cols>
          <w:pgMar w:left="240" w:top="131" w:right="259" w:bottom="0" w:gutter="0" w:footer="0" w:header="0"/>
          <w:type w:val="continuous"/>
        </w:sectPr>
      </w:pPr>
    </w:p>
    <w:p>
      <w:pPr>
        <w:spacing w:after="0" w:line="87"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5000" w:type="dxa"/>
            <w:vAlign w:val="bottom"/>
          </w:tcPr>
          <w:p>
            <w:pPr>
              <w:spacing w:after="0"/>
              <w:rPr>
                <w:sz w:val="20"/>
                <w:szCs w:val="20"/>
                <w:color w:val="auto"/>
              </w:rPr>
            </w:pPr>
            <w:r>
              <w:rPr>
                <w:rFonts w:ascii="Arial" w:cs="Arial" w:eastAsia="Arial" w:hAnsi="Arial"/>
                <w:sz w:val="18"/>
                <w:szCs w:val="18"/>
                <w:color w:val="auto"/>
              </w:rPr>
              <w:t>Mechanical Products</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w w:val="89"/>
              </w:rPr>
              <w:t>$ 7,778</w:t>
            </w:r>
          </w:p>
        </w:tc>
        <w:tc>
          <w:tcPr>
            <w:tcW w:w="120" w:type="dxa"/>
            <w:vAlign w:val="bottom"/>
          </w:tcPr>
          <w:p>
            <w:pPr>
              <w:spacing w:after="0"/>
              <w:rPr>
                <w:sz w:val="19"/>
                <w:szCs w:val="19"/>
                <w:color w:val="auto"/>
              </w:rPr>
            </w:pPr>
          </w:p>
        </w:tc>
        <w:tc>
          <w:tcPr>
            <w:tcW w:w="540" w:type="dxa"/>
            <w:vAlign w:val="bottom"/>
            <w:gridSpan w:val="6"/>
          </w:tcPr>
          <w:p>
            <w:pPr>
              <w:jc w:val="right"/>
              <w:spacing w:after="0"/>
              <w:rPr>
                <w:sz w:val="20"/>
                <w:szCs w:val="20"/>
                <w:color w:val="auto"/>
              </w:rPr>
            </w:pPr>
            <w:r>
              <w:rPr>
                <w:rFonts w:ascii="Arial" w:cs="Arial" w:eastAsia="Arial" w:hAnsi="Arial"/>
                <w:sz w:val="18"/>
                <w:szCs w:val="18"/>
                <w:color w:val="auto"/>
                <w:w w:val="94"/>
              </w:rPr>
              <w:t>$1,751</w:t>
            </w:r>
          </w:p>
        </w:tc>
        <w:tc>
          <w:tcPr>
            <w:tcW w:w="280" w:type="dxa"/>
            <w:vAlign w:val="bottom"/>
          </w:tcPr>
          <w:p>
            <w:pPr>
              <w:spacing w:after="0"/>
              <w:rPr>
                <w:sz w:val="19"/>
                <w:szCs w:val="19"/>
                <w:color w:val="auto"/>
              </w:rPr>
            </w:pPr>
          </w:p>
        </w:tc>
        <w:tc>
          <w:tcPr>
            <w:tcW w:w="580" w:type="dxa"/>
            <w:vAlign w:val="bottom"/>
            <w:gridSpan w:val="6"/>
          </w:tcPr>
          <w:p>
            <w:pPr>
              <w:jc w:val="right"/>
              <w:ind w:right="100"/>
              <w:spacing w:after="0"/>
              <w:rPr>
                <w:sz w:val="20"/>
                <w:szCs w:val="20"/>
                <w:color w:val="auto"/>
              </w:rPr>
            </w:pPr>
            <w:r>
              <w:rPr>
                <w:rFonts w:ascii="Arial" w:cs="Arial" w:eastAsia="Arial" w:hAnsi="Arial"/>
                <w:sz w:val="18"/>
                <w:szCs w:val="18"/>
                <w:color w:val="auto"/>
                <w:w w:val="83"/>
              </w:rPr>
              <w:t>$4,756</w:t>
            </w:r>
          </w:p>
        </w:tc>
        <w:tc>
          <w:tcPr>
            <w:tcW w:w="680" w:type="dxa"/>
            <w:vAlign w:val="bottom"/>
            <w:gridSpan w:val="6"/>
          </w:tcPr>
          <w:p>
            <w:pPr>
              <w:jc w:val="right"/>
              <w:ind w:right="120"/>
              <w:spacing w:after="0"/>
              <w:rPr>
                <w:sz w:val="20"/>
                <w:szCs w:val="20"/>
                <w:color w:val="auto"/>
              </w:rPr>
            </w:pPr>
            <w:r>
              <w:rPr>
                <w:rFonts w:ascii="Arial" w:cs="Arial" w:eastAsia="Arial" w:hAnsi="Arial"/>
                <w:sz w:val="18"/>
                <w:szCs w:val="18"/>
                <w:color w:val="auto"/>
                <w:w w:val="82"/>
              </w:rPr>
              <w:t>$12,534</w:t>
            </w:r>
          </w:p>
        </w:tc>
        <w:tc>
          <w:tcPr>
            <w:tcW w:w="580" w:type="dxa"/>
            <w:vAlign w:val="bottom"/>
            <w:gridSpan w:val="6"/>
          </w:tcPr>
          <w:p>
            <w:pPr>
              <w:jc w:val="right"/>
              <w:ind w:right="40"/>
              <w:spacing w:after="0"/>
              <w:rPr>
                <w:sz w:val="20"/>
                <w:szCs w:val="20"/>
                <w:color w:val="auto"/>
              </w:rPr>
            </w:pPr>
            <w:r>
              <w:rPr>
                <w:rFonts w:ascii="Arial" w:cs="Arial" w:eastAsia="Arial" w:hAnsi="Arial"/>
                <w:sz w:val="18"/>
                <w:szCs w:val="18"/>
                <w:color w:val="auto"/>
                <w:w w:val="94"/>
              </w:rPr>
              <w:t>$2,304</w:t>
            </w:r>
          </w:p>
        </w:tc>
      </w:tr>
      <w:tr>
        <w:trPr>
          <w:trHeight w:val="459"/>
        </w:trPr>
        <w:tc>
          <w:tcPr>
            <w:tcW w:w="5000" w:type="dxa"/>
            <w:vAlign w:val="bottom"/>
          </w:tcPr>
          <w:p>
            <w:pPr>
              <w:spacing w:after="0"/>
              <w:rPr>
                <w:sz w:val="20"/>
                <w:szCs w:val="20"/>
                <w:color w:val="auto"/>
              </w:rPr>
            </w:pPr>
            <w:r>
              <w:rPr>
                <w:rFonts w:ascii="Arial" w:cs="Arial" w:eastAsia="Arial" w:hAnsi="Arial"/>
                <w:sz w:val="18"/>
                <w:szCs w:val="18"/>
                <w:color w:val="auto"/>
              </w:rPr>
              <w:t>Thermal Products</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4,726</w:t>
            </w:r>
          </w:p>
        </w:tc>
        <w:tc>
          <w:tcPr>
            <w:tcW w:w="120" w:type="dxa"/>
            <w:vAlign w:val="bottom"/>
          </w:tcPr>
          <w:p>
            <w:pPr>
              <w:spacing w:after="0"/>
              <w:rPr>
                <w:sz w:val="24"/>
                <w:szCs w:val="24"/>
                <w:color w:val="auto"/>
              </w:rPr>
            </w:pPr>
          </w:p>
        </w:tc>
        <w:tc>
          <w:tcPr>
            <w:tcW w:w="540" w:type="dxa"/>
            <w:vAlign w:val="bottom"/>
            <w:gridSpan w:val="6"/>
          </w:tcPr>
          <w:p>
            <w:pPr>
              <w:jc w:val="right"/>
              <w:spacing w:after="0"/>
              <w:rPr>
                <w:sz w:val="20"/>
                <w:szCs w:val="20"/>
                <w:color w:val="auto"/>
              </w:rPr>
            </w:pPr>
            <w:r>
              <w:rPr>
                <w:rFonts w:ascii="Arial" w:cs="Arial" w:eastAsia="Arial" w:hAnsi="Arial"/>
                <w:sz w:val="18"/>
                <w:szCs w:val="18"/>
                <w:color w:val="auto"/>
              </w:rPr>
              <w:t>2,863</w:t>
            </w:r>
          </w:p>
        </w:tc>
        <w:tc>
          <w:tcPr>
            <w:tcW w:w="280" w:type="dxa"/>
            <w:vAlign w:val="bottom"/>
          </w:tcPr>
          <w:p>
            <w:pPr>
              <w:spacing w:after="0"/>
              <w:rPr>
                <w:sz w:val="24"/>
                <w:szCs w:val="24"/>
                <w:color w:val="auto"/>
              </w:rPr>
            </w:pPr>
          </w:p>
        </w:tc>
        <w:tc>
          <w:tcPr>
            <w:tcW w:w="580" w:type="dxa"/>
            <w:vAlign w:val="bottom"/>
            <w:gridSpan w:val="6"/>
          </w:tcPr>
          <w:p>
            <w:pPr>
              <w:jc w:val="right"/>
              <w:ind w:right="100"/>
              <w:spacing w:after="0"/>
              <w:rPr>
                <w:sz w:val="20"/>
                <w:szCs w:val="20"/>
                <w:color w:val="auto"/>
              </w:rPr>
            </w:pPr>
            <w:r>
              <w:rPr>
                <w:rFonts w:ascii="Arial" w:cs="Arial" w:eastAsia="Arial" w:hAnsi="Arial"/>
                <w:sz w:val="18"/>
                <w:szCs w:val="18"/>
                <w:color w:val="auto"/>
              </w:rPr>
              <w:t>3,512</w:t>
            </w:r>
          </w:p>
        </w:tc>
        <w:tc>
          <w:tcPr>
            <w:tcW w:w="680" w:type="dxa"/>
            <w:vAlign w:val="bottom"/>
            <w:gridSpan w:val="6"/>
          </w:tcPr>
          <w:p>
            <w:pPr>
              <w:jc w:val="right"/>
              <w:ind w:right="120"/>
              <w:spacing w:after="0"/>
              <w:rPr>
                <w:sz w:val="20"/>
                <w:szCs w:val="20"/>
                <w:color w:val="auto"/>
              </w:rPr>
            </w:pPr>
            <w:r>
              <w:rPr>
                <w:rFonts w:ascii="Arial" w:cs="Arial" w:eastAsia="Arial" w:hAnsi="Arial"/>
                <w:sz w:val="18"/>
                <w:szCs w:val="18"/>
                <w:color w:val="auto"/>
              </w:rPr>
              <w:t>8,238</w:t>
            </w:r>
          </w:p>
        </w:tc>
        <w:tc>
          <w:tcPr>
            <w:tcW w:w="580" w:type="dxa"/>
            <w:vAlign w:val="bottom"/>
            <w:gridSpan w:val="6"/>
          </w:tcPr>
          <w:p>
            <w:pPr>
              <w:jc w:val="right"/>
              <w:ind w:right="40"/>
              <w:spacing w:after="0"/>
              <w:rPr>
                <w:sz w:val="20"/>
                <w:szCs w:val="20"/>
                <w:color w:val="auto"/>
              </w:rPr>
            </w:pPr>
            <w:r>
              <w:rPr>
                <w:rFonts w:ascii="Arial" w:cs="Arial" w:eastAsia="Arial" w:hAnsi="Arial"/>
                <w:sz w:val="18"/>
                <w:szCs w:val="18"/>
                <w:color w:val="auto"/>
              </w:rPr>
              <w:t>6,574</w:t>
            </w:r>
          </w:p>
        </w:tc>
      </w:tr>
      <w:tr>
        <w:trPr>
          <w:trHeight w:val="459"/>
        </w:trPr>
        <w:tc>
          <w:tcPr>
            <w:tcW w:w="5000" w:type="dxa"/>
            <w:vAlign w:val="bottom"/>
          </w:tcPr>
          <w:p>
            <w:pPr>
              <w:spacing w:after="0"/>
              <w:rPr>
                <w:sz w:val="20"/>
                <w:szCs w:val="20"/>
                <w:color w:val="auto"/>
              </w:rPr>
            </w:pPr>
            <w:r>
              <w:rPr>
                <w:rFonts w:ascii="Arial" w:cs="Arial" w:eastAsia="Arial" w:hAnsi="Arial"/>
                <w:sz w:val="18"/>
                <w:szCs w:val="18"/>
                <w:color w:val="auto"/>
              </w:rPr>
              <w:t>Electrical Products</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2,776</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442</w:t>
            </w:r>
          </w:p>
        </w:tc>
        <w:tc>
          <w:tcPr>
            <w:tcW w:w="280" w:type="dxa"/>
            <w:vAlign w:val="bottom"/>
          </w:tcPr>
          <w:p>
            <w:pPr>
              <w:spacing w:after="0"/>
              <w:rPr>
                <w:sz w:val="24"/>
                <w:szCs w:val="24"/>
                <w:color w:val="auto"/>
              </w:rPr>
            </w:pPr>
          </w:p>
        </w:tc>
        <w:tc>
          <w:tcPr>
            <w:tcW w:w="580" w:type="dxa"/>
            <w:vAlign w:val="bottom"/>
            <w:gridSpan w:val="6"/>
          </w:tcPr>
          <w:p>
            <w:pPr>
              <w:jc w:val="right"/>
              <w:ind w:right="100"/>
              <w:spacing w:after="0"/>
              <w:rPr>
                <w:sz w:val="20"/>
                <w:szCs w:val="20"/>
                <w:color w:val="auto"/>
              </w:rPr>
            </w:pPr>
            <w:r>
              <w:rPr>
                <w:rFonts w:ascii="Arial" w:cs="Arial" w:eastAsia="Arial" w:hAnsi="Arial"/>
                <w:sz w:val="18"/>
                <w:szCs w:val="18"/>
                <w:color w:val="auto"/>
              </w:rPr>
              <w:t>1,262</w:t>
            </w:r>
          </w:p>
        </w:tc>
        <w:tc>
          <w:tcPr>
            <w:tcW w:w="680" w:type="dxa"/>
            <w:vAlign w:val="bottom"/>
            <w:gridSpan w:val="6"/>
          </w:tcPr>
          <w:p>
            <w:pPr>
              <w:jc w:val="right"/>
              <w:ind w:right="120"/>
              <w:spacing w:after="0"/>
              <w:rPr>
                <w:sz w:val="20"/>
                <w:szCs w:val="20"/>
                <w:color w:val="auto"/>
              </w:rPr>
            </w:pPr>
            <w:r>
              <w:rPr>
                <w:rFonts w:ascii="Arial" w:cs="Arial" w:eastAsia="Arial" w:hAnsi="Arial"/>
                <w:sz w:val="18"/>
                <w:szCs w:val="18"/>
                <w:color w:val="auto"/>
              </w:rPr>
              <w:t>4,038</w:t>
            </w:r>
          </w:p>
        </w:tc>
        <w:tc>
          <w:tcPr>
            <w:tcW w:w="580" w:type="dxa"/>
            <w:vAlign w:val="bottom"/>
            <w:gridSpan w:val="6"/>
          </w:tcPr>
          <w:p>
            <w:pPr>
              <w:jc w:val="right"/>
              <w:ind w:right="40"/>
              <w:spacing w:after="0"/>
              <w:rPr>
                <w:sz w:val="20"/>
                <w:szCs w:val="20"/>
                <w:color w:val="auto"/>
              </w:rPr>
            </w:pPr>
            <w:r>
              <w:rPr>
                <w:rFonts w:ascii="Arial" w:cs="Arial" w:eastAsia="Arial" w:hAnsi="Arial"/>
                <w:sz w:val="18"/>
                <w:szCs w:val="18"/>
                <w:color w:val="auto"/>
              </w:rPr>
              <w:t>943</w:t>
            </w:r>
          </w:p>
        </w:tc>
      </w:tr>
      <w:tr>
        <w:trPr>
          <w:trHeight w:val="421"/>
        </w:trPr>
        <w:tc>
          <w:tcPr>
            <w:tcW w:w="5000" w:type="dxa"/>
            <w:vAlign w:val="bottom"/>
          </w:tcPr>
          <w:p>
            <w:pPr>
              <w:spacing w:after="0"/>
              <w:rPr>
                <w:sz w:val="20"/>
                <w:szCs w:val="20"/>
                <w:color w:val="auto"/>
              </w:rPr>
            </w:pPr>
            <w:r>
              <w:rPr>
                <w:rFonts w:ascii="Arial" w:cs="Arial" w:eastAsia="Arial" w:hAnsi="Arial"/>
                <w:sz w:val="18"/>
                <w:szCs w:val="18"/>
                <w:color w:val="auto"/>
              </w:rPr>
              <w:t>Intersegment sales</w:t>
            </w:r>
          </w:p>
        </w:tc>
        <w:tc>
          <w:tcPr>
            <w:tcW w:w="100" w:type="dxa"/>
            <w:vAlign w:val="bottom"/>
            <w:gridSpan w:val="2"/>
          </w:tcPr>
          <w:p>
            <w:pPr>
              <w:spacing w:after="0"/>
              <w:rPr>
                <w:sz w:val="24"/>
                <w:szCs w:val="24"/>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(20)</w:t>
            </w:r>
          </w:p>
        </w:tc>
        <w:tc>
          <w:tcPr>
            <w:tcW w:w="820" w:type="dxa"/>
            <w:vAlign w:val="bottom"/>
            <w:gridSpan w:val="7"/>
          </w:tcPr>
          <w:p>
            <w:pPr>
              <w:jc w:val="right"/>
              <w:ind w:right="240"/>
              <w:spacing w:after="0"/>
              <w:rPr>
                <w:sz w:val="20"/>
                <w:szCs w:val="20"/>
                <w:color w:val="auto"/>
              </w:rPr>
            </w:pPr>
            <w:r>
              <w:rPr>
                <w:rFonts w:ascii="Arial" w:cs="Arial" w:eastAsia="Arial" w:hAnsi="Arial"/>
                <w:sz w:val="18"/>
                <w:szCs w:val="18"/>
                <w:color w:val="auto"/>
              </w:rPr>
              <w:t>(384)</w:t>
            </w:r>
          </w:p>
        </w:tc>
        <w:tc>
          <w:tcPr>
            <w:tcW w:w="580" w:type="dxa"/>
            <w:vAlign w:val="bottom"/>
            <w:gridSpan w:val="6"/>
          </w:tcPr>
          <w:p>
            <w:pPr>
              <w:jc w:val="right"/>
              <w:ind w:right="60"/>
              <w:spacing w:after="0"/>
              <w:rPr>
                <w:sz w:val="20"/>
                <w:szCs w:val="20"/>
                <w:color w:val="auto"/>
              </w:rPr>
            </w:pPr>
            <w:r>
              <w:rPr>
                <w:rFonts w:ascii="Arial" w:cs="Arial" w:eastAsia="Arial" w:hAnsi="Arial"/>
                <w:sz w:val="18"/>
                <w:szCs w:val="18"/>
                <w:color w:val="auto"/>
              </w:rPr>
              <w:t>(1)</w:t>
            </w:r>
          </w:p>
        </w:tc>
        <w:tc>
          <w:tcPr>
            <w:tcW w:w="680" w:type="dxa"/>
            <w:vAlign w:val="bottom"/>
            <w:gridSpan w:val="6"/>
          </w:tcPr>
          <w:p>
            <w:pPr>
              <w:jc w:val="right"/>
              <w:ind w:right="80"/>
              <w:spacing w:after="0"/>
              <w:rPr>
                <w:sz w:val="20"/>
                <w:szCs w:val="20"/>
                <w:color w:val="auto"/>
              </w:rPr>
            </w:pPr>
            <w:r>
              <w:rPr>
                <w:rFonts w:ascii="Arial" w:cs="Arial" w:eastAsia="Arial" w:hAnsi="Arial"/>
                <w:sz w:val="18"/>
                <w:szCs w:val="18"/>
                <w:color w:val="auto"/>
              </w:rPr>
              <w:t>(21)</w:t>
            </w:r>
          </w:p>
        </w:tc>
        <w:tc>
          <w:tcPr>
            <w:tcW w:w="580" w:type="dxa"/>
            <w:vAlign w:val="bottom"/>
            <w:gridSpan w:val="6"/>
          </w:tcPr>
          <w:p>
            <w:pPr>
              <w:jc w:val="right"/>
              <w:spacing w:after="0"/>
              <w:rPr>
                <w:sz w:val="20"/>
                <w:szCs w:val="20"/>
                <w:color w:val="auto"/>
              </w:rPr>
            </w:pPr>
            <w:r>
              <w:rPr>
                <w:rFonts w:ascii="Arial" w:cs="Arial" w:eastAsia="Arial" w:hAnsi="Arial"/>
                <w:sz w:val="18"/>
                <w:szCs w:val="18"/>
                <w:color w:val="auto"/>
              </w:rPr>
              <w:t>(754)</w:t>
            </w:r>
          </w:p>
        </w:tc>
      </w:tr>
      <w:tr>
        <w:trPr>
          <w:trHeight w:val="20"/>
        </w:trPr>
        <w:tc>
          <w:tcPr>
            <w:tcW w:w="5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5000" w:type="dxa"/>
            <w:vAlign w:val="bottom"/>
          </w:tcPr>
          <w:p>
            <w:pPr>
              <w:spacing w:after="0"/>
              <w:rPr>
                <w:sz w:val="24"/>
                <w:szCs w:val="24"/>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15,260</w:t>
            </w:r>
          </w:p>
        </w:tc>
        <w:tc>
          <w:tcPr>
            <w:tcW w:w="120" w:type="dxa"/>
            <w:vAlign w:val="bottom"/>
          </w:tcPr>
          <w:p>
            <w:pPr>
              <w:spacing w:after="0"/>
              <w:rPr>
                <w:sz w:val="24"/>
                <w:szCs w:val="24"/>
                <w:color w:val="auto"/>
              </w:rPr>
            </w:pPr>
          </w:p>
        </w:tc>
        <w:tc>
          <w:tcPr>
            <w:tcW w:w="540" w:type="dxa"/>
            <w:vAlign w:val="bottom"/>
            <w:gridSpan w:val="6"/>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4,672</w:t>
            </w:r>
          </w:p>
        </w:tc>
        <w:tc>
          <w:tcPr>
            <w:tcW w:w="280" w:type="dxa"/>
            <w:vAlign w:val="bottom"/>
          </w:tcPr>
          <w:p>
            <w:pPr>
              <w:spacing w:after="0"/>
              <w:rPr>
                <w:sz w:val="24"/>
                <w:szCs w:val="24"/>
                <w:color w:val="auto"/>
              </w:rPr>
            </w:pPr>
          </w:p>
        </w:tc>
        <w:tc>
          <w:tcPr>
            <w:tcW w:w="580" w:type="dxa"/>
            <w:vAlign w:val="bottom"/>
            <w:gridSpan w:val="6"/>
          </w:tcPr>
          <w:p>
            <w:pPr>
              <w:jc w:val="right"/>
              <w:ind w:right="10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9,529</w:t>
            </w:r>
          </w:p>
        </w:tc>
        <w:tc>
          <w:tcPr>
            <w:tcW w:w="680" w:type="dxa"/>
            <w:vAlign w:val="bottom"/>
            <w:gridSpan w:val="6"/>
          </w:tcPr>
          <w:p>
            <w:pPr>
              <w:jc w:val="right"/>
              <w:ind w:right="1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24,789</w:t>
            </w:r>
          </w:p>
        </w:tc>
        <w:tc>
          <w:tcPr>
            <w:tcW w:w="580" w:type="dxa"/>
            <w:vAlign w:val="bottom"/>
            <w:gridSpan w:val="6"/>
          </w:tcPr>
          <w:p>
            <w:pPr>
              <w:jc w:val="right"/>
              <w:ind w:right="4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9,067</w:t>
            </w:r>
          </w:p>
        </w:tc>
      </w:tr>
      <w:tr>
        <w:trPr>
          <w:trHeight w:val="262"/>
        </w:trPr>
        <w:tc>
          <w:tcPr>
            <w:tcW w:w="5000" w:type="dxa"/>
            <w:vAlign w:val="bottom"/>
          </w:tcPr>
          <w:p>
            <w:pPr>
              <w:spacing w:after="0"/>
              <w:rPr>
                <w:sz w:val="20"/>
                <w:szCs w:val="20"/>
                <w:color w:val="auto"/>
              </w:rPr>
            </w:pPr>
            <w:r>
              <w:rPr>
                <w:rFonts w:ascii="Arial" w:cs="Arial" w:eastAsia="Arial" w:hAnsi="Arial"/>
                <w:sz w:val="18"/>
                <w:szCs w:val="18"/>
                <w:b w:val="1"/>
                <w:bCs w:val="1"/>
                <w:i w:val="1"/>
                <w:iCs w:val="1"/>
                <w:color w:val="auto"/>
              </w:rPr>
              <w:t>Intersegment sales:</w:t>
            </w:r>
          </w:p>
        </w:tc>
        <w:tc>
          <w:tcPr>
            <w:tcW w:w="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459"/>
        </w:trPr>
        <w:tc>
          <w:tcPr>
            <w:tcW w:w="5000" w:type="dxa"/>
            <w:vAlign w:val="bottom"/>
          </w:tcPr>
          <w:p>
            <w:pPr>
              <w:spacing w:after="0"/>
              <w:rPr>
                <w:sz w:val="20"/>
                <w:szCs w:val="20"/>
                <w:color w:val="auto"/>
              </w:rPr>
            </w:pPr>
            <w:r>
              <w:rPr>
                <w:rFonts w:ascii="Arial" w:cs="Arial" w:eastAsia="Arial" w:hAnsi="Arial"/>
                <w:sz w:val="18"/>
                <w:szCs w:val="18"/>
                <w:color w:val="auto"/>
              </w:rPr>
              <w:t>Mechanical Products</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$ 4</w:t>
            </w:r>
          </w:p>
        </w:tc>
        <w:tc>
          <w:tcPr>
            <w:tcW w:w="120" w:type="dxa"/>
            <w:vAlign w:val="bottom"/>
          </w:tcPr>
          <w:p>
            <w:pPr>
              <w:spacing w:after="0"/>
              <w:rPr>
                <w:sz w:val="24"/>
                <w:szCs w:val="24"/>
                <w:color w:val="auto"/>
              </w:rPr>
            </w:pPr>
          </w:p>
        </w:tc>
        <w:tc>
          <w:tcPr>
            <w:tcW w:w="26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gridSpan w:val="6"/>
          </w:tcPr>
          <w:p>
            <w:pPr>
              <w:jc w:val="right"/>
              <w:ind w:right="100"/>
              <w:spacing w:after="0"/>
              <w:rPr>
                <w:sz w:val="20"/>
                <w:szCs w:val="20"/>
                <w:color w:val="auto"/>
              </w:rPr>
            </w:pPr>
            <w:r>
              <w:rPr>
                <w:rFonts w:ascii="Arial" w:cs="Arial" w:eastAsia="Arial" w:hAnsi="Arial"/>
                <w:sz w:val="18"/>
                <w:szCs w:val="18"/>
                <w:color w:val="auto"/>
              </w:rPr>
              <w:t>$ -</w:t>
            </w:r>
          </w:p>
        </w:tc>
        <w:tc>
          <w:tcPr>
            <w:tcW w:w="680" w:type="dxa"/>
            <w:vAlign w:val="bottom"/>
            <w:gridSpan w:val="6"/>
          </w:tcPr>
          <w:p>
            <w:pPr>
              <w:jc w:val="right"/>
              <w:ind w:right="120"/>
              <w:spacing w:after="0"/>
              <w:rPr>
                <w:sz w:val="20"/>
                <w:szCs w:val="20"/>
                <w:color w:val="auto"/>
              </w:rPr>
            </w:pPr>
            <w:r>
              <w:rPr>
                <w:rFonts w:ascii="Arial" w:cs="Arial" w:eastAsia="Arial" w:hAnsi="Arial"/>
                <w:sz w:val="18"/>
                <w:szCs w:val="18"/>
                <w:color w:val="auto"/>
              </w:rPr>
              <w:t>$ 4</w:t>
            </w:r>
          </w:p>
        </w:tc>
        <w:tc>
          <w:tcPr>
            <w:tcW w:w="580" w:type="dxa"/>
            <w:vAlign w:val="bottom"/>
            <w:gridSpan w:val="6"/>
          </w:tcPr>
          <w:p>
            <w:pPr>
              <w:jc w:val="right"/>
              <w:ind w:right="40"/>
              <w:spacing w:after="0"/>
              <w:rPr>
                <w:sz w:val="20"/>
                <w:szCs w:val="20"/>
                <w:color w:val="auto"/>
              </w:rPr>
            </w:pPr>
            <w:r>
              <w:rPr>
                <w:rFonts w:ascii="Arial" w:cs="Arial" w:eastAsia="Arial" w:hAnsi="Arial"/>
                <w:sz w:val="18"/>
                <w:szCs w:val="18"/>
                <w:color w:val="auto"/>
              </w:rPr>
              <w:t>$   -</w:t>
            </w:r>
          </w:p>
        </w:tc>
      </w:tr>
      <w:tr>
        <w:trPr>
          <w:trHeight w:val="459"/>
        </w:trPr>
        <w:tc>
          <w:tcPr>
            <w:tcW w:w="5000" w:type="dxa"/>
            <w:vAlign w:val="bottom"/>
          </w:tcPr>
          <w:p>
            <w:pPr>
              <w:spacing w:after="0"/>
              <w:rPr>
                <w:sz w:val="20"/>
                <w:szCs w:val="20"/>
                <w:color w:val="auto"/>
              </w:rPr>
            </w:pPr>
            <w:r>
              <w:rPr>
                <w:rFonts w:ascii="Arial" w:cs="Arial" w:eastAsia="Arial" w:hAnsi="Arial"/>
                <w:sz w:val="18"/>
                <w:szCs w:val="18"/>
                <w:color w:val="auto"/>
              </w:rPr>
              <w:t>Thermal Products</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142</w:t>
            </w:r>
          </w:p>
        </w:tc>
        <w:tc>
          <w:tcPr>
            <w:tcW w:w="280" w:type="dxa"/>
            <w:vAlign w:val="bottom"/>
          </w:tcPr>
          <w:p>
            <w:pPr>
              <w:spacing w:after="0"/>
              <w:rPr>
                <w:sz w:val="24"/>
                <w:szCs w:val="24"/>
                <w:color w:val="auto"/>
              </w:rPr>
            </w:pPr>
          </w:p>
        </w:tc>
        <w:tc>
          <w:tcPr>
            <w:tcW w:w="580" w:type="dxa"/>
            <w:vAlign w:val="bottom"/>
            <w:gridSpan w:val="6"/>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6"/>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gridSpan w:val="6"/>
          </w:tcPr>
          <w:p>
            <w:pPr>
              <w:jc w:val="right"/>
              <w:ind w:right="40"/>
              <w:spacing w:after="0"/>
              <w:rPr>
                <w:sz w:val="20"/>
                <w:szCs w:val="20"/>
                <w:color w:val="auto"/>
              </w:rPr>
            </w:pPr>
            <w:r>
              <w:rPr>
                <w:rFonts w:ascii="Arial" w:cs="Arial" w:eastAsia="Arial" w:hAnsi="Arial"/>
                <w:sz w:val="18"/>
                <w:szCs w:val="18"/>
                <w:color w:val="auto"/>
              </w:rPr>
              <w:t>410</w:t>
            </w:r>
          </w:p>
        </w:tc>
      </w:tr>
      <w:tr>
        <w:trPr>
          <w:trHeight w:val="421"/>
        </w:trPr>
        <w:tc>
          <w:tcPr>
            <w:tcW w:w="5000" w:type="dxa"/>
            <w:vAlign w:val="bottom"/>
          </w:tcPr>
          <w:p>
            <w:pPr>
              <w:spacing w:after="0"/>
              <w:rPr>
                <w:sz w:val="20"/>
                <w:szCs w:val="20"/>
                <w:color w:val="auto"/>
              </w:rPr>
            </w:pPr>
            <w:r>
              <w:rPr>
                <w:rFonts w:ascii="Arial" w:cs="Arial" w:eastAsia="Arial" w:hAnsi="Arial"/>
                <w:sz w:val="18"/>
                <w:szCs w:val="18"/>
                <w:color w:val="auto"/>
              </w:rPr>
              <w:t>Electrical Products</w:t>
            </w:r>
          </w:p>
        </w:tc>
        <w:tc>
          <w:tcPr>
            <w:tcW w:w="300" w:type="dxa"/>
            <w:vAlign w:val="bottom"/>
            <w:gridSpan w:val="3"/>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242</w:t>
            </w:r>
          </w:p>
        </w:tc>
        <w:tc>
          <w:tcPr>
            <w:tcW w:w="280" w:type="dxa"/>
            <w:vAlign w:val="bottom"/>
          </w:tcPr>
          <w:p>
            <w:pPr>
              <w:spacing w:after="0"/>
              <w:rPr>
                <w:sz w:val="24"/>
                <w:szCs w:val="24"/>
                <w:color w:val="auto"/>
              </w:rPr>
            </w:pPr>
          </w:p>
        </w:tc>
        <w:tc>
          <w:tcPr>
            <w:tcW w:w="300" w:type="dxa"/>
            <w:vAlign w:val="bottom"/>
            <w:gridSpan w:val="3"/>
          </w:tcPr>
          <w:p>
            <w:pPr>
              <w:spacing w:after="0"/>
              <w:rPr>
                <w:sz w:val="24"/>
                <w:szCs w:val="24"/>
                <w:color w:val="auto"/>
              </w:rPr>
            </w:pPr>
          </w:p>
        </w:tc>
        <w:tc>
          <w:tcPr>
            <w:tcW w:w="28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680" w:type="dxa"/>
            <w:vAlign w:val="bottom"/>
            <w:gridSpan w:val="6"/>
          </w:tcPr>
          <w:p>
            <w:pPr>
              <w:jc w:val="right"/>
              <w:ind w:right="120"/>
              <w:spacing w:after="0"/>
              <w:rPr>
                <w:sz w:val="20"/>
                <w:szCs w:val="20"/>
                <w:color w:val="auto"/>
              </w:rPr>
            </w:pPr>
            <w:r>
              <w:rPr>
                <w:rFonts w:ascii="Arial" w:cs="Arial" w:eastAsia="Arial" w:hAnsi="Arial"/>
                <w:sz w:val="18"/>
                <w:szCs w:val="18"/>
                <w:color w:val="auto"/>
              </w:rPr>
              <w:t>17</w:t>
            </w:r>
          </w:p>
        </w:tc>
        <w:tc>
          <w:tcPr>
            <w:tcW w:w="580" w:type="dxa"/>
            <w:vAlign w:val="bottom"/>
            <w:gridSpan w:val="6"/>
          </w:tcPr>
          <w:p>
            <w:pPr>
              <w:jc w:val="right"/>
              <w:ind w:right="40"/>
              <w:spacing w:after="0"/>
              <w:rPr>
                <w:sz w:val="20"/>
                <w:szCs w:val="20"/>
                <w:color w:val="auto"/>
              </w:rPr>
            </w:pPr>
            <w:r>
              <w:rPr>
                <w:rFonts w:ascii="Arial" w:cs="Arial" w:eastAsia="Arial" w:hAnsi="Arial"/>
                <w:sz w:val="18"/>
                <w:szCs w:val="18"/>
                <w:color w:val="auto"/>
              </w:rPr>
              <w:t>344</w:t>
            </w:r>
          </w:p>
        </w:tc>
      </w:tr>
      <w:tr>
        <w:trPr>
          <w:trHeight w:val="20"/>
        </w:trPr>
        <w:tc>
          <w:tcPr>
            <w:tcW w:w="5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5000" w:type="dxa"/>
            <w:vAlign w:val="bottom"/>
          </w:tcPr>
          <w:p>
            <w:pPr>
              <w:spacing w:after="0"/>
              <w:rPr>
                <w:sz w:val="24"/>
                <w:szCs w:val="24"/>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54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384</w:t>
            </w:r>
          </w:p>
        </w:tc>
        <w:tc>
          <w:tcPr>
            <w:tcW w:w="280" w:type="dxa"/>
            <w:vAlign w:val="bottom"/>
          </w:tcPr>
          <w:p>
            <w:pPr>
              <w:spacing w:after="0"/>
              <w:rPr>
                <w:sz w:val="24"/>
                <w:szCs w:val="24"/>
                <w:color w:val="auto"/>
              </w:rPr>
            </w:pPr>
          </w:p>
        </w:tc>
        <w:tc>
          <w:tcPr>
            <w:tcW w:w="580" w:type="dxa"/>
            <w:vAlign w:val="bottom"/>
            <w:gridSpan w:val="6"/>
          </w:tcPr>
          <w:p>
            <w:pPr>
              <w:jc w:val="right"/>
              <w:ind w:right="100"/>
              <w:spacing w:after="0"/>
              <w:rPr>
                <w:sz w:val="20"/>
                <w:szCs w:val="20"/>
                <w:color w:val="auto"/>
              </w:rPr>
            </w:pPr>
            <w:r>
              <w:rPr>
                <w:rFonts w:ascii="Arial" w:cs="Arial" w:eastAsia="Arial" w:hAnsi="Arial"/>
                <w:sz w:val="18"/>
                <w:szCs w:val="18"/>
                <w:color w:val="auto"/>
              </w:rPr>
              <w:t>$ 1</w:t>
            </w:r>
          </w:p>
        </w:tc>
        <w:tc>
          <w:tcPr>
            <w:tcW w:w="680" w:type="dxa"/>
            <w:vAlign w:val="bottom"/>
            <w:gridSpan w:val="6"/>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w:t>
            </w:r>
          </w:p>
        </w:tc>
        <w:tc>
          <w:tcPr>
            <w:tcW w:w="580" w:type="dxa"/>
            <w:vAlign w:val="bottom"/>
            <w:gridSpan w:val="6"/>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754</w:t>
            </w:r>
          </w:p>
        </w:tc>
      </w:tr>
      <w:tr>
        <w:trPr>
          <w:trHeight w:val="255"/>
        </w:trPr>
        <w:tc>
          <w:tcPr>
            <w:tcW w:w="5000" w:type="dxa"/>
            <w:vAlign w:val="bottom"/>
          </w:tcPr>
          <w:p>
            <w:pPr>
              <w:spacing w:after="0"/>
              <w:rPr>
                <w:sz w:val="20"/>
                <w:szCs w:val="20"/>
                <w:color w:val="auto"/>
              </w:rPr>
            </w:pPr>
            <w:r>
              <w:rPr>
                <w:rFonts w:ascii="Arial" w:cs="Arial" w:eastAsia="Arial" w:hAnsi="Arial"/>
                <w:sz w:val="18"/>
                <w:szCs w:val="18"/>
                <w:b w:val="1"/>
                <w:bCs w:val="1"/>
                <w:i w:val="1"/>
                <w:iCs w:val="1"/>
                <w:color w:val="auto"/>
                <w:w w:val="93"/>
              </w:rPr>
              <w:t>Net revenues from unaffiliated customers (net of intersegment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22"/>
        </w:trPr>
        <w:tc>
          <w:tcPr>
            <w:tcW w:w="5000" w:type="dxa"/>
            <w:vAlign w:val="bottom"/>
          </w:tcPr>
          <w:p>
            <w:pPr>
              <w:spacing w:after="0"/>
              <w:rPr>
                <w:sz w:val="20"/>
                <w:szCs w:val="20"/>
                <w:color w:val="auto"/>
              </w:rPr>
            </w:pPr>
            <w:r>
              <w:rPr>
                <w:rFonts w:ascii="Arial" w:cs="Arial" w:eastAsia="Arial" w:hAnsi="Arial"/>
                <w:sz w:val="18"/>
                <w:szCs w:val="18"/>
                <w:b w:val="1"/>
                <w:bCs w:val="1"/>
                <w:i w:val="1"/>
                <w:iCs w:val="1"/>
                <w:color w:val="auto"/>
              </w:rPr>
              <w:t>sales):</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59"/>
        </w:trPr>
        <w:tc>
          <w:tcPr>
            <w:tcW w:w="5000" w:type="dxa"/>
            <w:vAlign w:val="bottom"/>
          </w:tcPr>
          <w:p>
            <w:pPr>
              <w:spacing w:after="0"/>
              <w:rPr>
                <w:sz w:val="20"/>
                <w:szCs w:val="20"/>
                <w:color w:val="auto"/>
              </w:rPr>
            </w:pPr>
            <w:r>
              <w:rPr>
                <w:rFonts w:ascii="Arial" w:cs="Arial" w:eastAsia="Arial" w:hAnsi="Arial"/>
                <w:sz w:val="18"/>
                <w:szCs w:val="18"/>
                <w:color w:val="auto"/>
              </w:rPr>
              <w:t>Mechanical Products</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w w:val="89"/>
              </w:rPr>
              <w:t>$ 7,774</w:t>
            </w:r>
          </w:p>
        </w:tc>
        <w:tc>
          <w:tcPr>
            <w:tcW w:w="120" w:type="dxa"/>
            <w:vAlign w:val="bottom"/>
          </w:tcPr>
          <w:p>
            <w:pPr>
              <w:spacing w:after="0"/>
              <w:rPr>
                <w:sz w:val="24"/>
                <w:szCs w:val="24"/>
                <w:color w:val="auto"/>
              </w:rPr>
            </w:pPr>
          </w:p>
        </w:tc>
        <w:tc>
          <w:tcPr>
            <w:tcW w:w="540" w:type="dxa"/>
            <w:vAlign w:val="bottom"/>
            <w:gridSpan w:val="6"/>
          </w:tcPr>
          <w:p>
            <w:pPr>
              <w:jc w:val="right"/>
              <w:spacing w:after="0"/>
              <w:rPr>
                <w:sz w:val="20"/>
                <w:szCs w:val="20"/>
                <w:color w:val="auto"/>
              </w:rPr>
            </w:pPr>
            <w:r>
              <w:rPr>
                <w:rFonts w:ascii="Arial" w:cs="Arial" w:eastAsia="Arial" w:hAnsi="Arial"/>
                <w:sz w:val="18"/>
                <w:szCs w:val="18"/>
                <w:color w:val="auto"/>
                <w:w w:val="94"/>
              </w:rPr>
              <w:t>$1,751</w:t>
            </w:r>
          </w:p>
        </w:tc>
        <w:tc>
          <w:tcPr>
            <w:tcW w:w="280" w:type="dxa"/>
            <w:vAlign w:val="bottom"/>
          </w:tcPr>
          <w:p>
            <w:pPr>
              <w:spacing w:after="0"/>
              <w:rPr>
                <w:sz w:val="24"/>
                <w:szCs w:val="24"/>
                <w:color w:val="auto"/>
              </w:rPr>
            </w:pPr>
          </w:p>
        </w:tc>
        <w:tc>
          <w:tcPr>
            <w:tcW w:w="580" w:type="dxa"/>
            <w:vAlign w:val="bottom"/>
            <w:gridSpan w:val="6"/>
          </w:tcPr>
          <w:p>
            <w:pPr>
              <w:jc w:val="right"/>
              <w:ind w:right="100"/>
              <w:spacing w:after="0"/>
              <w:rPr>
                <w:sz w:val="20"/>
                <w:szCs w:val="20"/>
                <w:color w:val="auto"/>
              </w:rPr>
            </w:pPr>
            <w:r>
              <w:rPr>
                <w:rFonts w:ascii="Arial" w:cs="Arial" w:eastAsia="Arial" w:hAnsi="Arial"/>
                <w:sz w:val="18"/>
                <w:szCs w:val="18"/>
                <w:color w:val="auto"/>
                <w:w w:val="83"/>
              </w:rPr>
              <w:t>$4,756</w:t>
            </w:r>
          </w:p>
        </w:tc>
        <w:tc>
          <w:tcPr>
            <w:tcW w:w="680" w:type="dxa"/>
            <w:vAlign w:val="bottom"/>
            <w:gridSpan w:val="6"/>
          </w:tcPr>
          <w:p>
            <w:pPr>
              <w:jc w:val="right"/>
              <w:ind w:right="120"/>
              <w:spacing w:after="0"/>
              <w:rPr>
                <w:sz w:val="20"/>
                <w:szCs w:val="20"/>
                <w:color w:val="auto"/>
              </w:rPr>
            </w:pPr>
            <w:r>
              <w:rPr>
                <w:rFonts w:ascii="Arial" w:cs="Arial" w:eastAsia="Arial" w:hAnsi="Arial"/>
                <w:sz w:val="18"/>
                <w:szCs w:val="18"/>
                <w:color w:val="auto"/>
                <w:w w:val="82"/>
              </w:rPr>
              <w:t>$12,530</w:t>
            </w:r>
          </w:p>
        </w:tc>
        <w:tc>
          <w:tcPr>
            <w:tcW w:w="580" w:type="dxa"/>
            <w:vAlign w:val="bottom"/>
            <w:gridSpan w:val="6"/>
          </w:tcPr>
          <w:p>
            <w:pPr>
              <w:jc w:val="right"/>
              <w:ind w:right="40"/>
              <w:spacing w:after="0"/>
              <w:rPr>
                <w:sz w:val="20"/>
                <w:szCs w:val="20"/>
                <w:color w:val="auto"/>
              </w:rPr>
            </w:pPr>
            <w:r>
              <w:rPr>
                <w:rFonts w:ascii="Arial" w:cs="Arial" w:eastAsia="Arial" w:hAnsi="Arial"/>
                <w:sz w:val="18"/>
                <w:szCs w:val="18"/>
                <w:color w:val="auto"/>
                <w:w w:val="94"/>
              </w:rPr>
              <w:t>$2,304</w:t>
            </w:r>
          </w:p>
        </w:tc>
      </w:tr>
      <w:tr>
        <w:trPr>
          <w:trHeight w:val="459"/>
        </w:trPr>
        <w:tc>
          <w:tcPr>
            <w:tcW w:w="5000" w:type="dxa"/>
            <w:vAlign w:val="bottom"/>
          </w:tcPr>
          <w:p>
            <w:pPr>
              <w:spacing w:after="0"/>
              <w:rPr>
                <w:sz w:val="20"/>
                <w:szCs w:val="20"/>
                <w:color w:val="auto"/>
              </w:rPr>
            </w:pPr>
            <w:r>
              <w:rPr>
                <w:rFonts w:ascii="Arial" w:cs="Arial" w:eastAsia="Arial" w:hAnsi="Arial"/>
                <w:sz w:val="18"/>
                <w:szCs w:val="18"/>
                <w:color w:val="auto"/>
              </w:rPr>
              <w:t>Thermal Products</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4,726</w:t>
            </w:r>
          </w:p>
        </w:tc>
        <w:tc>
          <w:tcPr>
            <w:tcW w:w="120" w:type="dxa"/>
            <w:vAlign w:val="bottom"/>
          </w:tcPr>
          <w:p>
            <w:pPr>
              <w:spacing w:after="0"/>
              <w:rPr>
                <w:sz w:val="24"/>
                <w:szCs w:val="24"/>
                <w:color w:val="auto"/>
              </w:rPr>
            </w:pPr>
          </w:p>
        </w:tc>
        <w:tc>
          <w:tcPr>
            <w:tcW w:w="540" w:type="dxa"/>
            <w:vAlign w:val="bottom"/>
            <w:gridSpan w:val="6"/>
          </w:tcPr>
          <w:p>
            <w:pPr>
              <w:jc w:val="right"/>
              <w:spacing w:after="0"/>
              <w:rPr>
                <w:sz w:val="20"/>
                <w:szCs w:val="20"/>
                <w:color w:val="auto"/>
              </w:rPr>
            </w:pPr>
            <w:r>
              <w:rPr>
                <w:rFonts w:ascii="Arial" w:cs="Arial" w:eastAsia="Arial" w:hAnsi="Arial"/>
                <w:sz w:val="18"/>
                <w:szCs w:val="18"/>
                <w:color w:val="auto"/>
              </w:rPr>
              <w:t>2,721</w:t>
            </w:r>
          </w:p>
        </w:tc>
        <w:tc>
          <w:tcPr>
            <w:tcW w:w="280" w:type="dxa"/>
            <w:vAlign w:val="bottom"/>
          </w:tcPr>
          <w:p>
            <w:pPr>
              <w:spacing w:after="0"/>
              <w:rPr>
                <w:sz w:val="24"/>
                <w:szCs w:val="24"/>
                <w:color w:val="auto"/>
              </w:rPr>
            </w:pPr>
          </w:p>
        </w:tc>
        <w:tc>
          <w:tcPr>
            <w:tcW w:w="580" w:type="dxa"/>
            <w:vAlign w:val="bottom"/>
            <w:gridSpan w:val="6"/>
          </w:tcPr>
          <w:p>
            <w:pPr>
              <w:jc w:val="right"/>
              <w:ind w:right="100"/>
              <w:spacing w:after="0"/>
              <w:rPr>
                <w:sz w:val="20"/>
                <w:szCs w:val="20"/>
                <w:color w:val="auto"/>
              </w:rPr>
            </w:pPr>
            <w:r>
              <w:rPr>
                <w:rFonts w:ascii="Arial" w:cs="Arial" w:eastAsia="Arial" w:hAnsi="Arial"/>
                <w:sz w:val="18"/>
                <w:szCs w:val="18"/>
                <w:color w:val="auto"/>
              </w:rPr>
              <w:t>3,512</w:t>
            </w:r>
          </w:p>
        </w:tc>
        <w:tc>
          <w:tcPr>
            <w:tcW w:w="680" w:type="dxa"/>
            <w:vAlign w:val="bottom"/>
            <w:gridSpan w:val="6"/>
          </w:tcPr>
          <w:p>
            <w:pPr>
              <w:jc w:val="right"/>
              <w:ind w:right="120"/>
              <w:spacing w:after="0"/>
              <w:rPr>
                <w:sz w:val="20"/>
                <w:szCs w:val="20"/>
                <w:color w:val="auto"/>
              </w:rPr>
            </w:pPr>
            <w:r>
              <w:rPr>
                <w:rFonts w:ascii="Arial" w:cs="Arial" w:eastAsia="Arial" w:hAnsi="Arial"/>
                <w:sz w:val="18"/>
                <w:szCs w:val="18"/>
                <w:color w:val="auto"/>
              </w:rPr>
              <w:t>8,238</w:t>
            </w:r>
          </w:p>
        </w:tc>
        <w:tc>
          <w:tcPr>
            <w:tcW w:w="580" w:type="dxa"/>
            <w:vAlign w:val="bottom"/>
            <w:gridSpan w:val="6"/>
          </w:tcPr>
          <w:p>
            <w:pPr>
              <w:jc w:val="right"/>
              <w:ind w:right="40"/>
              <w:spacing w:after="0"/>
              <w:rPr>
                <w:sz w:val="20"/>
                <w:szCs w:val="20"/>
                <w:color w:val="auto"/>
              </w:rPr>
            </w:pPr>
            <w:r>
              <w:rPr>
                <w:rFonts w:ascii="Arial" w:cs="Arial" w:eastAsia="Arial" w:hAnsi="Arial"/>
                <w:sz w:val="18"/>
                <w:szCs w:val="18"/>
                <w:color w:val="auto"/>
              </w:rPr>
              <w:t>6,164</w:t>
            </w:r>
          </w:p>
        </w:tc>
      </w:tr>
      <w:tr>
        <w:trPr>
          <w:trHeight w:val="421"/>
        </w:trPr>
        <w:tc>
          <w:tcPr>
            <w:tcW w:w="5000" w:type="dxa"/>
            <w:vAlign w:val="bottom"/>
          </w:tcPr>
          <w:p>
            <w:pPr>
              <w:spacing w:after="0"/>
              <w:rPr>
                <w:sz w:val="20"/>
                <w:szCs w:val="20"/>
                <w:color w:val="auto"/>
              </w:rPr>
            </w:pPr>
            <w:r>
              <w:rPr>
                <w:rFonts w:ascii="Arial" w:cs="Arial" w:eastAsia="Arial" w:hAnsi="Arial"/>
                <w:sz w:val="18"/>
                <w:szCs w:val="18"/>
                <w:color w:val="auto"/>
              </w:rPr>
              <w:t>Electrical Products</w:t>
            </w:r>
          </w:p>
        </w:tc>
        <w:tc>
          <w:tcPr>
            <w:tcW w:w="4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2,760</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200</w:t>
            </w:r>
          </w:p>
        </w:tc>
        <w:tc>
          <w:tcPr>
            <w:tcW w:w="280" w:type="dxa"/>
            <w:vAlign w:val="bottom"/>
          </w:tcPr>
          <w:p>
            <w:pPr>
              <w:spacing w:after="0"/>
              <w:rPr>
                <w:sz w:val="24"/>
                <w:szCs w:val="24"/>
                <w:color w:val="auto"/>
              </w:rPr>
            </w:pPr>
          </w:p>
        </w:tc>
        <w:tc>
          <w:tcPr>
            <w:tcW w:w="580" w:type="dxa"/>
            <w:vAlign w:val="bottom"/>
            <w:gridSpan w:val="6"/>
          </w:tcPr>
          <w:p>
            <w:pPr>
              <w:jc w:val="right"/>
              <w:ind w:right="100"/>
              <w:spacing w:after="0"/>
              <w:rPr>
                <w:sz w:val="20"/>
                <w:szCs w:val="20"/>
                <w:color w:val="auto"/>
              </w:rPr>
            </w:pPr>
            <w:r>
              <w:rPr>
                <w:rFonts w:ascii="Arial" w:cs="Arial" w:eastAsia="Arial" w:hAnsi="Arial"/>
                <w:sz w:val="18"/>
                <w:szCs w:val="18"/>
                <w:color w:val="auto"/>
              </w:rPr>
              <w:t>1,261</w:t>
            </w:r>
          </w:p>
        </w:tc>
        <w:tc>
          <w:tcPr>
            <w:tcW w:w="680" w:type="dxa"/>
            <w:vAlign w:val="bottom"/>
            <w:gridSpan w:val="6"/>
          </w:tcPr>
          <w:p>
            <w:pPr>
              <w:jc w:val="right"/>
              <w:ind w:right="120"/>
              <w:spacing w:after="0"/>
              <w:rPr>
                <w:sz w:val="20"/>
                <w:szCs w:val="20"/>
                <w:color w:val="auto"/>
              </w:rPr>
            </w:pPr>
            <w:r>
              <w:rPr>
                <w:rFonts w:ascii="Arial" w:cs="Arial" w:eastAsia="Arial" w:hAnsi="Arial"/>
                <w:sz w:val="18"/>
                <w:szCs w:val="18"/>
                <w:color w:val="auto"/>
              </w:rPr>
              <w:t>4,021</w:t>
            </w:r>
          </w:p>
        </w:tc>
        <w:tc>
          <w:tcPr>
            <w:tcW w:w="580" w:type="dxa"/>
            <w:vAlign w:val="bottom"/>
            <w:gridSpan w:val="6"/>
          </w:tcPr>
          <w:p>
            <w:pPr>
              <w:jc w:val="right"/>
              <w:ind w:right="40"/>
              <w:spacing w:after="0"/>
              <w:rPr>
                <w:sz w:val="20"/>
                <w:szCs w:val="20"/>
                <w:color w:val="auto"/>
              </w:rPr>
            </w:pPr>
            <w:r>
              <w:rPr>
                <w:rFonts w:ascii="Arial" w:cs="Arial" w:eastAsia="Arial" w:hAnsi="Arial"/>
                <w:sz w:val="18"/>
                <w:szCs w:val="18"/>
                <w:color w:val="auto"/>
              </w:rPr>
              <w:t>599</w:t>
            </w:r>
          </w:p>
        </w:tc>
      </w:tr>
      <w:tr>
        <w:trPr>
          <w:trHeight w:val="20"/>
        </w:trPr>
        <w:tc>
          <w:tcPr>
            <w:tcW w:w="5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5"/>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5000" w:type="dxa"/>
            <w:vAlign w:val="bottom"/>
          </w:tcPr>
          <w:p>
            <w:pPr>
              <w:spacing w:after="0"/>
              <w:rPr>
                <w:sz w:val="24"/>
                <w:szCs w:val="24"/>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15,260</w:t>
            </w:r>
          </w:p>
        </w:tc>
        <w:tc>
          <w:tcPr>
            <w:tcW w:w="120" w:type="dxa"/>
            <w:vAlign w:val="bottom"/>
          </w:tcPr>
          <w:p>
            <w:pPr>
              <w:spacing w:after="0"/>
              <w:rPr>
                <w:sz w:val="24"/>
                <w:szCs w:val="24"/>
                <w:color w:val="auto"/>
              </w:rPr>
            </w:pPr>
          </w:p>
        </w:tc>
        <w:tc>
          <w:tcPr>
            <w:tcW w:w="540" w:type="dxa"/>
            <w:vAlign w:val="bottom"/>
            <w:gridSpan w:val="6"/>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4,672</w:t>
            </w:r>
          </w:p>
        </w:tc>
        <w:tc>
          <w:tcPr>
            <w:tcW w:w="280" w:type="dxa"/>
            <w:vAlign w:val="bottom"/>
          </w:tcPr>
          <w:p>
            <w:pPr>
              <w:spacing w:after="0"/>
              <w:rPr>
                <w:sz w:val="24"/>
                <w:szCs w:val="24"/>
                <w:color w:val="auto"/>
              </w:rPr>
            </w:pPr>
          </w:p>
        </w:tc>
        <w:tc>
          <w:tcPr>
            <w:tcW w:w="580" w:type="dxa"/>
            <w:vAlign w:val="bottom"/>
            <w:gridSpan w:val="6"/>
          </w:tcPr>
          <w:p>
            <w:pPr>
              <w:jc w:val="right"/>
              <w:ind w:right="10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9,529</w:t>
            </w:r>
          </w:p>
        </w:tc>
        <w:tc>
          <w:tcPr>
            <w:tcW w:w="680" w:type="dxa"/>
            <w:vAlign w:val="bottom"/>
            <w:gridSpan w:val="6"/>
          </w:tcPr>
          <w:p>
            <w:pPr>
              <w:jc w:val="right"/>
              <w:ind w:right="1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24,789</w:t>
            </w:r>
          </w:p>
        </w:tc>
        <w:tc>
          <w:tcPr>
            <w:tcW w:w="580" w:type="dxa"/>
            <w:vAlign w:val="bottom"/>
            <w:gridSpan w:val="6"/>
          </w:tcPr>
          <w:p>
            <w:pPr>
              <w:jc w:val="right"/>
              <w:ind w:right="4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9,067</w:t>
            </w:r>
          </w:p>
        </w:tc>
      </w:tr>
      <w:tr>
        <w:trPr>
          <w:trHeight w:val="262"/>
        </w:trPr>
        <w:tc>
          <w:tcPr>
            <w:tcW w:w="5000" w:type="dxa"/>
            <w:vAlign w:val="bottom"/>
          </w:tcPr>
          <w:p>
            <w:pPr>
              <w:spacing w:after="0"/>
              <w:rPr>
                <w:sz w:val="20"/>
                <w:szCs w:val="20"/>
                <w:color w:val="auto"/>
              </w:rPr>
            </w:pPr>
            <w:r>
              <w:rPr>
                <w:rFonts w:ascii="Arial" w:cs="Arial" w:eastAsia="Arial" w:hAnsi="Arial"/>
                <w:sz w:val="18"/>
                <w:szCs w:val="18"/>
                <w:b w:val="1"/>
                <w:bCs w:val="1"/>
                <w:i w:val="1"/>
                <w:iCs w:val="1"/>
                <w:color w:val="auto"/>
              </w:rPr>
              <w:t>Net revenues from unaffiliated customers:</w:t>
            </w:r>
          </w:p>
        </w:tc>
        <w:tc>
          <w:tcPr>
            <w:tcW w:w="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459"/>
        </w:trPr>
        <w:tc>
          <w:tcPr>
            <w:tcW w:w="5000" w:type="dxa"/>
            <w:vAlign w:val="bottom"/>
          </w:tcPr>
          <w:p>
            <w:pPr>
              <w:spacing w:after="0"/>
              <w:rPr>
                <w:sz w:val="20"/>
                <w:szCs w:val="20"/>
                <w:color w:val="auto"/>
              </w:rPr>
            </w:pPr>
            <w:r>
              <w:rPr>
                <w:rFonts w:ascii="Arial" w:cs="Arial" w:eastAsia="Arial" w:hAnsi="Arial"/>
                <w:sz w:val="18"/>
                <w:szCs w:val="18"/>
                <w:color w:val="auto"/>
              </w:rPr>
              <w:t>U.S.</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w w:val="82"/>
              </w:rPr>
              <w:t>$14,140</w:t>
            </w:r>
          </w:p>
        </w:tc>
        <w:tc>
          <w:tcPr>
            <w:tcW w:w="120" w:type="dxa"/>
            <w:vAlign w:val="bottom"/>
          </w:tcPr>
          <w:p>
            <w:pPr>
              <w:spacing w:after="0"/>
              <w:rPr>
                <w:sz w:val="24"/>
                <w:szCs w:val="24"/>
                <w:color w:val="auto"/>
              </w:rPr>
            </w:pPr>
          </w:p>
        </w:tc>
        <w:tc>
          <w:tcPr>
            <w:tcW w:w="540" w:type="dxa"/>
            <w:vAlign w:val="bottom"/>
            <w:gridSpan w:val="6"/>
          </w:tcPr>
          <w:p>
            <w:pPr>
              <w:jc w:val="right"/>
              <w:spacing w:after="0"/>
              <w:rPr>
                <w:sz w:val="20"/>
                <w:szCs w:val="20"/>
                <w:color w:val="auto"/>
              </w:rPr>
            </w:pPr>
            <w:r>
              <w:rPr>
                <w:rFonts w:ascii="Arial" w:cs="Arial" w:eastAsia="Arial" w:hAnsi="Arial"/>
                <w:sz w:val="18"/>
                <w:szCs w:val="18"/>
                <w:color w:val="auto"/>
                <w:w w:val="94"/>
              </w:rPr>
              <w:t>$3,739</w:t>
            </w:r>
          </w:p>
        </w:tc>
        <w:tc>
          <w:tcPr>
            <w:tcW w:w="280" w:type="dxa"/>
            <w:vAlign w:val="bottom"/>
          </w:tcPr>
          <w:p>
            <w:pPr>
              <w:spacing w:after="0"/>
              <w:rPr>
                <w:sz w:val="24"/>
                <w:szCs w:val="24"/>
                <w:color w:val="auto"/>
              </w:rPr>
            </w:pPr>
          </w:p>
        </w:tc>
        <w:tc>
          <w:tcPr>
            <w:tcW w:w="580" w:type="dxa"/>
            <w:vAlign w:val="bottom"/>
            <w:gridSpan w:val="6"/>
          </w:tcPr>
          <w:p>
            <w:pPr>
              <w:jc w:val="right"/>
              <w:ind w:right="100"/>
              <w:spacing w:after="0"/>
              <w:rPr>
                <w:sz w:val="20"/>
                <w:szCs w:val="20"/>
                <w:color w:val="auto"/>
              </w:rPr>
            </w:pPr>
            <w:r>
              <w:rPr>
                <w:rFonts w:ascii="Arial" w:cs="Arial" w:eastAsia="Arial" w:hAnsi="Arial"/>
                <w:sz w:val="18"/>
                <w:szCs w:val="18"/>
                <w:color w:val="auto"/>
                <w:w w:val="83"/>
              </w:rPr>
              <w:t>$8,820</w:t>
            </w:r>
          </w:p>
        </w:tc>
        <w:tc>
          <w:tcPr>
            <w:tcW w:w="680" w:type="dxa"/>
            <w:vAlign w:val="bottom"/>
            <w:gridSpan w:val="6"/>
          </w:tcPr>
          <w:p>
            <w:pPr>
              <w:jc w:val="right"/>
              <w:ind w:right="120"/>
              <w:spacing w:after="0"/>
              <w:rPr>
                <w:sz w:val="20"/>
                <w:szCs w:val="20"/>
                <w:color w:val="auto"/>
              </w:rPr>
            </w:pPr>
            <w:r>
              <w:rPr>
                <w:rFonts w:ascii="Arial" w:cs="Arial" w:eastAsia="Arial" w:hAnsi="Arial"/>
                <w:sz w:val="18"/>
                <w:szCs w:val="18"/>
                <w:color w:val="auto"/>
                <w:w w:val="82"/>
              </w:rPr>
              <w:t>$22,960</w:t>
            </w:r>
          </w:p>
        </w:tc>
        <w:tc>
          <w:tcPr>
            <w:tcW w:w="580" w:type="dxa"/>
            <w:vAlign w:val="bottom"/>
            <w:gridSpan w:val="6"/>
          </w:tcPr>
          <w:p>
            <w:pPr>
              <w:jc w:val="right"/>
              <w:ind w:right="40"/>
              <w:spacing w:after="0"/>
              <w:rPr>
                <w:sz w:val="20"/>
                <w:szCs w:val="20"/>
                <w:color w:val="auto"/>
              </w:rPr>
            </w:pPr>
            <w:r>
              <w:rPr>
                <w:rFonts w:ascii="Arial" w:cs="Arial" w:eastAsia="Arial" w:hAnsi="Arial"/>
                <w:sz w:val="18"/>
                <w:szCs w:val="18"/>
                <w:color w:val="auto"/>
                <w:w w:val="94"/>
              </w:rPr>
              <w:t>$7,110</w:t>
            </w:r>
          </w:p>
        </w:tc>
      </w:tr>
      <w:tr>
        <w:trPr>
          <w:trHeight w:val="459"/>
        </w:trPr>
        <w:tc>
          <w:tcPr>
            <w:tcW w:w="5000" w:type="dxa"/>
            <w:vAlign w:val="bottom"/>
          </w:tcPr>
          <w:p>
            <w:pPr>
              <w:spacing w:after="0"/>
              <w:rPr>
                <w:sz w:val="20"/>
                <w:szCs w:val="20"/>
                <w:color w:val="auto"/>
              </w:rPr>
            </w:pPr>
            <w:r>
              <w:rPr>
                <w:rFonts w:ascii="Arial" w:cs="Arial" w:eastAsia="Arial" w:hAnsi="Arial"/>
                <w:sz w:val="18"/>
                <w:szCs w:val="18"/>
                <w:color w:val="auto"/>
              </w:rPr>
              <w:t>Europe</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267</w:t>
            </w:r>
          </w:p>
        </w:tc>
        <w:tc>
          <w:tcPr>
            <w:tcW w:w="280" w:type="dxa"/>
            <w:vAlign w:val="bottom"/>
          </w:tcPr>
          <w:p>
            <w:pPr>
              <w:spacing w:after="0"/>
              <w:rPr>
                <w:sz w:val="24"/>
                <w:szCs w:val="24"/>
                <w:color w:val="auto"/>
              </w:rPr>
            </w:pPr>
          </w:p>
        </w:tc>
        <w:tc>
          <w:tcPr>
            <w:tcW w:w="580" w:type="dxa"/>
            <w:vAlign w:val="bottom"/>
            <w:gridSpan w:val="6"/>
          </w:tcPr>
          <w:p>
            <w:pPr>
              <w:jc w:val="right"/>
              <w:ind w:right="100"/>
              <w:spacing w:after="0"/>
              <w:rPr>
                <w:sz w:val="20"/>
                <w:szCs w:val="20"/>
                <w:color w:val="auto"/>
              </w:rPr>
            </w:pPr>
            <w:r>
              <w:rPr>
                <w:rFonts w:ascii="Arial" w:cs="Arial" w:eastAsia="Arial" w:hAnsi="Arial"/>
                <w:sz w:val="18"/>
                <w:szCs w:val="18"/>
                <w:color w:val="auto"/>
              </w:rPr>
              <w:t>317</w:t>
            </w:r>
          </w:p>
        </w:tc>
        <w:tc>
          <w:tcPr>
            <w:tcW w:w="680" w:type="dxa"/>
            <w:vAlign w:val="bottom"/>
            <w:gridSpan w:val="6"/>
          </w:tcPr>
          <w:p>
            <w:pPr>
              <w:jc w:val="right"/>
              <w:ind w:right="120"/>
              <w:spacing w:after="0"/>
              <w:rPr>
                <w:sz w:val="20"/>
                <w:szCs w:val="20"/>
                <w:color w:val="auto"/>
              </w:rPr>
            </w:pPr>
            <w:r>
              <w:rPr>
                <w:rFonts w:ascii="Arial" w:cs="Arial" w:eastAsia="Arial" w:hAnsi="Arial"/>
                <w:sz w:val="18"/>
                <w:szCs w:val="18"/>
                <w:color w:val="auto"/>
              </w:rPr>
              <w:t>708</w:t>
            </w:r>
          </w:p>
        </w:tc>
        <w:tc>
          <w:tcPr>
            <w:tcW w:w="580" w:type="dxa"/>
            <w:vAlign w:val="bottom"/>
            <w:gridSpan w:val="6"/>
          </w:tcPr>
          <w:p>
            <w:pPr>
              <w:jc w:val="right"/>
              <w:ind w:right="40"/>
              <w:spacing w:after="0"/>
              <w:rPr>
                <w:sz w:val="20"/>
                <w:szCs w:val="20"/>
                <w:color w:val="auto"/>
              </w:rPr>
            </w:pPr>
            <w:r>
              <w:rPr>
                <w:rFonts w:ascii="Arial" w:cs="Arial" w:eastAsia="Arial" w:hAnsi="Arial"/>
                <w:sz w:val="18"/>
                <w:szCs w:val="18"/>
                <w:color w:val="auto"/>
              </w:rPr>
              <w:t>695</w:t>
            </w:r>
          </w:p>
        </w:tc>
      </w:tr>
    </w:tbl>
    <w:p>
      <w:pPr>
        <w:sectPr>
          <w:pgSz w:w="11900" w:h="16838" w:orient="portrait"/>
          <w:cols w:equalWidth="0" w:num="1">
            <w:col w:w="11400"/>
          </w:cols>
          <w:pgMar w:left="240" w:top="131" w:right="259" w:bottom="0" w:gutter="0" w:footer="0" w:header="0"/>
          <w:type w:val="continuous"/>
        </w:sectPr>
      </w:pPr>
    </w:p>
    <w:bookmarkStart w:id="16" w:name="page17"/>
    <w:bookmarkEnd w:id="16"/>
    <w:p>
      <w:pPr>
        <w:spacing w:after="0" w:line="1"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5080" w:type="dxa"/>
            <w:vAlign w:val="bottom"/>
          </w:tcPr>
          <w:p>
            <w:pPr>
              <w:spacing w:after="0"/>
              <w:rPr>
                <w:sz w:val="20"/>
                <w:szCs w:val="20"/>
                <w:color w:val="auto"/>
              </w:rPr>
            </w:pPr>
            <w:r>
              <w:rPr>
                <w:rFonts w:ascii="Arial" w:cs="Arial" w:eastAsia="Arial" w:hAnsi="Arial"/>
                <w:sz w:val="18"/>
                <w:szCs w:val="18"/>
                <w:color w:val="auto"/>
              </w:rPr>
              <w:t>Asia-Pacific</w:t>
            </w:r>
          </w:p>
        </w:tc>
        <w:tc>
          <w:tcPr>
            <w:tcW w:w="480" w:type="dxa"/>
            <w:vAlign w:val="bottom"/>
          </w:tcPr>
          <w:p>
            <w:pPr>
              <w:jc w:val="right"/>
              <w:spacing w:after="0"/>
              <w:rPr>
                <w:sz w:val="20"/>
                <w:szCs w:val="20"/>
                <w:color w:val="auto"/>
              </w:rPr>
            </w:pPr>
            <w:r>
              <w:rPr>
                <w:rFonts w:ascii="Arial" w:cs="Arial" w:eastAsia="Arial" w:hAnsi="Arial"/>
                <w:sz w:val="18"/>
                <w:szCs w:val="18"/>
                <w:color w:val="auto"/>
              </w:rPr>
              <w:t>729</w:t>
            </w:r>
          </w:p>
        </w:tc>
        <w:tc>
          <w:tcPr>
            <w:tcW w:w="2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666</w:t>
            </w:r>
          </w:p>
        </w:tc>
        <w:tc>
          <w:tcPr>
            <w:tcW w:w="32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392</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1,121</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1,262</w:t>
            </w:r>
          </w:p>
        </w:tc>
      </w:tr>
      <w:tr>
        <w:trPr>
          <w:trHeight w:val="20"/>
        </w:trPr>
        <w:tc>
          <w:tcPr>
            <w:tcW w:w="50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bl>
    <w:p>
      <w:pPr>
        <w:spacing w:after="0" w:line="262" w:lineRule="exact"/>
        <w:rPr>
          <w:sz w:val="20"/>
          <w:szCs w:val="20"/>
          <w:color w:val="auto"/>
        </w:rPr>
      </w:pPr>
    </w:p>
    <w:p>
      <w:pPr>
        <w:ind w:left="6100"/>
        <w:spacing w:after="0"/>
        <w:tabs>
          <w:tab w:leader="none" w:pos="6820" w:val="left"/>
          <w:tab w:leader="none" w:pos="7580" w:val="left"/>
          <w:tab w:leader="none" w:pos="8900" w:val="left"/>
        </w:tabs>
        <w:rPr>
          <w:sz w:val="20"/>
          <w:szCs w:val="20"/>
          <w:color w:val="auto"/>
        </w:rPr>
      </w:pPr>
      <w:r>
        <w:rPr>
          <w:rFonts w:ascii="Arial" w:cs="Arial" w:eastAsia="Arial" w:hAnsi="Arial"/>
          <w:sz w:val="18"/>
          <w:szCs w:val="18"/>
          <w:u w:val="single" w:color="auto"/>
          <w:color w:val="auto"/>
        </w:rPr>
        <w:t>$15,260</w:t>
        <w:tab/>
        <w:t>$4,672</w:t>
      </w:r>
      <w:r>
        <w:rPr>
          <w:sz w:val="20"/>
          <w:szCs w:val="20"/>
          <w:color w:val="auto"/>
        </w:rPr>
        <w:tab/>
      </w:r>
      <w:r>
        <w:rPr>
          <w:rFonts w:ascii="Arial" w:cs="Arial" w:eastAsia="Arial" w:hAnsi="Arial"/>
          <w:sz w:val="18"/>
          <w:szCs w:val="18"/>
          <w:u w:val="single" w:color="auto"/>
          <w:color w:val="auto"/>
        </w:rPr>
        <w:t>$9,529 $24,789</w:t>
      </w:r>
      <w:r>
        <w:rPr>
          <w:sz w:val="20"/>
          <w:szCs w:val="20"/>
          <w:color w:val="auto"/>
        </w:rPr>
        <w:tab/>
      </w:r>
      <w:r>
        <w:rPr>
          <w:rFonts w:ascii="Arial" w:cs="Arial" w:eastAsia="Arial" w:hAnsi="Arial"/>
          <w:sz w:val="15"/>
          <w:szCs w:val="15"/>
          <w:u w:val="single" w:color="auto"/>
          <w:color w:val="auto"/>
        </w:rPr>
        <w:t>$9,067</w:t>
      </w:r>
    </w:p>
    <w:p>
      <w:pPr>
        <w:spacing w:after="0" w:line="387" w:lineRule="exact"/>
        <w:rPr>
          <w:sz w:val="20"/>
          <w:szCs w:val="20"/>
          <w:color w:val="auto"/>
        </w:rPr>
      </w:pPr>
    </w:p>
    <w:p>
      <w:pPr>
        <w:ind w:left="540" w:right="200"/>
        <w:spacing w:after="0" w:line="255" w:lineRule="auto"/>
        <w:rPr>
          <w:sz w:val="20"/>
          <w:szCs w:val="20"/>
          <w:color w:val="auto"/>
        </w:rPr>
      </w:pPr>
      <w:r>
        <w:rPr>
          <w:rFonts w:ascii="Arial" w:cs="Arial" w:eastAsia="Arial" w:hAnsi="Arial"/>
          <w:sz w:val="18"/>
          <w:szCs w:val="18"/>
          <w:color w:val="auto"/>
        </w:rPr>
        <w:t>Our consolidated net revenues for the quarter ended June 30, 2010 increased $10.6 million or 227% as compared to the same period in 2009, and $5.7 million or 60% as compared to the quarter ended March 31, 2010. For the quarter ended June 30, 2010, net revenues (net of intersegment sales) of our Mechanical, Thermal and Electrical Products segments increased $6.0 million or 344%, $2.0 million or 74% and $2.6 million or 1280%, respectively, compared to the same period in 2009 and $3.0 million or 64%, $1.2 million or 35% and $1.5 million or 119% compared to the quarter ended March 31, 2010.</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The increase in our net revenues during the second quarter of 2010 reflects continued strong demand in the ATE industry that began in the second half of 2009. During the first half of 2009, we continued to experience a significant decline in demand in all of our product segments. This decline in demand began in the second half of 2008 and worsened significantly as the global economic recession that began in late 2008 continued into 2009. However, as 2009 progressed, the semiconductor industry began to experience increased levels of demand which resulted in increased levels of orders for our products. As a result of the improvement in demand in the semiconductor industry, we experienced sequential quarterly growth in the level of both our orders and net revenues throughout 2009. This sequential quarterly growth continued in the first and second quarters of 2010 with respect to our net revenues. During the second quarter of 2010, however, our total consolidated orders declined $1.8 million or 13% as compare d to the first quarter of the year. This decrease was made up of a $2.4 million or 35% decline in orders for our Mechanical Products segment and a $1.0 million or 33% decline in orders for our Electrical Products segment, which were partially offset by an increase in orders for our Thermal Products segment of $1.6 million or 38%.</w:t>
      </w:r>
    </w:p>
    <w:p>
      <w:pPr>
        <w:spacing w:after="0" w:line="174" w:lineRule="exact"/>
        <w:rPr>
          <w:sz w:val="20"/>
          <w:szCs w:val="20"/>
          <w:color w:val="auto"/>
        </w:rPr>
      </w:pPr>
    </w:p>
    <w:p>
      <w:pPr>
        <w:ind w:left="540" w:right="40"/>
        <w:spacing w:after="0" w:line="288" w:lineRule="auto"/>
        <w:rPr>
          <w:sz w:val="20"/>
          <w:szCs w:val="20"/>
          <w:color w:val="auto"/>
        </w:rPr>
      </w:pPr>
      <w:r>
        <w:rPr>
          <w:rFonts w:ascii="Arial" w:cs="Arial" w:eastAsia="Arial" w:hAnsi="Arial"/>
          <w:sz w:val="16"/>
          <w:szCs w:val="16"/>
          <w:color w:val="auto"/>
        </w:rPr>
        <w:t>We believe the decline in orders in our Mechanical and Electrical Products segments during the second quarter of 2010 as compared to the first quarter of the year reflects, in part, a spike in orders towards the end of the first quarter of 2010. We believe this may reflect customers placing orders earlier than they have done in the past as the strong demand in the ATE industry has resulted in longer lead times for certain products. In contrast to the declines in orders experienced by these two product segments during the second quarter of 2010, our Thermal Products segment experienced increased levels of demand, particularly towards the end of the second quarter. This increased demand resulted in the aforementioned 38% increase in their orders for the second quarter of 2010 as compared to the first quarter of the year. Our Thermal Products segment has historically lagged our other two product segments in regard to experiencing the impact of both declines and increases in the levels of demand within the ATE i ndustry. This historical trend has held true in this most recent up cycle as this segment has only recently begun to see a more significant increase in the level of its orders and net revenues. We cannot be certain what the level of our orders or net revenues will be in any future period for any of our product segments.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Backlog</w:t>
      </w:r>
    </w:p>
    <w:p>
      <w:pPr>
        <w:spacing w:after="0" w:line="225" w:lineRule="exact"/>
        <w:rPr>
          <w:sz w:val="20"/>
          <w:szCs w:val="20"/>
          <w:color w:val="auto"/>
        </w:rPr>
      </w:pPr>
    </w:p>
    <w:p>
      <w:pPr>
        <w:ind w:left="540" w:right="20"/>
        <w:spacing w:after="0" w:line="291" w:lineRule="auto"/>
        <w:rPr>
          <w:sz w:val="20"/>
          <w:szCs w:val="20"/>
          <w:color w:val="auto"/>
        </w:rPr>
      </w:pPr>
      <w:r>
        <w:rPr>
          <w:rFonts w:ascii="Arial" w:cs="Arial" w:eastAsia="Arial" w:hAnsi="Arial"/>
          <w:sz w:val="16"/>
          <w:szCs w:val="16"/>
          <w:color w:val="auto"/>
        </w:rPr>
        <w:t>At June 30, 2010, our backlog of unfilled orders for all products was approximately $6.0 million compared with approximately $9.1 million at March 31, 2010 and $1.7 million at June 30, 2009. Our backlog includes customer orders which we have accepted, substantially all of which we expect to deliver in 2010.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Business Restructuring Initiatives</w:t>
      </w:r>
    </w:p>
    <w:p>
      <w:pPr>
        <w:spacing w:after="0" w:line="225" w:lineRule="exact"/>
        <w:rPr>
          <w:sz w:val="20"/>
          <w:szCs w:val="20"/>
          <w:color w:val="auto"/>
        </w:rPr>
      </w:pPr>
    </w:p>
    <w:p>
      <w:pPr>
        <w:ind w:left="540" w:right="80"/>
        <w:spacing w:after="0" w:line="298" w:lineRule="auto"/>
        <w:rPr>
          <w:sz w:val="20"/>
          <w:szCs w:val="20"/>
          <w:color w:val="auto"/>
        </w:rPr>
      </w:pPr>
      <w:r>
        <w:rPr>
          <w:rFonts w:ascii="Arial" w:cs="Arial" w:eastAsia="Arial" w:hAnsi="Arial"/>
          <w:sz w:val="16"/>
          <w:szCs w:val="16"/>
          <w:color w:val="auto"/>
        </w:rPr>
        <w:t>In response to the significant decline in our orders and net revenues during 2008 and early 2009, we took actions to reduce our cost structure. The actions we took are discussed in Note 4 to the accompanying consolidated financial statements and in Note 5 to the consolidated financial statements in our 2009 Form 10-K. The review of our operations is on-going. We continue to explore methods to further reduce our costs and we will likely incur additional restructuring charges in future periods; however, we cannot predict the amount of such charges at this time.</w:t>
      </w:r>
    </w:p>
    <w:p>
      <w:pPr>
        <w:spacing w:after="0" w:line="167"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We consider some of the actions we took to be temporary in nature, such as certain salary and benefits reductions for current employees. At the time we took these temporary actions, it was generally our intent to restore all or a portion of the reduced salary and benefits in future periods when our results of operations and our cash flows improved sufficiently so as to allow us to do so. Any such restoration would impact the ultimate level of savings which will result from our restructuring actions. Effective January 1, 2010, we restored all of the temporary salary reductions we implemented in 2008 and 2009 for our domestic employees, with the exception of the salary of our Executive Chairman, which was restored to approximately 65% of its full reinstated level, reflecting a voluntary continued 35% reduction in his salary. Effective April 1, 2010, we restored the 401(k) Plan discretionary matching contribution for all domestic employees which had been eliminated for most of these employees at the beginning o f 2009.</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Product/Customer Mix</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Our three product segments each have multiple products that we design, manufacture and sell to our customers. The gross margin on each product we</w:t>
      </w:r>
    </w:p>
    <w:p>
      <w:pPr>
        <w:sectPr>
          <w:pgSz w:w="11900" w:h="16838" w:orient="portrait"/>
          <w:cols w:equalWidth="0" w:num="1">
            <w:col w:w="11400"/>
          </w:cols>
          <w:pgMar w:left="240" w:top="135" w:right="259" w:bottom="0" w:gutter="0" w:footer="0" w:header="0"/>
        </w:sectPr>
      </w:pPr>
    </w:p>
    <w:bookmarkStart w:id="17" w:name="page18"/>
    <w:bookmarkEnd w:id="17"/>
    <w:p>
      <w:pPr>
        <w:ind w:left="540"/>
        <w:spacing w:after="0" w:line="298" w:lineRule="auto"/>
        <w:rPr>
          <w:sz w:val="20"/>
          <w:szCs w:val="20"/>
          <w:color w:val="auto"/>
        </w:rPr>
      </w:pPr>
      <w:r>
        <w:rPr>
          <w:rFonts w:ascii="Arial" w:cs="Arial" w:eastAsia="Arial" w:hAnsi="Arial"/>
          <w:sz w:val="16"/>
          <w:szCs w:val="16"/>
          <w:color w:val="auto"/>
        </w:rPr>
        <w:t>offer is impacted by a number of factors including the amount of intellectual property (such as patents) utilized in the product, the number of units ordered by the customer at one time, or the amount of inTEST designed and fabricated material included in our product compared with the amount of third-party designed and fabricated material included in our product. The weight of each of these factors, as well as the current market conditions, determines the ultimate sales price we can obtain for our products and the resulting gross margin.</w:t>
      </w:r>
    </w:p>
    <w:p>
      <w:pPr>
        <w:spacing w:after="0" w:line="167"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94" w:lineRule="exact"/>
        <w:rPr>
          <w:sz w:val="20"/>
          <w:szCs w:val="20"/>
          <w:color w:val="auto"/>
        </w:rPr>
      </w:pPr>
    </w:p>
    <w:p>
      <w:pPr>
        <w:ind w:left="540" w:right="60"/>
        <w:spacing w:after="0" w:line="294" w:lineRule="auto"/>
        <w:rPr>
          <w:sz w:val="20"/>
          <w:szCs w:val="20"/>
          <w:color w:val="auto"/>
        </w:rPr>
      </w:pPr>
      <w:r>
        <w:rPr>
          <w:rFonts w:ascii="Arial" w:cs="Arial" w:eastAsia="Arial" w:hAnsi="Arial"/>
          <w:sz w:val="16"/>
          <w:szCs w:val="16"/>
          <w:color w:val="auto"/>
        </w:rPr>
        <w:t>We sell most of our products to semiconductor manufacturers and third-party test and assembly houses (end user sales) and to ATE manufacturers (OEM sales) who ultimately resell our equipment with theirs to semiconductor manufacturers. Our Thermal Products segment also sells into a variety of other industries including the aerospace, automotive, communications, consumer electronics, defense, and medical industries. The mix of customers during any given period will affect our gross margin due to differing sales discounts and commissions. For the six months ended June 30, 2010 and 2009, our OEM sales as a percentage of net revenues were 21% and 6%, respectively.</w:t>
      </w:r>
    </w:p>
    <w:p>
      <w:pPr>
        <w:spacing w:after="0" w:line="170" w:lineRule="exact"/>
        <w:rPr>
          <w:sz w:val="20"/>
          <w:szCs w:val="20"/>
          <w:color w:val="auto"/>
        </w:rPr>
      </w:pPr>
    </w:p>
    <w:p>
      <w:pPr>
        <w:ind w:left="540" w:right="80"/>
        <w:spacing w:after="0" w:line="255" w:lineRule="auto"/>
        <w:rPr>
          <w:sz w:val="20"/>
          <w:szCs w:val="20"/>
          <w:color w:val="auto"/>
        </w:rPr>
      </w:pPr>
      <w:r>
        <w:rPr>
          <w:rFonts w:ascii="Arial" w:cs="Arial" w:eastAsia="Arial" w:hAnsi="Arial"/>
          <w:sz w:val="18"/>
          <w:szCs w:val="18"/>
          <w:color w:val="auto"/>
        </w:rPr>
        <w:t>OEM sales generally have a lower gross margin than end user sales, as OEM sales historically have had a more significant discount. Our current net operating margins on most OEM sales, however, are only slightly less than margins on end user sales because of the payment of third party sales commissions on most end user sales. We have also continued to experience demands from our OEM customers' supply line managers to reduce our sales prices to them. If we cannot further reduce our manufacturing and operating costs, these pricing pressures will continue to reduce our gross and operating margins.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31" w:lineRule="exact"/>
        <w:rPr>
          <w:sz w:val="20"/>
          <w:szCs w:val="20"/>
          <w:color w:val="auto"/>
        </w:rPr>
      </w:pPr>
    </w:p>
    <w:p>
      <w:pPr>
        <w:ind w:left="540" w:right="80"/>
        <w:spacing w:after="0" w:line="255" w:lineRule="auto"/>
        <w:rPr>
          <w:sz w:val="20"/>
          <w:szCs w:val="20"/>
          <w:color w:val="auto"/>
        </w:rPr>
      </w:pPr>
      <w:r>
        <w:rPr>
          <w:rFonts w:ascii="Arial" w:cs="Arial" w:eastAsia="Arial" w:hAnsi="Arial"/>
          <w:sz w:val="18"/>
          <w:szCs w:val="18"/>
          <w:color w:val="auto"/>
        </w:rPr>
        <w:t>All of our products are used by semiconductor manufacturers in conjunction with ATE in the testing of ICs. Consequently, the results of operations for each product segment are generally affected by the same factors. Separate discussions and analyses for each product segment would be repetitive and obscure any unique factors that affected the results of operations of our different product segments. The discussion and analysis that follows, therefore, is presented on a consolidated basis and includes discussion of factors unique to each product segment where significant to an understanding of that segment.</w:t>
      </w:r>
    </w:p>
    <w:p>
      <w:pPr>
        <w:spacing w:after="0" w:line="197" w:lineRule="exact"/>
        <w:rPr>
          <w:sz w:val="20"/>
          <w:szCs w:val="20"/>
          <w:color w:val="auto"/>
        </w:rPr>
      </w:pPr>
    </w:p>
    <w:p>
      <w:pPr>
        <w:ind w:left="540" w:right="40"/>
        <w:spacing w:after="0" w:line="268" w:lineRule="auto"/>
        <w:rPr>
          <w:sz w:val="20"/>
          <w:szCs w:val="20"/>
          <w:color w:val="auto"/>
        </w:rPr>
      </w:pPr>
      <w:r>
        <w:rPr>
          <w:rFonts w:ascii="Arial" w:cs="Arial" w:eastAsia="Arial" w:hAnsi="Arial"/>
          <w:sz w:val="18"/>
          <w:szCs w:val="18"/>
          <w:color w:val="auto"/>
        </w:rPr>
        <w:t>The following table sets forth, for the periods indicated, the principal items included in the Consolidated Statements of Operations as a percentage of total net revenues.</w:t>
      </w:r>
    </w:p>
    <w:p>
      <w:pPr>
        <w:spacing w:after="0" w:line="141"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10"/>
          </w:tcPr>
          <w:p>
            <w:pPr>
              <w:jc w:val="right"/>
              <w:ind w:right="440"/>
              <w:spacing w:after="0"/>
              <w:rPr>
                <w:sz w:val="20"/>
                <w:szCs w:val="20"/>
                <w:color w:val="auto"/>
              </w:rPr>
            </w:pPr>
            <w:r>
              <w:rPr>
                <w:rFonts w:ascii="Arial" w:cs="Arial" w:eastAsia="Arial" w:hAnsi="Arial"/>
                <w:sz w:val="14"/>
                <w:szCs w:val="14"/>
                <w:b w:val="1"/>
                <w:bCs w:val="1"/>
                <w:i w:val="1"/>
                <w:iCs w:val="1"/>
                <w:color w:val="auto"/>
                <w:w w:val="85"/>
              </w:rPr>
              <w:t>Percentage of Net Revenues</w:t>
            </w:r>
          </w:p>
        </w:tc>
        <w:tc>
          <w:tcPr>
            <w:tcW w:w="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3740" w:type="dxa"/>
            <w:vAlign w:val="bottom"/>
          </w:tcPr>
          <w:p>
            <w:pPr>
              <w:spacing w:after="0"/>
              <w:rPr>
                <w:sz w:val="19"/>
                <w:szCs w:val="19"/>
                <w:color w:val="auto"/>
              </w:rPr>
            </w:pPr>
          </w:p>
        </w:tc>
        <w:tc>
          <w:tcPr>
            <w:tcW w:w="1620" w:type="dxa"/>
            <w:vAlign w:val="bottom"/>
            <w:gridSpan w:val="11"/>
          </w:tcPr>
          <w:p>
            <w:pPr>
              <w:jc w:val="right"/>
              <w:ind w:right="220"/>
              <w:spacing w:after="0"/>
              <w:rPr>
                <w:sz w:val="20"/>
                <w:szCs w:val="20"/>
                <w:color w:val="auto"/>
              </w:rPr>
            </w:pPr>
            <w:r>
              <w:rPr>
                <w:rFonts w:ascii="Arial" w:cs="Arial" w:eastAsia="Arial" w:hAnsi="Arial"/>
                <w:sz w:val="14"/>
                <w:szCs w:val="14"/>
                <w:b w:val="1"/>
                <w:bCs w:val="1"/>
                <w:i w:val="1"/>
                <w:iCs w:val="1"/>
                <w:color w:val="auto"/>
                <w:w w:val="83"/>
              </w:rPr>
              <w:t>Quarters Ended June 30,</w:t>
            </w:r>
          </w:p>
        </w:tc>
        <w:tc>
          <w:tcPr>
            <w:tcW w:w="1720" w:type="dxa"/>
            <w:vAlign w:val="bottom"/>
            <w:gridSpan w:val="10"/>
          </w:tcPr>
          <w:p>
            <w:pPr>
              <w:jc w:val="right"/>
              <w:ind w:right="100"/>
              <w:spacing w:after="0"/>
              <w:rPr>
                <w:sz w:val="20"/>
                <w:szCs w:val="20"/>
                <w:color w:val="auto"/>
              </w:rPr>
            </w:pPr>
            <w:r>
              <w:rPr>
                <w:rFonts w:ascii="Arial" w:cs="Arial" w:eastAsia="Arial" w:hAnsi="Arial"/>
                <w:sz w:val="14"/>
                <w:szCs w:val="14"/>
                <w:b w:val="1"/>
                <w:bCs w:val="1"/>
                <w:i w:val="1"/>
                <w:iCs w:val="1"/>
                <w:color w:val="auto"/>
                <w:w w:val="88"/>
              </w:rPr>
              <w:t>Six Months Ended June 30,</w:t>
            </w:r>
          </w:p>
        </w:tc>
      </w:tr>
      <w:tr>
        <w:trPr>
          <w:trHeight w:val="223"/>
        </w:trPr>
        <w:tc>
          <w:tcPr>
            <w:tcW w:w="3740" w:type="dxa"/>
            <w:vAlign w:val="bottom"/>
          </w:tcPr>
          <w:p>
            <w:pPr>
              <w:spacing w:after="0"/>
              <w:rPr>
                <w:sz w:val="19"/>
                <w:szCs w:val="19"/>
                <w:color w:val="auto"/>
              </w:rPr>
            </w:pPr>
          </w:p>
        </w:tc>
        <w:tc>
          <w:tcPr>
            <w:tcW w:w="38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i w:val="1"/>
                <w:iCs w:val="1"/>
                <w:color w:val="auto"/>
              </w:rPr>
              <w:t>2010</w:t>
            </w: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4"/>
                <w:szCs w:val="14"/>
                <w:b w:val="1"/>
                <w:bCs w:val="1"/>
                <w:i w:val="1"/>
                <w:iCs w:val="1"/>
                <w:color w:val="auto"/>
              </w:rPr>
              <w:t>2009</w:t>
            </w:r>
          </w:p>
        </w:tc>
        <w:tc>
          <w:tcPr>
            <w:tcW w:w="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i w:val="1"/>
                <w:iCs w:val="1"/>
                <w:color w:val="auto"/>
              </w:rPr>
              <w:t>2010</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2"/>
                <w:szCs w:val="12"/>
                <w:b w:val="1"/>
                <w:bCs w:val="1"/>
                <w:i w:val="1"/>
                <w:iCs w:val="1"/>
                <w:color w:val="auto"/>
                <w:w w:val="74"/>
              </w:rPr>
              <w:t>2009</w:t>
            </w: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302"/>
        </w:trPr>
        <w:tc>
          <w:tcPr>
            <w:tcW w:w="3740" w:type="dxa"/>
            <w:vAlign w:val="bottom"/>
          </w:tcPr>
          <w:p>
            <w:pPr>
              <w:spacing w:after="0"/>
              <w:rPr>
                <w:sz w:val="20"/>
                <w:szCs w:val="20"/>
                <w:color w:val="auto"/>
              </w:rPr>
            </w:pPr>
            <w:r>
              <w:rPr>
                <w:rFonts w:ascii="Arial" w:cs="Arial" w:eastAsia="Arial" w:hAnsi="Arial"/>
                <w:sz w:val="18"/>
                <w:szCs w:val="18"/>
                <w:color w:val="auto"/>
              </w:rPr>
              <w:t>Net revenues</w:t>
            </w:r>
          </w:p>
        </w:tc>
        <w:tc>
          <w:tcPr>
            <w:tcW w:w="740" w:type="dxa"/>
            <w:vAlign w:val="bottom"/>
            <w:gridSpan w:val="6"/>
          </w:tcPr>
          <w:p>
            <w:pPr>
              <w:jc w:val="right"/>
              <w:ind w:right="80"/>
              <w:spacing w:after="0"/>
              <w:rPr>
                <w:sz w:val="20"/>
                <w:szCs w:val="20"/>
                <w:color w:val="auto"/>
              </w:rPr>
            </w:pPr>
            <w:r>
              <w:rPr>
                <w:rFonts w:ascii="Arial" w:cs="Arial" w:eastAsia="Arial" w:hAnsi="Arial"/>
                <w:sz w:val="18"/>
                <w:szCs w:val="18"/>
                <w:color w:val="auto"/>
              </w:rPr>
              <w:t>100.0%</w:t>
            </w:r>
          </w:p>
        </w:tc>
        <w:tc>
          <w:tcPr>
            <w:tcW w:w="880" w:type="dxa"/>
            <w:vAlign w:val="bottom"/>
            <w:gridSpan w:val="5"/>
          </w:tcPr>
          <w:p>
            <w:pPr>
              <w:jc w:val="right"/>
              <w:ind w:right="60"/>
              <w:spacing w:after="0"/>
              <w:rPr>
                <w:sz w:val="20"/>
                <w:szCs w:val="20"/>
                <w:color w:val="auto"/>
              </w:rPr>
            </w:pPr>
            <w:r>
              <w:rPr>
                <w:rFonts w:ascii="Arial" w:cs="Arial" w:eastAsia="Arial" w:hAnsi="Arial"/>
                <w:sz w:val="18"/>
                <w:szCs w:val="18"/>
                <w:color w:val="auto"/>
              </w:rPr>
              <w:t>100.0%</w:t>
            </w:r>
          </w:p>
        </w:tc>
        <w:tc>
          <w:tcPr>
            <w:tcW w:w="1200" w:type="dxa"/>
            <w:vAlign w:val="bottom"/>
            <w:gridSpan w:val="5"/>
          </w:tcPr>
          <w:p>
            <w:pPr>
              <w:jc w:val="right"/>
              <w:ind w:right="380"/>
              <w:spacing w:after="0"/>
              <w:rPr>
                <w:sz w:val="20"/>
                <w:szCs w:val="20"/>
                <w:color w:val="auto"/>
              </w:rPr>
            </w:pPr>
            <w:r>
              <w:rPr>
                <w:rFonts w:ascii="Arial" w:cs="Arial" w:eastAsia="Arial" w:hAnsi="Arial"/>
                <w:sz w:val="18"/>
                <w:szCs w:val="18"/>
                <w:color w:val="auto"/>
              </w:rPr>
              <w:t>100.0%</w:t>
            </w:r>
          </w:p>
        </w:tc>
        <w:tc>
          <w:tcPr>
            <w:tcW w:w="520" w:type="dxa"/>
            <w:vAlign w:val="bottom"/>
            <w:gridSpan w:val="5"/>
          </w:tcPr>
          <w:p>
            <w:pPr>
              <w:jc w:val="right"/>
              <w:spacing w:after="0"/>
              <w:rPr>
                <w:sz w:val="20"/>
                <w:szCs w:val="20"/>
                <w:color w:val="auto"/>
              </w:rPr>
            </w:pPr>
            <w:r>
              <w:rPr>
                <w:rFonts w:ascii="Arial" w:cs="Arial" w:eastAsia="Arial" w:hAnsi="Arial"/>
                <w:sz w:val="18"/>
                <w:szCs w:val="18"/>
                <w:color w:val="auto"/>
                <w:w w:val="81"/>
              </w:rPr>
              <w:t>100.0%</w:t>
            </w:r>
          </w:p>
        </w:tc>
      </w:tr>
      <w:tr>
        <w:trPr>
          <w:trHeight w:val="421"/>
        </w:trPr>
        <w:tc>
          <w:tcPr>
            <w:tcW w:w="3740" w:type="dxa"/>
            <w:vAlign w:val="bottom"/>
          </w:tcPr>
          <w:p>
            <w:pPr>
              <w:spacing w:after="0"/>
              <w:rPr>
                <w:sz w:val="20"/>
                <w:szCs w:val="20"/>
                <w:color w:val="auto"/>
              </w:rPr>
            </w:pPr>
            <w:r>
              <w:rPr>
                <w:rFonts w:ascii="Arial" w:cs="Arial" w:eastAsia="Arial" w:hAnsi="Arial"/>
                <w:sz w:val="18"/>
                <w:szCs w:val="18"/>
                <w:color w:val="auto"/>
              </w:rPr>
              <w:t>Cost of revenues</w:t>
            </w:r>
          </w:p>
        </w:tc>
        <w:tc>
          <w:tcPr>
            <w:tcW w:w="80" w:type="dxa"/>
            <w:vAlign w:val="bottom"/>
          </w:tcPr>
          <w:p>
            <w:pPr>
              <w:spacing w:after="0"/>
              <w:rPr>
                <w:sz w:val="24"/>
                <w:szCs w:val="24"/>
                <w:color w:val="auto"/>
              </w:rPr>
            </w:pPr>
          </w:p>
        </w:tc>
        <w:tc>
          <w:tcPr>
            <w:tcW w:w="380" w:type="dxa"/>
            <w:vAlign w:val="bottom"/>
            <w:gridSpan w:val="4"/>
          </w:tcPr>
          <w:p>
            <w:pPr>
              <w:jc w:val="right"/>
              <w:spacing w:after="0"/>
              <w:rPr>
                <w:sz w:val="20"/>
                <w:szCs w:val="20"/>
                <w:color w:val="auto"/>
              </w:rPr>
            </w:pPr>
            <w:r>
              <w:rPr>
                <w:rFonts w:ascii="Arial" w:cs="Arial" w:eastAsia="Arial" w:hAnsi="Arial"/>
                <w:sz w:val="18"/>
                <w:szCs w:val="18"/>
                <w:color w:val="auto"/>
              </w:rPr>
              <w:t>51.</w:t>
            </w:r>
            <w:r>
              <w:rPr>
                <w:rFonts w:ascii="Arial" w:cs="Arial" w:eastAsia="Arial" w:hAnsi="Arial"/>
                <w:sz w:val="18"/>
                <w:szCs w:val="18"/>
                <w:u w:val="single" w:color="auto"/>
                <w:color w:val="auto"/>
              </w:rPr>
              <w:t>7</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6"/>
              </w:rPr>
              <w:t>69.7</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85"/>
              </w:rPr>
              <w:t>52.0</w:t>
            </w:r>
          </w:p>
        </w:tc>
        <w:tc>
          <w:tcPr>
            <w:tcW w:w="560" w:type="dxa"/>
            <w:vAlign w:val="bottom"/>
          </w:tcPr>
          <w:p>
            <w:pPr>
              <w:spacing w:after="0"/>
              <w:rPr>
                <w:sz w:val="24"/>
                <w:szCs w:val="24"/>
                <w:color w:val="auto"/>
              </w:rPr>
            </w:pPr>
          </w:p>
        </w:tc>
        <w:tc>
          <w:tcPr>
            <w:tcW w:w="420" w:type="dxa"/>
            <w:vAlign w:val="bottom"/>
            <w:gridSpan w:val="4"/>
          </w:tcPr>
          <w:p>
            <w:pPr>
              <w:jc w:val="right"/>
              <w:ind w:right="80"/>
              <w:spacing w:after="0"/>
              <w:rPr>
                <w:sz w:val="20"/>
                <w:szCs w:val="20"/>
                <w:color w:val="auto"/>
              </w:rPr>
            </w:pPr>
            <w:r>
              <w:rPr>
                <w:rFonts w:ascii="Arial" w:cs="Arial" w:eastAsia="Arial" w:hAnsi="Arial"/>
                <w:sz w:val="18"/>
                <w:szCs w:val="18"/>
                <w:color w:val="auto"/>
                <w:w w:val="91"/>
              </w:rPr>
              <w:t>75.5</w:t>
            </w:r>
          </w:p>
        </w:tc>
        <w:tc>
          <w:tcPr>
            <w:tcW w:w="100" w:type="dxa"/>
            <w:vAlign w:val="bottom"/>
          </w:tcPr>
          <w:p>
            <w:pPr>
              <w:spacing w:after="0"/>
              <w:rPr>
                <w:sz w:val="24"/>
                <w:szCs w:val="24"/>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560" w:type="dxa"/>
            <w:vAlign w:val="bottom"/>
            <w:tcBorders>
              <w:left w:val="single" w:sz="8" w:color="auto"/>
              <w:right w:val="single" w:sz="8" w:color="auto"/>
            </w:tcBorders>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740" w:type="dxa"/>
            <w:vAlign w:val="bottom"/>
          </w:tcPr>
          <w:p>
            <w:pPr>
              <w:spacing w:after="0"/>
              <w:rPr>
                <w:sz w:val="20"/>
                <w:szCs w:val="20"/>
                <w:color w:val="auto"/>
              </w:rPr>
            </w:pPr>
            <w:r>
              <w:rPr>
                <w:rFonts w:ascii="Arial" w:cs="Arial" w:eastAsia="Arial" w:hAnsi="Arial"/>
                <w:sz w:val="18"/>
                <w:szCs w:val="18"/>
                <w:color w:val="auto"/>
              </w:rPr>
              <w:t>Gross margin</w:t>
            </w:r>
          </w:p>
        </w:tc>
        <w:tc>
          <w:tcPr>
            <w:tcW w:w="80" w:type="dxa"/>
            <w:vAlign w:val="bottom"/>
          </w:tcPr>
          <w:p>
            <w:pPr>
              <w:spacing w:after="0"/>
              <w:rPr>
                <w:sz w:val="24"/>
                <w:szCs w:val="24"/>
                <w:color w:val="auto"/>
              </w:rPr>
            </w:pPr>
          </w:p>
        </w:tc>
        <w:tc>
          <w:tcPr>
            <w:tcW w:w="380" w:type="dxa"/>
            <w:vAlign w:val="bottom"/>
            <w:gridSpan w:val="4"/>
          </w:tcPr>
          <w:p>
            <w:pPr>
              <w:jc w:val="right"/>
              <w:spacing w:after="0"/>
              <w:rPr>
                <w:sz w:val="20"/>
                <w:szCs w:val="20"/>
                <w:color w:val="auto"/>
              </w:rPr>
            </w:pPr>
            <w:r>
              <w:rPr>
                <w:rFonts w:ascii="Arial" w:cs="Arial" w:eastAsia="Arial" w:hAnsi="Arial"/>
                <w:sz w:val="18"/>
                <w:szCs w:val="18"/>
                <w:color w:val="auto"/>
              </w:rPr>
              <w:t>48.</w:t>
            </w:r>
            <w:r>
              <w:rPr>
                <w:rFonts w:ascii="Arial" w:cs="Arial" w:eastAsia="Arial" w:hAnsi="Arial"/>
                <w:sz w:val="18"/>
                <w:szCs w:val="18"/>
                <w:u w:val="single" w:color="auto"/>
                <w:color w:val="auto"/>
              </w:rPr>
              <w:t>3</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6"/>
              </w:rPr>
              <w:t>30.3</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85"/>
              </w:rPr>
              <w:t>48.0</w:t>
            </w:r>
          </w:p>
        </w:tc>
        <w:tc>
          <w:tcPr>
            <w:tcW w:w="560" w:type="dxa"/>
            <w:vAlign w:val="bottom"/>
          </w:tcPr>
          <w:p>
            <w:pPr>
              <w:spacing w:after="0"/>
              <w:rPr>
                <w:sz w:val="24"/>
                <w:szCs w:val="24"/>
                <w:color w:val="auto"/>
              </w:rPr>
            </w:pPr>
          </w:p>
        </w:tc>
        <w:tc>
          <w:tcPr>
            <w:tcW w:w="420" w:type="dxa"/>
            <w:vAlign w:val="bottom"/>
            <w:gridSpan w:val="4"/>
          </w:tcPr>
          <w:p>
            <w:pPr>
              <w:jc w:val="right"/>
              <w:ind w:right="80"/>
              <w:spacing w:after="0"/>
              <w:rPr>
                <w:sz w:val="20"/>
                <w:szCs w:val="20"/>
                <w:color w:val="auto"/>
              </w:rPr>
            </w:pPr>
            <w:r>
              <w:rPr>
                <w:rFonts w:ascii="Arial" w:cs="Arial" w:eastAsia="Arial" w:hAnsi="Arial"/>
                <w:sz w:val="18"/>
                <w:szCs w:val="18"/>
                <w:color w:val="auto"/>
                <w:w w:val="91"/>
              </w:rPr>
              <w:t>24.5</w:t>
            </w:r>
          </w:p>
        </w:tc>
        <w:tc>
          <w:tcPr>
            <w:tcW w:w="100" w:type="dxa"/>
            <w:vAlign w:val="bottom"/>
          </w:tcPr>
          <w:p>
            <w:pPr>
              <w:spacing w:after="0"/>
              <w:rPr>
                <w:sz w:val="24"/>
                <w:szCs w:val="24"/>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560" w:type="dxa"/>
            <w:vAlign w:val="bottom"/>
            <w:tcBorders>
              <w:left w:val="single" w:sz="8" w:color="auto"/>
              <w:right w:val="single" w:sz="8" w:color="auto"/>
            </w:tcBorders>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8"/>
        </w:trPr>
        <w:tc>
          <w:tcPr>
            <w:tcW w:w="3740" w:type="dxa"/>
            <w:vAlign w:val="bottom"/>
          </w:tcPr>
          <w:p>
            <w:pPr>
              <w:spacing w:after="0"/>
              <w:rPr>
                <w:sz w:val="20"/>
                <w:szCs w:val="20"/>
                <w:color w:val="auto"/>
              </w:rPr>
            </w:pPr>
            <w:r>
              <w:rPr>
                <w:rFonts w:ascii="Arial" w:cs="Arial" w:eastAsia="Arial" w:hAnsi="Arial"/>
                <w:sz w:val="18"/>
                <w:szCs w:val="18"/>
                <w:color w:val="auto"/>
              </w:rPr>
              <w:t>Selling expense</w:t>
            </w:r>
          </w:p>
        </w:tc>
        <w:tc>
          <w:tcPr>
            <w:tcW w:w="80" w:type="dxa"/>
            <w:vAlign w:val="bottom"/>
          </w:tcPr>
          <w:p>
            <w:pPr>
              <w:spacing w:after="0"/>
              <w:rPr>
                <w:sz w:val="24"/>
                <w:szCs w:val="24"/>
                <w:color w:val="auto"/>
              </w:rPr>
            </w:pPr>
          </w:p>
        </w:tc>
        <w:tc>
          <w:tcPr>
            <w:tcW w:w="380" w:type="dxa"/>
            <w:vAlign w:val="bottom"/>
            <w:gridSpan w:val="4"/>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6"/>
              </w:rPr>
              <w:t>22.2</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85"/>
              </w:rPr>
              <w:t>12.0</w:t>
            </w:r>
          </w:p>
        </w:tc>
        <w:tc>
          <w:tcPr>
            <w:tcW w:w="560" w:type="dxa"/>
            <w:vAlign w:val="bottom"/>
          </w:tcPr>
          <w:p>
            <w:pPr>
              <w:spacing w:after="0"/>
              <w:rPr>
                <w:sz w:val="24"/>
                <w:szCs w:val="24"/>
                <w:color w:val="auto"/>
              </w:rPr>
            </w:pPr>
          </w:p>
        </w:tc>
        <w:tc>
          <w:tcPr>
            <w:tcW w:w="420" w:type="dxa"/>
            <w:vAlign w:val="bottom"/>
            <w:gridSpan w:val="4"/>
          </w:tcPr>
          <w:p>
            <w:pPr>
              <w:jc w:val="right"/>
              <w:ind w:right="80"/>
              <w:spacing w:after="0"/>
              <w:rPr>
                <w:sz w:val="20"/>
                <w:szCs w:val="20"/>
                <w:color w:val="auto"/>
              </w:rPr>
            </w:pPr>
            <w:r>
              <w:rPr>
                <w:rFonts w:ascii="Arial" w:cs="Arial" w:eastAsia="Arial" w:hAnsi="Arial"/>
                <w:sz w:val="18"/>
                <w:szCs w:val="18"/>
                <w:color w:val="auto"/>
                <w:w w:val="91"/>
              </w:rPr>
              <w:t>24.0</w:t>
            </w:r>
          </w:p>
        </w:tc>
        <w:tc>
          <w:tcPr>
            <w:tcW w:w="100" w:type="dxa"/>
            <w:vAlign w:val="bottom"/>
          </w:tcPr>
          <w:p>
            <w:pPr>
              <w:spacing w:after="0"/>
              <w:rPr>
                <w:sz w:val="24"/>
                <w:szCs w:val="24"/>
                <w:color w:val="auto"/>
              </w:rPr>
            </w:pPr>
          </w:p>
        </w:tc>
      </w:tr>
      <w:tr>
        <w:trPr>
          <w:trHeight w:val="459"/>
        </w:trPr>
        <w:tc>
          <w:tcPr>
            <w:tcW w:w="3740" w:type="dxa"/>
            <w:vAlign w:val="bottom"/>
          </w:tcPr>
          <w:p>
            <w:pPr>
              <w:spacing w:after="0"/>
              <w:rPr>
                <w:sz w:val="20"/>
                <w:szCs w:val="20"/>
                <w:color w:val="auto"/>
              </w:rPr>
            </w:pPr>
            <w:r>
              <w:rPr>
                <w:rFonts w:ascii="Arial" w:cs="Arial" w:eastAsia="Arial" w:hAnsi="Arial"/>
                <w:sz w:val="18"/>
                <w:szCs w:val="18"/>
                <w:color w:val="auto"/>
                <w:w w:val="98"/>
              </w:rPr>
              <w:t>Engineering and product development expense</w:t>
            </w:r>
          </w:p>
        </w:tc>
        <w:tc>
          <w:tcPr>
            <w:tcW w:w="460" w:type="dxa"/>
            <w:vAlign w:val="bottom"/>
            <w:gridSpan w:val="5"/>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12.3</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5"/>
          </w:tcPr>
          <w:p>
            <w:pPr>
              <w:jc w:val="right"/>
              <w:ind w:right="540"/>
              <w:spacing w:after="0"/>
              <w:rPr>
                <w:sz w:val="20"/>
                <w:szCs w:val="20"/>
                <w:color w:val="auto"/>
              </w:rPr>
            </w:pPr>
            <w:r>
              <w:rPr>
                <w:rFonts w:ascii="Arial" w:cs="Arial" w:eastAsia="Arial" w:hAnsi="Arial"/>
                <w:sz w:val="18"/>
                <w:szCs w:val="18"/>
                <w:color w:val="auto"/>
              </w:rPr>
              <w:t>6.0</w:t>
            </w:r>
          </w:p>
        </w:tc>
        <w:tc>
          <w:tcPr>
            <w:tcW w:w="420" w:type="dxa"/>
            <w:vAlign w:val="bottom"/>
            <w:gridSpan w:val="4"/>
          </w:tcPr>
          <w:p>
            <w:pPr>
              <w:jc w:val="right"/>
              <w:ind w:right="80"/>
              <w:spacing w:after="0"/>
              <w:rPr>
                <w:sz w:val="20"/>
                <w:szCs w:val="20"/>
                <w:color w:val="auto"/>
              </w:rPr>
            </w:pPr>
            <w:r>
              <w:rPr>
                <w:rFonts w:ascii="Arial" w:cs="Arial" w:eastAsia="Arial" w:hAnsi="Arial"/>
                <w:sz w:val="18"/>
                <w:szCs w:val="18"/>
                <w:color w:val="auto"/>
                <w:w w:val="91"/>
              </w:rPr>
              <w:t>14.7</w:t>
            </w:r>
          </w:p>
        </w:tc>
        <w:tc>
          <w:tcPr>
            <w:tcW w:w="100" w:type="dxa"/>
            <w:vAlign w:val="bottom"/>
          </w:tcPr>
          <w:p>
            <w:pPr>
              <w:spacing w:after="0"/>
              <w:rPr>
                <w:sz w:val="24"/>
                <w:szCs w:val="24"/>
                <w:color w:val="auto"/>
              </w:rPr>
            </w:pPr>
          </w:p>
        </w:tc>
      </w:tr>
      <w:tr>
        <w:trPr>
          <w:trHeight w:val="459"/>
        </w:trPr>
        <w:tc>
          <w:tcPr>
            <w:tcW w:w="374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460" w:type="dxa"/>
            <w:vAlign w:val="bottom"/>
            <w:gridSpan w:val="5"/>
          </w:tcPr>
          <w:p>
            <w:pPr>
              <w:jc w:val="right"/>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29.4</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5"/>
          </w:tcPr>
          <w:p>
            <w:pPr>
              <w:jc w:val="right"/>
              <w:ind w:right="540"/>
              <w:spacing w:after="0"/>
              <w:rPr>
                <w:sz w:val="20"/>
                <w:szCs w:val="20"/>
                <w:color w:val="auto"/>
              </w:rPr>
            </w:pPr>
            <w:r>
              <w:rPr>
                <w:rFonts w:ascii="Arial" w:cs="Arial" w:eastAsia="Arial" w:hAnsi="Arial"/>
                <w:sz w:val="18"/>
                <w:szCs w:val="18"/>
                <w:color w:val="auto"/>
              </w:rPr>
              <w:t>12.6</w:t>
            </w:r>
          </w:p>
        </w:tc>
        <w:tc>
          <w:tcPr>
            <w:tcW w:w="420" w:type="dxa"/>
            <w:vAlign w:val="bottom"/>
            <w:gridSpan w:val="4"/>
          </w:tcPr>
          <w:p>
            <w:pPr>
              <w:jc w:val="right"/>
              <w:ind w:right="80"/>
              <w:spacing w:after="0"/>
              <w:rPr>
                <w:sz w:val="20"/>
                <w:szCs w:val="20"/>
                <w:color w:val="auto"/>
              </w:rPr>
            </w:pPr>
            <w:r>
              <w:rPr>
                <w:rFonts w:ascii="Arial" w:cs="Arial" w:eastAsia="Arial" w:hAnsi="Arial"/>
                <w:sz w:val="18"/>
                <w:szCs w:val="18"/>
                <w:color w:val="auto"/>
                <w:w w:val="91"/>
              </w:rPr>
              <w:t>33.7</w:t>
            </w:r>
          </w:p>
        </w:tc>
        <w:tc>
          <w:tcPr>
            <w:tcW w:w="100" w:type="dxa"/>
            <w:vAlign w:val="bottom"/>
          </w:tcPr>
          <w:p>
            <w:pPr>
              <w:spacing w:after="0"/>
              <w:rPr>
                <w:sz w:val="24"/>
                <w:szCs w:val="24"/>
                <w:color w:val="auto"/>
              </w:rPr>
            </w:pPr>
          </w:p>
        </w:tc>
      </w:tr>
      <w:tr>
        <w:trPr>
          <w:trHeight w:val="421"/>
        </w:trPr>
        <w:tc>
          <w:tcPr>
            <w:tcW w:w="3740" w:type="dxa"/>
            <w:vAlign w:val="bottom"/>
          </w:tcPr>
          <w:p>
            <w:pPr>
              <w:spacing w:after="0"/>
              <w:rPr>
                <w:sz w:val="20"/>
                <w:szCs w:val="20"/>
                <w:color w:val="auto"/>
              </w:rPr>
            </w:pPr>
            <w:r>
              <w:rPr>
                <w:rFonts w:ascii="Arial" w:cs="Arial" w:eastAsia="Arial" w:hAnsi="Arial"/>
                <w:sz w:val="18"/>
                <w:szCs w:val="18"/>
                <w:color w:val="auto"/>
              </w:rPr>
              <w:t>Restructuring and other charges</w:t>
            </w:r>
          </w:p>
        </w:tc>
        <w:tc>
          <w:tcPr>
            <w:tcW w:w="160" w:type="dxa"/>
            <w:vAlign w:val="bottom"/>
            <w:gridSpan w:val="2"/>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w:t>
            </w:r>
          </w:p>
        </w:tc>
        <w:tc>
          <w:tcPr>
            <w:tcW w:w="560" w:type="dxa"/>
            <w:vAlign w:val="bottom"/>
          </w:tcPr>
          <w:p>
            <w:pPr>
              <w:spacing w:after="0"/>
              <w:rPr>
                <w:sz w:val="24"/>
                <w:szCs w:val="24"/>
                <w:color w:val="auto"/>
              </w:rPr>
            </w:pPr>
          </w:p>
        </w:tc>
        <w:tc>
          <w:tcPr>
            <w:tcW w:w="420" w:type="dxa"/>
            <w:vAlign w:val="bottom"/>
            <w:gridSpan w:val="4"/>
          </w:tcPr>
          <w:p>
            <w:pPr>
              <w:jc w:val="right"/>
              <w:ind w:right="8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r>
      <w:tr>
        <w:trPr>
          <w:trHeight w:val="20"/>
        </w:trPr>
        <w:tc>
          <w:tcPr>
            <w:tcW w:w="37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8"/>
        </w:trPr>
        <w:tc>
          <w:tcPr>
            <w:tcW w:w="37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gridSpan w:val="2"/>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w w:val="85"/>
              </w:rPr>
              <w:t>20.8</w:t>
            </w:r>
          </w:p>
        </w:tc>
        <w:tc>
          <w:tcPr>
            <w:tcW w:w="280" w:type="dxa"/>
            <w:vAlign w:val="bottom"/>
          </w:tcPr>
          <w:p>
            <w:pPr>
              <w:spacing w:after="0"/>
              <w:rPr>
                <w:sz w:val="24"/>
                <w:szCs w:val="24"/>
                <w:color w:val="auto"/>
              </w:rPr>
            </w:pPr>
          </w:p>
        </w:tc>
        <w:tc>
          <w:tcPr>
            <w:tcW w:w="880" w:type="dxa"/>
            <w:vAlign w:val="bottom"/>
            <w:gridSpan w:val="5"/>
          </w:tcPr>
          <w:p>
            <w:pPr>
              <w:jc w:val="right"/>
              <w:ind w:right="200"/>
              <w:spacing w:after="0"/>
              <w:rPr>
                <w:sz w:val="20"/>
                <w:szCs w:val="20"/>
                <w:color w:val="auto"/>
              </w:rPr>
            </w:pPr>
            <w:r>
              <w:rPr>
                <w:rFonts w:ascii="Arial" w:cs="Arial" w:eastAsia="Arial" w:hAnsi="Arial"/>
                <w:sz w:val="18"/>
                <w:szCs w:val="18"/>
                <w:color w:val="auto"/>
              </w:rPr>
              <w:t>(39.4)</w:t>
            </w:r>
          </w:p>
        </w:tc>
        <w:tc>
          <w:tcPr>
            <w:tcW w:w="1200" w:type="dxa"/>
            <w:vAlign w:val="bottom"/>
            <w:gridSpan w:val="5"/>
          </w:tcPr>
          <w:p>
            <w:pPr>
              <w:jc w:val="right"/>
              <w:ind w:right="540"/>
              <w:spacing w:after="0"/>
              <w:rPr>
                <w:sz w:val="20"/>
                <w:szCs w:val="20"/>
                <w:color w:val="auto"/>
              </w:rPr>
            </w:pPr>
            <w:r>
              <w:rPr>
                <w:rFonts w:ascii="Arial" w:cs="Arial" w:eastAsia="Arial" w:hAnsi="Arial"/>
                <w:sz w:val="18"/>
                <w:szCs w:val="18"/>
                <w:color w:val="auto"/>
              </w:rPr>
              <w:t>17.4</w:t>
            </w:r>
          </w:p>
        </w:tc>
        <w:tc>
          <w:tcPr>
            <w:tcW w:w="420" w:type="dxa"/>
            <w:vAlign w:val="bottom"/>
            <w:gridSpan w:val="4"/>
          </w:tcPr>
          <w:p>
            <w:pPr>
              <w:jc w:val="right"/>
              <w:ind w:right="40"/>
              <w:spacing w:after="0"/>
              <w:rPr>
                <w:sz w:val="20"/>
                <w:szCs w:val="20"/>
                <w:color w:val="auto"/>
              </w:rPr>
            </w:pPr>
            <w:r>
              <w:rPr>
                <w:rFonts w:ascii="Arial" w:cs="Arial" w:eastAsia="Arial" w:hAnsi="Arial"/>
                <w:sz w:val="18"/>
                <w:szCs w:val="18"/>
                <w:color w:val="auto"/>
                <w:w w:val="76"/>
              </w:rPr>
              <w:t>(51.5)</w:t>
            </w:r>
          </w:p>
        </w:tc>
        <w:tc>
          <w:tcPr>
            <w:tcW w:w="100" w:type="dxa"/>
            <w:vAlign w:val="bottom"/>
          </w:tcPr>
          <w:p>
            <w:pPr>
              <w:spacing w:after="0"/>
              <w:rPr>
                <w:sz w:val="24"/>
                <w:szCs w:val="24"/>
                <w:color w:val="auto"/>
              </w:rPr>
            </w:pPr>
          </w:p>
        </w:tc>
      </w:tr>
      <w:tr>
        <w:trPr>
          <w:trHeight w:val="421"/>
        </w:trPr>
        <w:tc>
          <w:tcPr>
            <w:tcW w:w="3740" w:type="dxa"/>
            <w:vAlign w:val="bottom"/>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gridSpan w:val="2"/>
          </w:tcPr>
          <w:p>
            <w:pPr>
              <w:spacing w:after="0"/>
              <w:rPr>
                <w:sz w:val="24"/>
                <w:szCs w:val="24"/>
                <w:color w:val="auto"/>
              </w:rPr>
            </w:pPr>
          </w:p>
        </w:tc>
        <w:tc>
          <w:tcPr>
            <w:tcW w:w="580" w:type="dxa"/>
            <w:vAlign w:val="bottom"/>
            <w:gridSpan w:val="4"/>
          </w:tcPr>
          <w:p>
            <w:pPr>
              <w:jc w:val="right"/>
              <w:ind w:right="220"/>
              <w:spacing w:after="0"/>
              <w:rPr>
                <w:sz w:val="20"/>
                <w:szCs w:val="20"/>
                <w:color w:val="auto"/>
              </w:rPr>
            </w:pPr>
            <w:r>
              <w:rPr>
                <w:rFonts w:ascii="Arial" w:cs="Arial" w:eastAsia="Arial" w:hAnsi="Arial"/>
                <w:sz w:val="18"/>
                <w:szCs w:val="18"/>
                <w:color w:val="auto"/>
                <w:w w:val="91"/>
              </w:rPr>
              <w:t>(0.1)</w:t>
            </w:r>
          </w:p>
        </w:tc>
        <w:tc>
          <w:tcPr>
            <w:tcW w:w="880" w:type="dxa"/>
            <w:vAlign w:val="bottom"/>
            <w:gridSpan w:val="5"/>
          </w:tcPr>
          <w:p>
            <w:pPr>
              <w:jc w:val="right"/>
              <w:ind w:right="200"/>
              <w:spacing w:after="0"/>
              <w:rPr>
                <w:sz w:val="20"/>
                <w:szCs w:val="20"/>
                <w:color w:val="auto"/>
              </w:rPr>
            </w:pPr>
            <w:r>
              <w:rPr>
                <w:rFonts w:ascii="Arial" w:cs="Arial" w:eastAsia="Arial" w:hAnsi="Arial"/>
                <w:sz w:val="18"/>
                <w:szCs w:val="18"/>
                <w:color w:val="auto"/>
              </w:rPr>
              <w:t>(2.6)</w:t>
            </w:r>
          </w:p>
        </w:tc>
        <w:tc>
          <w:tcPr>
            <w:tcW w:w="1200" w:type="dxa"/>
            <w:vAlign w:val="bottom"/>
            <w:gridSpan w:val="5"/>
          </w:tcPr>
          <w:p>
            <w:pPr>
              <w:jc w:val="right"/>
              <w:ind w:right="500"/>
              <w:spacing w:after="0"/>
              <w:rPr>
                <w:sz w:val="20"/>
                <w:szCs w:val="20"/>
                <w:color w:val="auto"/>
              </w:rPr>
            </w:pPr>
            <w:r>
              <w:rPr>
                <w:rFonts w:ascii="Arial" w:cs="Arial" w:eastAsia="Arial" w:hAnsi="Arial"/>
                <w:sz w:val="18"/>
                <w:szCs w:val="18"/>
                <w:color w:val="auto"/>
              </w:rPr>
              <w:t>(0.1)</w:t>
            </w:r>
          </w:p>
        </w:tc>
        <w:tc>
          <w:tcPr>
            <w:tcW w:w="420" w:type="dxa"/>
            <w:vAlign w:val="bottom"/>
            <w:gridSpan w:val="4"/>
          </w:tcPr>
          <w:p>
            <w:pPr>
              <w:jc w:val="right"/>
              <w:ind w:right="40"/>
              <w:spacing w:after="0"/>
              <w:rPr>
                <w:sz w:val="20"/>
                <w:szCs w:val="20"/>
                <w:color w:val="auto"/>
              </w:rPr>
            </w:pPr>
            <w:r>
              <w:rPr>
                <w:rFonts w:ascii="Arial" w:cs="Arial" w:eastAsia="Arial" w:hAnsi="Arial"/>
                <w:sz w:val="18"/>
                <w:szCs w:val="18"/>
                <w:color w:val="auto"/>
                <w:w w:val="97"/>
              </w:rPr>
              <w:t>(0.4)</w:t>
            </w:r>
          </w:p>
        </w:tc>
        <w:tc>
          <w:tcPr>
            <w:tcW w:w="100" w:type="dxa"/>
            <w:vAlign w:val="bottom"/>
          </w:tcPr>
          <w:p>
            <w:pPr>
              <w:spacing w:after="0"/>
              <w:rPr>
                <w:sz w:val="24"/>
                <w:szCs w:val="24"/>
                <w:color w:val="auto"/>
              </w:rPr>
            </w:pPr>
          </w:p>
        </w:tc>
      </w:tr>
      <w:tr>
        <w:trPr>
          <w:trHeight w:val="20"/>
        </w:trPr>
        <w:tc>
          <w:tcPr>
            <w:tcW w:w="3740" w:type="dxa"/>
            <w:vAlign w:val="bottom"/>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8"/>
        </w:trPr>
        <w:tc>
          <w:tcPr>
            <w:tcW w:w="3740" w:type="dxa"/>
            <w:vAlign w:val="bottom"/>
          </w:tcPr>
          <w:p>
            <w:pPr>
              <w:spacing w:after="0"/>
              <w:rPr>
                <w:sz w:val="20"/>
                <w:szCs w:val="20"/>
                <w:color w:val="auto"/>
              </w:rPr>
            </w:pPr>
            <w:r>
              <w:rPr>
                <w:rFonts w:ascii="Arial" w:cs="Arial" w:eastAsia="Arial" w:hAnsi="Arial"/>
                <w:sz w:val="18"/>
                <w:szCs w:val="18"/>
                <w:color w:val="auto"/>
                <w:w w:val="92"/>
              </w:rPr>
              <w:t>Income (loss) before income tax expense (benefit)</w:t>
            </w:r>
          </w:p>
        </w:tc>
        <w:tc>
          <w:tcPr>
            <w:tcW w:w="160" w:type="dxa"/>
            <w:vAlign w:val="bottom"/>
            <w:gridSpan w:val="2"/>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w w:val="85"/>
              </w:rPr>
              <w:t>20.7</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gridSpan w:val="4"/>
          </w:tcPr>
          <w:p>
            <w:pPr>
              <w:jc w:val="right"/>
              <w:ind w:right="200"/>
              <w:spacing w:after="0"/>
              <w:rPr>
                <w:sz w:val="20"/>
                <w:szCs w:val="20"/>
                <w:color w:val="auto"/>
              </w:rPr>
            </w:pPr>
            <w:r>
              <w:rPr>
                <w:rFonts w:ascii="Arial" w:cs="Arial" w:eastAsia="Arial" w:hAnsi="Arial"/>
                <w:sz w:val="18"/>
                <w:szCs w:val="18"/>
                <w:color w:val="auto"/>
                <w:w w:val="80"/>
              </w:rPr>
              <w:t>(42.0)</w:t>
            </w:r>
          </w:p>
        </w:tc>
        <w:tc>
          <w:tcPr>
            <w:tcW w:w="1200" w:type="dxa"/>
            <w:vAlign w:val="bottom"/>
            <w:gridSpan w:val="5"/>
          </w:tcPr>
          <w:p>
            <w:pPr>
              <w:jc w:val="right"/>
              <w:ind w:right="540"/>
              <w:spacing w:after="0"/>
              <w:rPr>
                <w:sz w:val="20"/>
                <w:szCs w:val="20"/>
                <w:color w:val="auto"/>
              </w:rPr>
            </w:pPr>
            <w:r>
              <w:rPr>
                <w:rFonts w:ascii="Arial" w:cs="Arial" w:eastAsia="Arial" w:hAnsi="Arial"/>
                <w:sz w:val="18"/>
                <w:szCs w:val="18"/>
                <w:color w:val="auto"/>
              </w:rPr>
              <w:t>17.3</w:t>
            </w:r>
          </w:p>
        </w:tc>
        <w:tc>
          <w:tcPr>
            <w:tcW w:w="420" w:type="dxa"/>
            <w:vAlign w:val="bottom"/>
            <w:gridSpan w:val="4"/>
          </w:tcPr>
          <w:p>
            <w:pPr>
              <w:jc w:val="right"/>
              <w:ind w:right="40"/>
              <w:spacing w:after="0"/>
              <w:rPr>
                <w:sz w:val="20"/>
                <w:szCs w:val="20"/>
                <w:color w:val="auto"/>
              </w:rPr>
            </w:pPr>
            <w:r>
              <w:rPr>
                <w:rFonts w:ascii="Arial" w:cs="Arial" w:eastAsia="Arial" w:hAnsi="Arial"/>
                <w:sz w:val="18"/>
                <w:szCs w:val="18"/>
                <w:color w:val="auto"/>
                <w:w w:val="76"/>
              </w:rPr>
              <w:t>(51.9)</w:t>
            </w:r>
          </w:p>
        </w:tc>
        <w:tc>
          <w:tcPr>
            <w:tcW w:w="100" w:type="dxa"/>
            <w:vAlign w:val="bottom"/>
          </w:tcPr>
          <w:p>
            <w:pPr>
              <w:spacing w:after="0"/>
              <w:rPr>
                <w:sz w:val="24"/>
                <w:szCs w:val="24"/>
                <w:color w:val="auto"/>
              </w:rPr>
            </w:pPr>
          </w:p>
        </w:tc>
      </w:tr>
      <w:tr>
        <w:trPr>
          <w:trHeight w:val="421"/>
        </w:trPr>
        <w:tc>
          <w:tcPr>
            <w:tcW w:w="37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gridSpan w:val="2"/>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gridSpan w:val="4"/>
          </w:tcPr>
          <w:p>
            <w:pPr>
              <w:jc w:val="right"/>
              <w:ind w:right="200"/>
              <w:spacing w:after="0"/>
              <w:rPr>
                <w:sz w:val="20"/>
                <w:szCs w:val="20"/>
                <w:color w:val="auto"/>
              </w:rPr>
            </w:pPr>
            <w:r>
              <w:rPr>
                <w:rFonts w:ascii="Arial" w:cs="Arial" w:eastAsia="Arial" w:hAnsi="Arial"/>
                <w:sz w:val="18"/>
                <w:szCs w:val="18"/>
                <w:color w:val="auto"/>
              </w:rPr>
              <w:t>(0.2)</w:t>
            </w:r>
          </w:p>
        </w:tc>
        <w:tc>
          <w:tcPr>
            <w:tcW w:w="1200" w:type="dxa"/>
            <w:vAlign w:val="bottom"/>
            <w:gridSpan w:val="5"/>
          </w:tcPr>
          <w:p>
            <w:pPr>
              <w:jc w:val="right"/>
              <w:ind w:right="54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w:t>
            </w:r>
          </w:p>
        </w:tc>
        <w:tc>
          <w:tcPr>
            <w:tcW w:w="420" w:type="dxa"/>
            <w:vAlign w:val="bottom"/>
            <w:gridSpan w:val="4"/>
          </w:tcPr>
          <w:p>
            <w:pPr>
              <w:jc w:val="right"/>
              <w:ind w:right="40"/>
              <w:spacing w:after="0"/>
              <w:rPr>
                <w:sz w:val="20"/>
                <w:szCs w:val="20"/>
                <w:color w:val="auto"/>
              </w:rPr>
            </w:pPr>
            <w:r>
              <w:rPr>
                <w:rFonts w:ascii="Arial" w:cs="Arial" w:eastAsia="Arial" w:hAnsi="Arial"/>
                <w:sz w:val="18"/>
                <w:szCs w:val="18"/>
                <w:color w:val="auto"/>
                <w:w w:val="97"/>
              </w:rPr>
              <w:t>(0.1)</w:t>
            </w:r>
          </w:p>
        </w:tc>
        <w:tc>
          <w:tcPr>
            <w:tcW w:w="100" w:type="dxa"/>
            <w:vAlign w:val="bottom"/>
          </w:tcPr>
          <w:p>
            <w:pPr>
              <w:spacing w:after="0"/>
              <w:rPr>
                <w:sz w:val="24"/>
                <w:szCs w:val="24"/>
                <w:color w:val="auto"/>
              </w:rPr>
            </w:pPr>
          </w:p>
        </w:tc>
      </w:tr>
      <w:tr>
        <w:trPr>
          <w:trHeight w:val="20"/>
        </w:trPr>
        <w:tc>
          <w:tcPr>
            <w:tcW w:w="37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560" w:type="dxa"/>
            <w:vAlign w:val="bottom"/>
            <w:tcBorders>
              <w:left w:val="single" w:sz="8" w:color="auto"/>
              <w:right w:val="single" w:sz="8" w:color="auto"/>
            </w:tcBorders>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439"/>
        </w:trPr>
        <w:tc>
          <w:tcPr>
            <w:tcW w:w="3740" w:type="dxa"/>
            <w:vAlign w:val="bottom"/>
          </w:tcPr>
          <w:p>
            <w:pPr>
              <w:spacing w:after="0"/>
              <w:rPr>
                <w:sz w:val="20"/>
                <w:szCs w:val="20"/>
                <w:color w:val="auto"/>
              </w:rPr>
            </w:pPr>
            <w:r>
              <w:rPr>
                <w:rFonts w:ascii="Arial" w:cs="Arial" w:eastAsia="Arial" w:hAnsi="Arial"/>
                <w:sz w:val="18"/>
                <w:szCs w:val="18"/>
                <w:color w:val="auto"/>
              </w:rPr>
              <w:t>Net income (loss)</w:t>
            </w:r>
          </w:p>
        </w:tc>
        <w:tc>
          <w:tcPr>
            <w:tcW w:w="740" w:type="dxa"/>
            <w:vAlign w:val="bottom"/>
            <w:gridSpan w:val="6"/>
          </w:tcPr>
          <w:p>
            <w:pPr>
              <w:jc w:val="right"/>
              <w:ind w:right="80"/>
              <w:spacing w:after="0"/>
              <w:rPr>
                <w:sz w:val="20"/>
                <w:szCs w:val="20"/>
                <w:color w:val="auto"/>
              </w:rPr>
            </w:pPr>
            <w:r>
              <w:rPr>
                <w:rFonts w:ascii="Arial" w:cs="Arial" w:eastAsia="Arial" w:hAnsi="Arial"/>
                <w:sz w:val="18"/>
                <w:szCs w:val="18"/>
                <w:color w:val="auto"/>
              </w:rPr>
              <w:t>20.</w:t>
            </w:r>
            <w:r>
              <w:rPr>
                <w:rFonts w:ascii="Arial" w:cs="Arial" w:eastAsia="Arial" w:hAnsi="Arial"/>
                <w:sz w:val="18"/>
                <w:szCs w:val="18"/>
                <w:u w:val="single" w:color="auto"/>
                <w:color w:val="auto"/>
              </w:rPr>
              <w:t>7</w:t>
            </w:r>
            <w:r>
              <w:rPr>
                <w:rFonts w:ascii="Arial" w:cs="Arial" w:eastAsia="Arial" w:hAnsi="Arial"/>
                <w:sz w:val="18"/>
                <w:szCs w:val="18"/>
                <w:color w:val="auto"/>
              </w:rPr>
              <w:t xml:space="preserve"> %</w:t>
            </w:r>
          </w:p>
        </w:tc>
        <w:tc>
          <w:tcPr>
            <w:tcW w:w="880" w:type="dxa"/>
            <w:vAlign w:val="bottom"/>
            <w:gridSpan w:val="5"/>
          </w:tcPr>
          <w:p>
            <w:pPr>
              <w:jc w:val="right"/>
              <w:ind w:right="60"/>
              <w:spacing w:after="0"/>
              <w:rPr>
                <w:sz w:val="20"/>
                <w:szCs w:val="20"/>
                <w:color w:val="auto"/>
              </w:rPr>
            </w:pPr>
            <w:r>
              <w:rPr>
                <w:rFonts w:ascii="Arial" w:cs="Arial" w:eastAsia="Arial" w:hAnsi="Arial"/>
                <w:sz w:val="18"/>
                <w:szCs w:val="18"/>
                <w:color w:val="auto"/>
              </w:rPr>
              <w:t>(41.8)%</w:t>
            </w:r>
          </w:p>
        </w:tc>
        <w:tc>
          <w:tcPr>
            <w:tcW w:w="1200" w:type="dxa"/>
            <w:vAlign w:val="bottom"/>
            <w:gridSpan w:val="5"/>
          </w:tcPr>
          <w:p>
            <w:pPr>
              <w:jc w:val="right"/>
              <w:ind w:right="380"/>
              <w:spacing w:after="0"/>
              <w:rPr>
                <w:sz w:val="20"/>
                <w:szCs w:val="20"/>
                <w:color w:val="auto"/>
              </w:rPr>
            </w:pPr>
            <w:r>
              <w:rPr>
                <w:rFonts w:ascii="Arial" w:cs="Arial" w:eastAsia="Arial" w:hAnsi="Arial"/>
                <w:sz w:val="18"/>
                <w:szCs w:val="18"/>
                <w:color w:val="auto"/>
              </w:rPr>
              <w:t>17.</w:t>
            </w:r>
            <w:r>
              <w:rPr>
                <w:rFonts w:ascii="Arial" w:cs="Arial" w:eastAsia="Arial" w:hAnsi="Arial"/>
                <w:sz w:val="18"/>
                <w:szCs w:val="18"/>
                <w:u w:val="single" w:color="auto"/>
                <w:color w:val="auto"/>
              </w:rPr>
              <w:t>3</w:t>
            </w:r>
            <w:r>
              <w:rPr>
                <w:rFonts w:ascii="Arial" w:cs="Arial" w:eastAsia="Arial" w:hAnsi="Arial"/>
                <w:sz w:val="18"/>
                <w:szCs w:val="18"/>
                <w:color w:val="auto"/>
              </w:rPr>
              <w:t xml:space="preserve"> %</w:t>
            </w:r>
          </w:p>
        </w:tc>
        <w:tc>
          <w:tcPr>
            <w:tcW w:w="520" w:type="dxa"/>
            <w:vAlign w:val="bottom"/>
            <w:gridSpan w:val="5"/>
          </w:tcPr>
          <w:p>
            <w:pPr>
              <w:jc w:val="right"/>
              <w:spacing w:after="0"/>
              <w:rPr>
                <w:sz w:val="20"/>
                <w:szCs w:val="20"/>
                <w:color w:val="auto"/>
              </w:rPr>
            </w:pPr>
            <w:r>
              <w:rPr>
                <w:rFonts w:ascii="Arial" w:cs="Arial" w:eastAsia="Arial" w:hAnsi="Arial"/>
                <w:sz w:val="18"/>
                <w:szCs w:val="18"/>
                <w:color w:val="auto"/>
                <w:w w:val="79"/>
              </w:rPr>
              <w:t>(51.8)%</w:t>
            </w: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Quarter Ended June 30, 2010 Compared to Quarter Ended June 30, 2009</w:t>
      </w:r>
    </w:p>
    <w:p>
      <w:pPr>
        <w:spacing w:after="0" w:line="225" w:lineRule="exact"/>
        <w:rPr>
          <w:sz w:val="20"/>
          <w:szCs w:val="20"/>
          <w:color w:val="auto"/>
        </w:rPr>
      </w:pPr>
    </w:p>
    <w:p>
      <w:pPr>
        <w:ind w:left="540" w:right="120"/>
        <w:spacing w:after="0" w:line="294"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Net revenues were $15.3 million for the quarter ended June 30, 2010 compared to $4.7 million for the same period in 2009,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$10.6 million or 227%. Net revenues (net of intersegment sales) of our Mechanical, Thermal and Electrical Product segments increased $6.0 million or 344%, $2.0 million or 74% and $2.6 million or 1280%, respectively, compared to the same period in 2009. We believe the significant increase in our net revenues during the second quarter of 2010 primarily reflects the increased level of demand in the ATE industry in the second quarter of 2010 as compared to the same period in 2009, as previously discussed in the Overview.</w:t>
      </w:r>
    </w:p>
    <w:p>
      <w:pPr>
        <w:sectPr>
          <w:pgSz w:w="11900" w:h="16838" w:orient="portrait"/>
          <w:cols w:equalWidth="0" w:num="1">
            <w:col w:w="11400"/>
          </w:cols>
          <w:pgMar w:left="240" w:top="131" w:right="259" w:bottom="0" w:gutter="0" w:footer="0" w:header="0"/>
        </w:sectPr>
      </w:pPr>
    </w:p>
    <w:bookmarkStart w:id="18" w:name="page19"/>
    <w:bookmarkEnd w:id="18"/>
    <w:p>
      <w:pPr>
        <w:spacing w:after="0" w:line="12"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During the second quarter of 2010, our net revenues from customers in the U.S., Europe and Asia increased 278%, 46% and 10%, respectively, compared to the same period in 2009. Adjusted to eliminate the impact of changes in foreign currency exchange rates, the increase in net revenues from customers in Europe and Asia would have been 59% and 10%, respectively. The lower percentage increase for our customers in Europe and Asia primarily reflects that these operations are part of our Thermal Products segment which, to date, has not experienced as significant an increase in demand as has been experienced in our other two product segments. As previously discussed in the Overview, our Thermal Products segment typically lags our other two product segments in experiencing both increased and decreased levels of demand in the ATE industry and has only recently begun to see a more significant increase in the level of its orders. Another factor causing these lower growth rates is our Thermal Products segment's diversifi cation of revenues outside of the ATE industry and that the recent growth in demand in the ATE industry has been greater than the overall growth rate of the global economy. For our customers in Asia, the lower percentage increase also reflects our decision to cease manufacturing our Mechanical Products in Singapore and our decision to close our operation in Japan, both of which we announced during the second quarter of 2009. Sales of Mechanical Products that would have been made by these operations are now handled by our operation in Cherry Hill, New Jersey and are included in our net revenues from U.S. customers in 2010.</w:t>
      </w:r>
    </w:p>
    <w:p>
      <w:pPr>
        <w:spacing w:after="0" w:line="178" w:lineRule="exact"/>
        <w:rPr>
          <w:sz w:val="20"/>
          <w:szCs w:val="20"/>
          <w:color w:val="auto"/>
        </w:rPr>
      </w:pPr>
    </w:p>
    <w:p>
      <w:pPr>
        <w:ind w:left="540" w:right="40"/>
        <w:spacing w:after="0" w:line="285"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was 48% for the second quarter of 2010 compared to 30% for the same period in 2009. The improvement in gross margin is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the result of a decrease in our fixed operating costs as a percentage of net revenues. Although in absolute dollar terms, our fixed operating costs increased $257,000 during the second quarter of 2010 as compared to the same period in 2009, these costs represented only 11% of net revenues in the second quarter of 2010 compared to 30% of net revenues in the second quarter of 2009. The significant decrease as a percentage of net revenues reflects that these costs were more fully absorbed by the much higher net revenue levels in the second quarter of 2010. The increase in the absolute dollar value of these costs primarily reflects increased salary and benefits expense due to the reinstatement during 2010 of certain salaries and benefits which had been temporarily reduced during 2009 as a part of our cost containment initiatives. Similar to our fixed oper ating costs, our direct labor costs increased $213,000 in absolute dollar terms, primarily reflecting the hiring of additional staff as well as an increase in overtime resulting from the significant increase in our production levels. However, these costs decreased slightly as a percentage of net revenues during the second quarter of 2010 as compared to the same period in 2009 as they were more fully absorbed by the higher net revenue levels in the second quarter of 2010. Our charges for obsolete and excess inventory decreased $75,000 in absolute dollar terms. As a percentage of net revenues these charges decreased from 6% during the second quarter of 2009 to 1% during the same period in 2010, primarily as a result of the significant increase in net revenue levels during this time period. The decrease as a percentage of net revenues in our fixed operating costs, direct labor and charges for obsolete and excess inventory were partially offset by an increase in our component material costs as a percentage of ne t revenues, reflecting changes in product and customer mix.</w:t>
      </w:r>
    </w:p>
    <w:p>
      <w:pPr>
        <w:spacing w:after="0" w:line="182" w:lineRule="exact"/>
        <w:rPr>
          <w:sz w:val="20"/>
          <w:szCs w:val="20"/>
          <w:color w:val="auto"/>
        </w:rPr>
      </w:pPr>
    </w:p>
    <w:p>
      <w:pPr>
        <w:jc w:val="both"/>
        <w:ind w:left="540" w:right="320"/>
        <w:spacing w:after="0" w:line="259" w:lineRule="auto"/>
        <w:rPr>
          <w:sz w:val="20"/>
          <w:szCs w:val="20"/>
          <w:color w:val="auto"/>
        </w:rPr>
      </w:pPr>
      <w:r>
        <w:rPr>
          <w:rFonts w:ascii="Arial" w:cs="Arial" w:eastAsia="Arial" w:hAnsi="Arial"/>
          <w:sz w:val="18"/>
          <w:szCs w:val="18"/>
          <w:i w:val="1"/>
          <w:iCs w:val="1"/>
          <w:color w:val="auto"/>
        </w:rPr>
        <w:t xml:space="preserve">Selling Expense. </w:t>
      </w:r>
      <w:r>
        <w:rPr>
          <w:rFonts w:ascii="Arial" w:cs="Arial" w:eastAsia="Arial" w:hAnsi="Arial"/>
          <w:sz w:val="18"/>
          <w:szCs w:val="18"/>
          <w:color w:val="auto"/>
        </w:rPr>
        <w:t>Selling expense was $1.8 million for the second quarter of 2010 compared to $1.0 million for the same period in 2009,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$718,000 or 69%. The increase in selling expense primarily reflects higher levels of commissions as a result of the significant increase in net revenues experienced in the second quarter of 2010 as compared to the second quarter of 2009.</w:t>
      </w:r>
    </w:p>
    <w:p>
      <w:pPr>
        <w:spacing w:after="0" w:line="194" w:lineRule="exact"/>
        <w:rPr>
          <w:sz w:val="20"/>
          <w:szCs w:val="20"/>
          <w:color w:val="auto"/>
        </w:rPr>
      </w:pPr>
    </w:p>
    <w:p>
      <w:pPr>
        <w:ind w:left="540" w:right="20"/>
        <w:spacing w:after="0" w:line="306" w:lineRule="auto"/>
        <w:rPr>
          <w:sz w:val="20"/>
          <w:szCs w:val="20"/>
          <w:color w:val="auto"/>
        </w:rPr>
      </w:pPr>
      <w:r>
        <w:rPr>
          <w:rFonts w:ascii="Arial" w:cs="Arial" w:eastAsia="Arial" w:hAnsi="Arial"/>
          <w:sz w:val="16"/>
          <w:szCs w:val="16"/>
          <w:i w:val="1"/>
          <w:iCs w:val="1"/>
          <w:color w:val="auto"/>
        </w:rPr>
        <w:t xml:space="preserve">Engineering and Product Development Expense. </w:t>
      </w:r>
      <w:r>
        <w:rPr>
          <w:rFonts w:ascii="Arial" w:cs="Arial" w:eastAsia="Arial" w:hAnsi="Arial"/>
          <w:sz w:val="16"/>
          <w:szCs w:val="16"/>
          <w:color w:val="auto"/>
        </w:rPr>
        <w:t>Engineering and product development expense was $787,000 for the second quarter of 2010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$576,000 for the same period in 2009, an increase of $211,000 or 37%. The increase in engineering and product development expense primarily reflects higher salaries and benefits expense as a result of the aforementioned reinstatement of certain salaries and benefits during 2010.</w:t>
      </w:r>
    </w:p>
    <w:p>
      <w:pPr>
        <w:spacing w:after="0" w:line="161" w:lineRule="exact"/>
        <w:rPr>
          <w:sz w:val="20"/>
          <w:szCs w:val="20"/>
          <w:color w:val="auto"/>
        </w:rPr>
      </w:pPr>
    </w:p>
    <w:p>
      <w:pPr>
        <w:ind w:left="540" w:right="240"/>
        <w:spacing w:after="0" w:line="259"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General and administrative expense was $1.7 million for the second quarter of 2010 compared to $1.4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2009, an increase of $279,000 or 20%. This increase primarily reflects the accrual of profit related bonuses on our results for the second quarter of 2010.</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ind w:left="540" w:right="320"/>
        <w:spacing w:after="0" w:line="306" w:lineRule="auto"/>
        <w:rPr>
          <w:sz w:val="20"/>
          <w:szCs w:val="20"/>
          <w:color w:val="auto"/>
        </w:rPr>
      </w:pPr>
      <w:r>
        <w:rPr>
          <w:rFonts w:ascii="Arial" w:cs="Arial" w:eastAsia="Arial" w:hAnsi="Arial"/>
          <w:sz w:val="16"/>
          <w:szCs w:val="16"/>
          <w:i w:val="1"/>
          <w:iCs w:val="1"/>
          <w:color w:val="auto"/>
        </w:rPr>
        <w:t xml:space="preserve">Restructuring and Other Charges. </w:t>
      </w:r>
      <w:r>
        <w:rPr>
          <w:rFonts w:ascii="Arial" w:cs="Arial" w:eastAsia="Arial" w:hAnsi="Arial"/>
          <w:sz w:val="16"/>
          <w:szCs w:val="16"/>
          <w:color w:val="auto"/>
        </w:rPr>
        <w:t>There were no restructuring and other charges for the second quarter of 2010. Restructuring and other charges were</w:t>
      </w:r>
      <w:r>
        <w:rPr>
          <w:rFonts w:ascii="Arial" w:cs="Arial" w:eastAsia="Arial" w:hAnsi="Arial"/>
          <w:sz w:val="16"/>
          <w:szCs w:val="16"/>
          <w:i w:val="1"/>
          <w:iCs w:val="1"/>
          <w:color w:val="auto"/>
        </w:rPr>
        <w:t xml:space="preserve"> </w:t>
      </w:r>
      <w:r>
        <w:rPr>
          <w:rFonts w:ascii="Arial" w:cs="Arial" w:eastAsia="Arial" w:hAnsi="Arial"/>
          <w:sz w:val="16"/>
          <w:szCs w:val="16"/>
          <w:color w:val="auto"/>
        </w:rPr>
        <w:t>$269,000 for the second quarter of 2009. The charges incurred during the second quarter of 2009 represent one-time termination benefits related to workforce reductions that were part of our business restructuring initiatives implemented during 2009.</w:t>
      </w:r>
    </w:p>
    <w:p>
      <w:pPr>
        <w:spacing w:after="0" w:line="161"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expense was $8,000 for the second quarter of 2010 compared to other expense of $121,000 for the second quarter of 2009,</w:t>
      </w:r>
      <w:r>
        <w:rPr>
          <w:rFonts w:ascii="Arial" w:cs="Arial" w:eastAsia="Arial" w:hAnsi="Arial"/>
          <w:sz w:val="18"/>
          <w:szCs w:val="18"/>
          <w:i w:val="1"/>
          <w:iCs w:val="1"/>
          <w:color w:val="auto"/>
        </w:rPr>
        <w:t xml:space="preserve"> </w:t>
      </w:r>
      <w:r>
        <w:rPr>
          <w:rFonts w:ascii="Arial" w:cs="Arial" w:eastAsia="Arial" w:hAnsi="Arial"/>
          <w:sz w:val="18"/>
          <w:szCs w:val="18"/>
          <w:color w:val="auto"/>
        </w:rPr>
        <w:t>a decrease of $113,000. The decrease primarily represents a decrease in foreign currency losses.</w:t>
      </w:r>
    </w:p>
    <w:p>
      <w:pPr>
        <w:spacing w:after="0" w:line="186" w:lineRule="exact"/>
        <w:rPr>
          <w:sz w:val="20"/>
          <w:szCs w:val="20"/>
          <w:color w:val="auto"/>
        </w:rPr>
      </w:pPr>
    </w:p>
    <w:p>
      <w:pPr>
        <w:ind w:left="540" w:right="80"/>
        <w:spacing w:after="0" w:line="294"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the quarter ended June 30, 2010, we recorded an income tax benefit of $2,000 compared to an income tax benefit of $8,000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same period in 2009. On a quarterly basis, we record income tax expense or benefit based on the expected annualized effective tax rate for the various taxing jurisdictions in which we operate our businesses. Due to our history of operating losses in both our domestic and certain of our foreign operations, we have recorded a full valuation allowance against the deferred tax assets of these operations, including net operating loss carryforwards, where we believe it is more likely than not that we will not have sufficient taxable income to utilize these assets before they expire.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Six Months Ended June 30, 2010 Compared to Six Months Ended June 30, 2009</w:t>
      </w:r>
    </w:p>
    <w:p>
      <w:pPr>
        <w:spacing w:after="0" w:line="225"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were $24.8 million for the six months ended June 30, 2010 compared to $9.1 million for the same period in 2009,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$15.7 million or 173%. Net revenues (net of intersegment sales) of our Mechanical, Thermal and Electrical Products segments increased $10.2 million or 444%, $2.1 million or 34% and $3.4 million or 571%, respectively. We believe the significant increase in our net revenues during the first six months of 2010 primarily reflects the increased level of demand in the ATE industry in the first half of 2010 as compared to the same period in 2009, as previously discussed in the Overview.</w:t>
      </w:r>
    </w:p>
    <w:p>
      <w:pPr>
        <w:spacing w:after="0" w:line="197" w:lineRule="exact"/>
        <w:rPr>
          <w:sz w:val="20"/>
          <w:szCs w:val="20"/>
          <w:color w:val="auto"/>
        </w:rPr>
      </w:pPr>
    </w:p>
    <w:p>
      <w:pPr>
        <w:ind w:left="540" w:right="20"/>
        <w:spacing w:after="0" w:line="288" w:lineRule="auto"/>
        <w:rPr>
          <w:sz w:val="20"/>
          <w:szCs w:val="20"/>
          <w:color w:val="auto"/>
        </w:rPr>
      </w:pPr>
      <w:r>
        <w:rPr>
          <w:rFonts w:ascii="Arial" w:cs="Arial" w:eastAsia="Arial" w:hAnsi="Arial"/>
          <w:sz w:val="16"/>
          <w:szCs w:val="16"/>
          <w:color w:val="auto"/>
        </w:rPr>
        <w:t>During the first six months of 2010, our net revenues from customers in the U.S. and Europe increased 223% and 2%, respectively, while our net revenues from customers in Asia decreased 11% compared to the same period in 2009. Adjusted to eliminate the impact of changes in foreign currency exchange rates, the increase in net revenues from customers in Europe would have been 3% and the decrease from our customers in Asia would have been unchanged. The lower percentage increase for our customers in Europe primarily reflects that this operation is part of our Thermal Products segment which, to date, has not experienced as significant an increase in demand as has been experienced in our other two product segments, as previously discussed. For our customers in Asia, the decrease reflects both the aforementioned lower demand experienced for our Thermal products as compared to our other two product segments as well as our decision to cease manufacturing our Mechanical Products in Singapore and our decision to close our operation in Japan, both of which we announced during the second quarter of 2009. Sales of Mechanical Products that would have been made by these operations are now handled by our operation in Cherry Hill, New Jersey and are included in our net revenues from U.S. customers in 2010.</w:t>
      </w:r>
    </w:p>
    <w:p>
      <w:pPr>
        <w:sectPr>
          <w:pgSz w:w="11900" w:h="16850" w:orient="portrait"/>
          <w:cols w:equalWidth="0" w:num="1">
            <w:col w:w="11420"/>
          </w:cols>
          <w:pgMar w:left="240" w:top="131" w:right="239" w:bottom="0" w:gutter="0" w:footer="0" w:header="0"/>
        </w:sectPr>
      </w:pPr>
    </w:p>
    <w:bookmarkStart w:id="19" w:name="page20"/>
    <w:bookmarkEnd w:id="19"/>
    <w:p>
      <w:pPr>
        <w:ind w:left="540" w:right="40"/>
        <w:spacing w:after="0" w:line="306" w:lineRule="auto"/>
        <w:rPr>
          <w:sz w:val="20"/>
          <w:szCs w:val="20"/>
          <w:color w:val="auto"/>
        </w:rPr>
      </w:pPr>
      <w:r>
        <w:rPr>
          <w:rFonts w:ascii="Arial" w:cs="Arial" w:eastAsia="Arial" w:hAnsi="Arial"/>
          <w:sz w:val="15"/>
          <w:szCs w:val="15"/>
          <w:i w:val="1"/>
          <w:iCs w:val="1"/>
          <w:color w:val="auto"/>
        </w:rPr>
        <w:t xml:space="preserve">Gross Margin. </w:t>
      </w:r>
      <w:r>
        <w:rPr>
          <w:rFonts w:ascii="Arial" w:cs="Arial" w:eastAsia="Arial" w:hAnsi="Arial"/>
          <w:sz w:val="15"/>
          <w:szCs w:val="15"/>
          <w:color w:val="auto"/>
        </w:rPr>
        <w:t>Gross margin was 48% for the six months ended June 30, 2010 compared to 25% for the same period in 2009. The improvement in gross</w:t>
      </w:r>
      <w:r>
        <w:rPr>
          <w:rFonts w:ascii="Arial" w:cs="Arial" w:eastAsia="Arial" w:hAnsi="Arial"/>
          <w:sz w:val="15"/>
          <w:szCs w:val="15"/>
          <w:i w:val="1"/>
          <w:iCs w:val="1"/>
          <w:color w:val="auto"/>
        </w:rPr>
        <w:t xml:space="preserve"> </w:t>
      </w:r>
      <w:r>
        <w:rPr>
          <w:rFonts w:ascii="Arial" w:cs="Arial" w:eastAsia="Arial" w:hAnsi="Arial"/>
          <w:sz w:val="15"/>
          <w:szCs w:val="15"/>
          <w:color w:val="auto"/>
        </w:rPr>
        <w:t>margin is primarily the result of a decrease in our fixed operating costs as a percentage of net revenues. Although in absolute dollar terms, our fixed operating costs were relatively unchanged during the first six months of 2010 as compared to the same period in 2009, these costs represented only 13% of net revenues during the first six months of 2010 compared to 34% of net revenues during the same period in 2009. The significant decrease as a percentage of net revenues reflects that these costs were more fully absorbed by the much higher net revenue levels in the first six months of 2010. To a lesser extent, both our charges for obsolete and excess inventory and our direct labor costs decreased as a percentage of net revenues during the first half of 2010 as compared to the same period in 2009. Our charges for obsolete and excess inventory decreased $283,000 in absolute dollar terms, and declined from 7% of net revenues for the first six months of 2009 to 1% of net revenues for the comparable period in 2010. The $283,000 reduction in these charges primarily reflects that more items were falling into our objective criteria and being written off during the first half of 2009 when our volume of sales was significantly lower as compared to the same period in 2010. Although our direct labor costs decreased from 5% of net revenues for the first six months of 2009 to 3% of net revenues for the comparable period in 2010 as a result of the higher net revenue levels, the absolute dollar amount of these costs increased $174,000 primarily reflecting the hiring of additional staff as well as an increase in overtime resulting from the significant increase in our production levels. The decrease as a percentage of net revenues in our fixed operating costs, charges for obsolete and excess inventory and direct labor were partially offset by an increase in our component material cos ts as a percentage of net revenues, reflecting changes in product and customer mix.</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ind w:left="540" w:right="180"/>
        <w:spacing w:after="0" w:line="306" w:lineRule="auto"/>
        <w:rPr>
          <w:sz w:val="20"/>
          <w:szCs w:val="20"/>
          <w:color w:val="auto"/>
        </w:rPr>
      </w:pPr>
      <w:r>
        <w:rPr>
          <w:rFonts w:ascii="Arial" w:cs="Arial" w:eastAsia="Arial" w:hAnsi="Arial"/>
          <w:sz w:val="16"/>
          <w:szCs w:val="16"/>
          <w:i w:val="1"/>
          <w:iCs w:val="1"/>
          <w:color w:val="auto"/>
        </w:rPr>
        <w:t xml:space="preserve">Selling Expense. </w:t>
      </w:r>
      <w:r>
        <w:rPr>
          <w:rFonts w:ascii="Arial" w:cs="Arial" w:eastAsia="Arial" w:hAnsi="Arial"/>
          <w:sz w:val="16"/>
          <w:szCs w:val="16"/>
          <w:color w:val="auto"/>
        </w:rPr>
        <w:t>Selling expense was $3.0 million for the six months ended June 30, 2010 compared to $2.2 million for the same period in 2009,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$810,000 or 37%. The increase in selling expense primarily reflects higher levels of commissions as a result of the significant increase in net revenues experienced in the first six months of 2010 as compared to the first six months of 2009.</w:t>
      </w:r>
    </w:p>
    <w:p>
      <w:pPr>
        <w:spacing w:after="0" w:line="161" w:lineRule="exact"/>
        <w:rPr>
          <w:sz w:val="20"/>
          <w:szCs w:val="20"/>
          <w:color w:val="auto"/>
        </w:rPr>
      </w:pPr>
    </w:p>
    <w:p>
      <w:pPr>
        <w:ind w:left="540" w:right="80"/>
        <w:spacing w:after="0" w:line="298" w:lineRule="auto"/>
        <w:rPr>
          <w:sz w:val="20"/>
          <w:szCs w:val="20"/>
          <w:color w:val="auto"/>
        </w:rPr>
      </w:pPr>
      <w:r>
        <w:rPr>
          <w:rFonts w:ascii="Arial" w:cs="Arial" w:eastAsia="Arial" w:hAnsi="Arial"/>
          <w:sz w:val="16"/>
          <w:szCs w:val="16"/>
          <w:i w:val="1"/>
          <w:iCs w:val="1"/>
          <w:color w:val="auto"/>
        </w:rPr>
        <w:t xml:space="preserve">Engineering and Product Development Expense. </w:t>
      </w:r>
      <w:r>
        <w:rPr>
          <w:rFonts w:ascii="Arial" w:cs="Arial" w:eastAsia="Arial" w:hAnsi="Arial"/>
          <w:sz w:val="16"/>
          <w:szCs w:val="16"/>
          <w:color w:val="auto"/>
        </w:rPr>
        <w:t>Engineering and product development expense was $1.5 million for the six months ended June 30, 2010</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$1.3 million for the same period in 2009, an increase of $155,000 or 12%. The increase in engineering and product development expense primarily reflects higher salaries and benefits expense as a result of the aforementioned reinstatement of certain salaries and benefits during 2010. To a lesser extent, there were also increases in spending on research and development materials and patent legal costs.</w:t>
      </w:r>
    </w:p>
    <w:p>
      <w:pPr>
        <w:spacing w:after="0" w:line="167"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was $3.1 million in each of the six months ended June 30, 2010 and 2009.</w:t>
      </w:r>
      <w:r>
        <w:rPr>
          <w:rFonts w:ascii="Arial" w:cs="Arial" w:eastAsia="Arial" w:hAnsi="Arial"/>
          <w:sz w:val="16"/>
          <w:szCs w:val="16"/>
          <w:i w:val="1"/>
          <w:iCs w:val="1"/>
          <w:color w:val="auto"/>
        </w:rPr>
        <w:t xml:space="preserve"> </w:t>
      </w:r>
      <w:r>
        <w:rPr>
          <w:rFonts w:ascii="Arial" w:cs="Arial" w:eastAsia="Arial" w:hAnsi="Arial"/>
          <w:sz w:val="16"/>
          <w:szCs w:val="16"/>
          <w:color w:val="auto"/>
        </w:rPr>
        <w:t>Lower salary and benefits expense and a reduction in professional fees were offset by the accrual of profit related bonuses on our results for the first six months of 2010. The decrease in salary and benefits expense primarily reflects lower headcount as a result both of the closure of our Japanese operation as well as the reduction in our operations in Singapore where we made the decision to cease manufacturing of our Mechanical products during the second quarter of 2009. The reduction in professional fees primarily reflects lower accruals for third-party professionals who assist us with our compliance efforts. As a result of recent changes to federal legislation, we are no longer required to have our independent registered public accounting firm ("IRPA") provide us with their opinion on our internal control structure. Prior to this recent change in legislati on, we would have been required to obtain this opinion for the first time in 2010. This opinion would have required that an integrated audit be performed by our IRPA.</w:t>
      </w:r>
    </w:p>
    <w:p>
      <w:pPr>
        <w:spacing w:after="0" w:line="172" w:lineRule="exact"/>
        <w:rPr>
          <w:sz w:val="20"/>
          <w:szCs w:val="20"/>
          <w:color w:val="auto"/>
        </w:rPr>
      </w:pPr>
    </w:p>
    <w:p>
      <w:pPr>
        <w:jc w:val="both"/>
        <w:ind w:left="540" w:right="40"/>
        <w:spacing w:after="0" w:line="306" w:lineRule="auto"/>
        <w:rPr>
          <w:sz w:val="20"/>
          <w:szCs w:val="20"/>
          <w:color w:val="auto"/>
        </w:rPr>
      </w:pPr>
      <w:r>
        <w:rPr>
          <w:rFonts w:ascii="Arial" w:cs="Arial" w:eastAsia="Arial" w:hAnsi="Arial"/>
          <w:sz w:val="16"/>
          <w:szCs w:val="16"/>
          <w:i w:val="1"/>
          <w:iCs w:val="1"/>
          <w:color w:val="auto"/>
        </w:rPr>
        <w:t xml:space="preserve">Restructuring and Other Charges. </w:t>
      </w:r>
      <w:r>
        <w:rPr>
          <w:rFonts w:ascii="Arial" w:cs="Arial" w:eastAsia="Arial" w:hAnsi="Arial"/>
          <w:sz w:val="16"/>
          <w:szCs w:val="16"/>
          <w:color w:val="auto"/>
        </w:rPr>
        <w:t>There were no restructuring and other charges for the six months ended June 30, 2010. Restructuring and other charges</w:t>
      </w:r>
      <w:r>
        <w:rPr>
          <w:rFonts w:ascii="Arial" w:cs="Arial" w:eastAsia="Arial" w:hAnsi="Arial"/>
          <w:sz w:val="16"/>
          <w:szCs w:val="16"/>
          <w:i w:val="1"/>
          <w:iCs w:val="1"/>
          <w:color w:val="auto"/>
        </w:rPr>
        <w:t xml:space="preserve"> </w:t>
      </w:r>
      <w:r>
        <w:rPr>
          <w:rFonts w:ascii="Arial" w:cs="Arial" w:eastAsia="Arial" w:hAnsi="Arial"/>
          <w:sz w:val="16"/>
          <w:szCs w:val="16"/>
          <w:color w:val="auto"/>
        </w:rPr>
        <w:t>were $329,000 for the first six months of 2009. The charges incurred during the first six months of 2009 represent one-time termination benefits related to workforce reductions that were part of our business restructuring initiatives implemented during 2009.</w:t>
      </w:r>
    </w:p>
    <w:p>
      <w:pPr>
        <w:spacing w:after="0" w:line="161" w:lineRule="exact"/>
        <w:rPr>
          <w:sz w:val="20"/>
          <w:szCs w:val="20"/>
          <w:color w:val="auto"/>
        </w:rPr>
      </w:pPr>
    </w:p>
    <w:p>
      <w:pPr>
        <w:ind w:left="540" w:right="60"/>
        <w:spacing w:after="0" w:line="259"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expense was $19,000 for the six months ended June 30, 2010 compared to other expense of $40,000 for the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2009, a decrease of $21,000. The decrease primarily represents a decrease in foreign currency losses which was partially offset by a reduction in interest income as a result of lower average cash balances.</w:t>
      </w:r>
    </w:p>
    <w:p>
      <w:pPr>
        <w:spacing w:after="0" w:line="194"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the six months ended June 30, 2010, we recorded income tax expense of $1,000 compared to an income tax benefit of $7,000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same period in 2009. On a quarterly basis, we record income tax expense or benefit based on the expected annualized effective tax rate for the various taxing jurisdictions in which we operate our businesses. Due to our history of operating losses in both our domestic and certain of our foreign operations, we have recorded a full valuation allowance against the deferred tax assets of these operations, including net operating loss carryforwards, where we believe it is more likely than not that we will not have sufficient taxable income to utilize these assets before they expire.</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31"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Net cash provided by operations for the six months ended June 30, 2010 was $623,000 compared to net cash used in operations of $2.3 million for the same period in 2009. The shift from net cash used in operations to net cash provided by operations primarily reflects our net earnings of $4.3 million for the first six months of 2010 as compared to our net loss of $4.7 million for the first six months of 2009. During the first six months of 2010, trade accounts receivable increased $5.3 million, accrued commissions increased $476,000 and accounts payable increased $321,000, all of which reflect the significant increase in the level of business during the first six months of 2010. Accrued wages and benefits increased $647,000 during the first six months of 2010 which primarily reflects the accrual of profit based bonuses on our results for the first half of 2010, and, to a lesser extent, the restoration of certain salaries and benefits that had been temporarily reduced or eliminated as a part of our cost containm ent efforts during 2008 and 2009. Restricted certificates of deposit increased $250,000 reflecting the purchase of a certificate of deposit which is pledged to support a letter of credit that was issued effective April 1, 2010 in the face amount of $250,000. This letter of credit serves as the security deposit for a lease we have entered into for a facility in Mount Laurel, New Jersey. Our Mechanical Products segment operation and corporate headquarters which is currently located in Cherry Hill, New Jersey will relocate to this smaller facility in the fourth quarter of 2010.</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ectPr>
          <w:pgSz w:w="11900" w:h="16838" w:orient="portrait"/>
          <w:cols w:equalWidth="0" w:num="1">
            <w:col w:w="11420"/>
          </w:cols>
          <w:pgMar w:left="240" w:top="347" w:right="239" w:bottom="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r>
        <w:rPr>
          <w:rFonts w:ascii="Arial" w:cs="Arial" w:eastAsia="Arial" w:hAnsi="Arial"/>
          <w:sz w:val="16"/>
          <w:szCs w:val="16"/>
          <w:color w:val="auto"/>
        </w:rPr>
        <w:t>. (Continued)</w:t>
      </w:r>
    </w:p>
    <w:p>
      <w:pPr>
        <w:sectPr>
          <w:pgSz w:w="11900" w:h="16838" w:orient="portrait"/>
          <w:cols w:equalWidth="0" w:num="1">
            <w:col w:w="11420"/>
          </w:cols>
          <w:pgMar w:left="240" w:top="347" w:right="239" w:bottom="0" w:gutter="0" w:footer="0" w:header="0"/>
          <w:type w:val="continuous"/>
        </w:sectPr>
      </w:pPr>
    </w:p>
    <w:bookmarkStart w:id="20" w:name="page21"/>
    <w:bookmarkEnd w:id="20"/>
    <w:p>
      <w:pPr>
        <w:ind w:left="540" w:right="60"/>
        <w:spacing w:after="0" w:line="289" w:lineRule="auto"/>
        <w:rPr>
          <w:sz w:val="20"/>
          <w:szCs w:val="20"/>
          <w:color w:val="auto"/>
        </w:rPr>
      </w:pPr>
      <w:r>
        <w:rPr>
          <w:rFonts w:ascii="Arial" w:cs="Arial" w:eastAsia="Arial" w:hAnsi="Arial"/>
          <w:sz w:val="16"/>
          <w:szCs w:val="16"/>
          <w:color w:val="auto"/>
        </w:rPr>
        <w:t>Purchases of property and equipment were $75,000 for the six months ended June 30, 2010. We have no significant commitments for capital expenditures for the balance of 2010, however, depending upon changes in market demand, we may make such purchases as we deem necessary and appropriate. As previously mentioned, we will be relocating the Mechanical Product segment operations and corporate staff currently occupying our Cherry Hill, New Jersey facility into a smaller facility located in Mount Laurel, New Jersey during the fourth quarter of 2010. We are currently in the process of obtaining proposals for the various costs associated with this move and do not yet have a complete estimate of the total capital expenditures that we will incur to complete this move. The landlord for the new Mount Laurel facility will be providing the majority of the tenant improvement dollars for this facility, which we will amortize over the life of the lease as deferred rental expense. We expect to reduce our annual operating e xpenses by approximately $250,000 per year as a result of the relocation of our Cherry Hill operation to Mount Laurel.</w:t>
      </w:r>
    </w:p>
    <w:p>
      <w:pPr>
        <w:spacing w:after="0" w:line="172"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We have a secured credit facility that provides for maximum borrowings of $250,000. We have not used this credit facility to borrow any funds. Our usage consists of the issuance of letters of credit in the face amount of $250,000. This facility is secured by pledged certificates of deposit totaling $250,000. We pay a quarterly fee of 1.5% per annum on the total amount of the outstanding letters of credit. This credit facility expires on September 30, 2010. We expect to renew it for an additional year.</w:t>
      </w:r>
    </w:p>
    <w:p>
      <w:pPr>
        <w:spacing w:after="0" w:line="197" w:lineRule="exact"/>
        <w:rPr>
          <w:sz w:val="20"/>
          <w:szCs w:val="20"/>
          <w:color w:val="auto"/>
        </w:rPr>
      </w:pPr>
    </w:p>
    <w:p>
      <w:pPr>
        <w:ind w:left="540" w:right="40"/>
        <w:spacing w:after="0" w:line="286" w:lineRule="auto"/>
        <w:rPr>
          <w:sz w:val="20"/>
          <w:szCs w:val="20"/>
          <w:color w:val="auto"/>
        </w:rPr>
      </w:pPr>
      <w:r>
        <w:rPr>
          <w:rFonts w:ascii="Arial" w:cs="Arial" w:eastAsia="Arial" w:hAnsi="Arial"/>
          <w:sz w:val="16"/>
          <w:szCs w:val="16"/>
          <w:color w:val="auto"/>
        </w:rPr>
        <w:t>As of June 30, 2010, we had cash and cash equivalents of $3.1 million. In light of deteriorating conditions in the semiconductor industry and the global economic recession, we initiated a series of restructuring and cost reduction programs during the fourth quarter of 2008, which continued throughout 2009. These actions are discussed in more detail in Note 4 to the accompanying consolidated financial statements and in Note 5 to our consolidated financial statements in our 2009 Form 10-K. The goal of these actions was to conserve cash and reduce costs. In April 2009, we retained the services of a financial advisor to assist us in assessing our strategic alternatives to enhance operating performance and stockholder value. We determined that under the then current market conditions and with our then current resources, our goals were to continue conserving cash, reducing costs and generating sales of our products. Since that time, we have implemented strategies consistent with those goals and remain committed to those objectives. We also continue to consider other alternatives as we may deem appropriate. While these strategies appear to have been effective in allowing us to reach our goals, and while we currently expect our cash and cash equivalents and projected future cash flow to be sufficient to support our short term working capital requirements, in light of the increased demand for our products and the restoration of salaries and benefits for our domestic employees in early 2010, we may need additional working capital in 2010. We do not currently have any available credit facilities under which we can borrow to help fund our working capital requirements. We cannot be certain that, if needed, we would be able to obtain any credit facilities or under what terms such credit facilities would be available.</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31" w:lineRule="exact"/>
        <w:rPr>
          <w:sz w:val="20"/>
          <w:szCs w:val="20"/>
          <w:color w:val="auto"/>
        </w:rPr>
      </w:pPr>
    </w:p>
    <w:p>
      <w:pPr>
        <w:ind w:left="540" w:right="180"/>
        <w:spacing w:after="0" w:line="268" w:lineRule="auto"/>
        <w:rPr>
          <w:sz w:val="20"/>
          <w:szCs w:val="20"/>
          <w:color w:val="auto"/>
        </w:rPr>
      </w:pPr>
      <w:r>
        <w:rPr>
          <w:rFonts w:ascii="Arial" w:cs="Arial" w:eastAsia="Arial" w:hAnsi="Arial"/>
          <w:sz w:val="18"/>
          <w:szCs w:val="18"/>
          <w:color w:val="auto"/>
        </w:rPr>
        <w:t>See the Notes to the consolidated financial statements for information concerning the implementation and impact of new or recently adopted accounting standards.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31" w:lineRule="exact"/>
        <w:rPr>
          <w:sz w:val="20"/>
          <w:szCs w:val="20"/>
          <w:color w:val="auto"/>
        </w:rPr>
      </w:pPr>
    </w:p>
    <w:p>
      <w:pPr>
        <w:ind w:left="540" w:right="20"/>
        <w:spacing w:after="0" w:line="288"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deferred income tax valuation allowances and product warranty reserves.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June 30, 2010, there have been no significant changes to the accounting policies that we have deemed critical. These policies are more fully described in our 2009 Form 10-K.</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231" w:lineRule="exact"/>
        <w:rPr>
          <w:sz w:val="20"/>
          <w:szCs w:val="20"/>
          <w:color w:val="auto"/>
        </w:rPr>
      </w:pPr>
    </w:p>
    <w:p>
      <w:pPr>
        <w:ind w:left="540" w:right="80"/>
        <w:spacing w:after="0" w:line="259" w:lineRule="auto"/>
        <w:rPr>
          <w:sz w:val="20"/>
          <w:szCs w:val="20"/>
          <w:color w:val="auto"/>
        </w:rPr>
      </w:pPr>
      <w:r>
        <w:rPr>
          <w:rFonts w:ascii="Arial" w:cs="Arial" w:eastAsia="Arial" w:hAnsi="Arial"/>
          <w:sz w:val="18"/>
          <w:szCs w:val="18"/>
          <w:color w:val="auto"/>
        </w:rPr>
        <w:t>There were no off-balance sheet arrangements at June 30, 2010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ind w:left="540" w:right="160"/>
        <w:spacing w:after="0" w:line="258" w:lineRule="auto"/>
        <w:rPr>
          <w:sz w:val="20"/>
          <w:szCs w:val="20"/>
          <w:color w:val="auto"/>
        </w:rPr>
      </w:pPr>
      <w:r>
        <w:rPr>
          <w:rFonts w:ascii="Arial" w:cs="Arial" w:eastAsia="Arial" w:hAnsi="Arial"/>
          <w:sz w:val="18"/>
          <w:szCs w:val="18"/>
          <w:b w:val="1"/>
          <w:bCs w:val="1"/>
          <w:color w:val="auto"/>
        </w:rPr>
        <w:t>CEO and CFO Certifications</w:t>
      </w:r>
      <w:r>
        <w:rPr>
          <w:rFonts w:ascii="Arial" w:cs="Arial" w:eastAsia="Arial" w:hAnsi="Arial"/>
          <w:sz w:val="18"/>
          <w:szCs w:val="18"/>
          <w:color w:val="auto"/>
        </w:rPr>
        <w:t>. Included with this Quarterly Report as Exhibits 31.1 and 31.2 are two certifications, one by each of our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and our Chief Financial Officer (the "Section 302 Certifications"). This Item 4 contains information concerning the evaluations of our disclosure controls and procedures that are referred to in the Section 302 Certifications. This information should be read in conjunction with the Section 302 Certifications for a more complete understanding of the topics addressed therein.</w:t>
      </w:r>
    </w:p>
    <w:p>
      <w:pPr>
        <w:spacing w:after="0" w:line="190" w:lineRule="exact"/>
        <w:rPr>
          <w:sz w:val="20"/>
          <w:szCs w:val="20"/>
          <w:color w:val="auto"/>
        </w:rPr>
      </w:pPr>
    </w:p>
    <w:p>
      <w:pPr>
        <w:ind w:left="540" w:right="180"/>
        <w:spacing w:after="0" w:line="262" w:lineRule="auto"/>
        <w:rPr>
          <w:sz w:val="20"/>
          <w:szCs w:val="20"/>
          <w:color w:val="auto"/>
        </w:rPr>
      </w:pPr>
      <w:r>
        <w:rPr>
          <w:rFonts w:ascii="Arial" w:cs="Arial" w:eastAsia="Arial" w:hAnsi="Arial"/>
          <w:sz w:val="18"/>
          <w:szCs w:val="18"/>
          <w:b w:val="1"/>
          <w:bCs w:val="1"/>
          <w:color w:val="auto"/>
        </w:rPr>
        <w:t>Evaluation of Our Disclosure Controls and Procedures</w:t>
      </w:r>
      <w:r>
        <w:rPr>
          <w:rFonts w:ascii="Arial" w:cs="Arial" w:eastAsia="Arial" w:hAnsi="Arial"/>
          <w:sz w:val="18"/>
          <w:szCs w:val="18"/>
          <w:color w:val="auto"/>
        </w:rPr>
        <w:t>. The SEC requires that as of the end of the quarter covered by this Report, our CEO and CFO</w:t>
      </w:r>
      <w:r>
        <w:rPr>
          <w:rFonts w:ascii="Arial" w:cs="Arial" w:eastAsia="Arial" w:hAnsi="Arial"/>
          <w:sz w:val="18"/>
          <w:szCs w:val="18"/>
          <w:b w:val="1"/>
          <w:bCs w:val="1"/>
          <w:color w:val="auto"/>
        </w:rPr>
        <w:t xml:space="preserve"> </w:t>
      </w:r>
      <w:r>
        <w:rPr>
          <w:rFonts w:ascii="Arial" w:cs="Arial" w:eastAsia="Arial" w:hAnsi="Arial"/>
          <w:sz w:val="18"/>
          <w:szCs w:val="18"/>
          <w:color w:val="auto"/>
        </w:rPr>
        <w:t>must evaluate the effectiveness of the design and operation of our disclosure controls and procedures and report on the effectiveness of the design and operation of our disclosure controls and procedures.</w:t>
      </w:r>
    </w:p>
    <w:p>
      <w:pPr>
        <w:spacing w:after="0" w:line="152" w:lineRule="exact"/>
        <w:rPr>
          <w:sz w:val="20"/>
          <w:szCs w:val="20"/>
          <w:color w:val="auto"/>
        </w:rPr>
      </w:pPr>
    </w:p>
    <w:p>
      <w:pPr>
        <w:ind w:left="540" w:right="40"/>
        <w:spacing w:after="0" w:line="255" w:lineRule="auto"/>
        <w:rPr>
          <w:sz w:val="20"/>
          <w:szCs w:val="20"/>
          <w:color w:val="auto"/>
        </w:rPr>
      </w:pPr>
      <w:r>
        <w:rPr>
          <w:rFonts w:ascii="Arial" w:cs="Arial" w:eastAsia="Arial" w:hAnsi="Arial"/>
          <w:sz w:val="18"/>
          <w:szCs w:val="18"/>
          <w:color w:val="auto"/>
        </w:rPr>
        <w:t>"Disclosure controls and procedures" mean the controls and other procedures that are designed with the objective of ensuring that information required to be disclosed in our reports filed under the Securities Exchange Act of 1934 (the "Exchange Act"), such as this Report, is recorded, processed, summarized and reported within the time periods specified in the rules and forms promulgated by the SEC. Disclosure controls and procedures are also designed with the objective of ensuring that such information is accumulated and communicated to our management, including the CEO and CFO, as appropriate, to allow timely decisions regarding required disclosure.</w:t>
      </w:r>
    </w:p>
    <w:p>
      <w:pPr>
        <w:sectPr>
          <w:pgSz w:w="11900" w:h="16838" w:orient="portrait"/>
          <w:cols w:equalWidth="0" w:num="1">
            <w:col w:w="11420"/>
          </w:cols>
          <w:pgMar w:left="240" w:top="131" w:right="239" w:bottom="0" w:gutter="0" w:footer="0" w:header="0"/>
        </w:sectPr>
      </w:pPr>
    </w:p>
    <w:bookmarkStart w:id="21" w:name="page22"/>
    <w:bookmarkEnd w:id="21"/>
    <w:p>
      <w:pPr>
        <w:ind w:left="540"/>
        <w:spacing w:after="0" w:line="286" w:lineRule="auto"/>
        <w:rPr>
          <w:sz w:val="20"/>
          <w:szCs w:val="20"/>
          <w:color w:val="auto"/>
        </w:rPr>
      </w:pPr>
      <w:r>
        <w:rPr>
          <w:rFonts w:ascii="Arial" w:cs="Arial" w:eastAsia="Arial" w:hAnsi="Arial"/>
          <w:sz w:val="16"/>
          <w:szCs w:val="16"/>
          <w:b w:val="1"/>
          <w:bCs w:val="1"/>
          <w:color w:val="auto"/>
        </w:rPr>
        <w:t>Limitations on the Effectiveness of Controls</w:t>
      </w:r>
      <w:r>
        <w:rPr>
          <w:rFonts w:ascii="Arial" w:cs="Arial" w:eastAsia="Arial" w:hAnsi="Arial"/>
          <w:sz w:val="16"/>
          <w:szCs w:val="16"/>
          <w:color w:val="auto"/>
        </w:rPr>
        <w:t>. Our management, including the CEO and CFO, does not expect that our disclosure controls and</w:t>
      </w:r>
      <w:r>
        <w:rPr>
          <w:rFonts w:ascii="Arial" w:cs="Arial" w:eastAsia="Arial" w:hAnsi="Arial"/>
          <w:sz w:val="16"/>
          <w:szCs w:val="16"/>
          <w:b w:val="1"/>
          <w:bCs w:val="1"/>
          <w:color w:val="auto"/>
        </w:rPr>
        <w:t xml:space="preserve"> </w:t>
      </w:r>
      <w:r>
        <w:rPr>
          <w:rFonts w:ascii="Arial" w:cs="Arial" w:eastAsia="Arial" w:hAnsi="Arial"/>
          <w:sz w:val="16"/>
          <w:szCs w:val="16"/>
          <w:color w:val="auto"/>
        </w:rPr>
        <w:t>procedures or our internal control over financial reporting will prevent all error and all fraud. A control system, no matter how well conceived and operated, can provide only reasonable, as opposed to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an entity have been detected. These inherent limitations include the realities that judgments in decision-making can be faulty, and that breakdowns can occur because of simple error or mistake. Additionally, controls can be circumvented by the individua 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a system of controls may become inadequate because of changes in conditions, or the degree of compliance with the policies or procedures may deteriorate.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75" w:lineRule="exact"/>
        <w:rPr>
          <w:sz w:val="20"/>
          <w:szCs w:val="20"/>
          <w:color w:val="auto"/>
        </w:rPr>
      </w:pPr>
    </w:p>
    <w:p>
      <w:pPr>
        <w:jc w:val="both"/>
        <w:ind w:left="540" w:right="260"/>
        <w:spacing w:after="0" w:line="258" w:lineRule="auto"/>
        <w:rPr>
          <w:sz w:val="20"/>
          <w:szCs w:val="20"/>
          <w:color w:val="auto"/>
        </w:rPr>
      </w:pPr>
      <w:r>
        <w:rPr>
          <w:rFonts w:ascii="Arial" w:cs="Arial" w:eastAsia="Arial" w:hAnsi="Arial"/>
          <w:sz w:val="18"/>
          <w:szCs w:val="18"/>
          <w:b w:val="1"/>
          <w:bCs w:val="1"/>
          <w:color w:val="auto"/>
        </w:rPr>
        <w:t>CEO/CFO Conclusions about the Effectiveness of the Disclosure Controls and Procedures</w:t>
      </w:r>
      <w:r>
        <w:rPr>
          <w:rFonts w:ascii="Arial" w:cs="Arial" w:eastAsia="Arial" w:hAnsi="Arial"/>
          <w:sz w:val="18"/>
          <w:szCs w:val="18"/>
          <w:color w:val="auto"/>
        </w:rPr>
        <w:t>. As required by Rule 13a-15(b), inTEST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10667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0667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1" w:lineRule="exact"/>
        <w:rPr>
          <w:sz w:val="20"/>
          <w:szCs w:val="20"/>
          <w:color w:val="auto"/>
        </w:rPr>
      </w:pPr>
    </w:p>
    <w:p>
      <w:pPr>
        <w:jc w:val="both"/>
        <w:ind w:left="540" w:right="20"/>
        <w:spacing w:after="0" w:line="268"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1" w:lineRule="exact"/>
        <w:rPr>
          <w:sz w:val="20"/>
          <w:szCs w:val="20"/>
          <w:color w:val="auto"/>
        </w:rPr>
      </w:pPr>
    </w:p>
    <w:p>
      <w:pPr>
        <w:jc w:val="both"/>
        <w:ind w:left="540" w:right="20"/>
        <w:spacing w:after="0" w:line="259" w:lineRule="auto"/>
        <w:rPr>
          <w:sz w:val="20"/>
          <w:szCs w:val="20"/>
          <w:color w:val="auto"/>
        </w:rPr>
      </w:pPr>
      <w:r>
        <w:rPr>
          <w:rFonts w:ascii="Arial" w:cs="Arial" w:eastAsia="Arial" w:hAnsi="Arial"/>
          <w:sz w:val="18"/>
          <w:szCs w:val="18"/>
          <w:color w:val="auto"/>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Annual Report on Form 10-K for the year ended December 31, 2009.</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1" w:lineRule="exact"/>
        <w:rPr>
          <w:sz w:val="20"/>
          <w:szCs w:val="20"/>
          <w:color w:val="auto"/>
        </w:rPr>
      </w:pPr>
    </w:p>
    <w:p>
      <w:pPr>
        <w:ind w:left="540" w:right="580"/>
        <w:spacing w:after="0" w:line="268" w:lineRule="auto"/>
        <w:rPr>
          <w:sz w:val="20"/>
          <w:szCs w:val="20"/>
          <w:color w:val="auto"/>
        </w:rPr>
      </w:pPr>
      <w:r>
        <w:rPr>
          <w:rFonts w:ascii="Arial" w:cs="Arial" w:eastAsia="Arial" w:hAnsi="Arial"/>
          <w:sz w:val="18"/>
          <w:szCs w:val="18"/>
          <w:color w:val="auto"/>
        </w:rPr>
        <w:t>A list of the Exhibits which are required by Item 601 of Regulation S-K and filed with this Report is set forth in the Index to Exhibits immediately following the signature page, which Index to Exhibits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510667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0667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382"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220" w:type="dxa"/>
        <w:tblCellMar>
          <w:top w:w="0" w:type="dxa"/>
          <w:left w:w="0" w:type="dxa"/>
          <w:bottom w:w="0" w:type="dxa"/>
          <w:right w:w="0" w:type="dxa"/>
        </w:tblCellMar>
      </w:tblPr>
      <w:tr>
        <w:trPr>
          <w:trHeight w:val="228"/>
        </w:trPr>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60" w:type="dxa"/>
            <w:vAlign w:val="bottom"/>
            <w:gridSpan w:val="2"/>
          </w:tcPr>
          <w:p>
            <w:pPr>
              <w:spacing w:after="0"/>
              <w:rPr>
                <w:sz w:val="20"/>
                <w:szCs w:val="20"/>
                <w:color w:val="auto"/>
              </w:rPr>
            </w:pPr>
            <w:r>
              <w:rPr>
                <w:rFonts w:ascii="Arial" w:cs="Arial" w:eastAsia="Arial" w:hAnsi="Arial"/>
                <w:sz w:val="18"/>
                <w:szCs w:val="18"/>
                <w:b w:val="1"/>
                <w:bCs w:val="1"/>
                <w:color w:val="auto"/>
              </w:rPr>
              <w:t>inTEST Corporation</w:t>
            </w:r>
          </w:p>
        </w:tc>
      </w:tr>
      <w:tr>
        <w:trPr>
          <w:trHeight w:val="637"/>
        </w:trPr>
        <w:tc>
          <w:tcPr>
            <w:tcW w:w="2480" w:type="dxa"/>
            <w:vAlign w:val="bottom"/>
            <w:gridSpan w:val="3"/>
          </w:tcPr>
          <w:p>
            <w:pPr>
              <w:spacing w:after="0"/>
              <w:rPr>
                <w:sz w:val="20"/>
                <w:szCs w:val="20"/>
                <w:color w:val="auto"/>
              </w:rPr>
            </w:pPr>
            <w:r>
              <w:rPr>
                <w:rFonts w:ascii="Arial" w:cs="Arial" w:eastAsia="Arial" w:hAnsi="Arial"/>
                <w:sz w:val="18"/>
                <w:szCs w:val="18"/>
                <w:color w:val="auto"/>
              </w:rPr>
              <w:t>Date:   August 13, 2010</w:t>
            </w:r>
          </w:p>
        </w:tc>
        <w:tc>
          <w:tcPr>
            <w:tcW w:w="2660" w:type="dxa"/>
            <w:vAlign w:val="bottom"/>
            <w:gridSpan w:val="2"/>
          </w:tcPr>
          <w:p>
            <w:pPr>
              <w:spacing w:after="0"/>
              <w:rPr>
                <w:sz w:val="20"/>
                <w:szCs w:val="20"/>
                <w:color w:val="auto"/>
              </w:rPr>
            </w:pPr>
            <w:r>
              <w:rPr>
                <w:rFonts w:ascii="Arial" w:cs="Arial" w:eastAsia="Arial" w:hAnsi="Arial"/>
                <w:sz w:val="18"/>
                <w:szCs w:val="18"/>
                <w:color w:val="auto"/>
              </w:rPr>
              <w:t>/s/ Robert E. Matthiessen</w:t>
            </w:r>
          </w:p>
        </w:tc>
      </w:tr>
      <w:tr>
        <w:trPr>
          <w:trHeight w:val="228"/>
        </w:trPr>
        <w:tc>
          <w:tcPr>
            <w:tcW w:w="6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Robert E. Matthiessen</w:t>
            </w:r>
          </w:p>
        </w:tc>
        <w:tc>
          <w:tcPr>
            <w:tcW w:w="880" w:type="dxa"/>
            <w:vAlign w:val="bottom"/>
          </w:tcPr>
          <w:p>
            <w:pPr>
              <w:spacing w:after="0"/>
              <w:rPr>
                <w:sz w:val="19"/>
                <w:szCs w:val="19"/>
                <w:color w:val="auto"/>
              </w:rPr>
            </w:pPr>
          </w:p>
        </w:tc>
      </w:tr>
      <w:tr>
        <w:trPr>
          <w:trHeight w:val="222"/>
        </w:trPr>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60" w:type="dxa"/>
            <w:vAlign w:val="bottom"/>
            <w:gridSpan w:val="2"/>
          </w:tcPr>
          <w:p>
            <w:pPr>
              <w:spacing w:after="0"/>
              <w:rPr>
                <w:sz w:val="20"/>
                <w:szCs w:val="20"/>
                <w:color w:val="auto"/>
              </w:rPr>
            </w:pPr>
            <w:r>
              <w:rPr>
                <w:rFonts w:ascii="Arial" w:cs="Arial" w:eastAsia="Arial" w:hAnsi="Arial"/>
                <w:sz w:val="18"/>
                <w:szCs w:val="18"/>
                <w:i w:val="1"/>
                <w:iCs w:val="1"/>
                <w:color w:val="auto"/>
                <w:w w:val="88"/>
              </w:rPr>
              <w:t>President and Chief Executive Officer</w:t>
            </w:r>
          </w:p>
        </w:tc>
      </w:tr>
    </w:tbl>
    <w:p>
      <w:pPr>
        <w:sectPr>
          <w:pgSz w:w="11900" w:h="16838" w:orient="portrait"/>
          <w:cols w:equalWidth="0" w:num="1">
            <w:col w:w="11420"/>
          </w:cols>
          <w:pgMar w:left="240" w:top="125" w:right="239" w:bottom="65"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gridSpan w:val="3"/>
          </w:tcPr>
          <w:p>
            <w:pPr>
              <w:ind w:left="220"/>
              <w:spacing w:after="0"/>
              <w:rPr>
                <w:sz w:val="20"/>
                <w:szCs w:val="20"/>
                <w:color w:val="auto"/>
              </w:rPr>
            </w:pPr>
            <w:r>
              <w:rPr>
                <w:rFonts w:ascii="Arial" w:cs="Arial" w:eastAsia="Arial" w:hAnsi="Arial"/>
                <w:sz w:val="18"/>
                <w:szCs w:val="18"/>
                <w:color w:val="auto"/>
              </w:rPr>
              <w:t>Date:   August 13, 2010</w:t>
            </w:r>
          </w:p>
        </w:tc>
        <w:tc>
          <w:tcPr>
            <w:tcW w:w="5340" w:type="dxa"/>
            <w:vAlign w:val="bottom"/>
            <w:gridSpan w:val="4"/>
          </w:tcPr>
          <w:p>
            <w:pPr>
              <w:spacing w:after="0"/>
              <w:rPr>
                <w:sz w:val="20"/>
                <w:szCs w:val="20"/>
                <w:color w:val="auto"/>
              </w:rPr>
            </w:pPr>
            <w:r>
              <w:rPr>
                <w:rFonts w:ascii="Arial" w:cs="Arial" w:eastAsia="Arial" w:hAnsi="Arial"/>
                <w:sz w:val="18"/>
                <w:szCs w:val="18"/>
                <w:color w:val="auto"/>
              </w:rPr>
              <w:t>/s/ Hugh T. Regan, Jr.</w:t>
            </w:r>
          </w:p>
        </w:tc>
      </w:tr>
      <w:tr>
        <w:trPr>
          <w:trHeight w:val="228"/>
        </w:trPr>
        <w:tc>
          <w:tcPr>
            <w:tcW w:w="84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Hugh T. Regan, Jr.</w:t>
            </w:r>
          </w:p>
        </w:tc>
        <w:tc>
          <w:tcPr>
            <w:tcW w:w="3820" w:type="dxa"/>
            <w:vAlign w:val="bottom"/>
            <w:gridSpan w:val="3"/>
          </w:tcPr>
          <w:p>
            <w:pPr>
              <w:spacing w:after="0"/>
              <w:rPr>
                <w:sz w:val="19"/>
                <w:szCs w:val="19"/>
                <w:color w:val="auto"/>
              </w:rPr>
            </w:pPr>
          </w:p>
        </w:tc>
      </w:tr>
      <w:tr>
        <w:trPr>
          <w:trHeight w:val="222"/>
        </w:trPr>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340" w:type="dxa"/>
            <w:vAlign w:val="bottom"/>
            <w:gridSpan w:val="4"/>
          </w:tcPr>
          <w:p>
            <w:pPr>
              <w:spacing w:after="0"/>
              <w:rPr>
                <w:sz w:val="20"/>
                <w:szCs w:val="20"/>
                <w:color w:val="auto"/>
              </w:rPr>
            </w:pPr>
            <w:r>
              <w:rPr>
                <w:rFonts w:ascii="Arial" w:cs="Arial" w:eastAsia="Arial" w:hAnsi="Arial"/>
                <w:sz w:val="18"/>
                <w:szCs w:val="18"/>
                <w:i w:val="1"/>
                <w:iCs w:val="1"/>
                <w:color w:val="auto"/>
              </w:rPr>
              <w:t>Secretary, Treasurer and Chief Financial Officer</w:t>
            </w:r>
          </w:p>
        </w:tc>
      </w:tr>
      <w:tr>
        <w:trPr>
          <w:trHeight w:val="232"/>
        </w:trPr>
        <w:tc>
          <w:tcPr>
            <w:tcW w:w="840" w:type="dxa"/>
            <w:vAlign w:val="bottom"/>
            <w:tcBorders>
              <w:bottom w:val="single" w:sz="8" w:color="9A9A9A"/>
            </w:tcBorders>
          </w:tcPr>
          <w:p>
            <w:pPr>
              <w:spacing w:after="0"/>
              <w:rPr>
                <w:sz w:val="20"/>
                <w:szCs w:val="20"/>
                <w:color w:val="auto"/>
              </w:rPr>
            </w:pPr>
          </w:p>
        </w:tc>
        <w:tc>
          <w:tcPr>
            <w:tcW w:w="1160" w:type="dxa"/>
            <w:vAlign w:val="bottom"/>
            <w:tcBorders>
              <w:bottom w:val="single" w:sz="8" w:color="9A9A9A"/>
            </w:tcBorders>
          </w:tcPr>
          <w:p>
            <w:pPr>
              <w:spacing w:after="0"/>
              <w:rPr>
                <w:sz w:val="20"/>
                <w:szCs w:val="20"/>
                <w:color w:val="auto"/>
              </w:rPr>
            </w:pPr>
          </w:p>
        </w:tc>
        <w:tc>
          <w:tcPr>
            <w:tcW w:w="700" w:type="dxa"/>
            <w:vAlign w:val="bottom"/>
            <w:tcBorders>
              <w:bottom w:val="single" w:sz="8" w:color="9A9A9A"/>
            </w:tcBorders>
          </w:tcPr>
          <w:p>
            <w:pPr>
              <w:spacing w:after="0"/>
              <w:rPr>
                <w:sz w:val="20"/>
                <w:szCs w:val="20"/>
                <w:color w:val="auto"/>
              </w:rPr>
            </w:pPr>
          </w:p>
        </w:tc>
        <w:tc>
          <w:tcPr>
            <w:tcW w:w="152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1680" w:type="dxa"/>
            <w:vAlign w:val="bottom"/>
            <w:tcBorders>
              <w:bottom w:val="single" w:sz="8" w:color="9A9A9A"/>
            </w:tcBorders>
          </w:tcPr>
          <w:p>
            <w:pPr>
              <w:spacing w:after="0"/>
              <w:rPr>
                <w:sz w:val="20"/>
                <w:szCs w:val="20"/>
                <w:color w:val="auto"/>
              </w:rPr>
            </w:pPr>
          </w:p>
        </w:tc>
      </w:tr>
      <w:tr>
        <w:trPr>
          <w:trHeight w:val="424"/>
        </w:trPr>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60" w:type="dxa"/>
            <w:vAlign w:val="bottom"/>
            <w:gridSpan w:val="3"/>
          </w:tcPr>
          <w:p>
            <w:pPr>
              <w:jc w:val="right"/>
              <w:ind w:right="372"/>
              <w:spacing w:after="0"/>
              <w:rPr>
                <w:sz w:val="20"/>
                <w:szCs w:val="20"/>
                <w:color w:val="auto"/>
              </w:rPr>
            </w:pPr>
            <w:r>
              <w:rPr>
                <w:rFonts w:ascii="Arial" w:cs="Arial" w:eastAsia="Arial" w:hAnsi="Arial"/>
                <w:sz w:val="18"/>
                <w:szCs w:val="18"/>
                <w:color w:val="auto"/>
              </w:rPr>
              <w:t>- 27 -</w:t>
            </w:r>
          </w:p>
        </w:tc>
        <w:tc>
          <w:tcPr>
            <w:tcW w:w="1680" w:type="dxa"/>
            <w:vAlign w:val="bottom"/>
          </w:tcPr>
          <w:p>
            <w:pPr>
              <w:spacing w:after="0"/>
              <w:rPr>
                <w:sz w:val="24"/>
                <w:szCs w:val="24"/>
                <w:color w:val="auto"/>
              </w:rPr>
            </w:pPr>
          </w:p>
        </w:tc>
      </w:tr>
      <w:tr>
        <w:trPr>
          <w:trHeight w:val="745"/>
        </w:trPr>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Index to Exhibits</w:t>
            </w:r>
          </w:p>
        </w:tc>
        <w:tc>
          <w:tcPr>
            <w:tcW w:w="1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5078095</wp:posOffset>
            </wp:positionH>
            <wp:positionV relativeFrom="paragraph">
              <wp:posOffset>-775335</wp:posOffset>
            </wp:positionV>
            <wp:extent cx="3429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74" w:lineRule="exact"/>
        <w:rPr>
          <w:sz w:val="20"/>
          <w:szCs w:val="20"/>
          <w:color w:val="auto"/>
        </w:rPr>
      </w:pPr>
    </w:p>
    <w:p>
      <w:pPr>
        <w:ind w:left="400" w:right="4499" w:hanging="394"/>
        <w:spacing w:after="0" w:line="259" w:lineRule="auto"/>
        <w:rPr>
          <w:sz w:val="20"/>
          <w:szCs w:val="20"/>
          <w:color w:val="auto"/>
        </w:rPr>
      </w:pPr>
      <w:r>
        <w:rPr>
          <w:rFonts w:ascii="Arial" w:cs="Arial" w:eastAsia="Arial" w:hAnsi="Arial"/>
          <w:sz w:val="18"/>
          <w:szCs w:val="18"/>
          <w:color w:val="auto"/>
        </w:rPr>
        <w:t>3.1* Articles of Incorporation: Previously filed by the Company as an Exhibit to the Company's Registration Statement on Form S-1, File No. 333-26457, and incorporated herein by reference.</w:t>
      </w:r>
    </w:p>
    <w:p>
      <w:pPr>
        <w:spacing w:after="0" w:line="194" w:lineRule="exact"/>
        <w:rPr>
          <w:sz w:val="20"/>
          <w:szCs w:val="20"/>
          <w:color w:val="auto"/>
        </w:rPr>
      </w:pPr>
    </w:p>
    <w:p>
      <w:pPr>
        <w:jc w:val="both"/>
        <w:ind w:left="400" w:right="3939" w:hanging="394"/>
        <w:spacing w:after="0" w:line="259" w:lineRule="auto"/>
        <w:rPr>
          <w:sz w:val="20"/>
          <w:szCs w:val="20"/>
          <w:color w:val="auto"/>
        </w:rPr>
      </w:pPr>
      <w:r>
        <w:rPr>
          <w:rFonts w:ascii="Arial" w:cs="Arial" w:eastAsia="Arial" w:hAnsi="Arial"/>
          <w:sz w:val="18"/>
          <w:szCs w:val="18"/>
          <w:color w:val="auto"/>
        </w:rPr>
        <w:t>3.2* ByLaws of inTEST Corporation, as amended on October 30, 2007: Previously filed as Exhibit 3.2 of the Company's Form 8-K on November 5, 2007 and incorporated herein by reference.</w:t>
      </w:r>
    </w:p>
    <w:p>
      <w:pPr>
        <w:spacing w:after="0" w:line="194" w:lineRule="exact"/>
        <w:rPr>
          <w:sz w:val="20"/>
          <w:szCs w:val="20"/>
          <w:color w:val="auto"/>
        </w:rPr>
      </w:pPr>
    </w:p>
    <w:p>
      <w:pPr>
        <w:ind w:left="400" w:right="3179" w:hanging="394"/>
        <w:spacing w:after="0" w:line="259" w:lineRule="auto"/>
        <w:rPr>
          <w:sz w:val="20"/>
          <w:szCs w:val="20"/>
          <w:color w:val="auto"/>
        </w:rPr>
      </w:pPr>
      <w:r>
        <w:rPr>
          <w:rFonts w:ascii="Arial" w:cs="Arial" w:eastAsia="Arial" w:hAnsi="Arial"/>
          <w:sz w:val="18"/>
          <w:szCs w:val="18"/>
          <w:color w:val="auto"/>
        </w:rPr>
        <w:t>10.1* Lease Agreement dated May 10, 2010 between the Company and Exeter 804 East Gate, LLC: Previously filed as Exhibit 10.1 of the Company's Form 8-K filed on May 13, 2010 and incorporated herein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31.1  Certification of Chief Executive Officer pursuant to Rule 13a-14(a).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31.2  Certification of Chief Financial Officer pursuant to Rule 13a-14(a).</w:t>
      </w:r>
    </w:p>
    <w:p>
      <w:pPr>
        <w:spacing w:after="0" w:line="225" w:lineRule="exact"/>
        <w:rPr>
          <w:sz w:val="20"/>
          <w:szCs w:val="20"/>
          <w:color w:val="auto"/>
        </w:rPr>
      </w:pPr>
    </w:p>
    <w:p>
      <w:pPr>
        <w:ind w:left="440" w:right="4199" w:hanging="438"/>
        <w:spacing w:after="0" w:line="332" w:lineRule="auto"/>
        <w:rPr>
          <w:sz w:val="20"/>
          <w:szCs w:val="20"/>
          <w:color w:val="auto"/>
        </w:rPr>
      </w:pPr>
      <w:r>
        <w:rPr>
          <w:rFonts w:ascii="Arial" w:cs="Arial" w:eastAsia="Arial" w:hAnsi="Arial"/>
          <w:sz w:val="16"/>
          <w:szCs w:val="16"/>
          <w:color w:val="auto"/>
        </w:rPr>
        <w:t>32.1 Certification of Chief Executive Officer pursuant to 18 U.S.C. Section 1350, as adopted pursuant to Section 906 of the Sarbanes-Oxley Act of 2002.</w:t>
      </w:r>
    </w:p>
    <w:p>
      <w:pPr>
        <w:spacing w:after="0" w:line="139" w:lineRule="exact"/>
        <w:rPr>
          <w:sz w:val="20"/>
          <w:szCs w:val="20"/>
          <w:color w:val="auto"/>
        </w:rPr>
      </w:pPr>
    </w:p>
    <w:p>
      <w:pPr>
        <w:ind w:left="440" w:right="4259" w:hanging="438"/>
        <w:spacing w:after="0" w:line="332" w:lineRule="auto"/>
        <w:rPr>
          <w:sz w:val="20"/>
          <w:szCs w:val="20"/>
          <w:color w:val="auto"/>
        </w:rPr>
      </w:pPr>
      <w:r>
        <w:rPr>
          <w:rFonts w:ascii="Arial" w:cs="Arial" w:eastAsia="Arial" w:hAnsi="Arial"/>
          <w:sz w:val="16"/>
          <w:szCs w:val="16"/>
          <w:color w:val="auto"/>
        </w:rPr>
        <w:t>32.2 Certification of Chief Financial Officer pursuant to 18 U.S.C. Section 1350, as adopted pursuant to Section 906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 Indicates document previously filed.</w:t>
      </w:r>
    </w:p>
    <w:p>
      <w:pPr>
        <w:spacing w:after="0" w:line="200" w:lineRule="exact"/>
        <w:rPr>
          <w:sz w:val="20"/>
          <w:szCs w:val="20"/>
          <w:color w:val="auto"/>
        </w:rPr>
      </w:pPr>
    </w:p>
    <w:p>
      <w:pPr>
        <w:spacing w:after="0" w:line="37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0219"/>
          </w:cols>
          <w:pgMar w:left="240" w:top="108" w:right="1440" w:bottom="1440" w:gutter="0" w:footer="0" w:header="0"/>
        </w:sectPr>
      </w:pPr>
    </w:p>
    <w:bookmarkStart w:id="23" w:name="page24"/>
    <w:bookmarkEnd w:id="23"/>
    <w:p>
      <w:pPr>
        <w:jc w:val="right"/>
        <w:spacing w:after="0"/>
        <w:rPr>
          <w:sz w:val="20"/>
          <w:szCs w:val="20"/>
          <w:color w:val="auto"/>
        </w:rPr>
      </w:pPr>
      <w:r>
        <w:rPr>
          <w:rFonts w:ascii="Arial" w:cs="Arial" w:eastAsia="Arial" w:hAnsi="Arial"/>
          <w:sz w:val="22"/>
          <w:szCs w:val="22"/>
          <w:b w:val="1"/>
          <w:bCs w:val="1"/>
          <w:u w:val="single" w:color="auto"/>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Robert E. Matthiessen, certify that:</w:t>
      </w:r>
    </w:p>
    <w:p>
      <w:pPr>
        <w:spacing w:after="0" w:line="185" w:lineRule="exact"/>
        <w:rPr>
          <w:sz w:val="20"/>
          <w:szCs w:val="20"/>
          <w:color w:val="auto"/>
        </w:rPr>
      </w:pPr>
    </w:p>
    <w:p>
      <w:pPr>
        <w:ind w:left="760" w:hanging="313"/>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13, 2010</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Robert E. Matthiessen</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Robert E. Matthiessen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1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22"/>
          <w:szCs w:val="22"/>
          <w:b w:val="1"/>
          <w:bCs w:val="1"/>
          <w:u w:val="single" w:color="auto"/>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Hugh T. Regan, Jr., certify that:</w:t>
      </w:r>
    </w:p>
    <w:p>
      <w:pPr>
        <w:spacing w:after="0" w:line="185" w:lineRule="exact"/>
        <w:rPr>
          <w:sz w:val="20"/>
          <w:szCs w:val="20"/>
          <w:color w:val="auto"/>
        </w:rPr>
      </w:pPr>
    </w:p>
    <w:p>
      <w:pPr>
        <w:ind w:left="760" w:hanging="313"/>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13, 2010</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Hugh T. Regan, Jr.</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Secretary, Treasurer and Chief Financial Officer</w:t>
      </w:r>
    </w:p>
    <w:p>
      <w:pPr>
        <w:sectPr>
          <w:pgSz w:w="11900" w:h="16838" w:orient="portrait"/>
          <w:cols w:equalWidth="0" w:num="1">
            <w:col w:w="11420"/>
          </w:cols>
          <w:pgMar w:left="240" w:top="11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24"/>
          <w:szCs w:val="2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40"/>
        <w:spacing w:after="0" w:line="270" w:lineRule="auto"/>
        <w:rPr>
          <w:sz w:val="20"/>
          <w:szCs w:val="20"/>
          <w:color w:val="auto"/>
        </w:rPr>
      </w:pPr>
      <w:r>
        <w:rPr>
          <w:rFonts w:ascii="Arial" w:cs="Arial" w:eastAsia="Arial" w:hAnsi="Arial"/>
          <w:sz w:val="23"/>
          <w:szCs w:val="23"/>
          <w:color w:val="auto"/>
        </w:rPr>
        <w:t>In connection with the Quarterly Report of inTEST Corporation (the "Company") on Form 10-Q for the period ended June 30, 2010 as filed with the Securities and Exchange Commission on the date hereof (the "Report"), I, Robert E. Matthiessen, President and Chief Executive Officer of the Company, certify, pursuant to 18 U.S.C. Section 1350, as adopted pursuant to Section 906 of the Sarbanes-Oxley Act of 2002, that:</w:t>
      </w:r>
    </w:p>
    <w:p>
      <w:pPr>
        <w:spacing w:after="0" w:line="228" w:lineRule="exact"/>
        <w:rPr>
          <w:sz w:val="20"/>
          <w:szCs w:val="20"/>
          <w:color w:val="auto"/>
        </w:rPr>
      </w:pPr>
    </w:p>
    <w:p>
      <w:pPr>
        <w:ind w:right="520" w:firstLine="8"/>
        <w:spacing w:after="0" w:line="275" w:lineRule="auto"/>
        <w:tabs>
          <w:tab w:leader="none" w:pos="344" w:val="left"/>
        </w:tabs>
        <w:numPr>
          <w:ilvl w:val="0"/>
          <w:numId w:val="10"/>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10"/>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August 13, 2010</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Robert E. Matthiessen</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Robert E. Matthiessen</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President and Chief Executive Officer</w:t>
      </w:r>
    </w:p>
    <w:p>
      <w:pPr>
        <w:sectPr>
          <w:pgSz w:w="11900" w:h="16838" w:orient="portrait"/>
          <w:cols w:equalWidth="0" w:num="1">
            <w:col w:w="11420"/>
          </w:cols>
          <w:pgMar w:left="240" w:top="11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24"/>
          <w:szCs w:val="2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00"/>
        <w:spacing w:after="0" w:line="270" w:lineRule="auto"/>
        <w:rPr>
          <w:sz w:val="20"/>
          <w:szCs w:val="20"/>
          <w:color w:val="auto"/>
        </w:rPr>
      </w:pPr>
      <w:r>
        <w:rPr>
          <w:rFonts w:ascii="Arial" w:cs="Arial" w:eastAsia="Arial" w:hAnsi="Arial"/>
          <w:sz w:val="23"/>
          <w:szCs w:val="23"/>
          <w:color w:val="auto"/>
        </w:rPr>
        <w:t>In connection with the Quarterly Report of inTEST Corporation (the "Company") on Form 10-Q for the period ended June 30, 2010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228" w:lineRule="exact"/>
        <w:rPr>
          <w:sz w:val="20"/>
          <w:szCs w:val="20"/>
          <w:color w:val="auto"/>
        </w:rPr>
      </w:pPr>
    </w:p>
    <w:p>
      <w:pPr>
        <w:ind w:right="520" w:firstLine="8"/>
        <w:spacing w:after="0" w:line="275" w:lineRule="auto"/>
        <w:tabs>
          <w:tab w:leader="none" w:pos="344" w:val="left"/>
        </w:tabs>
        <w:numPr>
          <w:ilvl w:val="0"/>
          <w:numId w:val="11"/>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11"/>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August 13, 2010</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Hugh T. Regan, Jr.</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Hugh T. Regan, Jr.</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Secretary, Treasurer and Chief Financial Officer</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1)"/>
      <w:numFmt w:val="decimal"/>
      <w:start w:val="2"/>
    </w:lvl>
  </w:abstractNum>
  <w:abstractNum w:abstractNumId="5">
    <w:nsid w:val="515F007C"/>
    <w:multiLevelType w:val="hybridMultilevel"/>
    <w:lvl w:ilvl="0">
      <w:lvlJc w:val="left"/>
      <w:lvlText w:val="(%1)"/>
      <w:numFmt w:val="decimal"/>
      <w:start w:val="7"/>
    </w:lvl>
  </w:abstractNum>
  <w:abstractNum w:abstractNumId="6">
    <w:nsid w:val="5BD062C2"/>
    <w:multiLevelType w:val="hybridMultilevel"/>
    <w:lvl w:ilvl="0">
      <w:lvlJc w:val="left"/>
      <w:lvlText w:val="(%1)"/>
      <w:numFmt w:val="decimal"/>
      <w:start w:val="9"/>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2019-12-10T14:59:24Z</dcterms:created>
  <dcterms:modified xsi:type="dcterms:W3CDTF">2019-12-10T14:59:24Z</dcterms:modified>
</cp:coreProperties>
</file>