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131445</wp:posOffset>
            </wp:positionV>
            <wp:extent cx="75882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0000FF"/>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135890</wp:posOffset>
            </wp:positionV>
            <wp:extent cx="75882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[X]</w:t>
      </w:r>
      <w:r>
        <w:rPr>
          <w:sz w:val="20"/>
          <w:szCs w:val="20"/>
          <w:color w:val="auto"/>
        </w:rPr>
        <w:tab/>
      </w:r>
      <w:r>
        <w:rPr>
          <w:rFonts w:ascii="Arial" w:cs="Arial" w:eastAsia="Arial" w:hAnsi="Arial"/>
          <w:sz w:val="16"/>
          <w:szCs w:val="16"/>
          <w:b w:val="1"/>
          <w:bCs w:val="1"/>
          <w:color w:val="auto"/>
        </w:rPr>
        <w:t>QUARTERLY REPORT PURSUANT TO SECTION 13 OR 15(d) OF THE SECURITIES EXCHANGE ACT OF 1934</w:t>
      </w:r>
    </w:p>
    <w:p>
      <w:pPr>
        <w:spacing w:after="0" w:line="211"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FF0000"/>
        </w:rPr>
        <w:t>September 30, 2013</w:t>
      </w:r>
      <w:r>
        <w:rPr>
          <w:rFonts w:ascii="Arial" w:cs="Arial" w:eastAsia="Arial" w:hAnsi="Arial"/>
          <w:sz w:val="18"/>
          <w:szCs w:val="18"/>
          <w:color w:val="auto"/>
        </w:rPr>
        <w:t xml:space="preserve"> or</w:t>
      </w:r>
    </w:p>
    <w:p>
      <w:pPr>
        <w:spacing w:after="0" w:line="219" w:lineRule="exact"/>
        <w:rPr>
          <w:sz w:val="24"/>
          <w:szCs w:val="24"/>
          <w:color w:val="auto"/>
        </w:rPr>
      </w:pPr>
    </w:p>
    <w:p>
      <w:pPr>
        <w:ind w:left="2160" w:right="1920" w:hanging="2152"/>
        <w:spacing w:after="0" w:line="478" w:lineRule="auto"/>
        <w:tabs>
          <w:tab w:leader="none" w:pos="18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1-36117</w:t>
      </w:r>
    </w:p>
    <w:p>
      <w:pPr>
        <w:spacing w:after="0" w:line="146" w:lineRule="exact"/>
        <w:rPr>
          <w:sz w:val="24"/>
          <w:szCs w:val="24"/>
          <w:color w:val="auto"/>
        </w:rPr>
      </w:pPr>
    </w:p>
    <w:p>
      <w:pPr>
        <w:jc w:val="center"/>
        <w:ind w:right="-139"/>
        <w:spacing w:after="0"/>
        <w:rPr>
          <w:sz w:val="20"/>
          <w:szCs w:val="20"/>
          <w:color w:val="auto"/>
        </w:rPr>
      </w:pPr>
      <w:r>
        <w:rPr>
          <w:rFonts w:ascii="Arial" w:cs="Arial" w:eastAsia="Arial" w:hAnsi="Arial"/>
          <w:sz w:val="24"/>
          <w:szCs w:val="24"/>
          <w:u w:val="single" w:color="auto"/>
          <w:color w:val="0000FF"/>
        </w:rPr>
        <w:t>inTEST Corporation</w:t>
      </w:r>
    </w:p>
    <w:p>
      <w:pPr>
        <w:spacing w:after="0" w:line="2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its Charter)</w:t>
      </w:r>
    </w:p>
    <w:p>
      <w:pPr>
        <w:spacing w:after="0" w:line="185" w:lineRule="exact"/>
        <w:rPr>
          <w:sz w:val="24"/>
          <w:szCs w:val="24"/>
          <w:color w:val="auto"/>
        </w:rPr>
      </w:pPr>
    </w:p>
    <w:tbl>
      <w:tblPr>
        <w:tblLayout w:type="fixed"/>
        <w:tblInd w:w="190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90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88"/>
              </w:rPr>
              <w:t>Delaware</w:t>
            </w:r>
          </w:p>
        </w:tc>
        <w:tc>
          <w:tcPr>
            <w:tcW w:w="31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4160" w:type="dxa"/>
            <w:vAlign w:val="bottom"/>
            <w:gridSpan w:val="3"/>
          </w:tcPr>
          <w:p>
            <w:pPr>
              <w:jc w:val="center"/>
              <w:ind w:right="940"/>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3140" w:type="dxa"/>
            <w:vAlign w:val="bottom"/>
            <w:gridSpan w:val="3"/>
          </w:tcPr>
          <w:p>
            <w:pPr>
              <w:jc w:val="center"/>
              <w:ind w:left="862"/>
              <w:spacing w:after="0"/>
              <w:rPr>
                <w:sz w:val="20"/>
                <w:szCs w:val="20"/>
                <w:color w:val="auto"/>
              </w:rPr>
            </w:pPr>
            <w:r>
              <w:rPr>
                <w:rFonts w:ascii="Arial" w:cs="Arial" w:eastAsia="Arial" w:hAnsi="Arial"/>
                <w:sz w:val="14"/>
                <w:szCs w:val="14"/>
                <w:color w:val="auto"/>
                <w:w w:val="90"/>
              </w:rPr>
              <w:t>(I.R.S. Employer Identification Number)</w:t>
            </w:r>
          </w:p>
        </w:tc>
      </w:tr>
    </w:tbl>
    <w:p>
      <w:pPr>
        <w:spacing w:after="0" w:line="20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804 East Gate Drive, Suite 200</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59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both"/>
        <w:ind w:right="6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(SS 232.405 of this chapter) during the preceding 12 months (or for such shorter period that the registrant was required to submit and post such files).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40" w:type="dxa"/>
            <w:vAlign w:val="bottom"/>
            <w:gridSpan w:val="3"/>
          </w:tcPr>
          <w:p>
            <w:pPr>
              <w:ind w:left="540"/>
              <w:spacing w:after="0"/>
              <w:rPr>
                <w:sz w:val="20"/>
                <w:szCs w:val="20"/>
                <w:color w:val="auto"/>
              </w:rPr>
            </w:pPr>
            <w:r>
              <w:rPr>
                <w:rFonts w:ascii="Arial" w:cs="Arial" w:eastAsia="Arial" w:hAnsi="Arial"/>
                <w:sz w:val="18"/>
                <w:szCs w:val="18"/>
                <w:color w:val="auto"/>
                <w:w w:val="88"/>
              </w:rPr>
              <w:t>Large accelerated filer</w:t>
            </w:r>
          </w:p>
        </w:tc>
        <w:tc>
          <w:tcPr>
            <w:tcW w:w="3020" w:type="dxa"/>
            <w:vAlign w:val="bottom"/>
          </w:tcPr>
          <w:p>
            <w:pPr>
              <w:jc w:val="right"/>
              <w:ind w:right="2592"/>
              <w:spacing w:after="0"/>
              <w:rPr>
                <w:sz w:val="20"/>
                <w:szCs w:val="20"/>
                <w:color w:val="auto"/>
              </w:rPr>
            </w:pPr>
            <w:r>
              <w:rPr>
                <w:rFonts w:ascii="Arial" w:cs="Arial" w:eastAsia="Arial" w:hAnsi="Arial"/>
                <w:sz w:val="18"/>
                <w:szCs w:val="18"/>
                <w:color w:val="auto"/>
              </w:rPr>
              <w:t>___</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Accelerated filer ___</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184"/>
        </w:trPr>
        <w:tc>
          <w:tcPr>
            <w:tcW w:w="2140" w:type="dxa"/>
            <w:vAlign w:val="bottom"/>
            <w:gridSpan w:val="3"/>
          </w:tcPr>
          <w:p>
            <w:pPr>
              <w:ind w:left="540"/>
              <w:spacing w:after="0" w:line="184" w:lineRule="exact"/>
              <w:rPr>
                <w:sz w:val="20"/>
                <w:szCs w:val="20"/>
                <w:color w:val="auto"/>
              </w:rPr>
            </w:pPr>
            <w:r>
              <w:rPr>
                <w:rFonts w:ascii="Arial" w:cs="Arial" w:eastAsia="Arial" w:hAnsi="Arial"/>
                <w:sz w:val="18"/>
                <w:szCs w:val="18"/>
                <w:color w:val="auto"/>
                <w:w w:val="95"/>
              </w:rPr>
              <w:t>Non-accelerated filer</w:t>
            </w:r>
          </w:p>
        </w:tc>
        <w:tc>
          <w:tcPr>
            <w:tcW w:w="3020" w:type="dxa"/>
            <w:vAlign w:val="bottom"/>
          </w:tcPr>
          <w:p>
            <w:pPr>
              <w:jc w:val="right"/>
              <w:ind w:right="92"/>
              <w:spacing w:after="0" w:line="184" w:lineRule="exact"/>
              <w:rPr>
                <w:sz w:val="20"/>
                <w:szCs w:val="20"/>
                <w:color w:val="auto"/>
              </w:rPr>
            </w:pPr>
            <w:r>
              <w:rPr>
                <w:rFonts w:ascii="Arial" w:cs="Arial" w:eastAsia="Arial" w:hAnsi="Arial"/>
                <w:sz w:val="18"/>
                <w:szCs w:val="18"/>
                <w:color w:val="auto"/>
                <w:w w:val="94"/>
              </w:rPr>
              <w:t xml:space="preserve">___ </w:t>
            </w:r>
            <w:r>
              <w:rPr>
                <w:rFonts w:ascii="Arial" w:cs="Arial" w:eastAsia="Arial" w:hAnsi="Arial"/>
                <w:sz w:val="13"/>
                <w:szCs w:val="13"/>
                <w:color w:val="auto"/>
                <w:w w:val="94"/>
              </w:rPr>
              <w:t>(Do not check if a smaller reporting company)</w:t>
            </w:r>
          </w:p>
        </w:tc>
        <w:tc>
          <w:tcPr>
            <w:tcW w:w="4480" w:type="dxa"/>
            <w:vAlign w:val="bottom"/>
            <w:gridSpan w:val="3"/>
          </w:tcPr>
          <w:p>
            <w:pPr>
              <w:ind w:left="220"/>
              <w:spacing w:after="0" w:line="184" w:lineRule="exact"/>
              <w:rPr>
                <w:sz w:val="20"/>
                <w:szCs w:val="20"/>
                <w:color w:val="auto"/>
              </w:rPr>
            </w:pPr>
            <w:r>
              <w:rPr>
                <w:rFonts w:ascii="Arial" w:cs="Arial" w:eastAsia="Arial" w:hAnsi="Arial"/>
                <w:sz w:val="18"/>
                <w:szCs w:val="18"/>
                <w:color w:val="auto"/>
              </w:rPr>
              <w:t>Smaller reporting company X</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60" w:type="dxa"/>
            <w:vAlign w:val="bottom"/>
            <w:gridSpan w:val="3"/>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44"/>
        </w:trPr>
        <w:tc>
          <w:tcPr>
            <w:tcW w:w="9640" w:type="dxa"/>
            <w:vAlign w:val="bottom"/>
            <w:gridSpan w:val="7"/>
          </w:tcPr>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84"/>
        </w:trPr>
        <w:tc>
          <w:tcPr>
            <w:tcW w:w="2140" w:type="dxa"/>
            <w:vAlign w:val="bottom"/>
            <w:gridSpan w:val="3"/>
          </w:tcPr>
          <w:p>
            <w:pPr>
              <w:spacing w:after="0" w:line="184" w:lineRule="exact"/>
              <w:rPr>
                <w:sz w:val="20"/>
                <w:szCs w:val="20"/>
                <w:color w:val="auto"/>
              </w:rPr>
            </w:pPr>
            <w:r>
              <w:rPr>
                <w:rFonts w:ascii="Arial" w:cs="Arial" w:eastAsia="Arial" w:hAnsi="Arial"/>
                <w:sz w:val="18"/>
                <w:szCs w:val="18"/>
                <w:color w:val="auto"/>
              </w:rPr>
              <w:t>YES ___  NO X</w:t>
            </w:r>
          </w:p>
        </w:tc>
        <w:tc>
          <w:tcPr>
            <w:tcW w:w="30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51"/>
        </w:trPr>
        <w:tc>
          <w:tcPr>
            <w:tcW w:w="9640" w:type="dxa"/>
            <w:vAlign w:val="bottom"/>
            <w:gridSpan w:val="7"/>
          </w:tcPr>
          <w:p>
            <w:pPr>
              <w:spacing w:after="0"/>
              <w:rPr>
                <w:sz w:val="20"/>
                <w:szCs w:val="20"/>
                <w:color w:val="auto"/>
              </w:rPr>
            </w:pPr>
            <w:r>
              <w:rPr>
                <w:rFonts w:ascii="Arial" w:cs="Arial" w:eastAsia="Arial" w:hAnsi="Arial"/>
                <w:sz w:val="18"/>
                <w:szCs w:val="18"/>
                <w:color w:val="auto"/>
              </w:rPr>
              <w:t>Number of shares of Common Stock, $.01 par value, outstanding as of the close of business on October 31, 2013:</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92"/>
        </w:trPr>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180" w:type="dxa"/>
            <w:vAlign w:val="bottom"/>
          </w:tcPr>
          <w:p>
            <w:pPr>
              <w:jc w:val="center"/>
              <w:ind w:right="992"/>
              <w:spacing w:after="0"/>
              <w:rPr>
                <w:sz w:val="20"/>
                <w:szCs w:val="20"/>
                <w:color w:val="auto"/>
              </w:rPr>
            </w:pPr>
            <w:r>
              <w:rPr>
                <w:rFonts w:ascii="Arial" w:cs="Arial" w:eastAsia="Arial" w:hAnsi="Arial"/>
                <w:sz w:val="18"/>
                <w:szCs w:val="18"/>
                <w:color w:val="auto"/>
                <w:w w:val="86"/>
              </w:rPr>
              <w:t>10,557,678</w:t>
            </w: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175"/>
        </w:trPr>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50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6"/>
              </w:rPr>
              <w:t>inTEST CORPORATION</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480" w:type="dxa"/>
            <w:vAlign w:val="bottom"/>
            <w:gridSpan w:val="3"/>
          </w:tcPr>
          <w:p>
            <w:pPr>
              <w:jc w:val="center"/>
              <w:ind w:right="3360"/>
              <w:spacing w:after="0"/>
              <w:rPr>
                <w:sz w:val="20"/>
                <w:szCs w:val="20"/>
                <w:color w:val="auto"/>
              </w:rPr>
            </w:pPr>
            <w:r>
              <w:rPr>
                <w:rFonts w:ascii="Arial" w:cs="Arial" w:eastAsia="Arial" w:hAnsi="Arial"/>
                <w:sz w:val="18"/>
                <w:szCs w:val="18"/>
                <w:b w:val="1"/>
                <w:bCs w:val="1"/>
                <w:color w:val="auto"/>
              </w:rPr>
              <w:t>INDEX</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905"/>
        </w:trPr>
        <w:tc>
          <w:tcPr>
            <w:tcW w:w="5160" w:type="dxa"/>
            <w:vAlign w:val="bottom"/>
            <w:gridSpan w:val="4"/>
          </w:tcPr>
          <w:p>
            <w:pPr>
              <w:ind w:left="960"/>
              <w:spacing w:after="0"/>
              <w:rPr>
                <w:sz w:val="20"/>
                <w:szCs w:val="20"/>
                <w:color w:val="auto"/>
              </w:rPr>
            </w:pPr>
            <w:r>
              <w:rPr>
                <w:rFonts w:ascii="Arial" w:cs="Arial" w:eastAsia="Arial" w:hAnsi="Arial"/>
                <w:sz w:val="18"/>
                <w:szCs w:val="18"/>
                <w:b w:val="1"/>
                <w:bCs w:val="1"/>
                <w:color w:val="auto"/>
              </w:rPr>
              <w:t>PART I.  FINANCIAL INFORMATION</w:t>
            </w:r>
          </w:p>
        </w:tc>
        <w:tc>
          <w:tcPr>
            <w:tcW w:w="2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5"/>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700" w:type="dxa"/>
            <w:vAlign w:val="bottom"/>
            <w:gridSpan w:val="2"/>
          </w:tcPr>
          <w:p>
            <w:pPr>
              <w:jc w:val="center"/>
              <w:ind w:left="252"/>
              <w:spacing w:after="0" w:line="205" w:lineRule="exact"/>
              <w:rPr>
                <w:sz w:val="20"/>
                <w:szCs w:val="20"/>
                <w:color w:val="auto"/>
              </w:rPr>
            </w:pPr>
            <w:r>
              <w:rPr>
                <w:rFonts w:ascii="Arial" w:cs="Arial" w:eastAsia="Arial" w:hAnsi="Arial"/>
                <w:sz w:val="18"/>
                <w:szCs w:val="18"/>
                <w:b w:val="1"/>
                <w:bCs w:val="1"/>
                <w:color w:val="auto"/>
                <w:w w:val="83"/>
              </w:rPr>
              <w:t>Page</w:t>
            </w:r>
          </w:p>
        </w:tc>
      </w:tr>
      <w:tr>
        <w:trPr>
          <w:trHeight w:val="262"/>
        </w:trPr>
        <w:tc>
          <w:tcPr>
            <w:tcW w:w="5160" w:type="dxa"/>
            <w:vAlign w:val="bottom"/>
            <w:gridSpan w:val="4"/>
          </w:tcPr>
          <w:p>
            <w:pPr>
              <w:ind w:left="960"/>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2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r>
      <w:tr>
        <w:trPr>
          <w:trHeight w:val="513"/>
        </w:trPr>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60" w:type="dxa"/>
            <w:vAlign w:val="bottom"/>
            <w:gridSpan w:val="5"/>
          </w:tcPr>
          <w:p>
            <w:pPr>
              <w:ind w:left="360"/>
              <w:spacing w:after="0"/>
              <w:rPr>
                <w:sz w:val="20"/>
                <w:szCs w:val="20"/>
                <w:color w:val="auto"/>
              </w:rPr>
            </w:pPr>
            <w:r>
              <w:rPr>
                <w:rFonts w:ascii="Arial" w:cs="Arial" w:eastAsia="Arial" w:hAnsi="Arial"/>
                <w:sz w:val="18"/>
                <w:szCs w:val="18"/>
                <w:color w:val="auto"/>
              </w:rPr>
              <w:t>Consolidated Balance Sheets as of September 30, 2013 (Unaudited) and December 31, 2012</w:t>
            </w:r>
          </w:p>
        </w:tc>
        <w:tc>
          <w:tcPr>
            <w:tcW w:w="700" w:type="dxa"/>
            <w:vAlign w:val="bottom"/>
            <w:gridSpan w:val="2"/>
          </w:tcPr>
          <w:p>
            <w:pPr>
              <w:jc w:val="center"/>
              <w:ind w:left="232"/>
              <w:spacing w:after="0"/>
              <w:rPr>
                <w:sz w:val="20"/>
                <w:szCs w:val="20"/>
                <w:color w:val="auto"/>
              </w:rPr>
            </w:pPr>
            <w:r>
              <w:rPr>
                <w:rFonts w:ascii="Arial" w:cs="Arial" w:eastAsia="Arial" w:hAnsi="Arial"/>
                <w:sz w:val="18"/>
                <w:szCs w:val="18"/>
                <w:color w:val="auto"/>
                <w:w w:val="99"/>
              </w:rPr>
              <w:t>1</w:t>
            </w:r>
          </w:p>
        </w:tc>
      </w:tr>
      <w:tr>
        <w:trPr>
          <w:trHeight w:val="237"/>
        </w:trPr>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60" w:type="dxa"/>
            <w:vAlign w:val="bottom"/>
            <w:gridSpan w:val="5"/>
          </w:tcPr>
          <w:p>
            <w:pPr>
              <w:ind w:left="360"/>
              <w:spacing w:after="0"/>
              <w:rPr>
                <w:sz w:val="20"/>
                <w:szCs w:val="20"/>
                <w:color w:val="auto"/>
              </w:rPr>
            </w:pPr>
            <w:r>
              <w:rPr>
                <w:rFonts w:ascii="Arial" w:cs="Arial" w:eastAsia="Arial" w:hAnsi="Arial"/>
                <w:sz w:val="18"/>
                <w:szCs w:val="18"/>
                <w:color w:val="auto"/>
              </w:rPr>
              <w:t>Unaudited Consolidated Statements of Operations for the three months and nine months ended</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2"/>
        </w:trPr>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80" w:type="dxa"/>
            <w:vAlign w:val="bottom"/>
            <w:gridSpan w:val="2"/>
          </w:tcPr>
          <w:p>
            <w:pPr>
              <w:ind w:left="480"/>
              <w:spacing w:after="0"/>
              <w:rPr>
                <w:sz w:val="20"/>
                <w:szCs w:val="20"/>
                <w:color w:val="auto"/>
              </w:rPr>
            </w:pPr>
            <w:r>
              <w:rPr>
                <w:rFonts w:ascii="Arial" w:cs="Arial" w:eastAsia="Arial" w:hAnsi="Arial"/>
                <w:sz w:val="18"/>
                <w:szCs w:val="18"/>
                <w:color w:val="auto"/>
              </w:rPr>
              <w:t>September 30, 2013 and 2012</w:t>
            </w:r>
          </w:p>
        </w:tc>
        <w:tc>
          <w:tcPr>
            <w:tcW w:w="2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00" w:type="dxa"/>
            <w:vAlign w:val="bottom"/>
            <w:gridSpan w:val="2"/>
          </w:tcPr>
          <w:p>
            <w:pPr>
              <w:jc w:val="center"/>
              <w:ind w:left="232"/>
              <w:spacing w:after="0"/>
              <w:rPr>
                <w:sz w:val="20"/>
                <w:szCs w:val="20"/>
                <w:color w:val="auto"/>
              </w:rPr>
            </w:pPr>
            <w:r>
              <w:rPr>
                <w:rFonts w:ascii="Arial" w:cs="Arial" w:eastAsia="Arial" w:hAnsi="Arial"/>
                <w:sz w:val="18"/>
                <w:szCs w:val="18"/>
                <w:color w:val="auto"/>
                <w:w w:val="99"/>
              </w:rPr>
              <w:t>2</w:t>
            </w:r>
          </w:p>
        </w:tc>
      </w:tr>
      <w:tr>
        <w:trPr>
          <w:trHeight w:val="237"/>
        </w:trPr>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60" w:type="dxa"/>
            <w:vAlign w:val="bottom"/>
            <w:gridSpan w:val="5"/>
          </w:tcPr>
          <w:p>
            <w:pPr>
              <w:ind w:left="360"/>
              <w:spacing w:after="0"/>
              <w:rPr>
                <w:sz w:val="20"/>
                <w:szCs w:val="20"/>
                <w:color w:val="auto"/>
              </w:rPr>
            </w:pPr>
            <w:r>
              <w:rPr>
                <w:rFonts w:ascii="Arial" w:cs="Arial" w:eastAsia="Arial" w:hAnsi="Arial"/>
                <w:sz w:val="18"/>
                <w:szCs w:val="18"/>
                <w:color w:val="auto"/>
                <w:w w:val="96"/>
              </w:rPr>
              <w:t>Unaudited Consolidated Statements of Comprehensive Earnings for the three months and nine months</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2"/>
        </w:trPr>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80" w:type="dxa"/>
            <w:vAlign w:val="bottom"/>
            <w:gridSpan w:val="2"/>
          </w:tcPr>
          <w:p>
            <w:pPr>
              <w:ind w:left="480"/>
              <w:spacing w:after="0"/>
              <w:rPr>
                <w:sz w:val="20"/>
                <w:szCs w:val="20"/>
                <w:color w:val="auto"/>
              </w:rPr>
            </w:pPr>
            <w:r>
              <w:rPr>
                <w:rFonts w:ascii="Arial" w:cs="Arial" w:eastAsia="Arial" w:hAnsi="Arial"/>
                <w:sz w:val="18"/>
                <w:szCs w:val="18"/>
                <w:color w:val="auto"/>
              </w:rPr>
              <w:t>ended September 30, 2013 and 2012</w:t>
            </w:r>
          </w:p>
        </w:tc>
        <w:tc>
          <w:tcPr>
            <w:tcW w:w="2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00" w:type="dxa"/>
            <w:vAlign w:val="bottom"/>
            <w:gridSpan w:val="2"/>
          </w:tcPr>
          <w:p>
            <w:pPr>
              <w:jc w:val="center"/>
              <w:ind w:left="232"/>
              <w:spacing w:after="0"/>
              <w:rPr>
                <w:sz w:val="20"/>
                <w:szCs w:val="20"/>
                <w:color w:val="auto"/>
              </w:rPr>
            </w:pPr>
            <w:r>
              <w:rPr>
                <w:rFonts w:ascii="Arial" w:cs="Arial" w:eastAsia="Arial" w:hAnsi="Arial"/>
                <w:sz w:val="18"/>
                <w:szCs w:val="18"/>
                <w:color w:val="auto"/>
                <w:w w:val="99"/>
              </w:rPr>
              <w:t>3</w:t>
            </w:r>
          </w:p>
        </w:tc>
      </w:tr>
      <w:tr>
        <w:trPr>
          <w:trHeight w:val="243"/>
        </w:trPr>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60" w:type="dxa"/>
            <w:vAlign w:val="bottom"/>
            <w:gridSpan w:val="5"/>
          </w:tcPr>
          <w:p>
            <w:pPr>
              <w:ind w:left="360"/>
              <w:spacing w:after="0"/>
              <w:rPr>
                <w:sz w:val="20"/>
                <w:szCs w:val="20"/>
                <w:color w:val="auto"/>
              </w:rPr>
            </w:pPr>
            <w:r>
              <w:rPr>
                <w:rFonts w:ascii="Arial" w:cs="Arial" w:eastAsia="Arial" w:hAnsi="Arial"/>
                <w:sz w:val="18"/>
                <w:szCs w:val="18"/>
                <w:color w:val="auto"/>
                <w:w w:val="92"/>
              </w:rPr>
              <w:t>Unaudited Consolidated Statement of Stockholders' Equity for the nine months ended September 30, 2013</w:t>
            </w:r>
          </w:p>
        </w:tc>
        <w:tc>
          <w:tcPr>
            <w:tcW w:w="700" w:type="dxa"/>
            <w:vAlign w:val="bottom"/>
            <w:gridSpan w:val="2"/>
          </w:tcPr>
          <w:p>
            <w:pPr>
              <w:jc w:val="center"/>
              <w:ind w:left="232"/>
              <w:spacing w:after="0"/>
              <w:rPr>
                <w:sz w:val="20"/>
                <w:szCs w:val="20"/>
                <w:color w:val="auto"/>
              </w:rPr>
            </w:pPr>
            <w:r>
              <w:rPr>
                <w:rFonts w:ascii="Arial" w:cs="Arial" w:eastAsia="Arial" w:hAnsi="Arial"/>
                <w:sz w:val="18"/>
                <w:szCs w:val="18"/>
                <w:color w:val="auto"/>
                <w:w w:val="99"/>
              </w:rPr>
              <w:t>4</w:t>
            </w:r>
          </w:p>
        </w:tc>
      </w:tr>
      <w:tr>
        <w:trPr>
          <w:trHeight w:val="243"/>
        </w:trPr>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60" w:type="dxa"/>
            <w:vAlign w:val="bottom"/>
            <w:gridSpan w:val="5"/>
          </w:tcPr>
          <w:p>
            <w:pPr>
              <w:ind w:left="360"/>
              <w:spacing w:after="0"/>
              <w:rPr>
                <w:sz w:val="20"/>
                <w:szCs w:val="20"/>
                <w:color w:val="auto"/>
              </w:rPr>
            </w:pPr>
            <w:r>
              <w:rPr>
                <w:rFonts w:ascii="Arial" w:cs="Arial" w:eastAsia="Arial" w:hAnsi="Arial"/>
                <w:sz w:val="18"/>
                <w:szCs w:val="18"/>
                <w:color w:val="auto"/>
                <w:w w:val="90"/>
              </w:rPr>
              <w:t>Unaudited Consolidated Statements of Cash Flows for the nine months ended September 30, 2013 and 2012</w:t>
            </w:r>
          </w:p>
        </w:tc>
        <w:tc>
          <w:tcPr>
            <w:tcW w:w="700" w:type="dxa"/>
            <w:vAlign w:val="bottom"/>
            <w:gridSpan w:val="2"/>
          </w:tcPr>
          <w:p>
            <w:pPr>
              <w:jc w:val="center"/>
              <w:ind w:left="232"/>
              <w:spacing w:after="0"/>
              <w:rPr>
                <w:sz w:val="20"/>
                <w:szCs w:val="20"/>
                <w:color w:val="auto"/>
              </w:rPr>
            </w:pPr>
            <w:r>
              <w:rPr>
                <w:rFonts w:ascii="Arial" w:cs="Arial" w:eastAsia="Arial" w:hAnsi="Arial"/>
                <w:sz w:val="18"/>
                <w:szCs w:val="18"/>
                <w:color w:val="auto"/>
                <w:w w:val="99"/>
              </w:rPr>
              <w:t>5</w:t>
            </w:r>
          </w:p>
        </w:tc>
      </w:tr>
    </w:tbl>
    <w:p>
      <w:pPr>
        <w:sectPr>
          <w:pgSz w:w="11900" w:h="16922" w:orient="portrait"/>
          <w:cols w:equalWidth="0" w:num="1">
            <w:col w:w="11280"/>
          </w:cols>
          <w:pgMar w:left="240" w:top="239" w:right="379" w:bottom="0" w:gutter="0" w:footer="0" w:header="0"/>
        </w:sectPr>
      </w:pPr>
    </w:p>
    <w:bookmarkStart w:id="1" w:name="page2"/>
    <w:bookmarkEnd w:id="1"/>
    <w:p>
      <w:pPr>
        <w:spacing w:after="0" w:line="57" w:lineRule="exact"/>
        <w:rPr>
          <w:sz w:val="20"/>
          <w:szCs w:val="20"/>
          <w:color w:val="auto"/>
        </w:rPr>
      </w:pPr>
    </w:p>
    <w:tbl>
      <w:tblPr>
        <w:tblLayout w:type="fixed"/>
        <w:tblInd w:w="960" w:type="dxa"/>
        <w:tblCellMar>
          <w:top w:w="0" w:type="dxa"/>
          <w:left w:w="0" w:type="dxa"/>
          <w:bottom w:w="0" w:type="dxa"/>
          <w:right w:w="0" w:type="dxa"/>
        </w:tblCellMar>
      </w:tblPr>
      <w:tr>
        <w:trPr>
          <w:trHeight w:val="222"/>
        </w:trPr>
        <w:tc>
          <w:tcPr>
            <w:tcW w:w="720" w:type="dxa"/>
            <w:vAlign w:val="bottom"/>
          </w:tcPr>
          <w:p>
            <w:pPr>
              <w:spacing w:after="0"/>
              <w:rPr>
                <w:sz w:val="19"/>
                <w:szCs w:val="19"/>
                <w:color w:val="auto"/>
              </w:rPr>
            </w:pPr>
          </w:p>
        </w:tc>
        <w:tc>
          <w:tcPr>
            <w:tcW w:w="7400" w:type="dxa"/>
            <w:vAlign w:val="bottom"/>
          </w:tcPr>
          <w:p>
            <w:pPr>
              <w:ind w:left="60"/>
              <w:spacing w:after="0"/>
              <w:rPr>
                <w:sz w:val="20"/>
                <w:szCs w:val="20"/>
                <w:color w:val="auto"/>
              </w:rPr>
            </w:pPr>
            <w:r>
              <w:rPr>
                <w:rFonts w:ascii="Arial" w:cs="Arial" w:eastAsia="Arial" w:hAnsi="Arial"/>
                <w:sz w:val="18"/>
                <w:szCs w:val="18"/>
                <w:color w:val="auto"/>
              </w:rPr>
              <w:t>Notes to Consolidated Financial Statements</w:t>
            </w:r>
          </w:p>
        </w:tc>
        <w:tc>
          <w:tcPr>
            <w:tcW w:w="1320" w:type="dxa"/>
            <w:vAlign w:val="bottom"/>
          </w:tcPr>
          <w:p>
            <w:pPr>
              <w:jc w:val="center"/>
              <w:ind w:left="732"/>
              <w:spacing w:after="0"/>
              <w:rPr>
                <w:sz w:val="20"/>
                <w:szCs w:val="20"/>
                <w:color w:val="auto"/>
              </w:rPr>
            </w:pPr>
            <w:r>
              <w:rPr>
                <w:rFonts w:ascii="Arial" w:cs="Arial" w:eastAsia="Arial" w:hAnsi="Arial"/>
                <w:sz w:val="18"/>
                <w:szCs w:val="18"/>
                <w:color w:val="auto"/>
                <w:w w:val="91"/>
              </w:rPr>
              <w:t>6 - 16</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400" w:type="dxa"/>
            <w:vAlign w:val="bottom"/>
          </w:tcPr>
          <w:p>
            <w:pPr>
              <w:ind w:left="60"/>
              <w:spacing w:after="0"/>
              <w:rPr>
                <w:sz w:val="20"/>
                <w:szCs w:val="20"/>
                <w:color w:val="auto"/>
              </w:rPr>
            </w:pPr>
            <w:r>
              <w:rPr>
                <w:rFonts w:ascii="Arial" w:cs="Arial" w:eastAsia="Arial" w:hAnsi="Arial"/>
                <w:sz w:val="18"/>
                <w:szCs w:val="18"/>
                <w:b w:val="1"/>
                <w:bCs w:val="1"/>
                <w:i w:val="1"/>
                <w:iCs w:val="1"/>
                <w:color w:val="auto"/>
                <w:w w:val="95"/>
              </w:rPr>
              <w:t>Management's Discussion and Analysis of Financial Condition and Results of Operations</w:t>
            </w:r>
          </w:p>
        </w:tc>
        <w:tc>
          <w:tcPr>
            <w:tcW w:w="1320" w:type="dxa"/>
            <w:vAlign w:val="bottom"/>
          </w:tcPr>
          <w:p>
            <w:pPr>
              <w:jc w:val="center"/>
              <w:ind w:left="732"/>
              <w:spacing w:after="0"/>
              <w:rPr>
                <w:sz w:val="20"/>
                <w:szCs w:val="20"/>
                <w:color w:val="auto"/>
              </w:rPr>
            </w:pPr>
            <w:r>
              <w:rPr>
                <w:rFonts w:ascii="Arial" w:cs="Arial" w:eastAsia="Arial" w:hAnsi="Arial"/>
                <w:sz w:val="18"/>
                <w:szCs w:val="18"/>
                <w:color w:val="auto"/>
                <w:w w:val="89"/>
              </w:rPr>
              <w:t>17 - 23</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4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1320" w:type="dxa"/>
            <w:vAlign w:val="bottom"/>
          </w:tcPr>
          <w:p>
            <w:pPr>
              <w:jc w:val="center"/>
              <w:ind w:left="732"/>
              <w:spacing w:after="0"/>
              <w:rPr>
                <w:sz w:val="20"/>
                <w:szCs w:val="20"/>
                <w:color w:val="auto"/>
              </w:rPr>
            </w:pPr>
            <w:r>
              <w:rPr>
                <w:rFonts w:ascii="Arial" w:cs="Arial" w:eastAsia="Arial" w:hAnsi="Arial"/>
                <w:sz w:val="18"/>
                <w:szCs w:val="18"/>
                <w:color w:val="auto"/>
                <w:w w:val="89"/>
              </w:rPr>
              <w:t>23</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4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Controls and Procedures</w:t>
            </w:r>
          </w:p>
        </w:tc>
        <w:tc>
          <w:tcPr>
            <w:tcW w:w="1320" w:type="dxa"/>
            <w:vAlign w:val="bottom"/>
          </w:tcPr>
          <w:p>
            <w:pPr>
              <w:jc w:val="center"/>
              <w:ind w:left="732"/>
              <w:spacing w:after="0"/>
              <w:rPr>
                <w:sz w:val="20"/>
                <w:szCs w:val="20"/>
                <w:color w:val="auto"/>
              </w:rPr>
            </w:pPr>
            <w:r>
              <w:rPr>
                <w:rFonts w:ascii="Arial" w:cs="Arial" w:eastAsia="Arial" w:hAnsi="Arial"/>
                <w:sz w:val="18"/>
                <w:szCs w:val="18"/>
                <w:color w:val="auto"/>
                <w:w w:val="89"/>
              </w:rPr>
              <w:t>23</w:t>
            </w:r>
          </w:p>
        </w:tc>
      </w:tr>
      <w:tr>
        <w:trPr>
          <w:trHeight w:val="756"/>
        </w:trPr>
        <w:tc>
          <w:tcPr>
            <w:tcW w:w="7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400" w:type="dxa"/>
            <w:vAlign w:val="bottom"/>
          </w:tcPr>
          <w:p>
            <w:pPr>
              <w:ind w:left="60"/>
              <w:spacing w:after="0"/>
              <w:rPr>
                <w:sz w:val="20"/>
                <w:szCs w:val="20"/>
                <w:color w:val="auto"/>
              </w:rPr>
            </w:pPr>
            <w:r>
              <w:rPr>
                <w:rFonts w:ascii="Arial" w:cs="Arial" w:eastAsia="Arial" w:hAnsi="Arial"/>
                <w:sz w:val="18"/>
                <w:szCs w:val="18"/>
                <w:b w:val="1"/>
                <w:bCs w:val="1"/>
                <w:color w:val="auto"/>
              </w:rPr>
              <w:t>OTHER INFORMATION</w:t>
            </w:r>
          </w:p>
        </w:tc>
        <w:tc>
          <w:tcPr>
            <w:tcW w:w="1320" w:type="dxa"/>
            <w:vAlign w:val="bottom"/>
          </w:tcPr>
          <w:p>
            <w:pPr>
              <w:spacing w:after="0"/>
              <w:rPr>
                <w:sz w:val="24"/>
                <w:szCs w:val="24"/>
                <w:color w:val="auto"/>
              </w:rPr>
            </w:pP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74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Legal Proceedings</w:t>
            </w:r>
          </w:p>
        </w:tc>
        <w:tc>
          <w:tcPr>
            <w:tcW w:w="1320" w:type="dxa"/>
            <w:vAlign w:val="bottom"/>
          </w:tcPr>
          <w:p>
            <w:pPr>
              <w:jc w:val="center"/>
              <w:ind w:left="732"/>
              <w:spacing w:after="0"/>
              <w:rPr>
                <w:sz w:val="20"/>
                <w:szCs w:val="20"/>
                <w:color w:val="auto"/>
              </w:rPr>
            </w:pPr>
            <w:r>
              <w:rPr>
                <w:rFonts w:ascii="Arial" w:cs="Arial" w:eastAsia="Arial" w:hAnsi="Arial"/>
                <w:sz w:val="18"/>
                <w:szCs w:val="18"/>
                <w:color w:val="auto"/>
                <w:w w:val="89"/>
              </w:rPr>
              <w:t>24</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w w:val="99"/>
              </w:rPr>
              <w:t>Item 1A.</w:t>
            </w:r>
          </w:p>
        </w:tc>
        <w:tc>
          <w:tcPr>
            <w:tcW w:w="74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Risk Factors</w:t>
            </w:r>
          </w:p>
        </w:tc>
        <w:tc>
          <w:tcPr>
            <w:tcW w:w="1320" w:type="dxa"/>
            <w:vAlign w:val="bottom"/>
          </w:tcPr>
          <w:p>
            <w:pPr>
              <w:jc w:val="center"/>
              <w:ind w:left="732"/>
              <w:spacing w:after="0"/>
              <w:rPr>
                <w:sz w:val="20"/>
                <w:szCs w:val="20"/>
                <w:color w:val="auto"/>
              </w:rPr>
            </w:pPr>
            <w:r>
              <w:rPr>
                <w:rFonts w:ascii="Arial" w:cs="Arial" w:eastAsia="Arial" w:hAnsi="Arial"/>
                <w:sz w:val="18"/>
                <w:szCs w:val="18"/>
                <w:color w:val="auto"/>
                <w:w w:val="89"/>
              </w:rPr>
              <w:t>24</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4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1320" w:type="dxa"/>
            <w:vAlign w:val="bottom"/>
          </w:tcPr>
          <w:p>
            <w:pPr>
              <w:jc w:val="center"/>
              <w:ind w:left="732"/>
              <w:spacing w:after="0"/>
              <w:rPr>
                <w:sz w:val="20"/>
                <w:szCs w:val="20"/>
                <w:color w:val="auto"/>
              </w:rPr>
            </w:pPr>
            <w:r>
              <w:rPr>
                <w:rFonts w:ascii="Arial" w:cs="Arial" w:eastAsia="Arial" w:hAnsi="Arial"/>
                <w:sz w:val="18"/>
                <w:szCs w:val="18"/>
                <w:color w:val="auto"/>
                <w:w w:val="89"/>
              </w:rPr>
              <w:t>24</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4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1320" w:type="dxa"/>
            <w:vAlign w:val="bottom"/>
          </w:tcPr>
          <w:p>
            <w:pPr>
              <w:jc w:val="center"/>
              <w:ind w:left="732"/>
              <w:spacing w:after="0"/>
              <w:rPr>
                <w:sz w:val="20"/>
                <w:szCs w:val="20"/>
                <w:color w:val="auto"/>
              </w:rPr>
            </w:pPr>
            <w:r>
              <w:rPr>
                <w:rFonts w:ascii="Arial" w:cs="Arial" w:eastAsia="Arial" w:hAnsi="Arial"/>
                <w:sz w:val="18"/>
                <w:szCs w:val="18"/>
                <w:color w:val="auto"/>
                <w:w w:val="89"/>
              </w:rPr>
              <w:t>24</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4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Mine Safety Disclosures</w:t>
            </w:r>
          </w:p>
        </w:tc>
        <w:tc>
          <w:tcPr>
            <w:tcW w:w="1320" w:type="dxa"/>
            <w:vAlign w:val="bottom"/>
          </w:tcPr>
          <w:p>
            <w:pPr>
              <w:jc w:val="center"/>
              <w:ind w:left="732"/>
              <w:spacing w:after="0"/>
              <w:rPr>
                <w:sz w:val="20"/>
                <w:szCs w:val="20"/>
                <w:color w:val="auto"/>
              </w:rPr>
            </w:pPr>
            <w:r>
              <w:rPr>
                <w:rFonts w:ascii="Arial" w:cs="Arial" w:eastAsia="Arial" w:hAnsi="Arial"/>
                <w:sz w:val="18"/>
                <w:szCs w:val="18"/>
                <w:color w:val="auto"/>
                <w:w w:val="89"/>
              </w:rPr>
              <w:t>24</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74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Other Information</w:t>
            </w:r>
          </w:p>
        </w:tc>
        <w:tc>
          <w:tcPr>
            <w:tcW w:w="1320" w:type="dxa"/>
            <w:vAlign w:val="bottom"/>
          </w:tcPr>
          <w:p>
            <w:pPr>
              <w:jc w:val="center"/>
              <w:ind w:left="732"/>
              <w:spacing w:after="0"/>
              <w:rPr>
                <w:sz w:val="20"/>
                <w:szCs w:val="20"/>
                <w:color w:val="auto"/>
              </w:rPr>
            </w:pPr>
            <w:r>
              <w:rPr>
                <w:rFonts w:ascii="Arial" w:cs="Arial" w:eastAsia="Arial" w:hAnsi="Arial"/>
                <w:sz w:val="18"/>
                <w:szCs w:val="18"/>
                <w:color w:val="auto"/>
                <w:w w:val="89"/>
              </w:rPr>
              <w:t>24</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74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Exhibits</w:t>
            </w:r>
          </w:p>
        </w:tc>
        <w:tc>
          <w:tcPr>
            <w:tcW w:w="1320" w:type="dxa"/>
            <w:vAlign w:val="bottom"/>
          </w:tcPr>
          <w:p>
            <w:pPr>
              <w:jc w:val="center"/>
              <w:ind w:left="732"/>
              <w:spacing w:after="0"/>
              <w:rPr>
                <w:sz w:val="20"/>
                <w:szCs w:val="20"/>
                <w:color w:val="auto"/>
              </w:rPr>
            </w:pPr>
            <w:r>
              <w:rPr>
                <w:rFonts w:ascii="Arial" w:cs="Arial" w:eastAsia="Arial" w:hAnsi="Arial"/>
                <w:sz w:val="18"/>
                <w:szCs w:val="18"/>
                <w:color w:val="auto"/>
                <w:w w:val="89"/>
              </w:rPr>
              <w:t>24</w:t>
            </w:r>
          </w:p>
        </w:tc>
      </w:tr>
      <w:tr>
        <w:trPr>
          <w:trHeight w:val="513"/>
        </w:trPr>
        <w:tc>
          <w:tcPr>
            <w:tcW w:w="8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Signatures</w:t>
            </w:r>
          </w:p>
        </w:tc>
        <w:tc>
          <w:tcPr>
            <w:tcW w:w="1320" w:type="dxa"/>
            <w:vAlign w:val="bottom"/>
          </w:tcPr>
          <w:p>
            <w:pPr>
              <w:jc w:val="center"/>
              <w:ind w:left="732"/>
              <w:spacing w:after="0"/>
              <w:rPr>
                <w:sz w:val="20"/>
                <w:szCs w:val="20"/>
                <w:color w:val="auto"/>
              </w:rPr>
            </w:pPr>
            <w:r>
              <w:rPr>
                <w:rFonts w:ascii="Arial" w:cs="Arial" w:eastAsia="Arial" w:hAnsi="Arial"/>
                <w:sz w:val="18"/>
                <w:szCs w:val="18"/>
                <w:color w:val="auto"/>
                <w:w w:val="89"/>
              </w:rPr>
              <w:t>25</w:t>
            </w:r>
          </w:p>
        </w:tc>
      </w:tr>
      <w:tr>
        <w:trPr>
          <w:trHeight w:val="243"/>
        </w:trPr>
        <w:tc>
          <w:tcPr>
            <w:tcW w:w="8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Index to Exhibits</w:t>
            </w:r>
          </w:p>
        </w:tc>
        <w:tc>
          <w:tcPr>
            <w:tcW w:w="1320" w:type="dxa"/>
            <w:vAlign w:val="bottom"/>
          </w:tcPr>
          <w:p>
            <w:pPr>
              <w:jc w:val="center"/>
              <w:ind w:left="732"/>
              <w:spacing w:after="0"/>
              <w:rPr>
                <w:sz w:val="20"/>
                <w:szCs w:val="20"/>
                <w:color w:val="auto"/>
              </w:rPr>
            </w:pPr>
            <w:r>
              <w:rPr>
                <w:rFonts w:ascii="Arial" w:cs="Arial" w:eastAsia="Arial" w:hAnsi="Arial"/>
                <w:sz w:val="18"/>
                <w:szCs w:val="18"/>
                <w:color w:val="auto"/>
                <w:w w:val="89"/>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gridSpan w:val="4"/>
          </w:tcPr>
          <w:p>
            <w:pPr>
              <w:jc w:val="center"/>
              <w:ind w:left="2992"/>
              <w:spacing w:after="0"/>
              <w:rPr>
                <w:sz w:val="20"/>
                <w:szCs w:val="20"/>
                <w:color w:val="auto"/>
              </w:rPr>
            </w:pPr>
            <w:r>
              <w:rPr>
                <w:rFonts w:ascii="Arial" w:cs="Arial" w:eastAsia="Arial" w:hAnsi="Arial"/>
                <w:sz w:val="18"/>
                <w:szCs w:val="18"/>
                <w:b w:val="1"/>
                <w:bCs w:val="1"/>
                <w:color w:val="auto"/>
                <w:w w:val="99"/>
              </w:rPr>
              <w:t>PART 1. FINANCIAL INFORMATION</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2"/>
        </w:trPr>
        <w:tc>
          <w:tcPr>
            <w:tcW w:w="68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9"/>
        </w:trPr>
        <w:tc>
          <w:tcPr>
            <w:tcW w:w="6880" w:type="dxa"/>
            <w:vAlign w:val="bottom"/>
          </w:tcPr>
          <w:p>
            <w:pPr>
              <w:jc w:val="center"/>
              <w:ind w:left="4472"/>
              <w:spacing w:after="0"/>
              <w:rPr>
                <w:sz w:val="20"/>
                <w:szCs w:val="20"/>
                <w:color w:val="auto"/>
              </w:rPr>
            </w:pPr>
            <w:r>
              <w:rPr>
                <w:rFonts w:ascii="Arial" w:cs="Arial" w:eastAsia="Arial" w:hAnsi="Arial"/>
                <w:sz w:val="18"/>
                <w:szCs w:val="18"/>
                <w:b w:val="1"/>
                <w:bCs w:val="1"/>
                <w:color w:val="auto"/>
                <w:w w:val="96"/>
              </w:rPr>
              <w:t>inTEST CORPORATION</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color w:val="auto"/>
                <w:w w:val="85"/>
              </w:rPr>
              <w:t>(In thousands, except share and per share data)</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688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6"/>
              </w:rPr>
              <w:t>Sept. 30,</w:t>
            </w:r>
          </w:p>
        </w:tc>
        <w:tc>
          <w:tcPr>
            <w:tcW w:w="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2013</w:t>
            </w:r>
          </w:p>
        </w:tc>
        <w:tc>
          <w:tcPr>
            <w:tcW w:w="320" w:type="dxa"/>
            <w:vAlign w:val="bottom"/>
          </w:tcPr>
          <w:p>
            <w:pPr>
              <w:spacing w:after="0"/>
              <w:rPr>
                <w:sz w:val="17"/>
                <w:szCs w:val="17"/>
                <w:color w:val="auto"/>
              </w:rPr>
            </w:pPr>
          </w:p>
        </w:tc>
        <w:tc>
          <w:tcPr>
            <w:tcW w:w="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2012</w:t>
            </w:r>
          </w:p>
        </w:tc>
        <w:tc>
          <w:tcPr>
            <w:tcW w:w="100" w:type="dxa"/>
            <w:vAlign w:val="bottom"/>
          </w:tcPr>
          <w:p>
            <w:pPr>
              <w:spacing w:after="0"/>
              <w:rPr>
                <w:sz w:val="17"/>
                <w:szCs w:val="17"/>
                <w:color w:val="auto"/>
              </w:rPr>
            </w:pPr>
          </w:p>
        </w:tc>
      </w:tr>
      <w:tr>
        <w:trPr>
          <w:trHeight w:val="203"/>
        </w:trPr>
        <w:tc>
          <w:tcPr>
            <w:tcW w:w="6880" w:type="dxa"/>
            <w:vAlign w:val="bottom"/>
          </w:tcPr>
          <w:p>
            <w:pPr>
              <w:spacing w:after="0"/>
              <w:rPr>
                <w:sz w:val="17"/>
                <w:szCs w:val="17"/>
                <w:color w:val="auto"/>
              </w:rPr>
            </w:pPr>
          </w:p>
        </w:tc>
        <w:tc>
          <w:tcPr>
            <w:tcW w:w="14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4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$16,751</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$15,576</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doubtful accounts of $147 and $147, respectively</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7,398</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5,501</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3,484</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3,135</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1,132</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1,004</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Prepaid expenses and other current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387</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363</w:t>
            </w:r>
          </w:p>
        </w:tc>
        <w:tc>
          <w:tcPr>
            <w:tcW w:w="100" w:type="dxa"/>
            <w:vAlign w:val="bottom"/>
          </w:tcPr>
          <w:p>
            <w:pPr>
              <w:spacing w:after="0"/>
              <w:rPr>
                <w:sz w:val="14"/>
                <w:szCs w:val="14"/>
                <w:color w:val="auto"/>
              </w:rPr>
            </w:pP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114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29,152</w:t>
            </w:r>
          </w:p>
        </w:tc>
        <w:tc>
          <w:tcPr>
            <w:tcW w:w="320" w:type="dxa"/>
            <w:vAlign w:val="bottom"/>
          </w:tcPr>
          <w:p>
            <w:pPr>
              <w:spacing w:after="0"/>
              <w:rPr>
                <w:sz w:val="15"/>
                <w:szCs w:val="15"/>
                <w:color w:val="auto"/>
              </w:rPr>
            </w:pPr>
          </w:p>
        </w:tc>
        <w:tc>
          <w:tcPr>
            <w:tcW w:w="94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25,579</w:t>
            </w: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4,045</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3,948</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Leasehold improvements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594</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591</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Gross property and equipment</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4,639</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4,539</w:t>
            </w:r>
          </w:p>
        </w:tc>
        <w:tc>
          <w:tcPr>
            <w:tcW w:w="100" w:type="dxa"/>
            <w:vAlign w:val="bottom"/>
          </w:tcPr>
          <w:p>
            <w:pPr>
              <w:spacing w:after="0"/>
              <w:rPr>
                <w:sz w:val="19"/>
                <w:szCs w:val="19"/>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Less: accumulated depreciation</w:t>
            </w:r>
          </w:p>
        </w:tc>
        <w:tc>
          <w:tcPr>
            <w:tcW w:w="400" w:type="dxa"/>
            <w:vAlign w:val="bottom"/>
          </w:tcPr>
          <w:p>
            <w:pPr>
              <w:spacing w:after="0"/>
              <w:rPr>
                <w:sz w:val="14"/>
                <w:szCs w:val="14"/>
                <w:color w:val="auto"/>
              </w:rPr>
            </w:pPr>
          </w:p>
        </w:tc>
        <w:tc>
          <w:tcPr>
            <w:tcW w:w="1060" w:type="dxa"/>
            <w:vAlign w:val="bottom"/>
            <w:gridSpan w:val="2"/>
          </w:tcPr>
          <w:p>
            <w:pPr>
              <w:jc w:val="right"/>
              <w:ind w:right="220"/>
              <w:spacing w:after="0" w:line="164" w:lineRule="exact"/>
              <w:rPr>
                <w:sz w:val="20"/>
                <w:szCs w:val="20"/>
                <w:color w:val="auto"/>
              </w:rPr>
            </w:pPr>
            <w:r>
              <w:rPr>
                <w:rFonts w:ascii="Courier New" w:cs="Courier New" w:eastAsia="Courier New" w:hAnsi="Courier New"/>
                <w:sz w:val="18"/>
                <w:szCs w:val="18"/>
                <w:color w:val="auto"/>
              </w:rPr>
              <w:t>(3,443)</w:t>
            </w:r>
          </w:p>
        </w:tc>
        <w:tc>
          <w:tcPr>
            <w:tcW w:w="94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(3,289)</w:t>
            </w: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4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1,196</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1,250</w:t>
            </w:r>
          </w:p>
        </w:tc>
        <w:tc>
          <w:tcPr>
            <w:tcW w:w="100" w:type="dxa"/>
            <w:vAlign w:val="bottom"/>
          </w:tcPr>
          <w:p>
            <w:pPr>
              <w:spacing w:after="0"/>
              <w:rPr>
                <w:sz w:val="15"/>
                <w:szCs w:val="15"/>
                <w:color w:val="auto"/>
              </w:rPr>
            </w:pP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958</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1,034</w:t>
            </w:r>
          </w:p>
        </w:tc>
        <w:tc>
          <w:tcPr>
            <w:tcW w:w="100" w:type="dxa"/>
            <w:vAlign w:val="bottom"/>
          </w:tcPr>
          <w:p>
            <w:pPr>
              <w:spacing w:after="0"/>
              <w:rPr>
                <w:sz w:val="19"/>
                <w:szCs w:val="19"/>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1,845</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2,194</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450</w:t>
            </w:r>
          </w:p>
        </w:tc>
        <w:tc>
          <w:tcPr>
            <w:tcW w:w="100" w:type="dxa"/>
            <w:vAlign w:val="bottom"/>
          </w:tcPr>
          <w:p>
            <w:pPr>
              <w:spacing w:after="0"/>
              <w:rPr>
                <w:sz w:val="17"/>
                <w:szCs w:val="17"/>
                <w:color w:val="auto"/>
              </w:rPr>
            </w:pPr>
          </w:p>
        </w:tc>
      </w:tr>
      <w:tr>
        <w:trPr>
          <w:trHeight w:val="164"/>
        </w:trPr>
        <w:tc>
          <w:tcPr>
            <w:tcW w:w="688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191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186</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$35,498</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$32,399</w:t>
            </w:r>
          </w:p>
        </w:tc>
        <w:tc>
          <w:tcPr>
            <w:tcW w:w="100" w:type="dxa"/>
            <w:vAlign w:val="bottom"/>
          </w:tcPr>
          <w:p>
            <w:pPr>
              <w:spacing w:after="0"/>
              <w:rPr>
                <w:sz w:val="19"/>
                <w:szCs w:val="19"/>
                <w:color w:val="auto"/>
              </w:rPr>
            </w:pP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$ 1,507</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$ 1,041</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wages and benefits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1,479</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1,562</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402</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348</w:t>
            </w:r>
          </w:p>
        </w:tc>
        <w:tc>
          <w:tcPr>
            <w:tcW w:w="100" w:type="dxa"/>
            <w:vAlign w:val="bottom"/>
          </w:tcPr>
          <w:p>
            <w:pPr>
              <w:spacing w:after="0"/>
              <w:rPr>
                <w:sz w:val="17"/>
                <w:szCs w:val="17"/>
                <w:color w:val="auto"/>
              </w:rPr>
            </w:pPr>
          </w:p>
        </w:tc>
      </w:tr>
    </w:tbl>
    <w:p>
      <w:pPr>
        <w:sectPr>
          <w:pgSz w:w="11900" w:h="16895" w:orient="portrait"/>
          <w:cols w:equalWidth="0" w:num="1">
            <w:col w:w="10400"/>
          </w:cols>
          <w:pgMar w:left="240" w:top="374" w:right="125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Accrued rent</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570</w:t>
            </w:r>
          </w:p>
        </w:tc>
        <w:tc>
          <w:tcPr>
            <w:tcW w:w="2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529</w:t>
            </w:r>
          </w:p>
        </w:tc>
        <w:tc>
          <w:tcPr>
            <w:tcW w:w="100" w:type="dxa"/>
            <w:vAlign w:val="bottom"/>
          </w:tcPr>
          <w:p>
            <w:pPr>
              <w:spacing w:after="0"/>
              <w:rPr>
                <w:sz w:val="17"/>
                <w:szCs w:val="17"/>
                <w:color w:val="auto"/>
              </w:rPr>
            </w:pPr>
          </w:p>
        </w:tc>
      </w:tr>
      <w:tr>
        <w:trPr>
          <w:trHeight w:val="203"/>
        </w:trPr>
        <w:tc>
          <w:tcPr>
            <w:tcW w:w="7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427</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385</w:t>
            </w:r>
          </w:p>
        </w:tc>
        <w:tc>
          <w:tcPr>
            <w:tcW w:w="100" w:type="dxa"/>
            <w:vAlign w:val="bottom"/>
          </w:tcPr>
          <w:p>
            <w:pPr>
              <w:spacing w:after="0"/>
              <w:rPr>
                <w:sz w:val="17"/>
                <w:szCs w:val="17"/>
                <w:color w:val="auto"/>
              </w:rPr>
            </w:pP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revenue and customer deposits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147</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255</w:t>
            </w:r>
          </w:p>
        </w:tc>
        <w:tc>
          <w:tcPr>
            <w:tcW w:w="100" w:type="dxa"/>
            <w:vAlign w:val="bottom"/>
          </w:tcPr>
          <w:p>
            <w:pPr>
              <w:spacing w:after="0"/>
              <w:rPr>
                <w:sz w:val="17"/>
                <w:szCs w:val="17"/>
                <w:color w:val="auto"/>
              </w:rPr>
            </w:pP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foreign income taxes payable</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332</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83</w:t>
            </w:r>
          </w:p>
        </w:tc>
        <w:tc>
          <w:tcPr>
            <w:tcW w:w="100" w:type="dxa"/>
            <w:vAlign w:val="bottom"/>
          </w:tcPr>
          <w:p>
            <w:pPr>
              <w:spacing w:after="0"/>
              <w:rPr>
                <w:sz w:val="17"/>
                <w:szCs w:val="17"/>
                <w:color w:val="auto"/>
              </w:rPr>
            </w:pPr>
          </w:p>
        </w:tc>
      </w:tr>
      <w:tr>
        <w:trPr>
          <w:trHeight w:val="164"/>
        </w:trPr>
        <w:tc>
          <w:tcPr>
            <w:tcW w:w="7060" w:type="dxa"/>
            <w:vAlign w:val="bottom"/>
            <w:gridSpan w:val="2"/>
          </w:tcPr>
          <w:p>
            <w:pPr>
              <w:ind w:left="220"/>
              <w:spacing w:after="0" w:line="164" w:lineRule="exact"/>
              <w:rPr>
                <w:sz w:val="20"/>
                <w:szCs w:val="20"/>
                <w:color w:val="auto"/>
              </w:rPr>
            </w:pPr>
            <w:r>
              <w:rPr>
                <w:rFonts w:ascii="Courier New" w:cs="Courier New" w:eastAsia="Courier New" w:hAnsi="Courier New"/>
                <w:sz w:val="18"/>
                <w:szCs w:val="18"/>
                <w:color w:val="auto"/>
              </w:rPr>
              <w:t>Other current liabilities</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257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376</w:t>
            </w:r>
          </w:p>
        </w:tc>
        <w:tc>
          <w:tcPr>
            <w:tcW w:w="100" w:type="dxa"/>
            <w:vAlign w:val="bottom"/>
          </w:tcPr>
          <w:p>
            <w:pPr>
              <w:spacing w:after="0"/>
              <w:rPr>
                <w:sz w:val="14"/>
                <w:szCs w:val="14"/>
                <w:color w:val="auto"/>
              </w:rPr>
            </w:pPr>
          </w:p>
        </w:tc>
      </w:tr>
      <w:tr>
        <w:trPr>
          <w:trHeight w:val="183"/>
        </w:trPr>
        <w:tc>
          <w:tcPr>
            <w:tcW w:w="112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w:t>
            </w:r>
          </w:p>
        </w:tc>
        <w:tc>
          <w:tcPr>
            <w:tcW w:w="5940" w:type="dxa"/>
            <w:vAlign w:val="bottom"/>
          </w:tcPr>
          <w:p>
            <w:pPr>
              <w:ind w:left="40"/>
              <w:spacing w:after="0" w:line="182" w:lineRule="exact"/>
              <w:rPr>
                <w:sz w:val="20"/>
                <w:szCs w:val="20"/>
                <w:color w:val="auto"/>
              </w:rPr>
            </w:pPr>
            <w:r>
              <w:rPr>
                <w:rFonts w:ascii="Courier New" w:cs="Courier New" w:eastAsia="Courier New" w:hAnsi="Courier New"/>
                <w:sz w:val="18"/>
                <w:szCs w:val="18"/>
                <w:color w:val="auto"/>
              </w:rPr>
              <w:t>current liabilities</w:t>
            </w:r>
          </w:p>
        </w:tc>
        <w:tc>
          <w:tcPr>
            <w:tcW w:w="96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5,121</w:t>
            </w:r>
          </w:p>
        </w:tc>
        <w:tc>
          <w:tcPr>
            <w:tcW w:w="260" w:type="dxa"/>
            <w:vAlign w:val="bottom"/>
          </w:tcPr>
          <w:p>
            <w:pPr>
              <w:spacing w:after="0"/>
              <w:rPr>
                <w:sz w:val="15"/>
                <w:szCs w:val="15"/>
                <w:color w:val="auto"/>
              </w:rPr>
            </w:pPr>
          </w:p>
        </w:tc>
        <w:tc>
          <w:tcPr>
            <w:tcW w:w="100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4,579</w:t>
            </w:r>
          </w:p>
        </w:tc>
      </w:tr>
      <w:tr>
        <w:trPr>
          <w:trHeight w:val="424"/>
        </w:trPr>
        <w:tc>
          <w:tcPr>
            <w:tcW w:w="7060" w:type="dxa"/>
            <w:vAlign w:val="bottom"/>
            <w:gridSpan w:val="2"/>
          </w:tcPr>
          <w:p>
            <w:pPr>
              <w:spacing w:after="0"/>
              <w:rPr>
                <w:sz w:val="20"/>
                <w:szCs w:val="20"/>
                <w:color w:val="auto"/>
              </w:rPr>
            </w:pPr>
            <w:r>
              <w:rPr>
                <w:rFonts w:ascii="Courier New" w:cs="Courier New" w:eastAsia="Courier New" w:hAnsi="Courier New"/>
                <w:sz w:val="18"/>
                <w:szCs w:val="18"/>
                <w:color w:val="auto"/>
              </w:rPr>
              <w:t>Commitments and contingencies (Note 10)</w:t>
            </w: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7060" w:type="dxa"/>
            <w:vAlign w:val="bottom"/>
            <w:gridSpan w:val="2"/>
          </w:tcPr>
          <w:p>
            <w:pPr>
              <w:spacing w:after="0"/>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 5,000,000 shares authorized;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no shares issued or outstanding</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10,505,755 and 10,453,255 shares issued, respectively</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100" w:type="dxa"/>
            <w:vAlign w:val="bottom"/>
          </w:tcPr>
          <w:p>
            <w:pPr>
              <w:spacing w:after="0"/>
              <w:rPr>
                <w:sz w:val="17"/>
                <w:szCs w:val="17"/>
                <w:color w:val="auto"/>
              </w:rPr>
            </w:pPr>
          </w:p>
        </w:tc>
      </w:tr>
      <w:tr>
        <w:trPr>
          <w:trHeight w:val="203"/>
        </w:trPr>
        <w:tc>
          <w:tcPr>
            <w:tcW w:w="7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26,146</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26,030</w:t>
            </w:r>
          </w:p>
        </w:tc>
        <w:tc>
          <w:tcPr>
            <w:tcW w:w="100" w:type="dxa"/>
            <w:vAlign w:val="bottom"/>
          </w:tcPr>
          <w:p>
            <w:pPr>
              <w:spacing w:after="0"/>
              <w:rPr>
                <w:sz w:val="17"/>
                <w:szCs w:val="17"/>
                <w:color w:val="auto"/>
              </w:rPr>
            </w:pP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w:t>
            </w:r>
          </w:p>
        </w:tc>
        <w:tc>
          <w:tcPr>
            <w:tcW w:w="5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earnings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3,021</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636</w:t>
            </w:r>
          </w:p>
        </w:tc>
        <w:tc>
          <w:tcPr>
            <w:tcW w:w="100" w:type="dxa"/>
            <w:vAlign w:val="bottom"/>
          </w:tcPr>
          <w:p>
            <w:pPr>
              <w:spacing w:after="0"/>
              <w:rPr>
                <w:sz w:val="17"/>
                <w:szCs w:val="17"/>
                <w:color w:val="auto"/>
              </w:rPr>
            </w:pPr>
          </w:p>
        </w:tc>
      </w:tr>
      <w:tr>
        <w:trPr>
          <w:trHeight w:val="203"/>
        </w:trPr>
        <w:tc>
          <w:tcPr>
            <w:tcW w:w="7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1,309</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1,253</w:t>
            </w:r>
          </w:p>
        </w:tc>
        <w:tc>
          <w:tcPr>
            <w:tcW w:w="100" w:type="dxa"/>
            <w:vAlign w:val="bottom"/>
          </w:tcPr>
          <w:p>
            <w:pPr>
              <w:spacing w:after="0"/>
              <w:rPr>
                <w:sz w:val="17"/>
                <w:szCs w:val="17"/>
                <w:color w:val="auto"/>
              </w:rPr>
            </w:pPr>
          </w:p>
        </w:tc>
      </w:tr>
      <w:tr>
        <w:trPr>
          <w:trHeight w:val="164"/>
        </w:trPr>
        <w:tc>
          <w:tcPr>
            <w:tcW w:w="112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Treasury</w:t>
            </w:r>
          </w:p>
        </w:tc>
        <w:tc>
          <w:tcPr>
            <w:tcW w:w="5940" w:type="dxa"/>
            <w:vAlign w:val="bottom"/>
          </w:tcPr>
          <w:p>
            <w:pPr>
              <w:ind w:left="40"/>
              <w:spacing w:after="0" w:line="164" w:lineRule="exact"/>
              <w:rPr>
                <w:sz w:val="20"/>
                <w:szCs w:val="20"/>
                <w:color w:val="auto"/>
              </w:rPr>
            </w:pPr>
            <w:r>
              <w:rPr>
                <w:rFonts w:ascii="Courier New" w:cs="Courier New" w:eastAsia="Courier New" w:hAnsi="Courier New"/>
                <w:sz w:val="18"/>
                <w:szCs w:val="18"/>
                <w:color w:val="auto"/>
              </w:rPr>
              <w:t>stock, at cost; 33,077 and 33,077 shares, respectively</w:t>
            </w:r>
          </w:p>
        </w:tc>
        <w:tc>
          <w:tcPr>
            <w:tcW w:w="220" w:type="dxa"/>
            <w:vAlign w:val="bottom"/>
          </w:tcPr>
          <w:p>
            <w:pPr>
              <w:spacing w:after="0"/>
              <w:rPr>
                <w:sz w:val="14"/>
                <w:szCs w:val="14"/>
                <w:color w:val="auto"/>
              </w:rPr>
            </w:pPr>
          </w:p>
        </w:tc>
        <w:tc>
          <w:tcPr>
            <w:tcW w:w="10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(204)</w:t>
            </w:r>
          </w:p>
        </w:tc>
        <w:tc>
          <w:tcPr>
            <w:tcW w:w="100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(204)</w:t>
            </w:r>
          </w:p>
        </w:tc>
      </w:tr>
      <w:tr>
        <w:trPr>
          <w:trHeight w:val="183"/>
        </w:trPr>
        <w:tc>
          <w:tcPr>
            <w:tcW w:w="112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w:t>
            </w:r>
          </w:p>
        </w:tc>
        <w:tc>
          <w:tcPr>
            <w:tcW w:w="5940" w:type="dxa"/>
            <w:vAlign w:val="bottom"/>
          </w:tcPr>
          <w:p>
            <w:pPr>
              <w:ind w:left="40"/>
              <w:spacing w:after="0" w:line="182" w:lineRule="exact"/>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30,377</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27,820</w:t>
            </w:r>
          </w:p>
        </w:tc>
        <w:tc>
          <w:tcPr>
            <w:tcW w:w="100" w:type="dxa"/>
            <w:vAlign w:val="bottom"/>
          </w:tcPr>
          <w:p>
            <w:pPr>
              <w:spacing w:after="0"/>
              <w:rPr>
                <w:sz w:val="15"/>
                <w:szCs w:val="15"/>
                <w:color w:val="auto"/>
              </w:rPr>
            </w:pPr>
          </w:p>
        </w:tc>
      </w:tr>
      <w:tr>
        <w:trPr>
          <w:trHeight w:val="221"/>
        </w:trPr>
        <w:tc>
          <w:tcPr>
            <w:tcW w:w="1120" w:type="dxa"/>
            <w:vAlign w:val="bottom"/>
          </w:tcPr>
          <w:p>
            <w:pPr>
              <w:ind w:left="540"/>
              <w:spacing w:after="0"/>
              <w:rPr>
                <w:sz w:val="20"/>
                <w:szCs w:val="20"/>
                <w:color w:val="auto"/>
              </w:rPr>
            </w:pPr>
            <w:r>
              <w:rPr>
                <w:rFonts w:ascii="Courier New" w:cs="Courier New" w:eastAsia="Courier New" w:hAnsi="Courier New"/>
                <w:sz w:val="18"/>
                <w:szCs w:val="18"/>
                <w:color w:val="auto"/>
              </w:rPr>
              <w:t>Total</w:t>
            </w:r>
          </w:p>
        </w:tc>
        <w:tc>
          <w:tcPr>
            <w:tcW w:w="5940" w:type="dxa"/>
            <w:vAlign w:val="bottom"/>
          </w:tcPr>
          <w:p>
            <w:pPr>
              <w:ind w:left="40"/>
              <w:spacing w:after="0"/>
              <w:rPr>
                <w:sz w:val="20"/>
                <w:szCs w:val="20"/>
                <w:color w:val="auto"/>
              </w:rPr>
            </w:pPr>
            <w:r>
              <w:rPr>
                <w:rFonts w:ascii="Courier New" w:cs="Courier New" w:eastAsia="Courier New" w:hAnsi="Courier New"/>
                <w:sz w:val="18"/>
                <w:szCs w:val="18"/>
                <w:color w:val="auto"/>
              </w:rPr>
              <w:t>liabilities and stockholders' equity</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$35,498</w:t>
            </w: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$32,399</w:t>
            </w:r>
          </w:p>
        </w:tc>
        <w:tc>
          <w:tcPr>
            <w:tcW w:w="100" w:type="dxa"/>
            <w:vAlign w:val="bottom"/>
          </w:tcPr>
          <w:p>
            <w:pPr>
              <w:spacing w:after="0"/>
              <w:rPr>
                <w:sz w:val="19"/>
                <w:szCs w:val="19"/>
                <w:color w:val="auto"/>
              </w:rPr>
            </w:pPr>
          </w:p>
        </w:tc>
      </w:tr>
      <w:tr>
        <w:trPr>
          <w:trHeight w:val="203"/>
        </w:trPr>
        <w:tc>
          <w:tcPr>
            <w:tcW w:w="11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bl>
    <w:p>
      <w:pPr>
        <w:spacing w:after="0" w:line="1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- 1 -</w:t>
      </w:r>
    </w:p>
    <w:p>
      <w:pPr>
        <w:spacing w:after="0" w:line="200" w:lineRule="exact"/>
        <w:rPr>
          <w:sz w:val="20"/>
          <w:szCs w:val="20"/>
          <w:color w:val="auto"/>
        </w:rPr>
      </w:pPr>
    </w:p>
    <w:p>
      <w:pPr>
        <w:spacing w:after="0" w:line="39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inTEST CORPORATION</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CONSOLIDATED STATEMENTS OF OPERATIONS</w:t>
      </w:r>
    </w:p>
    <w:p>
      <w:pPr>
        <w:jc w:val="center"/>
        <w:ind w:right="-1200"/>
        <w:spacing w:after="0" w:line="230" w:lineRule="auto"/>
        <w:rPr>
          <w:sz w:val="20"/>
          <w:szCs w:val="20"/>
          <w:color w:val="auto"/>
        </w:rPr>
      </w:pPr>
      <w:r>
        <w:rPr>
          <w:rFonts w:ascii="Arial" w:cs="Arial" w:eastAsia="Arial" w:hAnsi="Arial"/>
          <w:sz w:val="22"/>
          <w:szCs w:val="22"/>
          <w:color w:val="auto"/>
        </w:rPr>
        <w:t>(In thousands, except share and per share data)</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25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Three Months Ended</w:t>
            </w:r>
          </w:p>
        </w:tc>
        <w:tc>
          <w:tcPr>
            <w:tcW w:w="21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480" w:type="dxa"/>
            <w:vAlign w:val="bottom"/>
          </w:tcPr>
          <w:p>
            <w:pPr>
              <w:spacing w:after="0"/>
              <w:rPr>
                <w:sz w:val="17"/>
                <w:szCs w:val="17"/>
                <w:color w:val="auto"/>
              </w:rPr>
            </w:pPr>
          </w:p>
        </w:tc>
        <w:tc>
          <w:tcPr>
            <w:tcW w:w="25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Sept. 30,</w:t>
            </w:r>
          </w:p>
        </w:tc>
        <w:tc>
          <w:tcPr>
            <w:tcW w:w="21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Sept. 30,</w:t>
            </w:r>
          </w:p>
        </w:tc>
      </w:tr>
      <w:tr>
        <w:trPr>
          <w:trHeight w:val="203"/>
        </w:trPr>
        <w:tc>
          <w:tcPr>
            <w:tcW w:w="4480" w:type="dxa"/>
            <w:vAlign w:val="bottom"/>
          </w:tcPr>
          <w:p>
            <w:pPr>
              <w:spacing w:after="0"/>
              <w:rPr>
                <w:sz w:val="17"/>
                <w:szCs w:val="17"/>
                <w:color w:val="auto"/>
              </w:rPr>
            </w:pPr>
          </w:p>
        </w:tc>
        <w:tc>
          <w:tcPr>
            <w:tcW w:w="2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2013</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2012</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2013</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2012</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$ 9,900</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$10,799</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$30,091</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$35,106</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5,144</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6,037</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15,765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19,554</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Gross margin</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4,756</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4,762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14,326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15,552</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expense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1,255</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1,322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3,972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4,283</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Engineering and product development</w:t>
            </w: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expense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945</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1,006</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2,866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2,910</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 expense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1,469</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1,445</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4,548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5,101</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Restructuring and other charges</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359</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3,669</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3,773</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11,386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12,653</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1,087</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989</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2,940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2,899</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Earnings before income tax expense</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1,114</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1,012</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2,971</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2,935</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348</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980</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earnings</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$ 1,090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664</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$ 2,385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$ 1,955</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basic</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$0.11</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$0.06</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$0.23</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$0.19</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 - basic</w:t>
            </w:r>
          </w:p>
        </w:tc>
        <w:tc>
          <w:tcPr>
            <w:tcW w:w="4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10,377,189 10,302,417 10,358,960 10,260,601</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diluted</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$0.10</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$0.06</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$0.23</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$0.19</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and common</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 equivalents outstanding - diluted</w:t>
            </w:r>
          </w:p>
        </w:tc>
        <w:tc>
          <w:tcPr>
            <w:tcW w:w="4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10,404,095 10,360,377 10,383,970 10,348,180</w:t>
            </w:r>
          </w:p>
        </w:tc>
      </w:tr>
    </w:tbl>
    <w:p>
      <w:pPr>
        <w:spacing w:after="0" w:line="200" w:lineRule="exact"/>
        <w:rPr>
          <w:sz w:val="20"/>
          <w:szCs w:val="20"/>
          <w:color w:val="auto"/>
        </w:rPr>
      </w:pPr>
    </w:p>
    <w:p>
      <w:pPr>
        <w:sectPr>
          <w:pgSz w:w="11900" w:h="16838" w:orient="portrait"/>
          <w:cols w:equalWidth="0" w:num="1">
            <w:col w:w="10219"/>
          </w:cols>
          <w:pgMar w:left="240" w:top="136" w:right="1440" w:bottom="34" w:gutter="0" w:footer="0" w:header="0"/>
        </w:sectPr>
      </w:pPr>
    </w:p>
    <w:p>
      <w:pPr>
        <w:spacing w:after="0" w:line="361"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See accompanying Notes to Consolidated Financial Statements.</w:t>
      </w:r>
    </w:p>
    <w:p>
      <w:pPr>
        <w:sectPr>
          <w:pgSz w:w="11900" w:h="16838" w:orient="portrait"/>
          <w:cols w:equalWidth="0" w:num="1">
            <w:col w:w="10219"/>
          </w:cols>
          <w:pgMar w:left="240" w:top="136" w:right="1440" w:bottom="34" w:gutter="0" w:footer="0" w:header="0"/>
          <w:type w:val="continuous"/>
        </w:sectPr>
      </w:pPr>
    </w:p>
    <w:bookmarkStart w:id="3" w:name="page4"/>
    <w:bookmarkEnd w:id="3"/>
    <w:p>
      <w:pPr>
        <w:ind w:left="5560"/>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inTEST CORPORATION</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CONSOLIDATED STATEMENTS OF COMPREHENSIVE EARNINGS</w:t>
      </w:r>
    </w:p>
    <w:p>
      <w:pPr>
        <w:jc w:val="center"/>
        <w:ind w:right="-1200"/>
        <w:spacing w:after="0" w:line="232" w:lineRule="auto"/>
        <w:rPr>
          <w:sz w:val="20"/>
          <w:szCs w:val="20"/>
          <w:color w:val="auto"/>
        </w:rPr>
      </w:pPr>
      <w:r>
        <w:rPr>
          <w:rFonts w:ascii="Arial" w:cs="Arial" w:eastAsia="Arial" w:hAnsi="Arial"/>
          <w:sz w:val="22"/>
          <w:szCs w:val="22"/>
          <w:color w:val="auto"/>
        </w:rPr>
        <w:t>(In thousands)</w:t>
      </w:r>
    </w:p>
    <w:p>
      <w:pPr>
        <w:jc w:val="center"/>
        <w:ind w:right="-1200"/>
        <w:spacing w:after="0"/>
        <w:rPr>
          <w:sz w:val="20"/>
          <w:szCs w:val="20"/>
          <w:color w:val="auto"/>
        </w:rPr>
      </w:pPr>
      <w:r>
        <w:rPr>
          <w:rFonts w:ascii="Arial" w:cs="Arial" w:eastAsia="Arial" w:hAnsi="Arial"/>
          <w:sz w:val="22"/>
          <w:szCs w:val="22"/>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2160" w:type="dxa"/>
            <w:vAlign w:val="bottom"/>
            <w:gridSpan w:val="3"/>
          </w:tcPr>
          <w:p>
            <w:pPr>
              <w:jc w:val="right"/>
              <w:ind w:right="72"/>
              <w:spacing w:after="0"/>
              <w:rPr>
                <w:sz w:val="20"/>
                <w:szCs w:val="20"/>
                <w:color w:val="auto"/>
              </w:rPr>
            </w:pPr>
            <w:r>
              <w:rPr>
                <w:rFonts w:ascii="Courier New" w:cs="Courier New" w:eastAsia="Courier New" w:hAnsi="Courier New"/>
                <w:sz w:val="18"/>
                <w:szCs w:val="18"/>
                <w:color w:val="auto"/>
              </w:rPr>
              <w:t>Three Months Ended</w:t>
            </w:r>
          </w:p>
        </w:tc>
        <w:tc>
          <w:tcPr>
            <w:tcW w:w="2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320" w:type="dxa"/>
            <w:vAlign w:val="bottom"/>
          </w:tcPr>
          <w:p>
            <w:pPr>
              <w:spacing w:after="0"/>
              <w:rPr>
                <w:sz w:val="17"/>
                <w:szCs w:val="17"/>
                <w:color w:val="auto"/>
              </w:rPr>
            </w:pPr>
          </w:p>
        </w:tc>
        <w:tc>
          <w:tcPr>
            <w:tcW w:w="2160" w:type="dxa"/>
            <w:vAlign w:val="bottom"/>
            <w:gridSpan w:val="3"/>
          </w:tcPr>
          <w:p>
            <w:pPr>
              <w:jc w:val="right"/>
              <w:ind w:right="492"/>
              <w:spacing w:after="0" w:line="203" w:lineRule="exact"/>
              <w:rPr>
                <w:sz w:val="20"/>
                <w:szCs w:val="20"/>
                <w:color w:val="auto"/>
              </w:rPr>
            </w:pPr>
            <w:r>
              <w:rPr>
                <w:rFonts w:ascii="Courier New" w:cs="Courier New" w:eastAsia="Courier New" w:hAnsi="Courier New"/>
                <w:sz w:val="18"/>
                <w:szCs w:val="18"/>
                <w:color w:val="auto"/>
              </w:rPr>
              <w:t>Sept. 30,</w:t>
            </w:r>
          </w:p>
        </w:tc>
        <w:tc>
          <w:tcPr>
            <w:tcW w:w="20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Sept. 30,</w:t>
            </w:r>
          </w:p>
        </w:tc>
      </w:tr>
      <w:tr>
        <w:trPr>
          <w:trHeight w:val="203"/>
        </w:trPr>
        <w:tc>
          <w:tcPr>
            <w:tcW w:w="4320" w:type="dxa"/>
            <w:vAlign w:val="bottom"/>
          </w:tcPr>
          <w:p>
            <w:pPr>
              <w:spacing w:after="0"/>
              <w:rPr>
                <w:sz w:val="17"/>
                <w:szCs w:val="17"/>
                <w:color w:val="auto"/>
              </w:rPr>
            </w:pPr>
          </w:p>
        </w:tc>
        <w:tc>
          <w:tcPr>
            <w:tcW w:w="216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2013</w:t>
            </w:r>
          </w:p>
        </w:tc>
        <w:tc>
          <w:tcPr>
            <w:tcW w:w="260" w:type="dxa"/>
            <w:vAlign w:val="bottom"/>
          </w:tcPr>
          <w:p>
            <w:pPr>
              <w:spacing w:after="0"/>
              <w:rPr>
                <w:sz w:val="17"/>
                <w:szCs w:val="17"/>
                <w:color w:val="auto"/>
              </w:rPr>
            </w:pP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2012</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2013</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2012</w:t>
            </w:r>
          </w:p>
        </w:tc>
      </w:tr>
      <w:tr>
        <w:trPr>
          <w:trHeight w:val="203"/>
        </w:trPr>
        <w:tc>
          <w:tcPr>
            <w:tcW w:w="43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earnings</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$ 1,090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664</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$ 2,385</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$ 1,955</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w w:val="99"/>
              </w:rPr>
              <w:t>Foreign currency translation adjustments</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88</w:t>
            </w:r>
          </w:p>
        </w:tc>
        <w:tc>
          <w:tcPr>
            <w:tcW w:w="2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26</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56</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r>
        <w:trPr>
          <w:trHeight w:val="203"/>
        </w:trPr>
        <w:tc>
          <w:tcPr>
            <w:tcW w:w="43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Comprehensive earnings</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$ 1,178</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690</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$ 2,441</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$ 1,939</w:t>
            </w:r>
          </w:p>
        </w:tc>
      </w:tr>
      <w:tr>
        <w:trPr>
          <w:trHeight w:val="203"/>
        </w:trPr>
        <w:tc>
          <w:tcPr>
            <w:tcW w:w="43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inTEST CORPORATION</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CONSOLIDATED STATEMENT OF STOCKHOLDERS' EQUITY</w:t>
      </w:r>
    </w:p>
    <w:p>
      <w:pPr>
        <w:jc w:val="center"/>
        <w:ind w:right="-1200"/>
        <w:spacing w:after="0" w:line="230" w:lineRule="auto"/>
        <w:rPr>
          <w:sz w:val="20"/>
          <w:szCs w:val="20"/>
          <w:color w:val="auto"/>
        </w:rPr>
      </w:pPr>
      <w:r>
        <w:rPr>
          <w:rFonts w:ascii="Arial" w:cs="Arial" w:eastAsia="Arial" w:hAnsi="Arial"/>
          <w:sz w:val="22"/>
          <w:szCs w:val="22"/>
          <w:color w:val="auto"/>
        </w:rPr>
        <w:t>(In thousands, except share data)</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Accumulated</w:t>
            </w: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Common</w:t>
            </w:r>
          </w:p>
        </w:tc>
        <w:tc>
          <w:tcPr>
            <w:tcW w:w="480" w:type="dxa"/>
            <w:vAlign w:val="bottom"/>
          </w:tcPr>
          <w:p>
            <w:pPr>
              <w:spacing w:after="0"/>
              <w:rPr>
                <w:sz w:val="20"/>
                <w:szCs w:val="20"/>
                <w:color w:val="auto"/>
              </w:rPr>
            </w:pPr>
            <w:r>
              <w:rPr>
                <w:rFonts w:ascii="Courier New" w:cs="Courier New" w:eastAsia="Courier New" w:hAnsi="Courier New"/>
                <w:sz w:val="12"/>
                <w:szCs w:val="12"/>
                <w:color w:val="auto"/>
              </w:rPr>
              <w:t>Stock</w:t>
            </w:r>
          </w:p>
        </w:tc>
        <w:tc>
          <w:tcPr>
            <w:tcW w:w="8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Additional</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ind w:left="260"/>
              <w:spacing w:after="0"/>
              <w:rPr>
                <w:sz w:val="20"/>
                <w:szCs w:val="20"/>
                <w:color w:val="auto"/>
              </w:rPr>
            </w:pPr>
            <w:r>
              <w:rPr>
                <w:rFonts w:ascii="Courier New" w:cs="Courier New" w:eastAsia="Courier New" w:hAnsi="Courier New"/>
                <w:sz w:val="12"/>
                <w:szCs w:val="12"/>
                <w:color w:val="auto"/>
              </w:rPr>
              <w:t>Other</w:t>
            </w:r>
          </w:p>
        </w:tc>
        <w:tc>
          <w:tcPr>
            <w:tcW w:w="720" w:type="dxa"/>
            <w:vAlign w:val="bottom"/>
          </w:tcPr>
          <w:p>
            <w:pPr>
              <w:spacing w:after="0"/>
              <w:rPr>
                <w:sz w:val="11"/>
                <w:szCs w:val="11"/>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2"/>
                <w:szCs w:val="12"/>
                <w:color w:val="auto"/>
              </w:rPr>
              <w:t>Total</w:t>
            </w:r>
          </w:p>
        </w:tc>
      </w:tr>
      <w:tr>
        <w:trPr>
          <w:trHeight w:val="135"/>
        </w:trPr>
        <w:tc>
          <w:tcPr>
            <w:tcW w:w="2080" w:type="dxa"/>
            <w:vAlign w:val="bottom"/>
          </w:tcPr>
          <w:p>
            <w:pPr>
              <w:spacing w:after="0"/>
              <w:rPr>
                <w:sz w:val="11"/>
                <w:szCs w:val="11"/>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Paid-In</w:t>
            </w:r>
          </w:p>
        </w:tc>
        <w:tc>
          <w:tcPr>
            <w:tcW w:w="7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Retained</w:t>
            </w:r>
          </w:p>
        </w:tc>
        <w:tc>
          <w:tcPr>
            <w:tcW w:w="2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Comprehensive Treasury Stockholders'</w:t>
            </w:r>
          </w:p>
        </w:tc>
      </w:tr>
      <w:tr>
        <w:trPr>
          <w:trHeight w:val="135"/>
        </w:trPr>
        <w:tc>
          <w:tcPr>
            <w:tcW w:w="2080" w:type="dxa"/>
            <w:vAlign w:val="bottom"/>
          </w:tcPr>
          <w:p>
            <w:pPr>
              <w:spacing w:after="0"/>
              <w:rPr>
                <w:sz w:val="11"/>
                <w:szCs w:val="11"/>
                <w:color w:val="auto"/>
              </w:rPr>
            </w:pP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Shares</w:t>
            </w:r>
          </w:p>
        </w:tc>
        <w:tc>
          <w:tcPr>
            <w:tcW w:w="480" w:type="dxa"/>
            <w:vAlign w:val="bottom"/>
          </w:tcPr>
          <w:p>
            <w:pPr>
              <w:spacing w:after="0"/>
              <w:rPr>
                <w:sz w:val="20"/>
                <w:szCs w:val="20"/>
                <w:color w:val="auto"/>
              </w:rPr>
            </w:pPr>
            <w:r>
              <w:rPr>
                <w:rFonts w:ascii="Courier New" w:cs="Courier New" w:eastAsia="Courier New" w:hAnsi="Courier New"/>
                <w:sz w:val="12"/>
                <w:szCs w:val="12"/>
                <w:color w:val="auto"/>
              </w:rPr>
              <w:t>Amount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Capital</w:t>
            </w:r>
          </w:p>
        </w:tc>
        <w:tc>
          <w:tcPr>
            <w:tcW w:w="7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Earnings</w:t>
            </w:r>
          </w:p>
        </w:tc>
        <w:tc>
          <w:tcPr>
            <w:tcW w:w="1100" w:type="dxa"/>
            <w:vAlign w:val="bottom"/>
          </w:tcPr>
          <w:p>
            <w:pPr>
              <w:ind w:left="260"/>
              <w:spacing w:after="0"/>
              <w:rPr>
                <w:sz w:val="20"/>
                <w:szCs w:val="20"/>
                <w:color w:val="auto"/>
              </w:rPr>
            </w:pPr>
            <w:r>
              <w:rPr>
                <w:rFonts w:ascii="Courier New" w:cs="Courier New" w:eastAsia="Courier New" w:hAnsi="Courier New"/>
                <w:sz w:val="12"/>
                <w:szCs w:val="12"/>
                <w:color w:val="auto"/>
              </w:rPr>
              <w:t>Earnings</w:t>
            </w:r>
          </w:p>
        </w:tc>
        <w:tc>
          <w:tcPr>
            <w:tcW w:w="7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Stock</w:t>
            </w:r>
          </w:p>
        </w:tc>
        <w:tc>
          <w:tcPr>
            <w:tcW w:w="920" w:type="dxa"/>
            <w:vAlign w:val="bottom"/>
          </w:tcPr>
          <w:p>
            <w:pPr>
              <w:ind w:left="180"/>
              <w:spacing w:after="0"/>
              <w:rPr>
                <w:sz w:val="20"/>
                <w:szCs w:val="20"/>
                <w:color w:val="auto"/>
              </w:rPr>
            </w:pPr>
            <w:r>
              <w:rPr>
                <w:rFonts w:ascii="Courier New" w:cs="Courier New" w:eastAsia="Courier New" w:hAnsi="Courier New"/>
                <w:sz w:val="12"/>
                <w:szCs w:val="12"/>
                <w:color w:val="auto"/>
              </w:rPr>
              <w:t>Equity</w:t>
            </w:r>
          </w:p>
        </w:tc>
      </w:tr>
      <w:tr>
        <w:trPr>
          <w:trHeight w:val="137"/>
        </w:trPr>
        <w:tc>
          <w:tcPr>
            <w:tcW w:w="20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w:t>
            </w:r>
          </w:p>
        </w:tc>
        <w:tc>
          <w:tcPr>
            <w:tcW w:w="434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 ----------- ------------- -------- -------------</w:t>
            </w:r>
          </w:p>
        </w:tc>
      </w:tr>
      <w:tr>
        <w:trPr>
          <w:trHeight w:val="270"/>
        </w:trPr>
        <w:tc>
          <w:tcPr>
            <w:tcW w:w="2080" w:type="dxa"/>
            <w:vAlign w:val="bottom"/>
          </w:tcPr>
          <w:p>
            <w:pPr>
              <w:spacing w:after="0"/>
              <w:rPr>
                <w:sz w:val="20"/>
                <w:szCs w:val="20"/>
                <w:color w:val="auto"/>
              </w:rPr>
            </w:pPr>
            <w:r>
              <w:rPr>
                <w:rFonts w:ascii="Courier New" w:cs="Courier New" w:eastAsia="Courier New" w:hAnsi="Courier New"/>
                <w:sz w:val="12"/>
                <w:szCs w:val="12"/>
                <w:color w:val="auto"/>
              </w:rPr>
              <w:t>Balance, January 1, 2013</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10,453,255</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$ 105</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$26,030</w:t>
            </w:r>
          </w:p>
        </w:tc>
        <w:tc>
          <w:tcPr>
            <w:tcW w:w="22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636</w:t>
            </w:r>
          </w:p>
        </w:tc>
        <w:tc>
          <w:tcPr>
            <w:tcW w:w="110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$1,253</w:t>
            </w:r>
          </w:p>
        </w:tc>
        <w:tc>
          <w:tcPr>
            <w:tcW w:w="7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$(204)</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$27,820</w:t>
            </w:r>
          </w:p>
        </w:tc>
      </w:tr>
      <w:tr>
        <w:trPr>
          <w:trHeight w:val="270"/>
        </w:trPr>
        <w:tc>
          <w:tcPr>
            <w:tcW w:w="208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2,385</w:t>
            </w:r>
          </w:p>
        </w:tc>
        <w:tc>
          <w:tcPr>
            <w:tcW w:w="110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2,385</w:t>
            </w:r>
          </w:p>
        </w:tc>
      </w:tr>
      <w:tr>
        <w:trPr>
          <w:trHeight w:val="270"/>
        </w:trPr>
        <w:tc>
          <w:tcPr>
            <w:tcW w:w="2080" w:type="dxa"/>
            <w:vAlign w:val="bottom"/>
          </w:tcPr>
          <w:p>
            <w:pPr>
              <w:spacing w:after="0"/>
              <w:rPr>
                <w:sz w:val="20"/>
                <w:szCs w:val="20"/>
                <w:color w:val="auto"/>
              </w:rPr>
            </w:pPr>
            <w:r>
              <w:rPr>
                <w:rFonts w:ascii="Courier New" w:cs="Courier New" w:eastAsia="Courier New" w:hAnsi="Courier New"/>
                <w:sz w:val="12"/>
                <w:szCs w:val="12"/>
                <w:color w:val="auto"/>
              </w:rPr>
              <w:t>Other comprehensive earnings</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56</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56</w:t>
            </w:r>
          </w:p>
        </w:tc>
      </w:tr>
      <w:tr>
        <w:trPr>
          <w:trHeight w:val="268"/>
        </w:trPr>
        <w:tc>
          <w:tcPr>
            <w:tcW w:w="208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208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 to</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7"/>
        </w:trPr>
        <w:tc>
          <w:tcPr>
            <w:tcW w:w="2080" w:type="dxa"/>
            <w:vAlign w:val="bottom"/>
          </w:tcPr>
          <w:p>
            <w:pPr>
              <w:ind w:left="160"/>
              <w:spacing w:after="0"/>
              <w:rPr>
                <w:sz w:val="20"/>
                <w:szCs w:val="20"/>
                <w:color w:val="auto"/>
              </w:rPr>
            </w:pPr>
            <w:r>
              <w:rPr>
                <w:rFonts w:ascii="Courier New" w:cs="Courier New" w:eastAsia="Courier New" w:hAnsi="Courier New"/>
                <w:sz w:val="12"/>
                <w:szCs w:val="12"/>
                <w:color w:val="auto"/>
              </w:rPr>
              <w:t>restricted stock</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86</w:t>
            </w:r>
          </w:p>
        </w:tc>
        <w:tc>
          <w:tcPr>
            <w:tcW w:w="220" w:type="dxa"/>
            <w:vAlign w:val="bottom"/>
          </w:tcPr>
          <w:p>
            <w:pPr>
              <w:spacing w:after="0"/>
              <w:rPr>
                <w:sz w:val="11"/>
                <w:szCs w:val="11"/>
                <w:color w:val="auto"/>
              </w:rPr>
            </w:pPr>
          </w:p>
        </w:tc>
        <w:tc>
          <w:tcPr>
            <w:tcW w:w="5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86</w:t>
            </w:r>
          </w:p>
        </w:tc>
      </w:tr>
      <w:tr>
        <w:trPr>
          <w:trHeight w:val="268"/>
        </w:trPr>
        <w:tc>
          <w:tcPr>
            <w:tcW w:w="2080" w:type="dxa"/>
            <w:vAlign w:val="bottom"/>
          </w:tcPr>
          <w:p>
            <w:pPr>
              <w:spacing w:after="0"/>
              <w:rPr>
                <w:sz w:val="20"/>
                <w:szCs w:val="20"/>
                <w:color w:val="auto"/>
              </w:rPr>
            </w:pPr>
            <w:r>
              <w:rPr>
                <w:rFonts w:ascii="Courier New" w:cs="Courier New" w:eastAsia="Courier New" w:hAnsi="Courier New"/>
                <w:sz w:val="12"/>
                <w:szCs w:val="12"/>
                <w:color w:val="auto"/>
              </w:rPr>
              <w:t>Issuance of non-vested</w:t>
            </w: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7"/>
        </w:trPr>
        <w:tc>
          <w:tcPr>
            <w:tcW w:w="2080" w:type="dxa"/>
            <w:vAlign w:val="bottom"/>
          </w:tcPr>
          <w:p>
            <w:pPr>
              <w:ind w:left="160"/>
              <w:spacing w:after="0"/>
              <w:rPr>
                <w:sz w:val="20"/>
                <w:szCs w:val="20"/>
                <w:color w:val="auto"/>
              </w:rPr>
            </w:pPr>
            <w:r>
              <w:rPr>
                <w:rFonts w:ascii="Courier New" w:cs="Courier New" w:eastAsia="Courier New" w:hAnsi="Courier New"/>
                <w:sz w:val="12"/>
                <w:szCs w:val="12"/>
                <w:color w:val="auto"/>
              </w:rPr>
              <w:t>shares of restricted stock</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42,500</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5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268"/>
        </w:trPr>
        <w:tc>
          <w:tcPr>
            <w:tcW w:w="2080" w:type="dxa"/>
            <w:vAlign w:val="bottom"/>
          </w:tcPr>
          <w:p>
            <w:pPr>
              <w:spacing w:after="0"/>
              <w:rPr>
                <w:sz w:val="20"/>
                <w:szCs w:val="20"/>
                <w:color w:val="auto"/>
              </w:rPr>
            </w:pPr>
            <w:r>
              <w:rPr>
                <w:rFonts w:ascii="Courier New" w:cs="Courier New" w:eastAsia="Courier New" w:hAnsi="Courier New"/>
                <w:sz w:val="12"/>
                <w:szCs w:val="12"/>
                <w:color w:val="auto"/>
              </w:rPr>
              <w:t>Stock options exercised</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10,000</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30</w:t>
            </w:r>
          </w:p>
        </w:tc>
        <w:tc>
          <w:tcPr>
            <w:tcW w:w="22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30</w:t>
            </w:r>
          </w:p>
        </w:tc>
      </w:tr>
      <w:tr>
        <w:trPr>
          <w:trHeight w:val="137"/>
        </w:trPr>
        <w:tc>
          <w:tcPr>
            <w:tcW w:w="20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760" w:type="dxa"/>
            <w:vAlign w:val="bottom"/>
            <w:gridSpan w:val="2"/>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268"/>
        </w:trPr>
        <w:tc>
          <w:tcPr>
            <w:tcW w:w="2080" w:type="dxa"/>
            <w:vAlign w:val="bottom"/>
          </w:tcPr>
          <w:p>
            <w:pPr>
              <w:spacing w:after="0"/>
              <w:rPr>
                <w:sz w:val="20"/>
                <w:szCs w:val="20"/>
                <w:color w:val="auto"/>
              </w:rPr>
            </w:pPr>
            <w:r>
              <w:rPr>
                <w:rFonts w:ascii="Courier New" w:cs="Courier New" w:eastAsia="Courier New" w:hAnsi="Courier New"/>
                <w:sz w:val="12"/>
                <w:szCs w:val="12"/>
                <w:color w:val="auto"/>
              </w:rPr>
              <w:t>Balance, Sept. 30, 2013</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10,505,755</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$ 105</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$26,146</w:t>
            </w:r>
          </w:p>
        </w:tc>
        <w:tc>
          <w:tcPr>
            <w:tcW w:w="22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3,021</w:t>
            </w:r>
          </w:p>
        </w:tc>
        <w:tc>
          <w:tcPr>
            <w:tcW w:w="110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$1,309</w:t>
            </w:r>
          </w:p>
        </w:tc>
        <w:tc>
          <w:tcPr>
            <w:tcW w:w="7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$(204)</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$30,377</w:t>
            </w:r>
          </w:p>
        </w:tc>
      </w:tr>
      <w:tr>
        <w:trPr>
          <w:trHeight w:val="137"/>
        </w:trPr>
        <w:tc>
          <w:tcPr>
            <w:tcW w:w="20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760" w:type="dxa"/>
            <w:vAlign w:val="bottom"/>
            <w:gridSpan w:val="2"/>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bl>
    <w:p>
      <w:pPr>
        <w:spacing w:after="0" w:line="17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gridSpan w:val="4"/>
          </w:tcPr>
          <w:p>
            <w:pPr>
              <w:jc w:val="center"/>
              <w:ind w:left="3594"/>
              <w:spacing w:after="0"/>
              <w:rPr>
                <w:sz w:val="20"/>
                <w:szCs w:val="20"/>
                <w:color w:val="auto"/>
              </w:rPr>
            </w:pPr>
            <w:r>
              <w:rPr>
                <w:rFonts w:ascii="Arial" w:cs="Arial" w:eastAsia="Arial" w:hAnsi="Arial"/>
                <w:sz w:val="18"/>
                <w:szCs w:val="18"/>
                <w:b w:val="1"/>
                <w:bCs w:val="1"/>
                <w:color w:val="auto"/>
                <w:w w:val="96"/>
              </w:rPr>
              <w:t>inTEST CORPORATION</w:t>
            </w:r>
          </w:p>
        </w:tc>
        <w:tc>
          <w:tcPr>
            <w:tcW w:w="0" w:type="dxa"/>
            <w:vAlign w:val="bottom"/>
          </w:tcPr>
          <w:p>
            <w:pPr>
              <w:spacing w:after="0"/>
              <w:rPr>
                <w:sz w:val="1"/>
                <w:szCs w:val="1"/>
                <w:color w:val="auto"/>
              </w:rPr>
            </w:pPr>
          </w:p>
        </w:tc>
      </w:tr>
      <w:tr>
        <w:trPr>
          <w:trHeight w:val="222"/>
        </w:trPr>
        <w:tc>
          <w:tcPr>
            <w:tcW w:w="7780" w:type="dxa"/>
            <w:vAlign w:val="bottom"/>
            <w:gridSpan w:val="4"/>
          </w:tcPr>
          <w:p>
            <w:pPr>
              <w:jc w:val="center"/>
              <w:ind w:left="3594"/>
              <w:spacing w:after="0"/>
              <w:rPr>
                <w:sz w:val="20"/>
                <w:szCs w:val="20"/>
                <w:color w:val="auto"/>
              </w:rPr>
            </w:pPr>
            <w:r>
              <w:rPr>
                <w:rFonts w:ascii="Arial" w:cs="Arial" w:eastAsia="Arial" w:hAnsi="Arial"/>
                <w:sz w:val="18"/>
                <w:szCs w:val="18"/>
                <w:b w:val="1"/>
                <w:bCs w:val="1"/>
                <w:color w:val="auto"/>
                <w:w w:val="96"/>
              </w:rPr>
              <w:t>CONSOLIDATED STATEMENTS OF CASH FLOWS</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660" w:type="dxa"/>
            <w:vAlign w:val="bottom"/>
            <w:gridSpan w:val="3"/>
          </w:tcPr>
          <w:p>
            <w:pPr>
              <w:jc w:val="center"/>
              <w:ind w:right="1419"/>
              <w:spacing w:after="0"/>
              <w:rPr>
                <w:sz w:val="20"/>
                <w:szCs w:val="20"/>
                <w:color w:val="auto"/>
              </w:rPr>
            </w:pPr>
            <w:r>
              <w:rPr>
                <w:rFonts w:ascii="Arial" w:cs="Arial" w:eastAsia="Arial" w:hAnsi="Arial"/>
                <w:sz w:val="18"/>
                <w:szCs w:val="18"/>
                <w:color w:val="auto"/>
                <w:w w:val="88"/>
              </w:rPr>
              <w:t>(In thousands)</w:t>
            </w:r>
          </w:p>
        </w:tc>
        <w:tc>
          <w:tcPr>
            <w:tcW w:w="0" w:type="dxa"/>
            <w:vAlign w:val="bottom"/>
          </w:tcPr>
          <w:p>
            <w:pPr>
              <w:spacing w:after="0"/>
              <w:rPr>
                <w:sz w:val="1"/>
                <w:szCs w:val="1"/>
                <w:color w:val="auto"/>
              </w:rPr>
            </w:pPr>
          </w:p>
        </w:tc>
      </w:tr>
      <w:tr>
        <w:trPr>
          <w:trHeight w:val="222"/>
        </w:trPr>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20" w:type="dxa"/>
            <w:vAlign w:val="bottom"/>
            <w:gridSpan w:val="2"/>
          </w:tcPr>
          <w:p>
            <w:pPr>
              <w:jc w:val="center"/>
              <w:ind w:right="1559"/>
              <w:spacing w:after="0"/>
              <w:rPr>
                <w:sz w:val="20"/>
                <w:szCs w:val="20"/>
                <w:color w:val="auto"/>
              </w:rPr>
            </w:pPr>
            <w:r>
              <w:rPr>
                <w:rFonts w:ascii="Arial" w:cs="Arial" w:eastAsia="Arial" w:hAnsi="Arial"/>
                <w:sz w:val="18"/>
                <w:szCs w:val="18"/>
                <w:color w:val="auto"/>
                <w:w w:val="91"/>
              </w:rPr>
              <w:t>(Unaudited)</w:t>
            </w:r>
          </w:p>
        </w:tc>
        <w:tc>
          <w:tcPr>
            <w:tcW w:w="0" w:type="dxa"/>
            <w:vAlign w:val="bottom"/>
          </w:tcPr>
          <w:p>
            <w:pPr>
              <w:spacing w:after="0"/>
              <w:rPr>
                <w:sz w:val="1"/>
                <w:szCs w:val="1"/>
                <w:color w:val="auto"/>
              </w:rPr>
            </w:pPr>
          </w:p>
        </w:tc>
      </w:tr>
      <w:tr>
        <w:trPr>
          <w:trHeight w:val="306"/>
        </w:trPr>
        <w:tc>
          <w:tcPr>
            <w:tcW w:w="5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2"/>
          </w:tcPr>
          <w:p>
            <w:pPr>
              <w:jc w:val="right"/>
              <w:ind w:right="1219"/>
              <w:spacing w:after="0"/>
              <w:rPr>
                <w:sz w:val="20"/>
                <w:szCs w:val="20"/>
                <w:color w:val="auto"/>
              </w:rPr>
            </w:pPr>
            <w:r>
              <w:rPr>
                <w:rFonts w:ascii="Courier New" w:cs="Courier New" w:eastAsia="Courier New" w:hAnsi="Courier New"/>
                <w:sz w:val="12"/>
                <w:szCs w:val="12"/>
                <w:color w:val="auto"/>
                <w:w w:val="99"/>
              </w:rPr>
              <w:t>Nine Months Ended</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gridSpan w:val="2"/>
          </w:tcPr>
          <w:p>
            <w:pPr>
              <w:jc w:val="right"/>
              <w:ind w:right="1519"/>
              <w:spacing w:after="0"/>
              <w:rPr>
                <w:sz w:val="20"/>
                <w:szCs w:val="20"/>
                <w:color w:val="auto"/>
              </w:rPr>
            </w:pPr>
            <w:r>
              <w:rPr>
                <w:rFonts w:ascii="Courier New" w:cs="Courier New" w:eastAsia="Courier New" w:hAnsi="Courier New"/>
                <w:sz w:val="12"/>
                <w:szCs w:val="12"/>
                <w:color w:val="auto"/>
              </w:rPr>
              <w:t>Sept. 30,</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2660" w:type="dxa"/>
            <w:vAlign w:val="bottom"/>
            <w:gridSpan w:val="3"/>
          </w:tcPr>
          <w:p>
            <w:pPr>
              <w:jc w:val="right"/>
              <w:ind w:right="12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156"/>
              <w:spacing w:after="0"/>
              <w:rPr>
                <w:sz w:val="20"/>
                <w:szCs w:val="20"/>
                <w:color w:val="auto"/>
              </w:rPr>
            </w:pPr>
            <w:r>
              <w:rPr>
                <w:rFonts w:ascii="Courier New" w:cs="Courier New" w:eastAsia="Courier New" w:hAnsi="Courier New"/>
                <w:sz w:val="12"/>
                <w:szCs w:val="12"/>
                <w:color w:val="auto"/>
              </w:rPr>
              <w:t>2013</w:t>
            </w:r>
          </w:p>
        </w:tc>
        <w:tc>
          <w:tcPr>
            <w:tcW w:w="1940" w:type="dxa"/>
            <w:vAlign w:val="bottom"/>
          </w:tcPr>
          <w:p>
            <w:pPr>
              <w:jc w:val="right"/>
              <w:ind w:right="1299"/>
              <w:spacing w:after="0"/>
              <w:rPr>
                <w:sz w:val="20"/>
                <w:szCs w:val="20"/>
                <w:color w:val="auto"/>
              </w:rPr>
            </w:pPr>
            <w:r>
              <w:rPr>
                <w:rFonts w:ascii="Courier New" w:cs="Courier New" w:eastAsia="Courier New" w:hAnsi="Courier New"/>
                <w:sz w:val="12"/>
                <w:szCs w:val="12"/>
                <w:color w:val="auto"/>
              </w:rPr>
              <w:t>2012</w:t>
            </w: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720" w:type="dxa"/>
            <w:vAlign w:val="bottom"/>
            <w:gridSpan w:val="2"/>
          </w:tcPr>
          <w:p>
            <w:pPr>
              <w:jc w:val="right"/>
              <w:ind w:right="76"/>
              <w:spacing w:after="0"/>
              <w:rPr>
                <w:sz w:val="20"/>
                <w:szCs w:val="20"/>
                <w:color w:val="auto"/>
              </w:rPr>
            </w:pPr>
            <w:r>
              <w:rPr>
                <w:rFonts w:ascii="Courier New" w:cs="Courier New" w:eastAsia="Courier New" w:hAnsi="Courier New"/>
                <w:sz w:val="12"/>
                <w:szCs w:val="12"/>
                <w:color w:val="auto"/>
              </w:rPr>
              <w:t>-------</w:t>
            </w:r>
          </w:p>
        </w:tc>
        <w:tc>
          <w:tcPr>
            <w:tcW w:w="194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Net earnings</w:t>
            </w:r>
          </w:p>
        </w:tc>
        <w:tc>
          <w:tcPr>
            <w:tcW w:w="720" w:type="dxa"/>
            <w:vAlign w:val="bottom"/>
            <w:gridSpan w:val="2"/>
          </w:tcPr>
          <w:p>
            <w:pPr>
              <w:jc w:val="right"/>
              <w:ind w:right="76"/>
              <w:spacing w:after="0"/>
              <w:rPr>
                <w:sz w:val="20"/>
                <w:szCs w:val="20"/>
                <w:color w:val="auto"/>
              </w:rPr>
            </w:pPr>
            <w:r>
              <w:rPr>
                <w:rFonts w:ascii="Courier New" w:cs="Courier New" w:eastAsia="Courier New" w:hAnsi="Courier New"/>
                <w:sz w:val="12"/>
                <w:szCs w:val="12"/>
                <w:color w:val="auto"/>
              </w:rPr>
              <w:t>$ 2,385</w:t>
            </w:r>
          </w:p>
        </w:tc>
        <w:tc>
          <w:tcPr>
            <w:tcW w:w="194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$ 1,955</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Adjustments to reconcile net earnings to net cash provided by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220"/>
              <w:spacing w:after="0"/>
              <w:rPr>
                <w:sz w:val="20"/>
                <w:szCs w:val="20"/>
                <w:color w:val="auto"/>
              </w:rPr>
            </w:pPr>
            <w:r>
              <w:rPr>
                <w:rFonts w:ascii="Courier New" w:cs="Courier New" w:eastAsia="Courier New" w:hAnsi="Courier New"/>
                <w:sz w:val="12"/>
                <w:szCs w:val="12"/>
                <w:color w:val="auto"/>
              </w:rPr>
              <w:t>operating activities:</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Depreciation and amortization</w:t>
            </w:r>
          </w:p>
        </w:tc>
        <w:tc>
          <w:tcPr>
            <w:tcW w:w="140" w:type="dxa"/>
            <w:vAlign w:val="bottom"/>
          </w:tcPr>
          <w:p>
            <w:pPr>
              <w:spacing w:after="0"/>
              <w:rPr>
                <w:sz w:val="11"/>
                <w:szCs w:val="11"/>
                <w:color w:val="auto"/>
              </w:rPr>
            </w:pPr>
          </w:p>
        </w:tc>
        <w:tc>
          <w:tcPr>
            <w:tcW w:w="580" w:type="dxa"/>
            <w:vAlign w:val="bottom"/>
          </w:tcPr>
          <w:p>
            <w:pPr>
              <w:jc w:val="right"/>
              <w:ind w:right="76"/>
              <w:spacing w:after="0"/>
              <w:rPr>
                <w:sz w:val="20"/>
                <w:szCs w:val="20"/>
                <w:color w:val="auto"/>
              </w:rPr>
            </w:pPr>
            <w:r>
              <w:rPr>
                <w:rFonts w:ascii="Courier New" w:cs="Courier New" w:eastAsia="Courier New" w:hAnsi="Courier New"/>
                <w:sz w:val="12"/>
                <w:szCs w:val="12"/>
                <w:color w:val="auto"/>
              </w:rPr>
              <w:t>640</w:t>
            </w:r>
          </w:p>
        </w:tc>
        <w:tc>
          <w:tcPr>
            <w:tcW w:w="194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696</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Provision for excess and obsolete inventory</w:t>
            </w:r>
          </w:p>
        </w:tc>
        <w:tc>
          <w:tcPr>
            <w:tcW w:w="140" w:type="dxa"/>
            <w:vAlign w:val="bottom"/>
          </w:tcPr>
          <w:p>
            <w:pPr>
              <w:spacing w:after="0"/>
              <w:rPr>
                <w:sz w:val="11"/>
                <w:szCs w:val="11"/>
                <w:color w:val="auto"/>
              </w:rPr>
            </w:pPr>
          </w:p>
        </w:tc>
        <w:tc>
          <w:tcPr>
            <w:tcW w:w="580" w:type="dxa"/>
            <w:vAlign w:val="bottom"/>
          </w:tcPr>
          <w:p>
            <w:pPr>
              <w:jc w:val="right"/>
              <w:ind w:right="76"/>
              <w:spacing w:after="0"/>
              <w:rPr>
                <w:sz w:val="20"/>
                <w:szCs w:val="20"/>
                <w:color w:val="auto"/>
              </w:rPr>
            </w:pPr>
            <w:r>
              <w:rPr>
                <w:rFonts w:ascii="Courier New" w:cs="Courier New" w:eastAsia="Courier New" w:hAnsi="Courier New"/>
                <w:sz w:val="12"/>
                <w:szCs w:val="12"/>
                <w:color w:val="auto"/>
              </w:rPr>
              <w:t>264</w:t>
            </w:r>
          </w:p>
        </w:tc>
        <w:tc>
          <w:tcPr>
            <w:tcW w:w="194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522</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Foreign exchange (gain) loss</w:t>
            </w:r>
          </w:p>
        </w:tc>
        <w:tc>
          <w:tcPr>
            <w:tcW w:w="140" w:type="dxa"/>
            <w:vAlign w:val="bottom"/>
          </w:tcPr>
          <w:p>
            <w:pPr>
              <w:spacing w:after="0"/>
              <w:rPr>
                <w:sz w:val="11"/>
                <w:szCs w:val="11"/>
                <w:color w:val="auto"/>
              </w:rPr>
            </w:pPr>
          </w:p>
        </w:tc>
        <w:tc>
          <w:tcPr>
            <w:tcW w:w="580" w:type="dxa"/>
            <w:vAlign w:val="bottom"/>
          </w:tcPr>
          <w:p>
            <w:pPr>
              <w:jc w:val="right"/>
              <w:ind w:right="76"/>
              <w:spacing w:after="0"/>
              <w:rPr>
                <w:sz w:val="20"/>
                <w:szCs w:val="20"/>
                <w:color w:val="auto"/>
              </w:rPr>
            </w:pPr>
            <w:r>
              <w:rPr>
                <w:rFonts w:ascii="Courier New" w:cs="Courier New" w:eastAsia="Courier New" w:hAnsi="Courier New"/>
                <w:sz w:val="12"/>
                <w:szCs w:val="12"/>
                <w:color w:val="auto"/>
              </w:rPr>
              <w:t>6</w:t>
            </w:r>
          </w:p>
        </w:tc>
        <w:tc>
          <w:tcPr>
            <w:tcW w:w="1940" w:type="dxa"/>
            <w:vAlign w:val="bottom"/>
          </w:tcPr>
          <w:p>
            <w:pPr>
              <w:jc w:val="right"/>
              <w:ind w:right="1139"/>
              <w:spacing w:after="0"/>
              <w:rPr>
                <w:sz w:val="20"/>
                <w:szCs w:val="20"/>
                <w:color w:val="auto"/>
              </w:rPr>
            </w:pPr>
            <w:r>
              <w:rPr>
                <w:rFonts w:ascii="Courier New" w:cs="Courier New" w:eastAsia="Courier New" w:hAnsi="Courier New"/>
                <w:sz w:val="12"/>
                <w:szCs w:val="12"/>
                <w:color w:val="auto"/>
              </w:rPr>
              <w:t>(10)</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Amortization of deferred compensation related to restricted stock</w:t>
            </w:r>
          </w:p>
        </w:tc>
        <w:tc>
          <w:tcPr>
            <w:tcW w:w="140" w:type="dxa"/>
            <w:vAlign w:val="bottom"/>
          </w:tcPr>
          <w:p>
            <w:pPr>
              <w:spacing w:after="0"/>
              <w:rPr>
                <w:sz w:val="11"/>
                <w:szCs w:val="11"/>
                <w:color w:val="auto"/>
              </w:rPr>
            </w:pPr>
          </w:p>
        </w:tc>
        <w:tc>
          <w:tcPr>
            <w:tcW w:w="580" w:type="dxa"/>
            <w:vAlign w:val="bottom"/>
          </w:tcPr>
          <w:p>
            <w:pPr>
              <w:jc w:val="right"/>
              <w:ind w:right="76"/>
              <w:spacing w:after="0"/>
              <w:rPr>
                <w:sz w:val="20"/>
                <w:szCs w:val="20"/>
                <w:color w:val="auto"/>
              </w:rPr>
            </w:pPr>
            <w:r>
              <w:rPr>
                <w:rFonts w:ascii="Courier New" w:cs="Courier New" w:eastAsia="Courier New" w:hAnsi="Courier New"/>
                <w:sz w:val="12"/>
                <w:szCs w:val="12"/>
                <w:color w:val="auto"/>
              </w:rPr>
              <w:t>86</w:t>
            </w:r>
          </w:p>
        </w:tc>
        <w:tc>
          <w:tcPr>
            <w:tcW w:w="194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93</w:t>
            </w:r>
          </w:p>
        </w:tc>
        <w:tc>
          <w:tcPr>
            <w:tcW w:w="0" w:type="dxa"/>
            <w:vAlign w:val="bottom"/>
          </w:tcPr>
          <w:p>
            <w:pPr>
              <w:spacing w:after="0"/>
              <w:rPr>
                <w:sz w:val="1"/>
                <w:szCs w:val="1"/>
                <w:color w:val="auto"/>
              </w:rPr>
            </w:pPr>
          </w:p>
        </w:tc>
      </w:tr>
      <w:tr>
        <w:trPr>
          <w:trHeight w:val="137"/>
        </w:trPr>
        <w:tc>
          <w:tcPr>
            <w:tcW w:w="5260" w:type="dxa"/>
            <w:vAlign w:val="bottom"/>
            <w:gridSpan w:val="2"/>
          </w:tcPr>
          <w:p>
            <w:pPr>
              <w:ind w:left="300"/>
              <w:spacing w:after="0"/>
              <w:rPr>
                <w:sz w:val="20"/>
                <w:szCs w:val="20"/>
                <w:color w:val="auto"/>
              </w:rPr>
            </w:pPr>
            <w:r>
              <w:rPr>
                <w:rFonts w:ascii="Courier New" w:cs="Courier New" w:eastAsia="Courier New" w:hAnsi="Courier New"/>
                <w:sz w:val="12"/>
                <w:szCs w:val="12"/>
                <w:color w:val="auto"/>
              </w:rPr>
              <w:t>Profit sharing expense funded through the issuance of treasury stock</w:t>
            </w:r>
          </w:p>
        </w:tc>
        <w:tc>
          <w:tcPr>
            <w:tcW w:w="580" w:type="dxa"/>
            <w:vAlign w:val="bottom"/>
          </w:tcPr>
          <w:p>
            <w:pPr>
              <w:jc w:val="right"/>
              <w:ind w:right="76"/>
              <w:spacing w:after="0"/>
              <w:rPr>
                <w:sz w:val="20"/>
                <w:szCs w:val="20"/>
                <w:color w:val="auto"/>
              </w:rPr>
            </w:pPr>
            <w:r>
              <w:rPr>
                <w:rFonts w:ascii="Courier New" w:cs="Courier New" w:eastAsia="Courier New" w:hAnsi="Courier New"/>
                <w:sz w:val="12"/>
                <w:szCs w:val="12"/>
                <w:color w:val="auto"/>
              </w:rPr>
              <w:t>-</w:t>
            </w:r>
          </w:p>
        </w:tc>
        <w:tc>
          <w:tcPr>
            <w:tcW w:w="194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150</w:t>
            </w:r>
          </w:p>
        </w:tc>
        <w:tc>
          <w:tcPr>
            <w:tcW w:w="0" w:type="dxa"/>
            <w:vAlign w:val="bottom"/>
          </w:tcPr>
          <w:p>
            <w:pPr>
              <w:spacing w:after="0"/>
              <w:rPr>
                <w:sz w:val="1"/>
                <w:szCs w:val="1"/>
                <w:color w:val="auto"/>
              </w:rPr>
            </w:pPr>
          </w:p>
        </w:tc>
      </w:tr>
    </w:tbl>
    <w:p>
      <w:pPr>
        <w:sectPr>
          <w:pgSz w:w="11900" w:h="16838" w:orient="portrait"/>
          <w:cols w:equalWidth="0" w:num="1">
            <w:col w:w="10219"/>
          </w:cols>
          <w:pgMar w:left="240" w:top="131"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(Gain) loss on sale of property and equipment</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Proceeds from sale of demonstration equipment, net of gain</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24</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86</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Deferred income tax expense (benefit)</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(52)</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489</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Changes in assets and liabilities: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Trade accounts receivable</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w w:val="95"/>
              </w:rPr>
              <w:t>(1,892)</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465</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Inventories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(612)</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404</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Prepaid expenses and other current assets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(23)</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(71)</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Restricted certificates of deposit</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50</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Other assets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14</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Accounts payable</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465</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380</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wages and benefits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(88)</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(255)</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sales commissions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54</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(50)</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rent</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41</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101</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professional fees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42</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(44)</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Deferred revenue and customer deposits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(110)</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(239)</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Domestic and foreign income taxes payable</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249</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208</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Other current liabilities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(119)</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(123)</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provided by operating activities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1,356</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4,826</w:t>
            </w: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Acquisition of business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(3,802)</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Purchase of property and equipment</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(257)</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(283)</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sale of property and equipment</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10</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13</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used in investing activities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(247)</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(4,072)</w:t>
            </w: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stock options exercised</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30</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provided by financing activities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30</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Effects of exchange rates on cash</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36</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(11)</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provided by all activities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1,175</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743</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 of period</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w w:val="97"/>
              </w:rPr>
              <w:t>15,576</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13,957</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$16,751</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$14,700</w:t>
            </w: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Cash payments for:</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Domestic and foreign income taxes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389</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283</w:t>
            </w:r>
          </w:p>
        </w:tc>
        <w:tc>
          <w:tcPr>
            <w:tcW w:w="0" w:type="dxa"/>
            <w:vAlign w:val="bottom"/>
          </w:tcPr>
          <w:p>
            <w:pPr>
              <w:spacing w:after="0"/>
              <w:rPr>
                <w:sz w:val="1"/>
                <w:szCs w:val="1"/>
                <w:color w:val="auto"/>
              </w:rPr>
            </w:pPr>
          </w:p>
        </w:tc>
      </w:tr>
      <w:tr>
        <w:trPr>
          <w:trHeight w:val="137"/>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Interest</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w:t>
            </w:r>
          </w:p>
        </w:tc>
        <w:tc>
          <w:tcPr>
            <w:tcW w:w="0" w:type="dxa"/>
            <w:vAlign w:val="bottom"/>
          </w:tcPr>
          <w:p>
            <w:pPr>
              <w:spacing w:after="0"/>
              <w:rPr>
                <w:sz w:val="1"/>
                <w:szCs w:val="1"/>
                <w:color w:val="auto"/>
              </w:rPr>
            </w:pPr>
          </w:p>
        </w:tc>
      </w:tr>
      <w:tr>
        <w:trPr>
          <w:trHeight w:val="268"/>
        </w:trPr>
        <w:tc>
          <w:tcPr>
            <w:tcW w:w="5120" w:type="dxa"/>
            <w:vAlign w:val="bottom"/>
          </w:tcPr>
          <w:p>
            <w:pPr>
              <w:spacing w:after="0"/>
              <w:rPr>
                <w:sz w:val="20"/>
                <w:szCs w:val="20"/>
                <w:color w:val="auto"/>
              </w:rPr>
            </w:pPr>
            <w:r>
              <w:rPr>
                <w:rFonts w:ascii="Courier New" w:cs="Courier New" w:eastAsia="Courier New" w:hAnsi="Courier New"/>
                <w:sz w:val="12"/>
                <w:szCs w:val="12"/>
                <w:color w:val="auto"/>
              </w:rPr>
              <w:t>Details of acquisition:</w:t>
            </w: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Fair value of assets 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$ 4,026</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Liabilities assumed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(274)</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Goodwill resulting from acquisition</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50</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Net cash paid for acquisition</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$ 3,802</w:t>
            </w: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SUPPLEMENTAL SCHEDULE OF NON-CASH INVESTING AND FINANCING ACTIVITIES: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Issuance of non-vested shares of restricted stock</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124</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1" w:lineRule="exact"/>
        <w:rPr>
          <w:sz w:val="20"/>
          <w:szCs w:val="20"/>
          <w:color w:val="auto"/>
        </w:rPr>
      </w:pPr>
    </w:p>
    <w:p>
      <w:pPr>
        <w:ind w:left="540" w:right="420"/>
        <w:spacing w:after="0" w:line="256" w:lineRule="auto"/>
        <w:rPr>
          <w:sz w:val="20"/>
          <w:szCs w:val="20"/>
          <w:color w:val="auto"/>
        </w:rPr>
      </w:pPr>
      <w:r>
        <w:rPr>
          <w:rFonts w:ascii="Arial" w:cs="Arial" w:eastAsia="Arial" w:hAnsi="Arial"/>
          <w:sz w:val="18"/>
          <w:szCs w:val="18"/>
          <w:color w:val="auto"/>
        </w:rPr>
        <w:t>We are an independent designer, manufacturer and marketer of thermal, mechanical and electrical products that are primarily used by semiconductor manufacturers in conjunction with automatic test equipment ("ATE") in the testing of integrated circuits ("ICs" or "semiconductors"). In addition, in recent years, we have begun marketing our thermal products in industries outside the ATE industry, such as the automotive, consumer electronics, defense/aerospace, energy and telecommunications industries.</w:t>
      </w:r>
    </w:p>
    <w:p>
      <w:pPr>
        <w:spacing w:after="0" w:line="197"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The consolidated entity is comprised of inTEST Corporation (parent) and our wholly-owned subsidiaries. We have three reportable segments which are also our reporting units: Thermal Products, Mechanical Products and Electrical Products. We manufacture our products in the U.S. Marketing and support activities are conducted worldwide from our facilities in the U.S., Germany and Singapore. On January 16, 2012, Temptronic Corporation ("Temptronic"), a wholly-owned subsidiary of inTEST Corporation, acquired substantially all of the assets and certain liabilities of Thermonics, Inc. ("Thermonics"), a division of Test Enterprises, Inc. The acquisition of the Thermonics business broadens the product line of inTEST's Thermal Products segment. This acquisition is discussed further in Note 3.</w:t>
      </w:r>
    </w:p>
    <w:p>
      <w:pPr>
        <w:spacing w:after="0" w:line="198" w:lineRule="exact"/>
        <w:rPr>
          <w:sz w:val="20"/>
          <w:szCs w:val="20"/>
          <w:color w:val="auto"/>
        </w:rPr>
      </w:pPr>
    </w:p>
    <w:p>
      <w:pPr>
        <w:ind w:left="540" w:right="260"/>
        <w:spacing w:after="0" w:line="290" w:lineRule="auto"/>
        <w:rPr>
          <w:sz w:val="20"/>
          <w:szCs w:val="20"/>
          <w:color w:val="auto"/>
        </w:rPr>
      </w:pPr>
      <w:r>
        <w:rPr>
          <w:rFonts w:ascii="Arial" w:cs="Arial" w:eastAsia="Arial" w:hAnsi="Arial"/>
          <w:sz w:val="16"/>
          <w:szCs w:val="16"/>
          <w:color w:val="auto"/>
        </w:rPr>
        <w:t>The semiconductor industry in which we operate is characterized by rapid technological change, competitive pricing pressures and cyclical market patterns. This industry is subject to significant economic downturns at various times. Our financial results are affected by a wide variety of factors, including, but not limited to, general economic conditions worldwide and in the markets in which we operate, economic conditions specific to the semiconductor industry and the other industries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industry. As a result of these or other factors, we may experience significant period-to-period fluctuations in future operating results.</w:t>
      </w:r>
    </w:p>
    <w:p>
      <w:pPr>
        <w:spacing w:after="0" w:line="342" w:lineRule="exact"/>
        <w:rPr>
          <w:sz w:val="20"/>
          <w:szCs w:val="20"/>
          <w:color w:val="auto"/>
        </w:rPr>
      </w:pPr>
    </w:p>
    <w:p>
      <w:pPr>
        <w:ind w:left="540" w:right="6520" w:hanging="532"/>
        <w:spacing w:after="0" w:line="541" w:lineRule="auto"/>
        <w:tabs>
          <w:tab w:leader="none" w:pos="292"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ind w:left="540" w:right="40"/>
        <w:spacing w:after="0" w:line="323" w:lineRule="auto"/>
        <w:rPr>
          <w:sz w:val="20"/>
          <w:szCs w:val="20"/>
          <w:color w:val="auto"/>
        </w:rPr>
      </w:pPr>
      <w:r>
        <w:rPr>
          <w:rFonts w:ascii="Arial" w:cs="Arial" w:eastAsia="Arial" w:hAnsi="Arial"/>
          <w:sz w:val="15"/>
          <w:szCs w:val="15"/>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amounts of revenues and expenses during the</w:t>
      </w:r>
    </w:p>
    <w:p>
      <w:pPr>
        <w:sectPr>
          <w:pgSz w:w="11900" w:h="16838" w:orient="portrait"/>
          <w:cols w:equalWidth="0" w:num="1">
            <w:col w:w="11400"/>
          </w:cols>
          <w:pgMar w:left="240" w:top="132" w:right="259" w:bottom="0" w:gutter="0" w:footer="0" w:header="0"/>
        </w:sectPr>
      </w:pPr>
    </w:p>
    <w:bookmarkStart w:id="5" w:name="page6"/>
    <w:bookmarkEnd w:id="5"/>
    <w:p>
      <w:pPr>
        <w:ind w:left="532" w:right="120"/>
        <w:spacing w:after="0" w:line="332" w:lineRule="auto"/>
        <w:rPr>
          <w:sz w:val="20"/>
          <w:szCs w:val="20"/>
          <w:color w:val="auto"/>
        </w:rPr>
      </w:pPr>
      <w:r>
        <w:rPr>
          <w:rFonts w:ascii="Arial" w:cs="Arial" w:eastAsia="Arial" w:hAnsi="Arial"/>
          <w:sz w:val="16"/>
          <w:szCs w:val="16"/>
          <w:color w:val="auto"/>
        </w:rPr>
        <w:t>reporting period. Actual results could differ from those estimates. Certain of our accounts, including inventories, long-lived assets, goodwill, identifiable intangibles, deferred income tax valuation allowances and product warranty reserves, are particularly impacted by estimates.</w:t>
      </w:r>
    </w:p>
    <w:p>
      <w:pPr>
        <w:spacing w:after="0" w:line="139" w:lineRule="exact"/>
        <w:rPr>
          <w:sz w:val="20"/>
          <w:szCs w:val="20"/>
          <w:color w:val="auto"/>
        </w:rPr>
      </w:pPr>
    </w:p>
    <w:p>
      <w:pPr>
        <w:ind w:left="532"/>
        <w:spacing w:after="0" w:line="294" w:lineRule="auto"/>
        <w:rPr>
          <w:sz w:val="20"/>
          <w:szCs w:val="20"/>
          <w:color w:val="auto"/>
        </w:rPr>
      </w:pPr>
      <w:r>
        <w:rPr>
          <w:rFonts w:ascii="Arial" w:cs="Arial" w:eastAsia="Arial" w:hAnsi="Arial"/>
          <w:sz w:val="16"/>
          <w:szCs w:val="16"/>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Annual Report on Form 10-K for the year ended December 31, 2012 filed with the Securities and Exchange Commission on March 29, 2013 (the "2012 Form 10-K").</w:t>
      </w:r>
    </w:p>
    <w:p>
      <w:pPr>
        <w:spacing w:after="0" w:line="170"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32"/>
        <w:spacing w:after="0"/>
        <w:rPr>
          <w:sz w:val="20"/>
          <w:szCs w:val="20"/>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00" w:lineRule="exact"/>
        <w:rPr>
          <w:sz w:val="20"/>
          <w:szCs w:val="20"/>
          <w:color w:val="auto"/>
        </w:rPr>
      </w:pPr>
    </w:p>
    <w:p>
      <w:pPr>
        <w:spacing w:after="0" w:line="37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- 6 -</w:t>
      </w:r>
    </w:p>
    <w:p>
      <w:pPr>
        <w:spacing w:after="0" w:line="200" w:lineRule="exact"/>
        <w:rPr>
          <w:sz w:val="20"/>
          <w:szCs w:val="20"/>
          <w:color w:val="auto"/>
        </w:rPr>
      </w:pPr>
    </w:p>
    <w:p>
      <w:pPr>
        <w:spacing w:after="0" w:line="37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ind w:left="292" w:hanging="292"/>
        <w:spacing w:after="0"/>
        <w:tabs>
          <w:tab w:leader="none" w:pos="29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532" w:right="80"/>
        <w:spacing w:after="0" w:line="290" w:lineRule="auto"/>
        <w:rPr>
          <w:sz w:val="20"/>
          <w:szCs w:val="20"/>
          <w:color w:val="auto"/>
        </w:rPr>
      </w:pPr>
      <w:r>
        <w:rPr>
          <w:rFonts w:ascii="Arial" w:cs="Arial" w:eastAsia="Arial" w:hAnsi="Arial"/>
          <w:sz w:val="16"/>
          <w:szCs w:val="16"/>
          <w:color w:val="auto"/>
        </w:rPr>
        <w:t>Inventories are valued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industry conditions, anticipated product life cycles, new product introductions and expected future use of the inventory. The excess and obsolete inventory charges we record establish a new cost basis for the related inventories. We incurred excess and obsolete inventory charges of $264 and $522 for the nine months ended September 30, 2013 and 2012, respectively.</w:t>
      </w:r>
    </w:p>
    <w:p>
      <w:pPr>
        <w:spacing w:after="0" w:line="172"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32"/>
        <w:spacing w:after="0" w:line="289" w:lineRule="auto"/>
        <w:rPr>
          <w:sz w:val="20"/>
          <w:szCs w:val="20"/>
          <w:color w:val="auto"/>
        </w:rPr>
      </w:pPr>
      <w:r>
        <w:rPr>
          <w:rFonts w:ascii="Arial" w:cs="Arial" w:eastAsia="Arial" w:hAnsi="Arial"/>
          <w:sz w:val="16"/>
          <w:szCs w:val="16"/>
          <w:color w:val="auto"/>
        </w:rPr>
        <w:t>We account for goodwill and intangible assets in accordance with Accounting Standards Codification ("ASC") 350 (Intangibles- Goodwill and Other). Finite-lived intangible assets are amortized over their estimated useful economic life and are carried at cost less accumulated amortization. Goodwill is assessed for impairment at least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we determine this is the case, we are required to perform a two-step goodwill impairment test to identify potential goodwill impairment and measure the amount of goodwill impairment loss, if any, to be recognized. The two-step test is discussed below. If we determine that it is more-likely-than-not that the fair value of the reporting unit is greater than its carrying amounts, the two-step goodwill impairment test is not required.</w:t>
      </w:r>
    </w:p>
    <w:p>
      <w:pPr>
        <w:spacing w:after="0" w:line="172" w:lineRule="exact"/>
        <w:rPr>
          <w:sz w:val="20"/>
          <w:szCs w:val="20"/>
          <w:color w:val="auto"/>
        </w:rPr>
      </w:pPr>
    </w:p>
    <w:p>
      <w:pPr>
        <w:ind w:left="532"/>
        <w:spacing w:after="0" w:line="286" w:lineRule="auto"/>
        <w:rPr>
          <w:sz w:val="20"/>
          <w:szCs w:val="20"/>
          <w:color w:val="auto"/>
        </w:rPr>
      </w:pPr>
      <w:r>
        <w:rPr>
          <w:rFonts w:ascii="Arial" w:cs="Arial" w:eastAsia="Arial" w:hAnsi="Arial"/>
          <w:sz w:val="16"/>
          <w:szCs w:val="16"/>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rates, terminal growth rates, forecasts of revenue and expense growth rates, changes in working capital, depreciation, amortization and capital expenditures. Changes in assumptions concerning future financial results or other underlying assumptions would have a significant impact on either the fair value of the reporting unit or the amount of the goodwill impairment charge.</w:t>
      </w:r>
    </w:p>
    <w:p>
      <w:pPr>
        <w:spacing w:after="0" w:line="181" w:lineRule="exact"/>
        <w:rPr>
          <w:sz w:val="20"/>
          <w:szCs w:val="20"/>
          <w:color w:val="auto"/>
        </w:rPr>
      </w:pPr>
    </w:p>
    <w:p>
      <w:pPr>
        <w:ind w:left="532" w:right="160"/>
        <w:spacing w:after="0" w:line="335" w:lineRule="auto"/>
        <w:rPr>
          <w:sz w:val="20"/>
          <w:szCs w:val="20"/>
          <w:color w:val="auto"/>
        </w:rPr>
      </w:pPr>
      <w:r>
        <w:rPr>
          <w:rFonts w:ascii="Arial" w:cs="Arial" w:eastAsia="Arial" w:hAnsi="Arial"/>
          <w:sz w:val="15"/>
          <w:szCs w:val="15"/>
          <w:color w:val="auto"/>
        </w:rPr>
        <w:t>Indefinite-lived intangible assets are assessed for impairment at least annually in the fourth quarter, or more frequently if events or changes in circumstances indicate that the asset might be impaired. The impairment test consists of a comparison of the fair value of an intangible asset with its carrying amount. If the carrying amount of an intangible asset exceeds its fair value, an impairment loss is recognized in an amount equal to that excess.</w:t>
      </w:r>
    </w:p>
    <w:p>
      <w:pPr>
        <w:spacing w:after="0" w:line="142" w:lineRule="exact"/>
        <w:rPr>
          <w:sz w:val="20"/>
          <w:szCs w:val="20"/>
          <w:color w:val="auto"/>
        </w:rPr>
      </w:pPr>
    </w:p>
    <w:p>
      <w:pPr>
        <w:ind w:left="532" w:right="100"/>
        <w:spacing w:after="0" w:line="294"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- 7 -</w:t>
      </w:r>
    </w:p>
    <w:p>
      <w:pPr>
        <w:spacing w:after="0" w:line="200" w:lineRule="exact"/>
        <w:rPr>
          <w:sz w:val="20"/>
          <w:szCs w:val="20"/>
          <w:color w:val="auto"/>
        </w:rPr>
      </w:pPr>
    </w:p>
    <w:p>
      <w:pPr>
        <w:spacing w:after="0" w:line="37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for share and per share data)</w:t>
      </w:r>
    </w:p>
    <w:p>
      <w:pPr>
        <w:sectPr>
          <w:pgSz w:w="11900" w:h="16838" w:orient="portrait"/>
          <w:cols w:equalWidth="0" w:num="1">
            <w:col w:w="11392"/>
          </w:cols>
          <w:pgMar w:left="248" w:top="131" w:right="259" w:bottom="0" w:gutter="0" w:footer="0" w:header="0"/>
        </w:sectPr>
      </w:pPr>
    </w:p>
    <w:bookmarkStart w:id="6" w:name="page7"/>
    <w:bookmarkEnd w:id="6"/>
    <w:p>
      <w:pPr>
        <w:ind w:left="300" w:hanging="292"/>
        <w:spacing w:after="0"/>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9.</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nine months ended September 30, 2013, other than the issuance of 85,000 shares of restricted stock on October 29, 2013, as discussed further in Note 12.</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is fixed or determinable, and collectability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72" w:lineRule="exact"/>
        <w:rPr>
          <w:sz w:val="20"/>
          <w:szCs w:val="20"/>
          <w:color w:val="auto"/>
        </w:rPr>
      </w:pPr>
    </w:p>
    <w:p>
      <w:pPr>
        <w:ind w:left="540" w:right="280"/>
        <w:spacing w:after="0" w:line="332" w:lineRule="auto"/>
        <w:rPr>
          <w:sz w:val="20"/>
          <w:szCs w:val="20"/>
          <w:color w:val="auto"/>
        </w:rPr>
      </w:pPr>
      <w:r>
        <w:rPr>
          <w:rFonts w:ascii="Arial" w:cs="Arial" w:eastAsia="Arial" w:hAnsi="Arial"/>
          <w:sz w:val="16"/>
          <w:szCs w:val="16"/>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540" w:right="340"/>
        <w:spacing w:after="0" w:line="268" w:lineRule="auto"/>
        <w:rPr>
          <w:sz w:val="20"/>
          <w:szCs w:val="20"/>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the consolidated financial statements.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Restructuring and Other Charges</w:t>
      </w:r>
    </w:p>
    <w:p>
      <w:pPr>
        <w:spacing w:after="0" w:line="225" w:lineRule="exact"/>
        <w:rPr>
          <w:sz w:val="20"/>
          <w:szCs w:val="20"/>
          <w:color w:val="auto"/>
        </w:rPr>
      </w:pPr>
    </w:p>
    <w:p>
      <w:pPr>
        <w:ind w:left="540" w:right="100"/>
        <w:spacing w:after="0" w:line="288" w:lineRule="auto"/>
        <w:rPr>
          <w:sz w:val="20"/>
          <w:szCs w:val="20"/>
          <w:color w:val="auto"/>
        </w:rPr>
      </w:pPr>
      <w:r>
        <w:rPr>
          <w:rFonts w:ascii="Arial" w:cs="Arial" w:eastAsia="Arial" w:hAnsi="Arial"/>
          <w:sz w:val="16"/>
          <w:szCs w:val="16"/>
          <w:color w:val="auto"/>
        </w:rPr>
        <w:t>We recognize a liability for restructuring charges at fair value only when the liability is incurred. The three main components of our restructuring plans have been related to workforce reductions, the consolidation of excess facilities and asset impairments. Workforce-related charges are accrued when it is determined that a liability has been incurred, which is generally after individuals have been notified of their termination dates and expected severance benefits. Plans to consolidate excess facilities result in charges for lease termination fees and future commitments to pay lease charges, net of estimated future sub-lease income. We recognize these charges when we have vacated the premises. In addition, as a result of plans to consolidate excess facilities, we may incur other associated costs such as charges to relocate inventory, equipment or personnel. We recognize charges for other associated costs when these costs are incurred, which is generally when the goods or services have been provided to us. Assets that may be impaired consist of property, plant and equipment and identifiable intangible assets. Asset impairment charges are based on an estimate of the amounts and timing of future cash flows related to the expected future remaining use and ultimate sale or disposal of the asset.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40" w:right="200"/>
        <w:spacing w:after="0" w:line="256" w:lineRule="auto"/>
        <w:rPr>
          <w:sz w:val="20"/>
          <w:szCs w:val="20"/>
          <w:color w:val="auto"/>
        </w:rPr>
      </w:pPr>
      <w:r>
        <w:rPr>
          <w:rFonts w:ascii="Arial" w:cs="Arial" w:eastAsia="Arial" w:hAnsi="Arial"/>
          <w:sz w:val="18"/>
          <w:szCs w:val="18"/>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periods in which those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Net Earnings (Loss) Per Common Share</w:t>
      </w:r>
    </w:p>
    <w:p>
      <w:pPr>
        <w:spacing w:after="0" w:line="225"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Net earnings (loss) per common share - basic is computed by dividing net earnings (loss) by the weighted average number of common shares outstanding during each period. Net earnings (loss) per common share - diluted is computed by dividing net earnings (loss) by the weighted average number of common shares and common share equivalents outstanding during each period. Common share equivalents represent stock options and unvested shares of restricted stock and are calculated using the treasury stock method. Common share equivalents are excluded from the calculation if their effect is anti-dilutive.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table below sets forth, for the periods indicated, a reconciliation of weighted average common shares outstanding - basic to weighted average</w:t>
      </w:r>
    </w:p>
    <w:p>
      <w:pPr>
        <w:sectPr>
          <w:pgSz w:w="11900" w:h="16838" w:orient="portrait"/>
          <w:cols w:equalWidth="0" w:num="1">
            <w:col w:w="11400"/>
          </w:cols>
          <w:pgMar w:left="240" w:top="341" w:right="259" w:bottom="0" w:gutter="0" w:footer="0" w:header="0"/>
        </w:sectPr>
      </w:pPr>
    </w:p>
    <w:bookmarkStart w:id="7" w:name="page8"/>
    <w:bookmarkEnd w:id="7"/>
    <w:p>
      <w:pPr>
        <w:ind w:left="540" w:right="40"/>
        <w:spacing w:after="0" w:line="268" w:lineRule="auto"/>
        <w:rPr>
          <w:sz w:val="20"/>
          <w:szCs w:val="20"/>
          <w:color w:val="auto"/>
        </w:rPr>
      </w:pPr>
      <w:r>
        <w:rPr>
          <w:rFonts w:ascii="Arial" w:cs="Arial" w:eastAsia="Arial" w:hAnsi="Arial"/>
          <w:sz w:val="18"/>
          <w:szCs w:val="18"/>
          <w:color w:val="auto"/>
        </w:rPr>
        <w:t>common shares and common share equivalents outstanding - diluted and the average number of potentially dilutive securities that were excluded from the calculation of diluted earnings per share because their effect was anti-dilutive:</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9"/>
          </w:tcPr>
          <w:p>
            <w:pPr>
              <w:ind w:left="20"/>
              <w:spacing w:after="0"/>
              <w:rPr>
                <w:sz w:val="20"/>
                <w:szCs w:val="20"/>
                <w:color w:val="auto"/>
              </w:rPr>
            </w:pPr>
            <w:r>
              <w:rPr>
                <w:rFonts w:ascii="Arial" w:cs="Arial" w:eastAsia="Arial" w:hAnsi="Arial"/>
                <w:sz w:val="14"/>
                <w:szCs w:val="14"/>
                <w:b w:val="1"/>
                <w:bCs w:val="1"/>
                <w:i w:val="1"/>
                <w:iCs w:val="1"/>
                <w:color w:val="auto"/>
              </w:rPr>
              <w:t>Three Months Ended</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10"/>
          </w:tcPr>
          <w:p>
            <w:pPr>
              <w:jc w:val="center"/>
              <w:ind w:right="320"/>
              <w:spacing w:after="0"/>
              <w:rPr>
                <w:sz w:val="20"/>
                <w:szCs w:val="20"/>
                <w:color w:val="auto"/>
              </w:rPr>
            </w:pPr>
            <w:r>
              <w:rPr>
                <w:rFonts w:ascii="Arial" w:cs="Arial" w:eastAsia="Arial" w:hAnsi="Arial"/>
                <w:sz w:val="14"/>
                <w:szCs w:val="14"/>
                <w:b w:val="1"/>
                <w:bCs w:val="1"/>
                <w:i w:val="1"/>
                <w:iCs w:val="1"/>
                <w:color w:val="auto"/>
                <w:w w:val="87"/>
              </w:rPr>
              <w:t>Nine Months Ended</w:t>
            </w:r>
          </w:p>
        </w:tc>
      </w:tr>
      <w:tr>
        <w:trPr>
          <w:trHeight w:val="146"/>
        </w:trPr>
        <w:tc>
          <w:tcPr>
            <w:tcW w:w="5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5"/>
          </w:tcPr>
          <w:p>
            <w:pPr>
              <w:ind w:left="80"/>
              <w:spacing w:after="0" w:line="146" w:lineRule="exact"/>
              <w:rPr>
                <w:sz w:val="20"/>
                <w:szCs w:val="20"/>
                <w:color w:val="auto"/>
              </w:rPr>
            </w:pPr>
            <w:r>
              <w:rPr>
                <w:rFonts w:ascii="Arial" w:cs="Arial" w:eastAsia="Arial" w:hAnsi="Arial"/>
                <w:sz w:val="14"/>
                <w:szCs w:val="14"/>
                <w:b w:val="1"/>
                <w:bCs w:val="1"/>
                <w:i w:val="1"/>
                <w:iCs w:val="1"/>
                <w:color w:val="auto"/>
              </w:rPr>
              <w:t>Sept. 30,</w:t>
            </w:r>
          </w:p>
        </w:tc>
        <w:tc>
          <w:tcPr>
            <w:tcW w:w="4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6"/>
          </w:tcPr>
          <w:p>
            <w:pPr>
              <w:jc w:val="center"/>
              <w:ind w:right="160"/>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440" w:type="dxa"/>
            <w:vAlign w:val="bottom"/>
            <w:gridSpan w:val="2"/>
          </w:tcPr>
          <w:p>
            <w:pPr>
              <w:spacing w:after="0"/>
              <w:rPr>
                <w:sz w:val="12"/>
                <w:szCs w:val="12"/>
                <w:color w:val="auto"/>
              </w:rPr>
            </w:pPr>
          </w:p>
        </w:tc>
      </w:tr>
      <w:tr>
        <w:trPr>
          <w:trHeight w:val="156"/>
        </w:trPr>
        <w:tc>
          <w:tcPr>
            <w:tcW w:w="51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8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w w:val="83"/>
              </w:rPr>
              <w:t>2013</w:t>
            </w:r>
          </w:p>
        </w:tc>
        <w:tc>
          <w:tcPr>
            <w:tcW w:w="320" w:type="dxa"/>
            <w:vAlign w:val="bottom"/>
          </w:tcPr>
          <w:p>
            <w:pPr>
              <w:spacing w:after="0"/>
              <w:rPr>
                <w:sz w:val="13"/>
                <w:szCs w:val="13"/>
                <w:color w:val="auto"/>
              </w:rPr>
            </w:pPr>
          </w:p>
        </w:tc>
        <w:tc>
          <w:tcPr>
            <w:tcW w:w="920" w:type="dxa"/>
            <w:vAlign w:val="bottom"/>
            <w:gridSpan w:val="6"/>
          </w:tcPr>
          <w:p>
            <w:pPr>
              <w:jc w:val="right"/>
              <w:ind w:right="320"/>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920" w:type="dxa"/>
            <w:vAlign w:val="bottom"/>
            <w:gridSpan w:val="6"/>
          </w:tcPr>
          <w:p>
            <w:pPr>
              <w:jc w:val="right"/>
              <w:ind w:right="252"/>
              <w:spacing w:after="0" w:line="155" w:lineRule="exact"/>
              <w:rPr>
                <w:sz w:val="20"/>
                <w:szCs w:val="20"/>
                <w:color w:val="auto"/>
              </w:rPr>
            </w:pPr>
            <w:r>
              <w:rPr>
                <w:rFonts w:ascii="Arial" w:cs="Arial" w:eastAsia="Arial" w:hAnsi="Arial"/>
                <w:sz w:val="14"/>
                <w:szCs w:val="14"/>
                <w:b w:val="1"/>
                <w:bCs w:val="1"/>
                <w:i w:val="1"/>
                <w:iCs w:val="1"/>
                <w:color w:val="auto"/>
              </w:rPr>
              <w:t>2013</w:t>
            </w:r>
          </w:p>
        </w:tc>
        <w:tc>
          <w:tcPr>
            <w:tcW w:w="60" w:type="dxa"/>
            <w:vAlign w:val="bottom"/>
          </w:tcPr>
          <w:p>
            <w:pPr>
              <w:spacing w:after="0"/>
              <w:rPr>
                <w:sz w:val="13"/>
                <w:szCs w:val="13"/>
                <w:color w:val="auto"/>
              </w:rPr>
            </w:pPr>
          </w:p>
        </w:tc>
        <w:tc>
          <w:tcPr>
            <w:tcW w:w="540" w:type="dxa"/>
            <w:vAlign w:val="bottom"/>
            <w:gridSpan w:val="5"/>
          </w:tcPr>
          <w:p>
            <w:pPr>
              <w:jc w:val="right"/>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320" w:type="dxa"/>
            <w:vAlign w:val="bottom"/>
          </w:tcPr>
          <w:p>
            <w:pPr>
              <w:spacing w:after="0"/>
              <w:rPr>
                <w:sz w:val="13"/>
                <w:szCs w:val="13"/>
                <w:color w:val="auto"/>
              </w:rPr>
            </w:pPr>
          </w:p>
        </w:tc>
      </w:tr>
      <w:tr>
        <w:trPr>
          <w:trHeight w:val="20"/>
        </w:trPr>
        <w:tc>
          <w:tcPr>
            <w:tcW w:w="5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5"/>
        </w:trPr>
        <w:tc>
          <w:tcPr>
            <w:tcW w:w="512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w w:val="86"/>
              </w:rPr>
              <w:t>10,377,189</w:t>
            </w:r>
          </w:p>
        </w:tc>
        <w:tc>
          <w:tcPr>
            <w:tcW w:w="920" w:type="dxa"/>
            <w:vAlign w:val="bottom"/>
            <w:gridSpan w:val="6"/>
          </w:tcPr>
          <w:p>
            <w:pPr>
              <w:jc w:val="right"/>
              <w:spacing w:after="0"/>
              <w:rPr>
                <w:sz w:val="20"/>
                <w:szCs w:val="20"/>
                <w:color w:val="auto"/>
              </w:rPr>
            </w:pPr>
            <w:r>
              <w:rPr>
                <w:rFonts w:ascii="Arial" w:cs="Arial" w:eastAsia="Arial" w:hAnsi="Arial"/>
                <w:sz w:val="18"/>
                <w:szCs w:val="18"/>
                <w:color w:val="auto"/>
                <w:w w:val="99"/>
              </w:rPr>
              <w:t>10,302,417</w:t>
            </w:r>
          </w:p>
        </w:tc>
        <w:tc>
          <w:tcPr>
            <w:tcW w:w="980" w:type="dxa"/>
            <w:vAlign w:val="bottom"/>
            <w:gridSpan w:val="7"/>
          </w:tcPr>
          <w:p>
            <w:pPr>
              <w:jc w:val="right"/>
              <w:ind w:right="60"/>
              <w:spacing w:after="0"/>
              <w:rPr>
                <w:sz w:val="20"/>
                <w:szCs w:val="20"/>
                <w:color w:val="auto"/>
              </w:rPr>
            </w:pPr>
            <w:r>
              <w:rPr>
                <w:rFonts w:ascii="Arial" w:cs="Arial" w:eastAsia="Arial" w:hAnsi="Arial"/>
                <w:sz w:val="18"/>
                <w:szCs w:val="18"/>
                <w:color w:val="auto"/>
                <w:w w:val="99"/>
              </w:rPr>
              <w:t>10,358,960</w:t>
            </w:r>
          </w:p>
        </w:tc>
        <w:tc>
          <w:tcPr>
            <w:tcW w:w="860" w:type="dxa"/>
            <w:vAlign w:val="bottom"/>
            <w:gridSpan w:val="6"/>
          </w:tcPr>
          <w:p>
            <w:pPr>
              <w:jc w:val="right"/>
              <w:spacing w:after="0"/>
              <w:rPr>
                <w:sz w:val="20"/>
                <w:szCs w:val="20"/>
                <w:color w:val="auto"/>
              </w:rPr>
            </w:pPr>
            <w:r>
              <w:rPr>
                <w:rFonts w:ascii="Arial" w:cs="Arial" w:eastAsia="Arial" w:hAnsi="Arial"/>
                <w:sz w:val="18"/>
                <w:szCs w:val="18"/>
                <w:color w:val="auto"/>
                <w:w w:val="93"/>
              </w:rPr>
              <w:t>10,260,601</w:t>
            </w:r>
          </w:p>
        </w:tc>
      </w:tr>
      <w:tr>
        <w:trPr>
          <w:trHeight w:val="459"/>
        </w:trPr>
        <w:tc>
          <w:tcPr>
            <w:tcW w:w="512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21"/>
        </w:trPr>
        <w:tc>
          <w:tcPr>
            <w:tcW w:w="5120" w:type="dxa"/>
            <w:vAlign w:val="bottom"/>
          </w:tcPr>
          <w:p>
            <w:pPr>
              <w:ind w:left="220"/>
              <w:spacing w:after="0"/>
              <w:rPr>
                <w:sz w:val="20"/>
                <w:szCs w:val="20"/>
                <w:color w:val="auto"/>
              </w:rPr>
            </w:pPr>
            <w:r>
              <w:rPr>
                <w:rFonts w:ascii="Arial" w:cs="Arial" w:eastAsia="Arial" w:hAnsi="Arial"/>
                <w:sz w:val="18"/>
                <w:szCs w:val="18"/>
                <w:color w:val="auto"/>
                <w:w w:val="96"/>
              </w:rPr>
              <w:t>Employee stock options and unvested shares of restricted stock</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26,906</w:t>
            </w:r>
          </w:p>
        </w:tc>
        <w:tc>
          <w:tcPr>
            <w:tcW w:w="920" w:type="dxa"/>
            <w:vAlign w:val="bottom"/>
            <w:gridSpan w:val="6"/>
          </w:tcPr>
          <w:p>
            <w:pPr>
              <w:jc w:val="right"/>
              <w:spacing w:after="0"/>
              <w:rPr>
                <w:sz w:val="20"/>
                <w:szCs w:val="20"/>
                <w:color w:val="auto"/>
              </w:rPr>
            </w:pPr>
            <w:r>
              <w:rPr>
                <w:rFonts w:ascii="Arial" w:cs="Arial" w:eastAsia="Arial" w:hAnsi="Arial"/>
                <w:sz w:val="18"/>
                <w:szCs w:val="18"/>
                <w:color w:val="auto"/>
              </w:rPr>
              <w:t>57,960</w:t>
            </w:r>
          </w:p>
        </w:tc>
        <w:tc>
          <w:tcPr>
            <w:tcW w:w="980" w:type="dxa"/>
            <w:vAlign w:val="bottom"/>
            <w:gridSpan w:val="7"/>
          </w:tcPr>
          <w:p>
            <w:pPr>
              <w:jc w:val="right"/>
              <w:ind w:right="60"/>
              <w:spacing w:after="0"/>
              <w:rPr>
                <w:sz w:val="20"/>
                <w:szCs w:val="20"/>
                <w:color w:val="auto"/>
              </w:rPr>
            </w:pPr>
            <w:r>
              <w:rPr>
                <w:rFonts w:ascii="Arial" w:cs="Arial" w:eastAsia="Arial" w:hAnsi="Arial"/>
                <w:sz w:val="18"/>
                <w:szCs w:val="18"/>
                <w:color w:val="auto"/>
              </w:rPr>
              <w:t>25,010</w:t>
            </w:r>
          </w:p>
        </w:tc>
        <w:tc>
          <w:tcPr>
            <w:tcW w:w="860" w:type="dxa"/>
            <w:vAlign w:val="bottom"/>
            <w:gridSpan w:val="6"/>
          </w:tcPr>
          <w:p>
            <w:pPr>
              <w:jc w:val="right"/>
              <w:spacing w:after="0"/>
              <w:rPr>
                <w:sz w:val="20"/>
                <w:szCs w:val="20"/>
                <w:color w:val="auto"/>
              </w:rPr>
            </w:pPr>
            <w:r>
              <w:rPr>
                <w:rFonts w:ascii="Arial" w:cs="Arial" w:eastAsia="Arial" w:hAnsi="Arial"/>
                <w:sz w:val="18"/>
                <w:szCs w:val="18"/>
                <w:color w:val="auto"/>
              </w:rPr>
              <w:t>87,579</w:t>
            </w:r>
          </w:p>
        </w:tc>
      </w:tr>
      <w:tr>
        <w:trPr>
          <w:trHeight w:val="471"/>
        </w:trPr>
        <w:tc>
          <w:tcPr>
            <w:tcW w:w="5120" w:type="dxa"/>
            <w:vAlign w:val="bottom"/>
          </w:tcPr>
          <w:p>
            <w:pPr>
              <w:spacing w:after="0"/>
              <w:rPr>
                <w:sz w:val="20"/>
                <w:szCs w:val="20"/>
                <w:color w:val="auto"/>
              </w:rPr>
            </w:pPr>
            <w:r>
              <w:rPr>
                <w:rFonts w:ascii="Arial" w:cs="Arial" w:eastAsia="Arial" w:hAnsi="Arial"/>
                <w:sz w:val="18"/>
                <w:szCs w:val="18"/>
                <w:color w:val="auto"/>
              </w:rPr>
              <w:t>Weighted average common shares and common share</w:t>
            </w: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r>
      <w:tr>
        <w:trPr>
          <w:trHeight w:val="184"/>
        </w:trPr>
        <w:tc>
          <w:tcPr>
            <w:tcW w:w="5120" w:type="dxa"/>
            <w:vAlign w:val="bottom"/>
          </w:tcPr>
          <w:p>
            <w:pPr>
              <w:ind w:left="80"/>
              <w:spacing w:after="0" w:line="184" w:lineRule="exact"/>
              <w:rPr>
                <w:sz w:val="20"/>
                <w:szCs w:val="20"/>
                <w:color w:val="auto"/>
              </w:rPr>
            </w:pPr>
            <w:r>
              <w:rPr>
                <w:rFonts w:ascii="Arial" w:cs="Arial" w:eastAsia="Arial" w:hAnsi="Arial"/>
                <w:sz w:val="18"/>
                <w:szCs w:val="18"/>
                <w:color w:val="auto"/>
              </w:rPr>
              <w:t>equivalents outstanding - diluted</w:t>
            </w:r>
          </w:p>
        </w:tc>
        <w:tc>
          <w:tcPr>
            <w:tcW w:w="800" w:type="dxa"/>
            <w:vAlign w:val="bottom"/>
            <w:gridSpan w:val="5"/>
          </w:tcPr>
          <w:p>
            <w:pPr>
              <w:jc w:val="right"/>
              <w:spacing w:after="0" w:line="184" w:lineRule="exact"/>
              <w:rPr>
                <w:sz w:val="20"/>
                <w:szCs w:val="20"/>
                <w:color w:val="auto"/>
              </w:rPr>
            </w:pPr>
            <w:r>
              <w:rPr>
                <w:rFonts w:ascii="Arial" w:cs="Arial" w:eastAsia="Arial" w:hAnsi="Arial"/>
                <w:sz w:val="18"/>
                <w:szCs w:val="18"/>
                <w:color w:val="auto"/>
                <w:w w:val="86"/>
              </w:rPr>
              <w:t>10,404,095</w:t>
            </w:r>
          </w:p>
        </w:tc>
        <w:tc>
          <w:tcPr>
            <w:tcW w:w="920" w:type="dxa"/>
            <w:vAlign w:val="bottom"/>
            <w:gridSpan w:val="6"/>
          </w:tcPr>
          <w:p>
            <w:pPr>
              <w:jc w:val="right"/>
              <w:spacing w:after="0" w:line="184" w:lineRule="exact"/>
              <w:rPr>
                <w:sz w:val="20"/>
                <w:szCs w:val="20"/>
                <w:color w:val="auto"/>
              </w:rPr>
            </w:pPr>
            <w:r>
              <w:rPr>
                <w:rFonts w:ascii="Arial" w:cs="Arial" w:eastAsia="Arial" w:hAnsi="Arial"/>
                <w:sz w:val="18"/>
                <w:szCs w:val="18"/>
                <w:color w:val="auto"/>
                <w:w w:val="99"/>
              </w:rPr>
              <w:t>10,360,377</w:t>
            </w:r>
          </w:p>
        </w:tc>
        <w:tc>
          <w:tcPr>
            <w:tcW w:w="980" w:type="dxa"/>
            <w:vAlign w:val="bottom"/>
            <w:gridSpan w:val="7"/>
          </w:tcPr>
          <w:p>
            <w:pPr>
              <w:jc w:val="right"/>
              <w:ind w:right="60"/>
              <w:spacing w:after="0" w:line="184" w:lineRule="exact"/>
              <w:rPr>
                <w:sz w:val="20"/>
                <w:szCs w:val="20"/>
                <w:color w:val="auto"/>
              </w:rPr>
            </w:pPr>
            <w:r>
              <w:rPr>
                <w:rFonts w:ascii="Arial" w:cs="Arial" w:eastAsia="Arial" w:hAnsi="Arial"/>
                <w:sz w:val="18"/>
                <w:szCs w:val="18"/>
                <w:color w:val="auto"/>
                <w:w w:val="99"/>
              </w:rPr>
              <w:t>10,383,970</w:t>
            </w:r>
          </w:p>
        </w:tc>
        <w:tc>
          <w:tcPr>
            <w:tcW w:w="860" w:type="dxa"/>
            <w:vAlign w:val="bottom"/>
            <w:gridSpan w:val="6"/>
          </w:tcPr>
          <w:p>
            <w:pPr>
              <w:jc w:val="right"/>
              <w:spacing w:after="0" w:line="184" w:lineRule="exact"/>
              <w:rPr>
                <w:sz w:val="20"/>
                <w:szCs w:val="20"/>
                <w:color w:val="auto"/>
              </w:rPr>
            </w:pPr>
            <w:r>
              <w:rPr>
                <w:rFonts w:ascii="Arial" w:cs="Arial" w:eastAsia="Arial" w:hAnsi="Arial"/>
                <w:sz w:val="18"/>
                <w:szCs w:val="18"/>
                <w:color w:val="auto"/>
                <w:w w:val="93"/>
              </w:rPr>
              <w:t>10,348,180</w:t>
            </w:r>
          </w:p>
        </w:tc>
      </w:tr>
      <w:tr>
        <w:trPr>
          <w:trHeight w:val="931"/>
        </w:trPr>
        <w:tc>
          <w:tcPr>
            <w:tcW w:w="5120" w:type="dxa"/>
            <w:vAlign w:val="bottom"/>
          </w:tcPr>
          <w:p>
            <w:pPr>
              <w:spacing w:after="0"/>
              <w:rPr>
                <w:sz w:val="20"/>
                <w:szCs w:val="20"/>
                <w:color w:val="auto"/>
              </w:rPr>
            </w:pPr>
            <w:r>
              <w:rPr>
                <w:rFonts w:ascii="Arial" w:cs="Arial" w:eastAsia="Arial" w:hAnsi="Arial"/>
                <w:sz w:val="18"/>
                <w:szCs w:val="18"/>
                <w:color w:val="auto"/>
              </w:rPr>
              <w:t>Average number of potentially dilutive securities excluded</w:t>
            </w: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r>
      <w:tr>
        <w:trPr>
          <w:trHeight w:val="222"/>
        </w:trPr>
        <w:tc>
          <w:tcPr>
            <w:tcW w:w="5120" w:type="dxa"/>
            <w:vAlign w:val="bottom"/>
          </w:tcPr>
          <w:p>
            <w:pPr>
              <w:ind w:left="140"/>
              <w:spacing w:after="0"/>
              <w:rPr>
                <w:sz w:val="20"/>
                <w:szCs w:val="20"/>
                <w:color w:val="auto"/>
              </w:rPr>
            </w:pPr>
            <w:r>
              <w:rPr>
                <w:rFonts w:ascii="Arial" w:cs="Arial" w:eastAsia="Arial" w:hAnsi="Arial"/>
                <w:sz w:val="18"/>
                <w:szCs w:val="18"/>
                <w:color w:val="auto"/>
              </w:rPr>
              <w:t>from calculation</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12,500</w:t>
            </w:r>
          </w:p>
        </w:tc>
        <w:tc>
          <w:tcPr>
            <w:tcW w:w="920" w:type="dxa"/>
            <w:vAlign w:val="bottom"/>
            <w:gridSpan w:val="6"/>
          </w:tcPr>
          <w:p>
            <w:pPr>
              <w:jc w:val="right"/>
              <w:spacing w:after="0"/>
              <w:rPr>
                <w:sz w:val="20"/>
                <w:szCs w:val="20"/>
                <w:color w:val="auto"/>
              </w:rPr>
            </w:pPr>
            <w:r>
              <w:rPr>
                <w:rFonts w:ascii="Arial" w:cs="Arial" w:eastAsia="Arial" w:hAnsi="Arial"/>
                <w:sz w:val="18"/>
                <w:szCs w:val="18"/>
                <w:color w:val="auto"/>
              </w:rPr>
              <w:t>229,675</w:t>
            </w:r>
          </w:p>
        </w:tc>
        <w:tc>
          <w:tcPr>
            <w:tcW w:w="980" w:type="dxa"/>
            <w:vAlign w:val="bottom"/>
            <w:gridSpan w:val="7"/>
          </w:tcPr>
          <w:p>
            <w:pPr>
              <w:jc w:val="right"/>
              <w:ind w:right="60"/>
              <w:spacing w:after="0"/>
              <w:rPr>
                <w:sz w:val="20"/>
                <w:szCs w:val="20"/>
                <w:color w:val="auto"/>
              </w:rPr>
            </w:pPr>
            <w:r>
              <w:rPr>
                <w:rFonts w:ascii="Arial" w:cs="Arial" w:eastAsia="Arial" w:hAnsi="Arial"/>
                <w:sz w:val="18"/>
                <w:szCs w:val="18"/>
                <w:color w:val="auto"/>
              </w:rPr>
              <w:t>16,715</w:t>
            </w:r>
          </w:p>
        </w:tc>
        <w:tc>
          <w:tcPr>
            <w:tcW w:w="860" w:type="dxa"/>
            <w:vAlign w:val="bottom"/>
            <w:gridSpan w:val="6"/>
          </w:tcPr>
          <w:p>
            <w:pPr>
              <w:jc w:val="right"/>
              <w:spacing w:after="0"/>
              <w:rPr>
                <w:sz w:val="20"/>
                <w:szCs w:val="20"/>
                <w:color w:val="auto"/>
              </w:rPr>
            </w:pPr>
            <w:r>
              <w:rPr>
                <w:rFonts w:ascii="Arial" w:cs="Arial" w:eastAsia="Arial" w:hAnsi="Arial"/>
                <w:sz w:val="18"/>
                <w:szCs w:val="18"/>
                <w:color w:val="auto"/>
              </w:rPr>
              <w:t>42,720</w:t>
            </w:r>
          </w:p>
        </w:tc>
      </w:tr>
    </w:tbl>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Adopted Amendments to Authoritative Accounting Guidance</w:t>
      </w:r>
    </w:p>
    <w:p>
      <w:pPr>
        <w:spacing w:after="0" w:line="225" w:lineRule="exact"/>
        <w:rPr>
          <w:sz w:val="20"/>
          <w:szCs w:val="20"/>
          <w:color w:val="auto"/>
        </w:rPr>
      </w:pPr>
    </w:p>
    <w:p>
      <w:pPr>
        <w:ind w:left="540" w:right="40"/>
        <w:spacing w:after="0" w:line="289" w:lineRule="auto"/>
        <w:rPr>
          <w:sz w:val="20"/>
          <w:szCs w:val="20"/>
          <w:color w:val="auto"/>
        </w:rPr>
      </w:pPr>
      <w:r>
        <w:rPr>
          <w:rFonts w:ascii="Arial" w:cs="Arial" w:eastAsia="Arial" w:hAnsi="Arial"/>
          <w:sz w:val="16"/>
          <w:szCs w:val="16"/>
          <w:color w:val="auto"/>
        </w:rPr>
        <w:t>In July 2012, the FASB issued amendments to existing guidance on the assessment of impairment for indefinite-lived intangible assets other than goodwill. The amendments permit an entity first to assess qualitative factors to determine whether it is more likely than not that an indefinite-lived intangible asset is impaired as a basis for determining whether it is necessary to perform the quantitative impairment test. If an entity believes, as a result of its qualitative assessment, that it is more-likely-than-not that the fair value is less than its carrying amount, the quantitative impairment test is required. Otherwise, no further testing is required. The amendments are effective for annual and interim impairment tests performed for fiscal years beginning after September 15, 2012. However, an entity can choose to adopt this guidance early even if its annual test date is before the issuance of the final standard, provided that the entity has not yet issued its financial statements for the most recent annual or interim period. We adopted these amendments on January 1, 2013. The adoption of these amendments did not have a material impact on our consolidated financial statements.</w:t>
      </w:r>
    </w:p>
    <w:p>
      <w:pPr>
        <w:spacing w:after="0" w:line="172" w:lineRule="exact"/>
        <w:rPr>
          <w:sz w:val="20"/>
          <w:szCs w:val="20"/>
          <w:color w:val="auto"/>
        </w:rPr>
      </w:pPr>
    </w:p>
    <w:p>
      <w:pPr>
        <w:ind w:left="540" w:right="140"/>
        <w:spacing w:after="0" w:line="289" w:lineRule="auto"/>
        <w:rPr>
          <w:sz w:val="20"/>
          <w:szCs w:val="20"/>
          <w:color w:val="auto"/>
        </w:rPr>
      </w:pPr>
      <w:r>
        <w:rPr>
          <w:rFonts w:ascii="Arial" w:cs="Arial" w:eastAsia="Arial" w:hAnsi="Arial"/>
          <w:sz w:val="16"/>
          <w:szCs w:val="16"/>
          <w:color w:val="auto"/>
        </w:rPr>
        <w:t>In February 2013, the FASB issued amendments to existing guidance on the accounting for accumulated other comprehensive income. The amendments require entities to provide information about the amounts reclassified out of accumulated other comprehensive income by component. In addition, an entity is required to present, either on the face of the financial statements or in the notes, significant amounts reclassified out of accumulated other comprehensive income by the respective line items of net income, but only if the amount reclassified is required to be reclassified in its entirety in the same reporting period. For amounts that are not required to be reclassified in their entirety to net income, an entity is required to cross-reference to other disclosures that provide additional details about those amounts. The amendments are effective for annual and interim periods beginning after December 15, 2012. We adopted these amendments on January 1, 2013. The adoption of these amendments did not have a material impact on our consolidated financial statements.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w:t>
      </w:r>
    </w:p>
    <w:p>
      <w:pPr>
        <w:spacing w:after="0" w:line="191"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On January 16, 2012, Temptronic acquired substantially all of the assets and certain liabilities of Thermonics pursuant to the Asset Purchase Agreement dated December 9, 2011. Thermonics is engaged in the business of designing, manufacturing, selling and distributing temperature forcing systems used in the testing of various products under temperature controlled situations. The acquisition of the Thermonics business broadened the product line of inTEST's Thermal Products segment.</w:t>
      </w:r>
    </w:p>
    <w:p>
      <w:pPr>
        <w:spacing w:after="0" w:line="197"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The purchase price for the assets was approximately $3,802 in cash, plus the assumption of specified liabilities, including trade payables and certain customer contract obligations. In connection with this acquisition, we also signed a separate one year lease for the facility then occupied by Thermonics in Sunnyvale, California. This facility was owned by certain shareholders of the seller. We ceased operations at this facility in February 2012 and relocated the Thermonics product line to our facility in Mansfield, Massachusetts where our Temptronic operations are located. During 2012, we recorded a restructuring charge of $313 related to this action. See Note 5 for further detail regarding this charge.</w:t>
      </w:r>
    </w:p>
    <w:p>
      <w:pPr>
        <w:spacing w:after="0" w:line="170"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color w:val="auto"/>
        </w:rPr>
        <w:t>Total acquisition costs incurred to complete this transaction were $485. The portion of these costs that was incurred in 2011 was $148. Acquisition costs are expensed as incurred and included in general and administrative expense.</w:t>
      </w:r>
    </w:p>
    <w:p>
      <w:pPr>
        <w:spacing w:after="0" w:line="186"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The Thermonics acquisition was accounted for as a purchase business combination and, accordingly, the results of Thermonics have been included in our consolidated results of operations from the date of acquisition. The allocation of the total purchase price of Thermonics net tangible and identifiable intangible assets was based on their estimated fair values as of the acquisition date. The tangible assets acquired include accounts receivable, inventory, and property and equipment. Liabilities assumed include trade payables, certain customer contract obligations and accrued payments under a non-compete/non-solicitation agreement with a former employee of Thermonics. Identifiable intangible assets acquired include customer relationships, customer backlog, the Thermonics trade name, patented technology, and a non-compete/non-solicitation agreement with a former employee of Thermonics. The excess of the purchase price over the identifiable intangible and net tangible assets in the amount of $50 was allocated to goodwill and is deductible for tax purposes. Goodwill is attributed to the synergies that are expected to result from the operations of the combined businesses. The determination of fair value reflects the assistance of third-party valuation specialists, as well as our own estimates and assumptions.</w:t>
      </w:r>
    </w:p>
    <w:p>
      <w:pPr>
        <w:sectPr>
          <w:pgSz w:w="11900" w:h="16838" w:orient="portrait"/>
          <w:cols w:equalWidth="0" w:num="1">
            <w:col w:w="11400"/>
          </w:cols>
          <w:pgMar w:left="240" w:top="131" w:right="259" w:bottom="0" w:gutter="0" w:footer="0" w:header="0"/>
        </w:sectPr>
      </w:pPr>
    </w:p>
    <w:bookmarkStart w:id="8" w:name="page9"/>
    <w:bookmarkEnd w:id="8"/>
    <w:tbl>
      <w:tblPr>
        <w:tblLayout w:type="fixed"/>
        <w:tblInd w:w="540" w:type="dxa"/>
        <w:tblCellMar>
          <w:top w:w="0" w:type="dxa"/>
          <w:left w:w="0" w:type="dxa"/>
          <w:bottom w:w="0" w:type="dxa"/>
          <w:right w:w="0" w:type="dxa"/>
        </w:tblCellMar>
      </w:tblPr>
      <w:tr>
        <w:trPr>
          <w:trHeight w:val="222"/>
        </w:trPr>
        <w:tc>
          <w:tcPr>
            <w:tcW w:w="4680" w:type="dxa"/>
            <w:vAlign w:val="bottom"/>
          </w:tcPr>
          <w:p>
            <w:pPr>
              <w:spacing w:after="0"/>
              <w:rPr>
                <w:sz w:val="20"/>
                <w:szCs w:val="20"/>
                <w:color w:val="auto"/>
              </w:rPr>
            </w:pPr>
            <w:r>
              <w:rPr>
                <w:rFonts w:ascii="Arial" w:cs="Arial" w:eastAsia="Arial" w:hAnsi="Arial"/>
                <w:sz w:val="18"/>
                <w:szCs w:val="18"/>
                <w:color w:val="auto"/>
                <w:w w:val="96"/>
              </w:rPr>
              <w:t>The following represents the allocation of the purchase price:</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05"/>
        </w:trPr>
        <w:tc>
          <w:tcPr>
            <w:tcW w:w="4680" w:type="dxa"/>
            <w:vAlign w:val="bottom"/>
          </w:tcPr>
          <w:p>
            <w:pPr>
              <w:ind w:left="560"/>
              <w:spacing w:after="0"/>
              <w:rPr>
                <w:sz w:val="20"/>
                <w:szCs w:val="20"/>
                <w:color w:val="auto"/>
              </w:rPr>
            </w:pPr>
            <w:r>
              <w:rPr>
                <w:rFonts w:ascii="Arial" w:cs="Arial" w:eastAsia="Arial" w:hAnsi="Arial"/>
                <w:sz w:val="18"/>
                <w:szCs w:val="18"/>
                <w:color w:val="auto"/>
              </w:rPr>
              <w:t>Goodwill</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r>
      <w:tr>
        <w:trPr>
          <w:trHeight w:val="459"/>
        </w:trPr>
        <w:tc>
          <w:tcPr>
            <w:tcW w:w="4680" w:type="dxa"/>
            <w:vAlign w:val="bottom"/>
          </w:tcPr>
          <w:p>
            <w:pPr>
              <w:ind w:left="560"/>
              <w:spacing w:after="0"/>
              <w:rPr>
                <w:sz w:val="20"/>
                <w:szCs w:val="20"/>
                <w:color w:val="auto"/>
              </w:rPr>
            </w:pPr>
            <w:r>
              <w:rPr>
                <w:rFonts w:ascii="Arial" w:cs="Arial" w:eastAsia="Arial" w:hAnsi="Arial"/>
                <w:sz w:val="18"/>
                <w:szCs w:val="18"/>
                <w:color w:val="auto"/>
              </w:rPr>
              <w:t>Identifiable intangible assets</w:t>
            </w:r>
          </w:p>
        </w:tc>
        <w:tc>
          <w:tcPr>
            <w:tcW w:w="50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1,728</w:t>
            </w:r>
          </w:p>
        </w:tc>
      </w:tr>
      <w:tr>
        <w:trPr>
          <w:trHeight w:val="459"/>
        </w:trPr>
        <w:tc>
          <w:tcPr>
            <w:tcW w:w="4680" w:type="dxa"/>
            <w:vAlign w:val="bottom"/>
          </w:tcPr>
          <w:p>
            <w:pPr>
              <w:ind w:left="560"/>
              <w:spacing w:after="0"/>
              <w:rPr>
                <w:sz w:val="20"/>
                <w:szCs w:val="20"/>
                <w:color w:val="auto"/>
              </w:rPr>
            </w:pPr>
            <w:r>
              <w:rPr>
                <w:rFonts w:ascii="Arial" w:cs="Arial" w:eastAsia="Arial" w:hAnsi="Arial"/>
                <w:sz w:val="18"/>
                <w:szCs w:val="18"/>
                <w:color w:val="auto"/>
              </w:rPr>
              <w:t>Tangible assets acquired and liabilities assumed:</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680" w:type="dxa"/>
            <w:vAlign w:val="bottom"/>
          </w:tcPr>
          <w:p>
            <w:pPr>
              <w:ind w:left="740"/>
              <w:spacing w:after="0"/>
              <w:rPr>
                <w:sz w:val="20"/>
                <w:szCs w:val="20"/>
                <w:color w:val="auto"/>
              </w:rPr>
            </w:pPr>
            <w:r>
              <w:rPr>
                <w:rFonts w:ascii="Arial" w:cs="Arial" w:eastAsia="Arial" w:hAnsi="Arial"/>
                <w:sz w:val="18"/>
                <w:szCs w:val="18"/>
                <w:color w:val="auto"/>
              </w:rPr>
              <w:t>Trade accounts receivable</w:t>
            </w:r>
          </w:p>
        </w:tc>
        <w:tc>
          <w:tcPr>
            <w:tcW w:w="50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1,161</w:t>
            </w:r>
          </w:p>
        </w:tc>
      </w:tr>
      <w:tr>
        <w:trPr>
          <w:trHeight w:val="459"/>
        </w:trPr>
        <w:tc>
          <w:tcPr>
            <w:tcW w:w="4680" w:type="dxa"/>
            <w:vAlign w:val="bottom"/>
          </w:tcPr>
          <w:p>
            <w:pPr>
              <w:ind w:left="740"/>
              <w:spacing w:after="0"/>
              <w:rPr>
                <w:sz w:val="20"/>
                <w:szCs w:val="20"/>
                <w:color w:val="auto"/>
              </w:rPr>
            </w:pPr>
            <w:r>
              <w:rPr>
                <w:rFonts w:ascii="Arial" w:cs="Arial" w:eastAsia="Arial" w:hAnsi="Arial"/>
                <w:sz w:val="18"/>
                <w:szCs w:val="18"/>
                <w:color w:val="auto"/>
              </w:rPr>
              <w:t>Inventories</w:t>
            </w:r>
          </w:p>
        </w:tc>
        <w:tc>
          <w:tcPr>
            <w:tcW w:w="50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874</w:t>
            </w:r>
          </w:p>
        </w:tc>
      </w:tr>
      <w:tr>
        <w:trPr>
          <w:trHeight w:val="459"/>
        </w:trPr>
        <w:tc>
          <w:tcPr>
            <w:tcW w:w="4680" w:type="dxa"/>
            <w:vAlign w:val="bottom"/>
          </w:tcPr>
          <w:p>
            <w:pPr>
              <w:ind w:left="740"/>
              <w:spacing w:after="0"/>
              <w:rPr>
                <w:sz w:val="20"/>
                <w:szCs w:val="20"/>
                <w:color w:val="auto"/>
              </w:rPr>
            </w:pPr>
            <w:r>
              <w:rPr>
                <w:rFonts w:ascii="Arial" w:cs="Arial" w:eastAsia="Arial" w:hAnsi="Arial"/>
                <w:sz w:val="18"/>
                <w:szCs w:val="18"/>
                <w:color w:val="auto"/>
              </w:rPr>
              <w:t>Property and equipment</w:t>
            </w:r>
          </w:p>
        </w:tc>
        <w:tc>
          <w:tcPr>
            <w:tcW w:w="50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263</w:t>
            </w:r>
          </w:p>
        </w:tc>
      </w:tr>
      <w:tr>
        <w:trPr>
          <w:trHeight w:val="459"/>
        </w:trPr>
        <w:tc>
          <w:tcPr>
            <w:tcW w:w="468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(77)</w:t>
            </w:r>
          </w:p>
        </w:tc>
      </w:tr>
      <w:tr>
        <w:trPr>
          <w:trHeight w:val="459"/>
        </w:trPr>
        <w:tc>
          <w:tcPr>
            <w:tcW w:w="4680" w:type="dxa"/>
            <w:vAlign w:val="bottom"/>
          </w:tcPr>
          <w:p>
            <w:pPr>
              <w:ind w:left="720"/>
              <w:spacing w:after="0"/>
              <w:rPr>
                <w:sz w:val="20"/>
                <w:szCs w:val="20"/>
                <w:color w:val="auto"/>
              </w:rPr>
            </w:pPr>
            <w:r>
              <w:rPr>
                <w:rFonts w:ascii="Arial" w:cs="Arial" w:eastAsia="Arial" w:hAnsi="Arial"/>
                <w:sz w:val="18"/>
                <w:szCs w:val="18"/>
                <w:color w:val="auto"/>
              </w:rPr>
              <w:t>Accrued non-compete/non-solicitation payments</w:t>
            </w:r>
          </w:p>
        </w:tc>
        <w:tc>
          <w:tcPr>
            <w:tcW w:w="5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(48)</w:t>
            </w:r>
          </w:p>
        </w:tc>
      </w:tr>
      <w:tr>
        <w:trPr>
          <w:trHeight w:val="459"/>
        </w:trPr>
        <w:tc>
          <w:tcPr>
            <w:tcW w:w="4680" w:type="dxa"/>
            <w:vAlign w:val="bottom"/>
          </w:tcPr>
          <w:p>
            <w:pPr>
              <w:ind w:left="720"/>
              <w:spacing w:after="0"/>
              <w:rPr>
                <w:sz w:val="20"/>
                <w:szCs w:val="20"/>
                <w:color w:val="auto"/>
              </w:rPr>
            </w:pPr>
            <w:r>
              <w:rPr>
                <w:rFonts w:ascii="Arial" w:cs="Arial" w:eastAsia="Arial" w:hAnsi="Arial"/>
                <w:sz w:val="18"/>
                <w:szCs w:val="18"/>
                <w:color w:val="auto"/>
              </w:rPr>
              <w:t>Accrued sales commissions</w:t>
            </w:r>
          </w:p>
        </w:tc>
        <w:tc>
          <w:tcPr>
            <w:tcW w:w="5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(82)</w:t>
            </w:r>
          </w:p>
        </w:tc>
      </w:tr>
      <w:tr>
        <w:trPr>
          <w:trHeight w:val="421"/>
        </w:trPr>
        <w:tc>
          <w:tcPr>
            <w:tcW w:w="4680" w:type="dxa"/>
            <w:vAlign w:val="bottom"/>
          </w:tcPr>
          <w:p>
            <w:pPr>
              <w:ind w:left="720"/>
              <w:spacing w:after="0"/>
              <w:rPr>
                <w:sz w:val="20"/>
                <w:szCs w:val="20"/>
                <w:color w:val="auto"/>
              </w:rPr>
            </w:pPr>
            <w:r>
              <w:rPr>
                <w:rFonts w:ascii="Arial" w:cs="Arial" w:eastAsia="Arial" w:hAnsi="Arial"/>
                <w:sz w:val="18"/>
                <w:szCs w:val="18"/>
                <w:color w:val="auto"/>
              </w:rPr>
              <w:t>Accrued warranty</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4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680" w:type="dxa"/>
            <w:vAlign w:val="bottom"/>
          </w:tcPr>
          <w:p>
            <w:pPr>
              <w:ind w:left="560"/>
              <w:spacing w:after="0"/>
              <w:rPr>
                <w:sz w:val="20"/>
                <w:szCs w:val="20"/>
                <w:color w:val="auto"/>
              </w:rPr>
            </w:pPr>
            <w:r>
              <w:rPr>
                <w:rFonts w:ascii="Arial" w:cs="Arial" w:eastAsia="Arial" w:hAnsi="Arial"/>
                <w:sz w:val="18"/>
                <w:szCs w:val="18"/>
                <w:color w:val="auto"/>
              </w:rPr>
              <w:t>Total purchase price</w:t>
            </w:r>
          </w:p>
        </w:tc>
        <w:tc>
          <w:tcPr>
            <w:tcW w:w="500" w:type="dxa"/>
            <w:vAlign w:val="bottom"/>
          </w:tcPr>
          <w:p>
            <w:pPr>
              <w:spacing w:after="0"/>
              <w:rPr>
                <w:sz w:val="24"/>
                <w:szCs w:val="24"/>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3,802</w:t>
            </w:r>
          </w:p>
        </w:tc>
      </w:tr>
    </w:tbl>
    <w:p>
      <w:pPr>
        <w:spacing w:after="0" w:line="200" w:lineRule="exact"/>
        <w:rPr>
          <w:sz w:val="20"/>
          <w:szCs w:val="20"/>
          <w:color w:val="auto"/>
        </w:rPr>
      </w:pPr>
    </w:p>
    <w:p>
      <w:pPr>
        <w:spacing w:after="0" w:line="264" w:lineRule="exact"/>
        <w:rPr>
          <w:sz w:val="20"/>
          <w:szCs w:val="20"/>
          <w:color w:val="auto"/>
        </w:rPr>
      </w:pPr>
    </w:p>
    <w:p>
      <w:pPr>
        <w:ind w:left="540"/>
        <w:spacing w:after="0" w:line="370" w:lineRule="auto"/>
        <w:rPr>
          <w:sz w:val="20"/>
          <w:szCs w:val="20"/>
          <w:color w:val="auto"/>
        </w:rPr>
      </w:pPr>
      <w:r>
        <w:rPr>
          <w:rFonts w:ascii="Arial" w:cs="Arial" w:eastAsia="Arial" w:hAnsi="Arial"/>
          <w:sz w:val="15"/>
          <w:szCs w:val="15"/>
          <w:color w:val="auto"/>
        </w:rPr>
        <w:t>We estimated the fair value of identifiable intangible assets acquired using a combination of the income, cost and market approaches. The following table provides further information about the finite-lived intangible assets acquired in connection with the acquisition of Thermonics as of the acquisition date:</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- 10 -</w:t>
      </w: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ACQUISITION </w:t>
      </w:r>
      <w:r>
        <w:rPr>
          <w:rFonts w:ascii="Arial" w:cs="Arial" w:eastAsia="Arial" w:hAnsi="Arial"/>
          <w:sz w:val="18"/>
          <w:szCs w:val="18"/>
          <w:color w:val="auto"/>
        </w:rPr>
        <w:t>(Continued)</w:t>
      </w:r>
    </w:p>
    <w:p>
      <w:pPr>
        <w:spacing w:after="0" w:line="189"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9"/>
        </w:trPr>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i w:val="1"/>
                <w:iCs w:val="1"/>
                <w:color w:val="auto"/>
              </w:rPr>
              <w:t>Fair</w:t>
            </w:r>
          </w:p>
        </w:tc>
        <w:tc>
          <w:tcPr>
            <w:tcW w:w="220" w:type="dxa"/>
            <w:vAlign w:val="bottom"/>
          </w:tcPr>
          <w:p>
            <w:pPr>
              <w:spacing w:after="0"/>
              <w:rPr>
                <w:sz w:val="12"/>
                <w:szCs w:val="12"/>
                <w:color w:val="auto"/>
              </w:rPr>
            </w:pP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83"/>
              </w:rPr>
              <w:t>Estimated</w:t>
            </w:r>
          </w:p>
        </w:tc>
      </w:tr>
      <w:tr>
        <w:trPr>
          <w:trHeight w:val="146"/>
        </w:trPr>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3"/>
          </w:tcPr>
          <w:p>
            <w:pPr>
              <w:jc w:val="right"/>
              <w:ind w:right="80"/>
              <w:spacing w:after="0" w:line="146" w:lineRule="exact"/>
              <w:rPr>
                <w:sz w:val="20"/>
                <w:szCs w:val="20"/>
                <w:color w:val="auto"/>
              </w:rPr>
            </w:pPr>
            <w:r>
              <w:rPr>
                <w:rFonts w:ascii="Arial" w:cs="Arial" w:eastAsia="Arial" w:hAnsi="Arial"/>
                <w:sz w:val="14"/>
                <w:szCs w:val="14"/>
                <w:b w:val="1"/>
                <w:bCs w:val="1"/>
                <w:i w:val="1"/>
                <w:iCs w:val="1"/>
                <w:color w:val="auto"/>
                <w:w w:val="80"/>
              </w:rPr>
              <w:t>Value</w:t>
            </w:r>
          </w:p>
        </w:tc>
        <w:tc>
          <w:tcPr>
            <w:tcW w:w="880" w:type="dxa"/>
            <w:vAlign w:val="bottom"/>
            <w:gridSpan w:val="3"/>
          </w:tcPr>
          <w:p>
            <w:pPr>
              <w:jc w:val="center"/>
              <w:ind w:left="115"/>
              <w:spacing w:after="0" w:line="146" w:lineRule="exact"/>
              <w:rPr>
                <w:sz w:val="20"/>
                <w:szCs w:val="20"/>
                <w:color w:val="auto"/>
              </w:rPr>
            </w:pPr>
            <w:r>
              <w:rPr>
                <w:rFonts w:ascii="Arial" w:cs="Arial" w:eastAsia="Arial" w:hAnsi="Arial"/>
                <w:sz w:val="14"/>
                <w:szCs w:val="14"/>
                <w:b w:val="1"/>
                <w:bCs w:val="1"/>
                <w:i w:val="1"/>
                <w:iCs w:val="1"/>
                <w:color w:val="auto"/>
                <w:w w:val="89"/>
              </w:rPr>
              <w:t>Useful Life</w:t>
            </w:r>
          </w:p>
        </w:tc>
      </w:tr>
      <w:tr>
        <w:trPr>
          <w:trHeight w:val="161"/>
        </w:trPr>
        <w:tc>
          <w:tcPr>
            <w:tcW w:w="3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(in months)</w:t>
            </w:r>
          </w:p>
        </w:tc>
        <w:tc>
          <w:tcPr>
            <w:tcW w:w="20" w:type="dxa"/>
            <w:vAlign w:val="bottom"/>
          </w:tcPr>
          <w:p>
            <w:pPr>
              <w:spacing w:after="0"/>
              <w:rPr>
                <w:sz w:val="13"/>
                <w:szCs w:val="13"/>
                <w:color w:val="auto"/>
              </w:rPr>
            </w:pP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$1,110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Customer backlog</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70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Thermonics trade name</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140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4"/>
                <w:szCs w:val="24"/>
                <w:color w:val="auto"/>
              </w:rPr>
            </w:pP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Patented technology</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360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24"/>
                <w:szCs w:val="24"/>
                <w:color w:val="auto"/>
              </w:rPr>
            </w:pPr>
          </w:p>
        </w:tc>
      </w:tr>
      <w:tr>
        <w:trPr>
          <w:trHeight w:val="421"/>
        </w:trPr>
        <w:tc>
          <w:tcPr>
            <w:tcW w:w="3700" w:type="dxa"/>
            <w:vAlign w:val="bottom"/>
          </w:tcPr>
          <w:p>
            <w:pPr>
              <w:spacing w:after="0"/>
              <w:rPr>
                <w:sz w:val="20"/>
                <w:szCs w:val="20"/>
                <w:color w:val="auto"/>
              </w:rPr>
            </w:pPr>
            <w:r>
              <w:rPr>
                <w:rFonts w:ascii="Arial" w:cs="Arial" w:eastAsia="Arial" w:hAnsi="Arial"/>
                <w:sz w:val="18"/>
                <w:szCs w:val="18"/>
                <w:color w:val="auto"/>
              </w:rPr>
              <w:t>Non-compete/non-solicitation agreement</w:t>
            </w:r>
          </w:p>
        </w:tc>
        <w:tc>
          <w:tcPr>
            <w:tcW w:w="80" w:type="dxa"/>
            <w:vAlign w:val="bottom"/>
          </w:tcPr>
          <w:p>
            <w:pPr>
              <w:spacing w:after="0"/>
              <w:rPr>
                <w:sz w:val="24"/>
                <w:szCs w:val="24"/>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r>
      <w:tr>
        <w:trPr>
          <w:trHeight w:val="682"/>
        </w:trPr>
        <w:tc>
          <w:tcPr>
            <w:tcW w:w="370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1,728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78.3</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For the period from January 16, 2012 to September 30, 2012, Thermonics contributed $3,467 of net revenues. We do not track net income within our Thermal Products segment by product line. As a result, the net income for Thermonics for the period from January 16, 2012 to September 30, 2012 is not available.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91" w:lineRule="exact"/>
        <w:rPr>
          <w:sz w:val="20"/>
          <w:szCs w:val="20"/>
          <w:color w:val="auto"/>
        </w:rPr>
      </w:pPr>
    </w:p>
    <w:p>
      <w:pPr>
        <w:ind w:left="540" w:right="780"/>
        <w:spacing w:after="0" w:line="268" w:lineRule="auto"/>
        <w:rPr>
          <w:sz w:val="20"/>
          <w:szCs w:val="20"/>
          <w:color w:val="auto"/>
        </w:rPr>
      </w:pPr>
      <w:r>
        <w:rPr>
          <w:rFonts w:ascii="Arial" w:cs="Arial" w:eastAsia="Arial" w:hAnsi="Arial"/>
          <w:sz w:val="18"/>
          <w:szCs w:val="18"/>
          <w:color w:val="auto"/>
        </w:rPr>
        <w:t>Goodwill and intangible assets on our balance sheets are the result of our acquisitions of Sigma Systems Corp. ("Sigma") in October 2008 and Thermonics in January 2012. The acquisition of Thermonics is discussed further in Note 3.</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225" w:lineRule="exact"/>
        <w:rPr>
          <w:sz w:val="20"/>
          <w:szCs w:val="20"/>
          <w:color w:val="auto"/>
        </w:rPr>
      </w:pPr>
    </w:p>
    <w:p>
      <w:pPr>
        <w:ind w:left="540" w:right="400"/>
        <w:spacing w:after="0" w:line="268" w:lineRule="auto"/>
        <w:rPr>
          <w:sz w:val="20"/>
          <w:szCs w:val="20"/>
          <w:color w:val="auto"/>
        </w:rPr>
      </w:pPr>
      <w:r>
        <w:rPr>
          <w:rFonts w:ascii="Arial" w:cs="Arial" w:eastAsia="Arial" w:hAnsi="Arial"/>
          <w:sz w:val="18"/>
          <w:szCs w:val="18"/>
          <w:color w:val="auto"/>
        </w:rPr>
        <w:t>All of our goodwill is allocated to our Thermal Products segment. There was no change in the amount of the carrying value of goodwill for the nine months ended September 30, 2013.</w:t>
      </w:r>
    </w:p>
    <w:p>
      <w:pPr>
        <w:sectPr>
          <w:pgSz w:w="11900" w:h="16838" w:orient="portrait"/>
          <w:cols w:equalWidth="0" w:num="1">
            <w:col w:w="11320"/>
          </w:cols>
          <w:pgMar w:left="240" w:top="131" w:right="339" w:bottom="0" w:gutter="0" w:footer="0" w:header="0"/>
        </w:sectPr>
      </w:pPr>
    </w:p>
    <w:p>
      <w:pPr>
        <w:spacing w:after="0" w:line="186"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u w:val="single" w:color="auto"/>
          <w:color w:val="auto"/>
        </w:rPr>
        <w:t>Intangible Assets</w:t>
      </w:r>
    </w:p>
    <w:p>
      <w:pPr>
        <w:sectPr>
          <w:pgSz w:w="11900" w:h="16838" w:orient="portrait"/>
          <w:cols w:equalWidth="0" w:num="1">
            <w:col w:w="11320"/>
          </w:cols>
          <w:pgMar w:left="240" w:top="131" w:right="339" w:bottom="0" w:gutter="0" w:footer="0" w:header="0"/>
          <w:type w:val="continuous"/>
        </w:sectPr>
      </w:pPr>
    </w:p>
    <w:bookmarkStart w:id="9" w:name="page10"/>
    <w:bookmarkEnd w:id="9"/>
    <w:p>
      <w:pPr>
        <w:ind w:left="540"/>
        <w:spacing w:after="0"/>
        <w:rPr>
          <w:sz w:val="20"/>
          <w:szCs w:val="20"/>
          <w:color w:val="auto"/>
        </w:rPr>
      </w:pPr>
      <w:r>
        <w:rPr>
          <w:rFonts w:ascii="Arial" w:cs="Arial" w:eastAsia="Arial" w:hAnsi="Arial"/>
          <w:sz w:val="18"/>
          <w:szCs w:val="18"/>
          <w:color w:val="auto"/>
        </w:rPr>
        <w:t>The following tables provide further detail about our intangible assets as of September 30, 2013 and December 31, 2012: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i w:val="1"/>
                <w:iCs w:val="1"/>
                <w:color w:val="auto"/>
                <w:w w:val="84"/>
              </w:rPr>
              <w:t>Sept. 30, 2013</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58"/>
        </w:trPr>
        <w:tc>
          <w:tcPr>
            <w:tcW w:w="4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gridSpan w:val="5"/>
          </w:tcPr>
          <w:p>
            <w:pPr>
              <w:jc w:val="center"/>
              <w:ind w:right="72"/>
              <w:spacing w:after="0" w:line="158" w:lineRule="exact"/>
              <w:rPr>
                <w:sz w:val="20"/>
                <w:szCs w:val="20"/>
                <w:color w:val="auto"/>
              </w:rPr>
            </w:pPr>
            <w:r>
              <w:rPr>
                <w:rFonts w:ascii="Arial" w:cs="Arial" w:eastAsia="Arial" w:hAnsi="Arial"/>
                <w:sz w:val="14"/>
                <w:szCs w:val="14"/>
                <w:b w:val="1"/>
                <w:bCs w:val="1"/>
                <w:i w:val="1"/>
                <w:iCs w:val="1"/>
                <w:color w:val="auto"/>
                <w:w w:val="78"/>
              </w:rPr>
              <w:t>Gross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920"/>
              <w:spacing w:after="0" w:line="158" w:lineRule="exact"/>
              <w:rPr>
                <w:sz w:val="20"/>
                <w:szCs w:val="20"/>
                <w:color w:val="auto"/>
              </w:rPr>
            </w:pPr>
            <w:r>
              <w:rPr>
                <w:rFonts w:ascii="Arial" w:cs="Arial" w:eastAsia="Arial" w:hAnsi="Arial"/>
                <w:sz w:val="14"/>
                <w:szCs w:val="14"/>
                <w:b w:val="1"/>
                <w:bCs w:val="1"/>
                <w:i w:val="1"/>
                <w:iCs w:val="1"/>
                <w:color w:val="auto"/>
                <w:w w:val="70"/>
              </w:rPr>
              <w:t>Net</w:t>
            </w:r>
          </w:p>
        </w:tc>
      </w:tr>
      <w:tr>
        <w:trPr>
          <w:trHeight w:val="149"/>
        </w:trPr>
        <w:tc>
          <w:tcPr>
            <w:tcW w:w="4600" w:type="dxa"/>
            <w:vAlign w:val="bottom"/>
          </w:tcPr>
          <w:p>
            <w:pPr>
              <w:spacing w:after="0"/>
              <w:rPr>
                <w:sz w:val="12"/>
                <w:szCs w:val="12"/>
                <w:color w:val="auto"/>
              </w:rPr>
            </w:pPr>
          </w:p>
        </w:tc>
        <w:tc>
          <w:tcPr>
            <w:tcW w:w="1080" w:type="dxa"/>
            <w:vAlign w:val="bottom"/>
            <w:gridSpan w:val="6"/>
          </w:tcPr>
          <w:p>
            <w:pPr>
              <w:jc w:val="center"/>
              <w:ind w:left="295"/>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104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i w:val="1"/>
                <w:iCs w:val="1"/>
                <w:color w:val="auto"/>
                <w:w w:val="84"/>
              </w:rPr>
              <w:t>Accumulated</w:t>
            </w:r>
          </w:p>
        </w:tc>
        <w:tc>
          <w:tcPr>
            <w:tcW w:w="1300" w:type="dxa"/>
            <w:vAlign w:val="bottom"/>
            <w:gridSpan w:val="7"/>
          </w:tcPr>
          <w:p>
            <w:pPr>
              <w:jc w:val="center"/>
              <w:ind w:right="720"/>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r>
      <w:tr>
        <w:trPr>
          <w:trHeight w:val="146"/>
        </w:trPr>
        <w:tc>
          <w:tcPr>
            <w:tcW w:w="4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gridSpan w:val="5"/>
          </w:tcPr>
          <w:p>
            <w:pPr>
              <w:jc w:val="center"/>
              <w:ind w:right="72"/>
              <w:spacing w:after="0" w:line="146" w:lineRule="exact"/>
              <w:rPr>
                <w:sz w:val="20"/>
                <w:szCs w:val="20"/>
                <w:color w:val="auto"/>
              </w:rPr>
            </w:pPr>
            <w:r>
              <w:rPr>
                <w:rFonts w:ascii="Arial" w:cs="Arial" w:eastAsia="Arial" w:hAnsi="Arial"/>
                <w:sz w:val="14"/>
                <w:szCs w:val="14"/>
                <w:b w:val="1"/>
                <w:bCs w:val="1"/>
                <w:i w:val="1"/>
                <w:iCs w:val="1"/>
                <w:color w:val="auto"/>
                <w:w w:val="83"/>
              </w:rPr>
              <w:t>Amount</w:t>
            </w:r>
          </w:p>
        </w:tc>
        <w:tc>
          <w:tcPr>
            <w:tcW w:w="1040" w:type="dxa"/>
            <w:vAlign w:val="bottom"/>
            <w:gridSpan w:val="6"/>
          </w:tcPr>
          <w:p>
            <w:pPr>
              <w:jc w:val="center"/>
              <w:ind w:right="60"/>
              <w:spacing w:after="0" w:line="146" w:lineRule="exact"/>
              <w:rPr>
                <w:sz w:val="20"/>
                <w:szCs w:val="20"/>
                <w:color w:val="auto"/>
              </w:rPr>
            </w:pPr>
            <w:r>
              <w:rPr>
                <w:rFonts w:ascii="Arial" w:cs="Arial" w:eastAsia="Arial" w:hAnsi="Arial"/>
                <w:sz w:val="14"/>
                <w:szCs w:val="14"/>
                <w:b w:val="1"/>
                <w:bCs w:val="1"/>
                <w:i w:val="1"/>
                <w:iCs w:val="1"/>
                <w:color w:val="auto"/>
                <w:w w:val="86"/>
              </w:rPr>
              <w:t>Amortization</w:t>
            </w:r>
          </w:p>
        </w:tc>
        <w:tc>
          <w:tcPr>
            <w:tcW w:w="60" w:type="dxa"/>
            <w:vAlign w:val="bottom"/>
          </w:tcPr>
          <w:p>
            <w:pPr>
              <w:spacing w:after="0"/>
              <w:rPr>
                <w:sz w:val="12"/>
                <w:szCs w:val="12"/>
                <w:color w:val="auto"/>
              </w:rPr>
            </w:pPr>
          </w:p>
        </w:tc>
        <w:tc>
          <w:tcPr>
            <w:tcW w:w="1240" w:type="dxa"/>
            <w:vAlign w:val="bottom"/>
            <w:gridSpan w:val="6"/>
          </w:tcPr>
          <w:p>
            <w:pPr>
              <w:jc w:val="center"/>
              <w:ind w:right="800"/>
              <w:spacing w:after="0" w:line="146" w:lineRule="exact"/>
              <w:rPr>
                <w:sz w:val="20"/>
                <w:szCs w:val="20"/>
                <w:color w:val="auto"/>
              </w:rPr>
            </w:pPr>
            <w:r>
              <w:rPr>
                <w:rFonts w:ascii="Arial" w:cs="Arial" w:eastAsia="Arial" w:hAnsi="Arial"/>
                <w:sz w:val="14"/>
                <w:szCs w:val="14"/>
                <w:b w:val="1"/>
                <w:bCs w:val="1"/>
                <w:i w:val="1"/>
                <w:iCs w:val="1"/>
                <w:color w:val="auto"/>
                <w:w w:val="83"/>
              </w:rPr>
              <w:t>Amount</w:t>
            </w:r>
          </w:p>
        </w:tc>
      </w:tr>
      <w:tr>
        <w:trPr>
          <w:trHeight w:val="235"/>
        </w:trPr>
        <w:tc>
          <w:tcPr>
            <w:tcW w:w="4600" w:type="dxa"/>
            <w:vAlign w:val="bottom"/>
          </w:tcPr>
          <w:p>
            <w:pPr>
              <w:ind w:left="1100"/>
              <w:spacing w:after="0"/>
              <w:rPr>
                <w:sz w:val="20"/>
                <w:szCs w:val="20"/>
                <w:color w:val="auto"/>
              </w:rPr>
            </w:pPr>
            <w:r>
              <w:rPr>
                <w:rFonts w:ascii="Arial" w:cs="Arial" w:eastAsia="Arial" w:hAnsi="Arial"/>
                <w:sz w:val="18"/>
                <w:szCs w:val="18"/>
                <w:color w:val="auto"/>
              </w:rPr>
              <w:t>Finite-lived intangible assets:</w:t>
            </w:r>
          </w:p>
        </w:tc>
        <w:tc>
          <w:tcPr>
            <w:tcW w:w="5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59"/>
        </w:trPr>
        <w:tc>
          <w:tcPr>
            <w:tcW w:w="4600" w:type="dxa"/>
            <w:vAlign w:val="bottom"/>
          </w:tcPr>
          <w:p>
            <w:pPr>
              <w:ind w:left="1240"/>
              <w:spacing w:after="0"/>
              <w:rPr>
                <w:sz w:val="20"/>
                <w:szCs w:val="20"/>
                <w:color w:val="auto"/>
              </w:rPr>
            </w:pPr>
            <w:r>
              <w:rPr>
                <w:rFonts w:ascii="Arial" w:cs="Arial" w:eastAsia="Arial" w:hAnsi="Arial"/>
                <w:sz w:val="18"/>
                <w:szCs w:val="18"/>
                <w:color w:val="auto"/>
              </w:rPr>
              <w:t>Customer relationships</w:t>
            </w: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$1,480</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653</w:t>
            </w:r>
          </w:p>
        </w:tc>
        <w:tc>
          <w:tcPr>
            <w:tcW w:w="180" w:type="dxa"/>
            <w:vAlign w:val="bottom"/>
          </w:tcPr>
          <w:p>
            <w:pPr>
              <w:spacing w:after="0"/>
              <w:rPr>
                <w:sz w:val="24"/>
                <w:szCs w:val="24"/>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  827</w:t>
            </w:r>
          </w:p>
        </w:tc>
        <w:tc>
          <w:tcPr>
            <w:tcW w:w="660" w:type="dxa"/>
            <w:vAlign w:val="bottom"/>
          </w:tcPr>
          <w:p>
            <w:pPr>
              <w:spacing w:after="0"/>
              <w:rPr>
                <w:sz w:val="24"/>
                <w:szCs w:val="24"/>
                <w:color w:val="auto"/>
              </w:rPr>
            </w:pPr>
          </w:p>
        </w:tc>
      </w:tr>
      <w:tr>
        <w:trPr>
          <w:trHeight w:val="459"/>
        </w:trPr>
        <w:tc>
          <w:tcPr>
            <w:tcW w:w="4600" w:type="dxa"/>
            <w:vAlign w:val="bottom"/>
          </w:tcPr>
          <w:p>
            <w:pPr>
              <w:ind w:left="1240"/>
              <w:spacing w:after="0"/>
              <w:rPr>
                <w:sz w:val="20"/>
                <w:szCs w:val="20"/>
                <w:color w:val="auto"/>
              </w:rPr>
            </w:pPr>
            <w:r>
              <w:rPr>
                <w:rFonts w:ascii="Arial" w:cs="Arial" w:eastAsia="Arial" w:hAnsi="Arial"/>
                <w:sz w:val="18"/>
                <w:szCs w:val="18"/>
                <w:color w:val="auto"/>
              </w:rPr>
              <w:t>Patented technology</w:t>
            </w: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297</w:t>
            </w:r>
          </w:p>
        </w:tc>
        <w:tc>
          <w:tcPr>
            <w:tcW w:w="180" w:type="dxa"/>
            <w:vAlign w:val="bottom"/>
          </w:tcPr>
          <w:p>
            <w:pPr>
              <w:spacing w:after="0"/>
              <w:rPr>
                <w:sz w:val="24"/>
                <w:szCs w:val="24"/>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293</w:t>
            </w:r>
          </w:p>
        </w:tc>
        <w:tc>
          <w:tcPr>
            <w:tcW w:w="660" w:type="dxa"/>
            <w:vAlign w:val="bottom"/>
          </w:tcPr>
          <w:p>
            <w:pPr>
              <w:spacing w:after="0"/>
              <w:rPr>
                <w:sz w:val="24"/>
                <w:szCs w:val="24"/>
                <w:color w:val="auto"/>
              </w:rPr>
            </w:pPr>
          </w:p>
        </w:tc>
      </w:tr>
      <w:tr>
        <w:trPr>
          <w:trHeight w:val="459"/>
        </w:trPr>
        <w:tc>
          <w:tcPr>
            <w:tcW w:w="4600" w:type="dxa"/>
            <w:vAlign w:val="bottom"/>
          </w:tcPr>
          <w:p>
            <w:pPr>
              <w:ind w:left="1240"/>
              <w:spacing w:after="0"/>
              <w:rPr>
                <w:sz w:val="20"/>
                <w:szCs w:val="20"/>
                <w:color w:val="auto"/>
              </w:rPr>
            </w:pPr>
            <w:r>
              <w:rPr>
                <w:rFonts w:ascii="Arial" w:cs="Arial" w:eastAsia="Arial" w:hAnsi="Arial"/>
                <w:sz w:val="18"/>
                <w:szCs w:val="18"/>
                <w:color w:val="auto"/>
              </w:rPr>
              <w:t>Software</w:t>
            </w: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24"/>
                <w:szCs w:val="24"/>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135</w:t>
            </w:r>
          </w:p>
        </w:tc>
        <w:tc>
          <w:tcPr>
            <w:tcW w:w="660" w:type="dxa"/>
            <w:vAlign w:val="bottom"/>
          </w:tcPr>
          <w:p>
            <w:pPr>
              <w:spacing w:after="0"/>
              <w:rPr>
                <w:sz w:val="24"/>
                <w:szCs w:val="24"/>
                <w:color w:val="auto"/>
              </w:rPr>
            </w:pPr>
          </w:p>
        </w:tc>
      </w:tr>
      <w:tr>
        <w:trPr>
          <w:trHeight w:val="459"/>
        </w:trPr>
        <w:tc>
          <w:tcPr>
            <w:tcW w:w="4600" w:type="dxa"/>
            <w:vAlign w:val="bottom"/>
          </w:tcPr>
          <w:p>
            <w:pPr>
              <w:ind w:left="1240"/>
              <w:spacing w:after="0"/>
              <w:rPr>
                <w:sz w:val="20"/>
                <w:szCs w:val="20"/>
                <w:color w:val="auto"/>
              </w:rPr>
            </w:pPr>
            <w:r>
              <w:rPr>
                <w:rFonts w:ascii="Arial" w:cs="Arial" w:eastAsia="Arial" w:hAnsi="Arial"/>
                <w:sz w:val="18"/>
                <w:szCs w:val="18"/>
                <w:color w:val="auto"/>
              </w:rPr>
              <w:t>Trade name</w:t>
            </w: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4"/>
                <w:szCs w:val="24"/>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80</w:t>
            </w:r>
          </w:p>
        </w:tc>
        <w:tc>
          <w:tcPr>
            <w:tcW w:w="660" w:type="dxa"/>
            <w:vAlign w:val="bottom"/>
          </w:tcPr>
          <w:p>
            <w:pPr>
              <w:spacing w:after="0"/>
              <w:rPr>
                <w:sz w:val="24"/>
                <w:szCs w:val="24"/>
                <w:color w:val="auto"/>
              </w:rPr>
            </w:pPr>
          </w:p>
        </w:tc>
      </w:tr>
      <w:tr>
        <w:trPr>
          <w:trHeight w:val="459"/>
        </w:trPr>
        <w:tc>
          <w:tcPr>
            <w:tcW w:w="4600" w:type="dxa"/>
            <w:vAlign w:val="bottom"/>
          </w:tcPr>
          <w:p>
            <w:pPr>
              <w:ind w:left="1240"/>
              <w:spacing w:after="0"/>
              <w:rPr>
                <w:sz w:val="20"/>
                <w:szCs w:val="20"/>
                <w:color w:val="auto"/>
              </w:rPr>
            </w:pPr>
            <w:r>
              <w:rPr>
                <w:rFonts w:ascii="Arial" w:cs="Arial" w:eastAsia="Arial" w:hAnsi="Arial"/>
                <w:sz w:val="18"/>
                <w:szCs w:val="18"/>
                <w:color w:val="auto"/>
              </w:rPr>
              <w:t>Customer backlog</w:t>
            </w: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4"/>
                <w:szCs w:val="24"/>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r>
      <w:tr>
        <w:trPr>
          <w:trHeight w:val="421"/>
        </w:trPr>
        <w:tc>
          <w:tcPr>
            <w:tcW w:w="4600" w:type="dxa"/>
            <w:vAlign w:val="bottom"/>
          </w:tcPr>
          <w:p>
            <w:pPr>
              <w:ind w:left="1240"/>
              <w:spacing w:after="0"/>
              <w:rPr>
                <w:sz w:val="20"/>
                <w:szCs w:val="20"/>
                <w:color w:val="auto"/>
              </w:rPr>
            </w:pPr>
            <w:r>
              <w:rPr>
                <w:rFonts w:ascii="Arial" w:cs="Arial" w:eastAsia="Arial" w:hAnsi="Arial"/>
                <w:sz w:val="18"/>
                <w:szCs w:val="18"/>
                <w:color w:val="auto"/>
              </w:rPr>
              <w:t>Non-compete/non-solicitation agreement</w:t>
            </w:r>
          </w:p>
        </w:tc>
        <w:tc>
          <w:tcPr>
            <w:tcW w:w="640" w:type="dxa"/>
            <w:vAlign w:val="bottom"/>
            <w:gridSpan w:val="2"/>
          </w:tcPr>
          <w:p>
            <w:pPr>
              <w:spacing w:after="0"/>
              <w:rPr>
                <w:sz w:val="24"/>
                <w:szCs w:val="24"/>
                <w:color w:val="auto"/>
              </w:rPr>
            </w:pPr>
          </w:p>
        </w:tc>
        <w:tc>
          <w:tcPr>
            <w:tcW w:w="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gridSpan w:val="4"/>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r>
      <w:tr>
        <w:trPr>
          <w:trHeight w:val="478"/>
        </w:trPr>
        <w:tc>
          <w:tcPr>
            <w:tcW w:w="4600" w:type="dxa"/>
            <w:vAlign w:val="bottom"/>
          </w:tcPr>
          <w:p>
            <w:pPr>
              <w:ind w:left="1100"/>
              <w:spacing w:after="0"/>
              <w:rPr>
                <w:sz w:val="20"/>
                <w:szCs w:val="20"/>
                <w:color w:val="auto"/>
              </w:rPr>
            </w:pPr>
            <w:r>
              <w:rPr>
                <w:rFonts w:ascii="Arial" w:cs="Arial" w:eastAsia="Arial" w:hAnsi="Arial"/>
                <w:sz w:val="18"/>
                <w:szCs w:val="18"/>
                <w:color w:val="auto"/>
              </w:rPr>
              <w:t>Total finite-lived intangible assets</w:t>
            </w: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2,598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1,263</w:t>
            </w:r>
          </w:p>
        </w:tc>
        <w:tc>
          <w:tcPr>
            <w:tcW w:w="180" w:type="dxa"/>
            <w:vAlign w:val="bottom"/>
          </w:tcPr>
          <w:p>
            <w:pPr>
              <w:spacing w:after="0"/>
              <w:rPr>
                <w:sz w:val="24"/>
                <w:szCs w:val="24"/>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1,335</w:t>
            </w:r>
          </w:p>
        </w:tc>
        <w:tc>
          <w:tcPr>
            <w:tcW w:w="660" w:type="dxa"/>
            <w:vAlign w:val="bottom"/>
          </w:tcPr>
          <w:p>
            <w:pPr>
              <w:spacing w:after="0"/>
              <w:rPr>
                <w:sz w:val="24"/>
                <w:szCs w:val="24"/>
                <w:color w:val="auto"/>
              </w:rPr>
            </w:pPr>
          </w:p>
        </w:tc>
      </w:tr>
      <w:tr>
        <w:trPr>
          <w:trHeight w:val="459"/>
        </w:trPr>
        <w:tc>
          <w:tcPr>
            <w:tcW w:w="4600" w:type="dxa"/>
            <w:vAlign w:val="bottom"/>
          </w:tcPr>
          <w:p>
            <w:pPr>
              <w:ind w:left="1100"/>
              <w:spacing w:after="0"/>
              <w:rPr>
                <w:sz w:val="20"/>
                <w:szCs w:val="20"/>
                <w:color w:val="auto"/>
              </w:rPr>
            </w:pPr>
            <w:r>
              <w:rPr>
                <w:rFonts w:ascii="Arial" w:cs="Arial" w:eastAsia="Arial" w:hAnsi="Arial"/>
                <w:sz w:val="18"/>
                <w:szCs w:val="18"/>
                <w:color w:val="auto"/>
              </w:rPr>
              <w:t>Indefinite-lived intangible assets: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21"/>
        </w:trPr>
        <w:tc>
          <w:tcPr>
            <w:tcW w:w="4600" w:type="dxa"/>
            <w:vAlign w:val="bottom"/>
          </w:tcPr>
          <w:p>
            <w:pPr>
              <w:ind w:left="1180"/>
              <w:spacing w:after="0"/>
              <w:rPr>
                <w:sz w:val="20"/>
                <w:szCs w:val="20"/>
                <w:color w:val="auto"/>
              </w:rPr>
            </w:pPr>
            <w:r>
              <w:rPr>
                <w:rFonts w:ascii="Arial" w:cs="Arial" w:eastAsia="Arial" w:hAnsi="Arial"/>
                <w:sz w:val="18"/>
                <w:szCs w:val="18"/>
                <w:color w:val="auto"/>
              </w:rPr>
              <w:t>Sigma trademark</w:t>
            </w:r>
          </w:p>
        </w:tc>
        <w:tc>
          <w:tcPr>
            <w:tcW w:w="640" w:type="dxa"/>
            <w:vAlign w:val="bottom"/>
            <w:gridSpan w:val="2"/>
          </w:tcPr>
          <w:p>
            <w:pPr>
              <w:spacing w:after="0"/>
              <w:rPr>
                <w:sz w:val="24"/>
                <w:szCs w:val="24"/>
                <w:color w:val="auto"/>
              </w:rPr>
            </w:pPr>
          </w:p>
        </w:tc>
        <w:tc>
          <w:tcPr>
            <w:tcW w:w="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gridSpan w:val="4"/>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510</w:t>
            </w:r>
          </w:p>
        </w:tc>
        <w:tc>
          <w:tcPr>
            <w:tcW w:w="660" w:type="dxa"/>
            <w:vAlign w:val="bottom"/>
          </w:tcPr>
          <w:p>
            <w:pPr>
              <w:spacing w:after="0"/>
              <w:rPr>
                <w:sz w:val="24"/>
                <w:szCs w:val="24"/>
                <w:color w:val="auto"/>
              </w:rPr>
            </w:pPr>
          </w:p>
        </w:tc>
      </w:tr>
      <w:tr>
        <w:trPr>
          <w:trHeight w:val="439"/>
        </w:trPr>
        <w:tc>
          <w:tcPr>
            <w:tcW w:w="4600" w:type="dxa"/>
            <w:vAlign w:val="bottom"/>
          </w:tcPr>
          <w:p>
            <w:pPr>
              <w:ind w:left="1100"/>
              <w:spacing w:after="0"/>
              <w:rPr>
                <w:sz w:val="20"/>
                <w:szCs w:val="20"/>
                <w:color w:val="auto"/>
              </w:rPr>
            </w:pPr>
            <w:r>
              <w:rPr>
                <w:rFonts w:ascii="Arial" w:cs="Arial" w:eastAsia="Arial" w:hAnsi="Arial"/>
                <w:sz w:val="18"/>
                <w:szCs w:val="18"/>
                <w:color w:val="auto"/>
              </w:rPr>
              <w:t>Total intangible assets</w:t>
            </w:r>
          </w:p>
        </w:tc>
        <w:tc>
          <w:tcPr>
            <w:tcW w:w="108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3,108</w:t>
            </w:r>
          </w:p>
        </w:tc>
        <w:tc>
          <w:tcPr>
            <w:tcW w:w="860" w:type="dxa"/>
            <w:vAlign w:val="bottom"/>
            <w:gridSpan w:val="5"/>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1,263</w:t>
            </w:r>
          </w:p>
        </w:tc>
        <w:tc>
          <w:tcPr>
            <w:tcW w:w="180" w:type="dxa"/>
            <w:vAlign w:val="bottom"/>
          </w:tcPr>
          <w:p>
            <w:pPr>
              <w:spacing w:after="0"/>
              <w:rPr>
                <w:sz w:val="24"/>
                <w:szCs w:val="24"/>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1,845</w:t>
            </w:r>
          </w:p>
        </w:tc>
        <w:tc>
          <w:tcPr>
            <w:tcW w:w="660" w:type="dxa"/>
            <w:vAlign w:val="bottom"/>
          </w:tcPr>
          <w:p>
            <w:pPr>
              <w:spacing w:after="0"/>
              <w:rPr>
                <w:sz w:val="24"/>
                <w:szCs w:val="24"/>
                <w:color w:val="auto"/>
              </w:rPr>
            </w:pPr>
          </w:p>
        </w:tc>
      </w:tr>
      <w:tr>
        <w:trPr>
          <w:trHeight w:val="20"/>
        </w:trPr>
        <w:tc>
          <w:tcPr>
            <w:tcW w:w="4600" w:type="dxa"/>
            <w:vAlign w:val="bottom"/>
          </w:tcPr>
          <w:p>
            <w:pPr>
              <w:spacing w:after="0" w:line="20" w:lineRule="exact"/>
              <w:rPr>
                <w:sz w:val="1"/>
                <w:szCs w:val="1"/>
                <w:color w:val="auto"/>
              </w:rPr>
            </w:pPr>
          </w:p>
        </w:tc>
        <w:tc>
          <w:tcPr>
            <w:tcW w:w="640" w:type="dxa"/>
            <w:vAlign w:val="bottom"/>
            <w:tcBorders>
              <w:right w:val="single" w:sz="8" w:color="auto"/>
            </w:tcBorders>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031"/>
        </w:trPr>
        <w:tc>
          <w:tcPr>
            <w:tcW w:w="4600" w:type="dxa"/>
            <w:vAlign w:val="bottom"/>
          </w:tcPr>
          <w:p>
            <w:pPr>
              <w:spacing w:after="0"/>
              <w:rPr>
                <w:sz w:val="24"/>
                <w:szCs w:val="24"/>
                <w:color w:val="auto"/>
              </w:rPr>
            </w:pPr>
          </w:p>
        </w:tc>
        <w:tc>
          <w:tcPr>
            <w:tcW w:w="640" w:type="dxa"/>
            <w:vAlign w:val="bottom"/>
            <w:gridSpan w:val="2"/>
          </w:tcPr>
          <w:p>
            <w:pPr>
              <w:spacing w:after="0"/>
              <w:rPr>
                <w:sz w:val="24"/>
                <w:szCs w:val="24"/>
                <w:color w:val="auto"/>
              </w:rPr>
            </w:pPr>
          </w:p>
        </w:tc>
        <w:tc>
          <w:tcPr>
            <w:tcW w:w="760" w:type="dxa"/>
            <w:vAlign w:val="bottom"/>
            <w:gridSpan w:val="6"/>
          </w:tcPr>
          <w:p>
            <w:pPr>
              <w:jc w:val="center"/>
              <w:ind w:left="92"/>
              <w:spacing w:after="0"/>
              <w:rPr>
                <w:sz w:val="20"/>
                <w:szCs w:val="20"/>
                <w:color w:val="auto"/>
              </w:rPr>
            </w:pPr>
            <w:r>
              <w:rPr>
                <w:rFonts w:ascii="Arial" w:cs="Arial" w:eastAsia="Arial" w:hAnsi="Arial"/>
                <w:sz w:val="18"/>
                <w:szCs w:val="18"/>
                <w:color w:val="auto"/>
                <w:w w:val="90"/>
              </w:rPr>
              <w:t>- 11 -</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71"/>
        </w:trPr>
        <w:tc>
          <w:tcPr>
            <w:tcW w:w="4600" w:type="dxa"/>
            <w:vAlign w:val="bottom"/>
          </w:tcPr>
          <w:p>
            <w:pPr>
              <w:spacing w:after="0"/>
              <w:rPr>
                <w:sz w:val="24"/>
                <w:szCs w:val="24"/>
                <w:color w:val="auto"/>
              </w:rPr>
            </w:pPr>
          </w:p>
        </w:tc>
        <w:tc>
          <w:tcPr>
            <w:tcW w:w="2120" w:type="dxa"/>
            <w:vAlign w:val="bottom"/>
            <w:gridSpan w:val="12"/>
          </w:tcPr>
          <w:p>
            <w:pPr>
              <w:jc w:val="center"/>
              <w:ind w:left="35"/>
              <w:spacing w:after="0"/>
              <w:rPr>
                <w:sz w:val="20"/>
                <w:szCs w:val="20"/>
                <w:color w:val="auto"/>
              </w:rPr>
            </w:pPr>
            <w:r>
              <w:rPr>
                <w:rFonts w:ascii="Arial" w:cs="Arial" w:eastAsia="Arial" w:hAnsi="Arial"/>
                <w:sz w:val="18"/>
                <w:szCs w:val="18"/>
                <w:b w:val="1"/>
                <w:bCs w:val="1"/>
                <w:color w:val="auto"/>
                <w:w w:val="96"/>
              </w:rPr>
              <w:t>inTEST CORPORATION</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2"/>
        </w:trPr>
        <w:tc>
          <w:tcPr>
            <w:tcW w:w="8020" w:type="dxa"/>
            <w:vAlign w:val="bottom"/>
            <w:gridSpan w:val="20"/>
          </w:tcPr>
          <w:p>
            <w:pPr>
              <w:jc w:val="center"/>
              <w:ind w:left="3332"/>
              <w:spacing w:after="0"/>
              <w:rPr>
                <w:sz w:val="20"/>
                <w:szCs w:val="20"/>
                <w:color w:val="auto"/>
              </w:rPr>
            </w:pPr>
            <w:r>
              <w:rPr>
                <w:rFonts w:ascii="Arial" w:cs="Arial" w:eastAsia="Arial" w:hAnsi="Arial"/>
                <w:sz w:val="18"/>
                <w:szCs w:val="18"/>
                <w:b w:val="1"/>
                <w:bCs w:val="1"/>
                <w:color w:val="auto"/>
                <w:w w:val="97"/>
              </w:rPr>
              <w:t>NOTES TO CONSOLIDATED FINANCIAL STATEMENTS</w:t>
            </w:r>
          </w:p>
        </w:tc>
      </w:tr>
      <w:tr>
        <w:trPr>
          <w:trHeight w:val="216"/>
        </w:trPr>
        <w:tc>
          <w:tcPr>
            <w:tcW w:w="4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10"/>
          </w:tcPr>
          <w:p>
            <w:pPr>
              <w:jc w:val="center"/>
              <w:ind w:right="540"/>
              <w:spacing w:after="0"/>
              <w:rPr>
                <w:sz w:val="20"/>
                <w:szCs w:val="20"/>
                <w:color w:val="auto"/>
              </w:rPr>
            </w:pPr>
            <w:r>
              <w:rPr>
                <w:rFonts w:ascii="Arial" w:cs="Arial" w:eastAsia="Arial" w:hAnsi="Arial"/>
                <w:sz w:val="18"/>
                <w:szCs w:val="18"/>
                <w:color w:val="auto"/>
                <w:w w:val="91"/>
              </w:rPr>
              <w:t>(Unaudited)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2"/>
        </w:trPr>
        <w:tc>
          <w:tcPr>
            <w:tcW w:w="8020" w:type="dxa"/>
            <w:vAlign w:val="bottom"/>
            <w:gridSpan w:val="20"/>
          </w:tcPr>
          <w:p>
            <w:pPr>
              <w:jc w:val="center"/>
              <w:ind w:left="3312"/>
              <w:spacing w:after="0"/>
              <w:rPr>
                <w:sz w:val="20"/>
                <w:szCs w:val="20"/>
                <w:color w:val="auto"/>
              </w:rPr>
            </w:pPr>
            <w:r>
              <w:rPr>
                <w:rFonts w:ascii="Arial" w:cs="Arial" w:eastAsia="Arial" w:hAnsi="Arial"/>
                <w:sz w:val="18"/>
                <w:szCs w:val="18"/>
                <w:color w:val="auto"/>
                <w:w w:val="86"/>
              </w:rPr>
              <w:t>(In thousands, except for share and per share data)</w:t>
            </w:r>
          </w:p>
        </w:tc>
      </w:tr>
      <w:tr>
        <w:trPr>
          <w:trHeight w:val="608"/>
        </w:trPr>
        <w:tc>
          <w:tcPr>
            <w:tcW w:w="4600" w:type="dxa"/>
            <w:vAlign w:val="bottom"/>
          </w:tcPr>
          <w:p>
            <w:pPr>
              <w:spacing w:after="0"/>
              <w:rPr>
                <w:sz w:val="20"/>
                <w:szCs w:val="20"/>
                <w:color w:val="auto"/>
              </w:rPr>
            </w:pPr>
            <w:r>
              <w:rPr>
                <w:rFonts w:ascii="Arial" w:cs="Arial" w:eastAsia="Arial" w:hAnsi="Arial"/>
                <w:sz w:val="18"/>
                <w:szCs w:val="18"/>
                <w:b w:val="1"/>
                <w:bCs w:val="1"/>
                <w:color w:val="auto"/>
                <w:w w:val="99"/>
              </w:rPr>
              <w:t xml:space="preserve">(4) GOODWILL AND INTANGIBLE ASSETS </w:t>
            </w:r>
            <w:r>
              <w:rPr>
                <w:rFonts w:ascii="Arial" w:cs="Arial" w:eastAsia="Arial" w:hAnsi="Arial"/>
                <w:sz w:val="18"/>
                <w:szCs w:val="18"/>
                <w:color w:val="auto"/>
                <w:w w:val="99"/>
              </w:rPr>
              <w:t>(Continued)</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26"/>
        </w:trPr>
        <w:tc>
          <w:tcPr>
            <w:tcW w:w="4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i w:val="1"/>
                <w:iCs w:val="1"/>
                <w:color w:val="auto"/>
                <w:w w:val="85"/>
              </w:rPr>
              <w:t>December 31, 2012</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58"/>
        </w:trPr>
        <w:tc>
          <w:tcPr>
            <w:tcW w:w="4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gridSpan w:val="5"/>
          </w:tcPr>
          <w:p>
            <w:pPr>
              <w:jc w:val="center"/>
              <w:ind w:right="72"/>
              <w:spacing w:after="0" w:line="158" w:lineRule="exact"/>
              <w:rPr>
                <w:sz w:val="20"/>
                <w:szCs w:val="20"/>
                <w:color w:val="auto"/>
              </w:rPr>
            </w:pPr>
            <w:r>
              <w:rPr>
                <w:rFonts w:ascii="Arial" w:cs="Arial" w:eastAsia="Arial" w:hAnsi="Arial"/>
                <w:sz w:val="14"/>
                <w:szCs w:val="14"/>
                <w:b w:val="1"/>
                <w:bCs w:val="1"/>
                <w:i w:val="1"/>
                <w:iCs w:val="1"/>
                <w:color w:val="auto"/>
                <w:w w:val="78"/>
              </w:rPr>
              <w:t>Gross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920"/>
              <w:spacing w:after="0" w:line="158" w:lineRule="exact"/>
              <w:rPr>
                <w:sz w:val="20"/>
                <w:szCs w:val="20"/>
                <w:color w:val="auto"/>
              </w:rPr>
            </w:pPr>
            <w:r>
              <w:rPr>
                <w:rFonts w:ascii="Arial" w:cs="Arial" w:eastAsia="Arial" w:hAnsi="Arial"/>
                <w:sz w:val="14"/>
                <w:szCs w:val="14"/>
                <w:b w:val="1"/>
                <w:bCs w:val="1"/>
                <w:i w:val="1"/>
                <w:iCs w:val="1"/>
                <w:color w:val="auto"/>
                <w:w w:val="70"/>
              </w:rPr>
              <w:t>Net</w:t>
            </w:r>
          </w:p>
        </w:tc>
      </w:tr>
      <w:tr>
        <w:trPr>
          <w:trHeight w:val="149"/>
        </w:trPr>
        <w:tc>
          <w:tcPr>
            <w:tcW w:w="4600" w:type="dxa"/>
            <w:vAlign w:val="bottom"/>
          </w:tcPr>
          <w:p>
            <w:pPr>
              <w:spacing w:after="0"/>
              <w:rPr>
                <w:sz w:val="12"/>
                <w:szCs w:val="12"/>
                <w:color w:val="auto"/>
              </w:rPr>
            </w:pPr>
          </w:p>
        </w:tc>
        <w:tc>
          <w:tcPr>
            <w:tcW w:w="1080" w:type="dxa"/>
            <w:vAlign w:val="bottom"/>
            <w:gridSpan w:val="6"/>
          </w:tcPr>
          <w:p>
            <w:pPr>
              <w:jc w:val="center"/>
              <w:ind w:left="295"/>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104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i w:val="1"/>
                <w:iCs w:val="1"/>
                <w:color w:val="auto"/>
                <w:w w:val="84"/>
              </w:rPr>
              <w:t>Accumulated</w:t>
            </w:r>
          </w:p>
        </w:tc>
        <w:tc>
          <w:tcPr>
            <w:tcW w:w="1300" w:type="dxa"/>
            <w:vAlign w:val="bottom"/>
            <w:gridSpan w:val="7"/>
          </w:tcPr>
          <w:p>
            <w:pPr>
              <w:jc w:val="center"/>
              <w:ind w:right="720"/>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r>
      <w:tr>
        <w:trPr>
          <w:trHeight w:val="146"/>
        </w:trPr>
        <w:tc>
          <w:tcPr>
            <w:tcW w:w="4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gridSpan w:val="5"/>
          </w:tcPr>
          <w:p>
            <w:pPr>
              <w:jc w:val="center"/>
              <w:ind w:right="72"/>
              <w:spacing w:after="0" w:line="146" w:lineRule="exact"/>
              <w:rPr>
                <w:sz w:val="20"/>
                <w:szCs w:val="20"/>
                <w:color w:val="auto"/>
              </w:rPr>
            </w:pPr>
            <w:r>
              <w:rPr>
                <w:rFonts w:ascii="Arial" w:cs="Arial" w:eastAsia="Arial" w:hAnsi="Arial"/>
                <w:sz w:val="14"/>
                <w:szCs w:val="14"/>
                <w:b w:val="1"/>
                <w:bCs w:val="1"/>
                <w:i w:val="1"/>
                <w:iCs w:val="1"/>
                <w:color w:val="auto"/>
                <w:w w:val="83"/>
              </w:rPr>
              <w:t>Amount</w:t>
            </w:r>
          </w:p>
        </w:tc>
        <w:tc>
          <w:tcPr>
            <w:tcW w:w="1040" w:type="dxa"/>
            <w:vAlign w:val="bottom"/>
            <w:gridSpan w:val="6"/>
          </w:tcPr>
          <w:p>
            <w:pPr>
              <w:jc w:val="center"/>
              <w:ind w:right="60"/>
              <w:spacing w:after="0" w:line="146" w:lineRule="exact"/>
              <w:rPr>
                <w:sz w:val="20"/>
                <w:szCs w:val="20"/>
                <w:color w:val="auto"/>
              </w:rPr>
            </w:pPr>
            <w:r>
              <w:rPr>
                <w:rFonts w:ascii="Arial" w:cs="Arial" w:eastAsia="Arial" w:hAnsi="Arial"/>
                <w:sz w:val="14"/>
                <w:szCs w:val="14"/>
                <w:b w:val="1"/>
                <w:bCs w:val="1"/>
                <w:i w:val="1"/>
                <w:iCs w:val="1"/>
                <w:color w:val="auto"/>
                <w:w w:val="86"/>
              </w:rPr>
              <w:t>Amortization</w:t>
            </w:r>
          </w:p>
        </w:tc>
        <w:tc>
          <w:tcPr>
            <w:tcW w:w="60" w:type="dxa"/>
            <w:vAlign w:val="bottom"/>
          </w:tcPr>
          <w:p>
            <w:pPr>
              <w:spacing w:after="0"/>
              <w:rPr>
                <w:sz w:val="12"/>
                <w:szCs w:val="12"/>
                <w:color w:val="auto"/>
              </w:rPr>
            </w:pPr>
          </w:p>
        </w:tc>
        <w:tc>
          <w:tcPr>
            <w:tcW w:w="1240" w:type="dxa"/>
            <w:vAlign w:val="bottom"/>
            <w:gridSpan w:val="6"/>
          </w:tcPr>
          <w:p>
            <w:pPr>
              <w:jc w:val="center"/>
              <w:ind w:right="800"/>
              <w:spacing w:after="0" w:line="146" w:lineRule="exact"/>
              <w:rPr>
                <w:sz w:val="20"/>
                <w:szCs w:val="20"/>
                <w:color w:val="auto"/>
              </w:rPr>
            </w:pPr>
            <w:r>
              <w:rPr>
                <w:rFonts w:ascii="Arial" w:cs="Arial" w:eastAsia="Arial" w:hAnsi="Arial"/>
                <w:sz w:val="14"/>
                <w:szCs w:val="14"/>
                <w:b w:val="1"/>
                <w:bCs w:val="1"/>
                <w:i w:val="1"/>
                <w:iCs w:val="1"/>
                <w:color w:val="auto"/>
                <w:w w:val="83"/>
              </w:rPr>
              <w:t>Amount</w:t>
            </w:r>
          </w:p>
        </w:tc>
      </w:tr>
      <w:tr>
        <w:trPr>
          <w:trHeight w:val="235"/>
        </w:trPr>
        <w:tc>
          <w:tcPr>
            <w:tcW w:w="4600" w:type="dxa"/>
            <w:vAlign w:val="bottom"/>
          </w:tcPr>
          <w:p>
            <w:pPr>
              <w:ind w:left="1100"/>
              <w:spacing w:after="0"/>
              <w:rPr>
                <w:sz w:val="20"/>
                <w:szCs w:val="20"/>
                <w:color w:val="auto"/>
              </w:rPr>
            </w:pPr>
            <w:r>
              <w:rPr>
                <w:rFonts w:ascii="Arial" w:cs="Arial" w:eastAsia="Arial" w:hAnsi="Arial"/>
                <w:sz w:val="18"/>
                <w:szCs w:val="18"/>
                <w:color w:val="auto"/>
              </w:rPr>
              <w:t>Finite-lived intangible assets:</w:t>
            </w:r>
          </w:p>
        </w:tc>
        <w:tc>
          <w:tcPr>
            <w:tcW w:w="5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59"/>
        </w:trPr>
        <w:tc>
          <w:tcPr>
            <w:tcW w:w="4600" w:type="dxa"/>
            <w:vAlign w:val="bottom"/>
          </w:tcPr>
          <w:p>
            <w:pPr>
              <w:ind w:left="1240"/>
              <w:spacing w:after="0"/>
              <w:rPr>
                <w:sz w:val="20"/>
                <w:szCs w:val="20"/>
                <w:color w:val="auto"/>
              </w:rPr>
            </w:pPr>
            <w:r>
              <w:rPr>
                <w:rFonts w:ascii="Arial" w:cs="Arial" w:eastAsia="Arial" w:hAnsi="Arial"/>
                <w:sz w:val="18"/>
                <w:szCs w:val="18"/>
                <w:color w:val="auto"/>
              </w:rPr>
              <w:t>Customer relationships</w:t>
            </w: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$1,480</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439</w:t>
            </w:r>
          </w:p>
        </w:tc>
        <w:tc>
          <w:tcPr>
            <w:tcW w:w="180" w:type="dxa"/>
            <w:vAlign w:val="bottom"/>
          </w:tcPr>
          <w:p>
            <w:pPr>
              <w:spacing w:after="0"/>
              <w:rPr>
                <w:sz w:val="24"/>
                <w:szCs w:val="24"/>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$1,041</w:t>
            </w:r>
          </w:p>
        </w:tc>
        <w:tc>
          <w:tcPr>
            <w:tcW w:w="660" w:type="dxa"/>
            <w:vAlign w:val="bottom"/>
          </w:tcPr>
          <w:p>
            <w:pPr>
              <w:spacing w:after="0"/>
              <w:rPr>
                <w:sz w:val="24"/>
                <w:szCs w:val="24"/>
                <w:color w:val="auto"/>
              </w:rPr>
            </w:pPr>
          </w:p>
        </w:tc>
      </w:tr>
      <w:tr>
        <w:trPr>
          <w:trHeight w:val="459"/>
        </w:trPr>
        <w:tc>
          <w:tcPr>
            <w:tcW w:w="4600" w:type="dxa"/>
            <w:vAlign w:val="bottom"/>
          </w:tcPr>
          <w:p>
            <w:pPr>
              <w:ind w:left="1240"/>
              <w:spacing w:after="0"/>
              <w:rPr>
                <w:sz w:val="20"/>
                <w:szCs w:val="20"/>
                <w:color w:val="auto"/>
              </w:rPr>
            </w:pPr>
            <w:r>
              <w:rPr>
                <w:rFonts w:ascii="Arial" w:cs="Arial" w:eastAsia="Arial" w:hAnsi="Arial"/>
                <w:sz w:val="18"/>
                <w:szCs w:val="18"/>
                <w:color w:val="auto"/>
              </w:rPr>
              <w:t>Patented technology</w:t>
            </w: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24"/>
                <w:szCs w:val="24"/>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357</w:t>
            </w:r>
          </w:p>
        </w:tc>
        <w:tc>
          <w:tcPr>
            <w:tcW w:w="660" w:type="dxa"/>
            <w:vAlign w:val="bottom"/>
          </w:tcPr>
          <w:p>
            <w:pPr>
              <w:spacing w:after="0"/>
              <w:rPr>
                <w:sz w:val="24"/>
                <w:szCs w:val="24"/>
                <w:color w:val="auto"/>
              </w:rPr>
            </w:pPr>
          </w:p>
        </w:tc>
      </w:tr>
      <w:tr>
        <w:trPr>
          <w:trHeight w:val="459"/>
        </w:trPr>
        <w:tc>
          <w:tcPr>
            <w:tcW w:w="4600" w:type="dxa"/>
            <w:vAlign w:val="bottom"/>
          </w:tcPr>
          <w:p>
            <w:pPr>
              <w:ind w:left="1240"/>
              <w:spacing w:after="0"/>
              <w:rPr>
                <w:sz w:val="20"/>
                <w:szCs w:val="20"/>
                <w:color w:val="auto"/>
              </w:rPr>
            </w:pPr>
            <w:r>
              <w:rPr>
                <w:rFonts w:ascii="Arial" w:cs="Arial" w:eastAsia="Arial" w:hAnsi="Arial"/>
                <w:sz w:val="18"/>
                <w:szCs w:val="18"/>
                <w:color w:val="auto"/>
              </w:rPr>
              <w:t>Software</w:t>
            </w: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24"/>
                <w:szCs w:val="24"/>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155</w:t>
            </w:r>
          </w:p>
        </w:tc>
        <w:tc>
          <w:tcPr>
            <w:tcW w:w="660" w:type="dxa"/>
            <w:vAlign w:val="bottom"/>
          </w:tcPr>
          <w:p>
            <w:pPr>
              <w:spacing w:after="0"/>
              <w:rPr>
                <w:sz w:val="24"/>
                <w:szCs w:val="24"/>
                <w:color w:val="auto"/>
              </w:rPr>
            </w:pPr>
          </w:p>
        </w:tc>
      </w:tr>
      <w:tr>
        <w:trPr>
          <w:trHeight w:val="459"/>
        </w:trPr>
        <w:tc>
          <w:tcPr>
            <w:tcW w:w="4600" w:type="dxa"/>
            <w:vAlign w:val="bottom"/>
          </w:tcPr>
          <w:p>
            <w:pPr>
              <w:ind w:left="1240"/>
              <w:spacing w:after="0"/>
              <w:rPr>
                <w:sz w:val="20"/>
                <w:szCs w:val="20"/>
                <w:color w:val="auto"/>
              </w:rPr>
            </w:pPr>
            <w:r>
              <w:rPr>
                <w:rFonts w:ascii="Arial" w:cs="Arial" w:eastAsia="Arial" w:hAnsi="Arial"/>
                <w:sz w:val="18"/>
                <w:szCs w:val="18"/>
                <w:color w:val="auto"/>
              </w:rPr>
              <w:t>Trade name</w:t>
            </w: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4"/>
                <w:szCs w:val="24"/>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107</w:t>
            </w:r>
          </w:p>
        </w:tc>
        <w:tc>
          <w:tcPr>
            <w:tcW w:w="660" w:type="dxa"/>
            <w:vAlign w:val="bottom"/>
          </w:tcPr>
          <w:p>
            <w:pPr>
              <w:spacing w:after="0"/>
              <w:rPr>
                <w:sz w:val="24"/>
                <w:szCs w:val="24"/>
                <w:color w:val="auto"/>
              </w:rPr>
            </w:pPr>
          </w:p>
        </w:tc>
      </w:tr>
      <w:tr>
        <w:trPr>
          <w:trHeight w:val="459"/>
        </w:trPr>
        <w:tc>
          <w:tcPr>
            <w:tcW w:w="4600" w:type="dxa"/>
            <w:vAlign w:val="bottom"/>
          </w:tcPr>
          <w:p>
            <w:pPr>
              <w:ind w:left="1240"/>
              <w:spacing w:after="0"/>
              <w:rPr>
                <w:sz w:val="20"/>
                <w:szCs w:val="20"/>
                <w:color w:val="auto"/>
              </w:rPr>
            </w:pPr>
            <w:r>
              <w:rPr>
                <w:rFonts w:ascii="Arial" w:cs="Arial" w:eastAsia="Arial" w:hAnsi="Arial"/>
                <w:sz w:val="18"/>
                <w:szCs w:val="18"/>
                <w:color w:val="auto"/>
              </w:rPr>
              <w:t>Customer backlog</w:t>
            </w: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4"/>
                <w:szCs w:val="24"/>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r>
      <w:tr>
        <w:trPr>
          <w:trHeight w:val="421"/>
        </w:trPr>
        <w:tc>
          <w:tcPr>
            <w:tcW w:w="4600" w:type="dxa"/>
            <w:vAlign w:val="bottom"/>
          </w:tcPr>
          <w:p>
            <w:pPr>
              <w:ind w:left="1240"/>
              <w:spacing w:after="0"/>
              <w:rPr>
                <w:sz w:val="20"/>
                <w:szCs w:val="20"/>
                <w:color w:val="auto"/>
              </w:rPr>
            </w:pPr>
            <w:r>
              <w:rPr>
                <w:rFonts w:ascii="Arial" w:cs="Arial" w:eastAsia="Arial" w:hAnsi="Arial"/>
                <w:sz w:val="18"/>
                <w:szCs w:val="18"/>
                <w:color w:val="auto"/>
              </w:rPr>
              <w:t>Non-compete/non-solicitation agreement</w:t>
            </w:r>
          </w:p>
        </w:tc>
        <w:tc>
          <w:tcPr>
            <w:tcW w:w="640" w:type="dxa"/>
            <w:vAlign w:val="bottom"/>
            <w:gridSpan w:val="2"/>
          </w:tcPr>
          <w:p>
            <w:pPr>
              <w:spacing w:after="0"/>
              <w:rPr>
                <w:sz w:val="24"/>
                <w:szCs w:val="24"/>
                <w:color w:val="auto"/>
              </w:rPr>
            </w:pPr>
          </w:p>
        </w:tc>
        <w:tc>
          <w:tcPr>
            <w:tcW w:w="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gridSpan w:val="4"/>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24"/>
                <w:szCs w:val="24"/>
                <w:color w:val="auto"/>
              </w:rPr>
            </w:pPr>
          </w:p>
        </w:tc>
      </w:tr>
      <w:tr>
        <w:trPr>
          <w:trHeight w:val="478"/>
        </w:trPr>
        <w:tc>
          <w:tcPr>
            <w:tcW w:w="4600" w:type="dxa"/>
            <w:vAlign w:val="bottom"/>
          </w:tcPr>
          <w:p>
            <w:pPr>
              <w:ind w:left="1100"/>
              <w:spacing w:after="0"/>
              <w:rPr>
                <w:sz w:val="20"/>
                <w:szCs w:val="20"/>
                <w:color w:val="auto"/>
              </w:rPr>
            </w:pPr>
            <w:r>
              <w:rPr>
                <w:rFonts w:ascii="Arial" w:cs="Arial" w:eastAsia="Arial" w:hAnsi="Arial"/>
                <w:sz w:val="18"/>
                <w:szCs w:val="18"/>
                <w:color w:val="auto"/>
              </w:rPr>
              <w:t>Total finite-lived intangible assets</w:t>
            </w: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2,598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914</w:t>
            </w:r>
          </w:p>
        </w:tc>
        <w:tc>
          <w:tcPr>
            <w:tcW w:w="180" w:type="dxa"/>
            <w:vAlign w:val="bottom"/>
          </w:tcPr>
          <w:p>
            <w:pPr>
              <w:spacing w:after="0"/>
              <w:rPr>
                <w:sz w:val="24"/>
                <w:szCs w:val="24"/>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1,684</w:t>
            </w:r>
          </w:p>
        </w:tc>
        <w:tc>
          <w:tcPr>
            <w:tcW w:w="660" w:type="dxa"/>
            <w:vAlign w:val="bottom"/>
          </w:tcPr>
          <w:p>
            <w:pPr>
              <w:spacing w:after="0"/>
              <w:rPr>
                <w:sz w:val="24"/>
                <w:szCs w:val="24"/>
                <w:color w:val="auto"/>
              </w:rPr>
            </w:pPr>
          </w:p>
        </w:tc>
      </w:tr>
      <w:tr>
        <w:trPr>
          <w:trHeight w:val="459"/>
        </w:trPr>
        <w:tc>
          <w:tcPr>
            <w:tcW w:w="4600" w:type="dxa"/>
            <w:vAlign w:val="bottom"/>
          </w:tcPr>
          <w:p>
            <w:pPr>
              <w:ind w:left="1100"/>
              <w:spacing w:after="0"/>
              <w:rPr>
                <w:sz w:val="20"/>
                <w:szCs w:val="20"/>
                <w:color w:val="auto"/>
              </w:rPr>
            </w:pPr>
            <w:r>
              <w:rPr>
                <w:rFonts w:ascii="Arial" w:cs="Arial" w:eastAsia="Arial" w:hAnsi="Arial"/>
                <w:sz w:val="18"/>
                <w:szCs w:val="18"/>
                <w:color w:val="auto"/>
              </w:rPr>
              <w:t>Indefinite-lived intangible assets: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21"/>
        </w:trPr>
        <w:tc>
          <w:tcPr>
            <w:tcW w:w="4600" w:type="dxa"/>
            <w:vAlign w:val="bottom"/>
          </w:tcPr>
          <w:p>
            <w:pPr>
              <w:ind w:left="1180"/>
              <w:spacing w:after="0"/>
              <w:rPr>
                <w:sz w:val="20"/>
                <w:szCs w:val="20"/>
                <w:color w:val="auto"/>
              </w:rPr>
            </w:pPr>
            <w:r>
              <w:rPr>
                <w:rFonts w:ascii="Arial" w:cs="Arial" w:eastAsia="Arial" w:hAnsi="Arial"/>
                <w:sz w:val="18"/>
                <w:szCs w:val="18"/>
                <w:color w:val="auto"/>
              </w:rPr>
              <w:t>Sigma trademark</w:t>
            </w:r>
          </w:p>
        </w:tc>
        <w:tc>
          <w:tcPr>
            <w:tcW w:w="640" w:type="dxa"/>
            <w:vAlign w:val="bottom"/>
            <w:gridSpan w:val="2"/>
          </w:tcPr>
          <w:p>
            <w:pPr>
              <w:spacing w:after="0"/>
              <w:rPr>
                <w:sz w:val="24"/>
                <w:szCs w:val="24"/>
                <w:color w:val="auto"/>
              </w:rPr>
            </w:pPr>
          </w:p>
        </w:tc>
        <w:tc>
          <w:tcPr>
            <w:tcW w:w="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gridSpan w:val="4"/>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510</w:t>
            </w:r>
          </w:p>
        </w:tc>
        <w:tc>
          <w:tcPr>
            <w:tcW w:w="660" w:type="dxa"/>
            <w:vAlign w:val="bottom"/>
          </w:tcPr>
          <w:p>
            <w:pPr>
              <w:spacing w:after="0"/>
              <w:rPr>
                <w:sz w:val="24"/>
                <w:szCs w:val="24"/>
                <w:color w:val="auto"/>
              </w:rPr>
            </w:pPr>
          </w:p>
        </w:tc>
      </w:tr>
      <w:tr>
        <w:trPr>
          <w:trHeight w:val="439"/>
        </w:trPr>
        <w:tc>
          <w:tcPr>
            <w:tcW w:w="4600" w:type="dxa"/>
            <w:vAlign w:val="bottom"/>
          </w:tcPr>
          <w:p>
            <w:pPr>
              <w:ind w:left="1100"/>
              <w:spacing w:after="0"/>
              <w:rPr>
                <w:sz w:val="20"/>
                <w:szCs w:val="20"/>
                <w:color w:val="auto"/>
              </w:rPr>
            </w:pPr>
            <w:r>
              <w:rPr>
                <w:rFonts w:ascii="Arial" w:cs="Arial" w:eastAsia="Arial" w:hAnsi="Arial"/>
                <w:sz w:val="18"/>
                <w:szCs w:val="18"/>
                <w:color w:val="auto"/>
              </w:rPr>
              <w:t>Total intangible assets</w:t>
            </w:r>
          </w:p>
        </w:tc>
        <w:tc>
          <w:tcPr>
            <w:tcW w:w="108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3,108</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914</w:t>
            </w:r>
          </w:p>
        </w:tc>
        <w:tc>
          <w:tcPr>
            <w:tcW w:w="180" w:type="dxa"/>
            <w:vAlign w:val="bottom"/>
          </w:tcPr>
          <w:p>
            <w:pPr>
              <w:spacing w:after="0"/>
              <w:rPr>
                <w:sz w:val="24"/>
                <w:szCs w:val="24"/>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2,194</w:t>
            </w:r>
          </w:p>
        </w:tc>
        <w:tc>
          <w:tcPr>
            <w:tcW w:w="660" w:type="dxa"/>
            <w:vAlign w:val="bottom"/>
          </w:tcPr>
          <w:p>
            <w:pPr>
              <w:spacing w:after="0"/>
              <w:rPr>
                <w:sz w:val="24"/>
                <w:szCs w:val="24"/>
                <w:color w:val="auto"/>
              </w:rPr>
            </w:pPr>
          </w:p>
        </w:tc>
      </w:tr>
      <w:tr>
        <w:trPr>
          <w:trHeight w:val="20"/>
        </w:trPr>
        <w:tc>
          <w:tcPr>
            <w:tcW w:w="4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sets forth changes in the amount of the carrying value of intangible assets for the nine months ended September 30, 2013:</w:t>
      </w:r>
    </w:p>
    <w:p>
      <w:pPr>
        <w:sectPr>
          <w:pgSz w:w="11900" w:h="16838" w:orient="portrait"/>
          <w:cols w:equalWidth="0" w:num="1">
            <w:col w:w="11280"/>
          </w:cols>
          <w:pgMar w:left="240" w:top="347" w:right="379" w:bottom="0" w:gutter="0" w:footer="0" w:header="0"/>
        </w:sectPr>
      </w:pPr>
    </w:p>
    <w:bookmarkStart w:id="10" w:name="page11"/>
    <w:bookmarkEnd w:id="10"/>
    <w:p>
      <w:pPr>
        <w:spacing w:after="0" w:line="32" w:lineRule="exact"/>
        <w:rPr>
          <w:sz w:val="20"/>
          <w:szCs w:val="20"/>
          <w:color w:val="auto"/>
        </w:rPr>
      </w:pPr>
    </w:p>
    <w:tbl>
      <w:tblPr>
        <w:tblLayout w:type="fixed"/>
        <w:tblInd w:w="1100" w:type="dxa"/>
        <w:tblCellMar>
          <w:top w:w="0" w:type="dxa"/>
          <w:left w:w="0" w:type="dxa"/>
          <w:bottom w:w="0" w:type="dxa"/>
          <w:right w:w="0" w:type="dxa"/>
        </w:tblCellMar>
      </w:tblPr>
      <w:tr>
        <w:trPr>
          <w:trHeight w:val="264"/>
        </w:trPr>
        <w:tc>
          <w:tcPr>
            <w:tcW w:w="4040" w:type="dxa"/>
            <w:vAlign w:val="bottom"/>
          </w:tcPr>
          <w:p>
            <w:pPr>
              <w:spacing w:after="0"/>
              <w:rPr>
                <w:sz w:val="20"/>
                <w:szCs w:val="20"/>
                <w:color w:val="auto"/>
              </w:rPr>
            </w:pPr>
            <w:r>
              <w:rPr>
                <w:rFonts w:ascii="Arial" w:cs="Arial" w:eastAsia="Arial" w:hAnsi="Arial"/>
                <w:sz w:val="18"/>
                <w:szCs w:val="18"/>
                <w:color w:val="auto"/>
              </w:rPr>
              <w:t>Balance - January 1, 2013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$2,194</w:t>
            </w:r>
          </w:p>
        </w:tc>
        <w:tc>
          <w:tcPr>
            <w:tcW w:w="40" w:type="dxa"/>
            <w:vAlign w:val="bottom"/>
          </w:tcPr>
          <w:p>
            <w:pPr>
              <w:spacing w:after="0"/>
              <w:rPr>
                <w:sz w:val="22"/>
                <w:szCs w:val="22"/>
                <w:color w:val="auto"/>
              </w:rPr>
            </w:pPr>
          </w:p>
        </w:tc>
      </w:tr>
      <w:tr>
        <w:trPr>
          <w:trHeight w:val="421"/>
        </w:trPr>
        <w:tc>
          <w:tcPr>
            <w:tcW w:w="4040" w:type="dxa"/>
            <w:vAlign w:val="bottom"/>
          </w:tcPr>
          <w:p>
            <w:pPr>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(349)</w:t>
            </w:r>
          </w:p>
        </w:tc>
      </w:tr>
      <w:tr>
        <w:trPr>
          <w:trHeight w:val="20"/>
        </w:trPr>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040" w:type="dxa"/>
            <w:vAlign w:val="bottom"/>
          </w:tcPr>
          <w:p>
            <w:pPr>
              <w:spacing w:after="0"/>
              <w:rPr>
                <w:sz w:val="20"/>
                <w:szCs w:val="20"/>
                <w:color w:val="auto"/>
              </w:rPr>
            </w:pPr>
            <w:r>
              <w:rPr>
                <w:rFonts w:ascii="Arial" w:cs="Arial" w:eastAsia="Arial" w:hAnsi="Arial"/>
                <w:sz w:val="18"/>
                <w:szCs w:val="18"/>
                <w:color w:val="auto"/>
              </w:rPr>
              <w:t>Balance - September 30, 2013</w:t>
            </w: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1,845</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Total amortization expense for the nine months ended September 30, 2013 and 2012 was $349 and $370, respectively. The following table sets forth the estimated annual amortization expense for our finite-lived intangible assets for each of the next five years:</w:t>
      </w:r>
    </w:p>
    <w:p>
      <w:pPr>
        <w:spacing w:after="0" w:line="199" w:lineRule="exact"/>
        <w:rPr>
          <w:sz w:val="20"/>
          <w:szCs w:val="20"/>
          <w:color w:val="auto"/>
        </w:rPr>
      </w:pPr>
    </w:p>
    <w:tbl>
      <w:tblPr>
        <w:tblLayout w:type="fixed"/>
        <w:tblInd w:w="2180" w:type="dxa"/>
        <w:tblCellMar>
          <w:top w:w="0" w:type="dxa"/>
          <w:left w:w="0" w:type="dxa"/>
          <w:bottom w:w="0" w:type="dxa"/>
          <w:right w:w="0" w:type="dxa"/>
        </w:tblCellMar>
      </w:tblPr>
      <w:tr>
        <w:trPr>
          <w:trHeight w:val="222"/>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2013</w:t>
            </w:r>
          </w:p>
        </w:tc>
        <w:tc>
          <w:tcPr>
            <w:tcW w:w="146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2014</w:t>
            </w:r>
          </w:p>
        </w:tc>
        <w:tc>
          <w:tcPr>
            <w:tcW w:w="146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2015</w:t>
            </w:r>
          </w:p>
        </w:tc>
        <w:tc>
          <w:tcPr>
            <w:tcW w:w="146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2016</w:t>
            </w:r>
          </w:p>
        </w:tc>
        <w:tc>
          <w:tcPr>
            <w:tcW w:w="146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2017</w:t>
            </w:r>
          </w:p>
        </w:tc>
        <w:tc>
          <w:tcPr>
            <w:tcW w:w="1460" w:type="dxa"/>
            <w:vAlign w:val="bottom"/>
          </w:tcPr>
          <w:p>
            <w:pPr>
              <w:jc w:val="right"/>
              <w:spacing w:after="0"/>
              <w:rPr>
                <w:sz w:val="20"/>
                <w:szCs w:val="20"/>
                <w:color w:val="auto"/>
              </w:rPr>
            </w:pPr>
            <w:r>
              <w:rPr>
                <w:rFonts w:ascii="Arial" w:cs="Arial" w:eastAsia="Arial" w:hAnsi="Arial"/>
                <w:sz w:val="18"/>
                <w:szCs w:val="18"/>
                <w:color w:val="auto"/>
              </w:rPr>
              <w:t>$212</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 AND OTHER CHARGES</w:t>
      </w:r>
    </w:p>
    <w:p>
      <w:pPr>
        <w:spacing w:after="0" w:line="191"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In connection with the acquisition of Thermonics, as discussed further in Note 3, we signed a separate one year lease for the facility in Sunnyvale, California then occupied by Thermonics at the time of the acquisition. This facility was owned by certain shareholders of the seller. We ceased operations at this facility in February 2012 and relocated the Thermonics product line to our facility in Mansfield, Massachusetts where our Temptronic operations are located. During the first quarter of 2012, we incurred approximately $359 of facility closure costs related to this action. These costs included lease termination fees of approximately $220 and other costs associated with this consolidation of facilities, including the cost to relocate inventory and equipment, of approximately $139. During the fourth quarter of 2012 we received a refund of $46 of lease termination fees paid in the first quarter due to the sale of the leased facility.</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- 12 -</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RESTRUCTURING AND OTHER CHARGES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Changes in our liability for restructuring and other charges for the nine months ended September 30, 2012 are summarized as follows:</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500" w:type="dxa"/>
            <w:vAlign w:val="bottom"/>
            <w:gridSpan w:val="8"/>
          </w:tcPr>
          <w:p>
            <w:pPr>
              <w:jc w:val="center"/>
              <w:ind w:left="739"/>
              <w:spacing w:after="0"/>
              <w:rPr>
                <w:sz w:val="20"/>
                <w:szCs w:val="20"/>
                <w:color w:val="auto"/>
              </w:rPr>
            </w:pPr>
            <w:r>
              <w:rPr>
                <w:rFonts w:ascii="Arial" w:cs="Arial" w:eastAsia="Arial" w:hAnsi="Arial"/>
                <w:sz w:val="14"/>
                <w:szCs w:val="14"/>
                <w:b w:val="1"/>
                <w:bCs w:val="1"/>
                <w:i w:val="1"/>
                <w:iCs w:val="1"/>
                <w:color w:val="auto"/>
                <w:w w:val="85"/>
              </w:rPr>
              <w:t>Thermonics</w:t>
            </w:r>
          </w:p>
        </w:tc>
      </w:tr>
      <w:tr>
        <w:trPr>
          <w:trHeight w:val="146"/>
        </w:trPr>
        <w:tc>
          <w:tcPr>
            <w:tcW w:w="3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Borders>
              <w:bottom w:val="single" w:sz="8" w:color="auto"/>
            </w:tcBorders>
            <w:gridSpan w:val="6"/>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Relocation</w:t>
            </w:r>
          </w:p>
        </w:tc>
        <w:tc>
          <w:tcPr>
            <w:tcW w:w="40" w:type="dxa"/>
            <w:vAlign w:val="bottom"/>
          </w:tcPr>
          <w:p>
            <w:pPr>
              <w:spacing w:after="0"/>
              <w:rPr>
                <w:sz w:val="12"/>
                <w:szCs w:val="12"/>
                <w:color w:val="auto"/>
              </w:rPr>
            </w:pPr>
          </w:p>
        </w:tc>
      </w:tr>
      <w:tr>
        <w:trPr>
          <w:trHeight w:val="235"/>
        </w:trPr>
        <w:tc>
          <w:tcPr>
            <w:tcW w:w="3200" w:type="dxa"/>
            <w:vAlign w:val="bottom"/>
          </w:tcPr>
          <w:p>
            <w:pPr>
              <w:spacing w:after="0"/>
              <w:rPr>
                <w:sz w:val="20"/>
                <w:szCs w:val="20"/>
                <w:color w:val="auto"/>
              </w:rPr>
            </w:pPr>
            <w:r>
              <w:rPr>
                <w:rFonts w:ascii="Arial" w:cs="Arial" w:eastAsia="Arial" w:hAnsi="Arial"/>
                <w:sz w:val="18"/>
                <w:szCs w:val="18"/>
                <w:color w:val="auto"/>
              </w:rPr>
              <w:t>Balance - January 1, 2012</w:t>
            </w:r>
          </w:p>
        </w:tc>
        <w:tc>
          <w:tcPr>
            <w:tcW w:w="1220" w:type="dxa"/>
            <w:vAlign w:val="bottom"/>
            <w:gridSpan w:val="4"/>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9"/>
        </w:trPr>
        <w:tc>
          <w:tcPr>
            <w:tcW w:w="3200" w:type="dxa"/>
            <w:vAlign w:val="bottom"/>
          </w:tcPr>
          <w:p>
            <w:pPr>
              <w:spacing w:after="0"/>
              <w:rPr>
                <w:sz w:val="20"/>
                <w:szCs w:val="20"/>
                <w:color w:val="auto"/>
              </w:rPr>
            </w:pPr>
            <w:r>
              <w:rPr>
                <w:rFonts w:ascii="Arial" w:cs="Arial" w:eastAsia="Arial" w:hAnsi="Arial"/>
                <w:sz w:val="18"/>
                <w:szCs w:val="18"/>
                <w:color w:val="auto"/>
              </w:rPr>
              <w:t>Accruals for facility closure costs</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3200" w:type="dxa"/>
            <w:vAlign w:val="bottom"/>
          </w:tcPr>
          <w:p>
            <w:pPr>
              <w:spacing w:after="0"/>
              <w:rPr>
                <w:sz w:val="20"/>
                <w:szCs w:val="20"/>
                <w:color w:val="auto"/>
              </w:rPr>
            </w:pPr>
            <w:r>
              <w:rPr>
                <w:rFonts w:ascii="Arial" w:cs="Arial" w:eastAsia="Arial" w:hAnsi="Arial"/>
                <w:sz w:val="18"/>
                <w:szCs w:val="18"/>
                <w:color w:val="auto"/>
              </w:rPr>
              <w:t>Cash payments related to facility</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4"/>
        </w:trPr>
        <w:tc>
          <w:tcPr>
            <w:tcW w:w="3200" w:type="dxa"/>
            <w:vAlign w:val="bottom"/>
          </w:tcPr>
          <w:p>
            <w:pPr>
              <w:ind w:left="180"/>
              <w:spacing w:after="0" w:line="184" w:lineRule="exact"/>
              <w:rPr>
                <w:sz w:val="20"/>
                <w:szCs w:val="20"/>
                <w:color w:val="auto"/>
              </w:rPr>
            </w:pPr>
            <w:r>
              <w:rPr>
                <w:rFonts w:ascii="Arial" w:cs="Arial" w:eastAsia="Arial" w:hAnsi="Arial"/>
                <w:sz w:val="18"/>
                <w:szCs w:val="18"/>
                <w:color w:val="auto"/>
              </w:rPr>
              <w:t>closure costs</w:t>
            </w:r>
          </w:p>
        </w:tc>
        <w:tc>
          <w:tcPr>
            <w:tcW w:w="1020" w:type="dxa"/>
            <w:vAlign w:val="bottom"/>
            <w:gridSpan w:val="2"/>
          </w:tcPr>
          <w:p>
            <w:pPr>
              <w:spacing w:after="0"/>
              <w:rPr>
                <w:sz w:val="15"/>
                <w:szCs w:val="15"/>
                <w:color w:val="auto"/>
              </w:rPr>
            </w:pPr>
          </w:p>
        </w:tc>
        <w:tc>
          <w:tcPr>
            <w:tcW w:w="440" w:type="dxa"/>
            <w:vAlign w:val="bottom"/>
            <w:gridSpan w:val="5"/>
          </w:tcPr>
          <w:p>
            <w:pPr>
              <w:ind w:left="40"/>
              <w:spacing w:after="0" w:line="184" w:lineRule="exact"/>
              <w:rPr>
                <w:sz w:val="20"/>
                <w:szCs w:val="20"/>
                <w:color w:val="auto"/>
              </w:rPr>
            </w:pPr>
            <w:r>
              <w:rPr>
                <w:rFonts w:ascii="Arial" w:cs="Arial" w:eastAsia="Arial" w:hAnsi="Arial"/>
                <w:sz w:val="18"/>
                <w:szCs w:val="18"/>
                <w:color w:val="auto"/>
                <w:w w:val="90"/>
              </w:rPr>
              <w:t>(359)</w:t>
            </w:r>
          </w:p>
        </w:tc>
        <w:tc>
          <w:tcPr>
            <w:tcW w:w="40" w:type="dxa"/>
            <w:vAlign w:val="bottom"/>
          </w:tcPr>
          <w:p>
            <w:pPr>
              <w:spacing w:after="0"/>
              <w:rPr>
                <w:sz w:val="15"/>
                <w:szCs w:val="15"/>
                <w:color w:val="auto"/>
              </w:rPr>
            </w:pPr>
          </w:p>
        </w:tc>
      </w:tr>
      <w:tr>
        <w:trPr>
          <w:trHeight w:val="439"/>
        </w:trPr>
        <w:tc>
          <w:tcPr>
            <w:tcW w:w="3200" w:type="dxa"/>
            <w:vAlign w:val="bottom"/>
          </w:tcPr>
          <w:p>
            <w:pPr>
              <w:spacing w:after="0"/>
              <w:rPr>
                <w:sz w:val="20"/>
                <w:szCs w:val="20"/>
                <w:color w:val="auto"/>
              </w:rPr>
            </w:pPr>
            <w:r>
              <w:rPr>
                <w:rFonts w:ascii="Arial" w:cs="Arial" w:eastAsia="Arial" w:hAnsi="Arial"/>
                <w:sz w:val="18"/>
                <w:szCs w:val="18"/>
                <w:color w:val="auto"/>
              </w:rPr>
              <w:t>Balance - September 30, 2012</w:t>
            </w:r>
          </w:p>
        </w:tc>
        <w:tc>
          <w:tcPr>
            <w:tcW w:w="1020" w:type="dxa"/>
            <w:vAlign w:val="bottom"/>
            <w:gridSpan w:val="2"/>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MAJOR CUSTOMERS</w:t>
      </w:r>
    </w:p>
    <w:p>
      <w:pPr>
        <w:spacing w:after="0" w:line="191"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color w:val="auto"/>
        </w:rPr>
        <w:t>During the nine months ended September 30, 2013 and 2012, Texas Instruments Incorporated accounted for 12% and 16%, respectively, of our consolidated net revenues. While all three of our operating segments sold products to this customer, these revenues were primarily generated by our Mechanical Products and our Electrical Products segments. During the nine months ended September 30, 2012, Teradyne, Inc. accounted for 13% of our consolidated net revenues. While both our Mechanical Products and our Electrical Products segments sold products to this customer, these revenues were primarily generated by our Electrical Products segment. No other customers accounted for 10% or more of our consolidated net revenues during the nine months ended September 30, 2013 and 2012.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Inventories held at September 30, 2013 and December 31, 2012 were comprised of the following:</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440" w:type="dxa"/>
            <w:vAlign w:val="bottom"/>
            <w:gridSpan w:val="5"/>
          </w:tcPr>
          <w:p>
            <w:pPr>
              <w:jc w:val="center"/>
              <w:ind w:left="317"/>
              <w:spacing w:after="0"/>
              <w:rPr>
                <w:sz w:val="20"/>
                <w:szCs w:val="20"/>
                <w:color w:val="auto"/>
              </w:rPr>
            </w:pPr>
            <w:r>
              <w:rPr>
                <w:rFonts w:ascii="Arial" w:cs="Arial" w:eastAsia="Arial" w:hAnsi="Arial"/>
                <w:sz w:val="14"/>
                <w:szCs w:val="14"/>
                <w:b w:val="1"/>
                <w:bCs w:val="1"/>
                <w:i w:val="1"/>
                <w:iCs w:val="1"/>
                <w:color w:val="auto"/>
                <w:w w:val="83"/>
              </w:rPr>
              <w:t>Sept. 30,</w:t>
            </w:r>
          </w:p>
        </w:tc>
        <w:tc>
          <w:tcPr>
            <w:tcW w:w="540" w:type="dxa"/>
            <w:vAlign w:val="bottom"/>
            <w:gridSpan w:val="3"/>
          </w:tcPr>
          <w:p>
            <w:pPr>
              <w:jc w:val="center"/>
              <w:ind w:right="40"/>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46"/>
        </w:trPr>
        <w:tc>
          <w:tcPr>
            <w:tcW w:w="2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Borders>
              <w:bottom w:val="single" w:sz="8" w:color="auto"/>
            </w:tcBorders>
            <w:gridSpan w:val="2"/>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2013</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bottom w:val="single" w:sz="8" w:color="auto"/>
            </w:tcBorders>
            <w:gridSpan w:val="2"/>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2012</w:t>
            </w:r>
          </w:p>
        </w:tc>
        <w:tc>
          <w:tcPr>
            <w:tcW w:w="60" w:type="dxa"/>
            <w:vAlign w:val="bottom"/>
          </w:tcPr>
          <w:p>
            <w:pPr>
              <w:spacing w:after="0"/>
              <w:rPr>
                <w:sz w:val="12"/>
                <w:szCs w:val="12"/>
                <w:color w:val="auto"/>
              </w:rPr>
            </w:pPr>
          </w:p>
        </w:tc>
      </w:tr>
      <w:tr>
        <w:trPr>
          <w:trHeight w:val="235"/>
        </w:trPr>
        <w:tc>
          <w:tcPr>
            <w:tcW w:w="2780" w:type="dxa"/>
            <w:vAlign w:val="bottom"/>
          </w:tcPr>
          <w:p>
            <w:pPr>
              <w:spacing w:after="0"/>
              <w:rPr>
                <w:sz w:val="20"/>
                <w:szCs w:val="20"/>
                <w:color w:val="auto"/>
              </w:rPr>
            </w:pPr>
            <w:r>
              <w:rPr>
                <w:rFonts w:ascii="Arial" w:cs="Arial" w:eastAsia="Arial" w:hAnsi="Arial"/>
                <w:sz w:val="18"/>
                <w:szCs w:val="18"/>
                <w:color w:val="auto"/>
              </w:rPr>
              <w:t>Raw materials</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$2,816</w:t>
            </w:r>
          </w:p>
        </w:tc>
        <w:tc>
          <w:tcPr>
            <w:tcW w:w="22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$2,157</w:t>
            </w:r>
          </w:p>
        </w:tc>
      </w:tr>
      <w:tr>
        <w:trPr>
          <w:trHeight w:val="459"/>
        </w:trPr>
        <w:tc>
          <w:tcPr>
            <w:tcW w:w="2780" w:type="dxa"/>
            <w:vAlign w:val="bottom"/>
          </w:tcPr>
          <w:p>
            <w:pPr>
              <w:spacing w:after="0"/>
              <w:rPr>
                <w:sz w:val="20"/>
                <w:szCs w:val="20"/>
                <w:color w:val="auto"/>
              </w:rPr>
            </w:pPr>
            <w:r>
              <w:rPr>
                <w:rFonts w:ascii="Arial" w:cs="Arial" w:eastAsia="Arial" w:hAnsi="Arial"/>
                <w:sz w:val="18"/>
                <w:szCs w:val="18"/>
                <w:color w:val="auto"/>
              </w:rPr>
              <w:t>Work in process</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454</w:t>
            </w:r>
          </w:p>
        </w:tc>
      </w:tr>
      <w:tr>
        <w:trPr>
          <w:trHeight w:val="459"/>
        </w:trPr>
        <w:tc>
          <w:tcPr>
            <w:tcW w:w="2780" w:type="dxa"/>
            <w:vAlign w:val="bottom"/>
          </w:tcPr>
          <w:p>
            <w:pPr>
              <w:spacing w:after="0"/>
              <w:rPr>
                <w:sz w:val="20"/>
                <w:szCs w:val="20"/>
                <w:color w:val="auto"/>
              </w:rPr>
            </w:pPr>
            <w:r>
              <w:rPr>
                <w:rFonts w:ascii="Arial" w:cs="Arial" w:eastAsia="Arial" w:hAnsi="Arial"/>
                <w:sz w:val="18"/>
                <w:szCs w:val="18"/>
                <w:color w:val="auto"/>
              </w:rPr>
              <w:t>Inventory consigned to others</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105</w:t>
            </w:r>
          </w:p>
        </w:tc>
      </w:tr>
      <w:tr>
        <w:trPr>
          <w:trHeight w:val="421"/>
        </w:trPr>
        <w:tc>
          <w:tcPr>
            <w:tcW w:w="2780" w:type="dxa"/>
            <w:vAlign w:val="bottom"/>
          </w:tcPr>
          <w:p>
            <w:pPr>
              <w:spacing w:after="0"/>
              <w:rPr>
                <w:sz w:val="20"/>
                <w:szCs w:val="20"/>
                <w:color w:val="auto"/>
              </w:rPr>
            </w:pPr>
            <w:r>
              <w:rPr>
                <w:rFonts w:ascii="Arial" w:cs="Arial" w:eastAsia="Arial" w:hAnsi="Arial"/>
                <w:sz w:val="18"/>
                <w:szCs w:val="18"/>
                <w:color w:val="auto"/>
              </w:rPr>
              <w:t>Finished goods</w:t>
            </w:r>
          </w:p>
        </w:tc>
        <w:tc>
          <w:tcPr>
            <w:tcW w:w="780" w:type="dxa"/>
            <w:vAlign w:val="bottom"/>
            <w:gridSpan w:val="2"/>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419</w:t>
            </w:r>
          </w:p>
        </w:tc>
      </w:tr>
    </w:tbl>
    <w:p>
      <w:pPr>
        <w:sectPr>
          <w:pgSz w:w="11900" w:h="16870" w:orient="portrait"/>
          <w:cols w:equalWidth="0" w:num="1">
            <w:col w:w="11340"/>
          </w:cols>
          <w:pgMar w:left="240" w:top="90" w:right="319" w:bottom="0" w:gutter="0" w:footer="0" w:header="0"/>
        </w:sectPr>
      </w:pPr>
    </w:p>
    <w:bookmarkStart w:id="11" w:name="page12"/>
    <w:bookmarkEnd w:id="11"/>
    <w:p>
      <w:pPr>
        <w:ind w:left="4620"/>
        <w:spacing w:after="0"/>
        <w:tabs>
          <w:tab w:leader="none" w:pos="5360" w:val="left"/>
        </w:tabs>
        <w:rPr>
          <w:sz w:val="20"/>
          <w:szCs w:val="20"/>
          <w:color w:val="auto"/>
        </w:rPr>
      </w:pPr>
      <w:r>
        <w:rPr>
          <w:rFonts w:ascii="Arial" w:cs="Arial" w:eastAsia="Arial" w:hAnsi="Arial"/>
          <w:sz w:val="18"/>
          <w:szCs w:val="18"/>
          <w:u w:val="single" w:color="auto"/>
          <w:color w:val="auto"/>
        </w:rPr>
        <w:t>$3,484</w:t>
      </w:r>
      <w:r>
        <w:rPr>
          <w:sz w:val="20"/>
          <w:szCs w:val="20"/>
          <w:color w:val="auto"/>
        </w:rPr>
        <w:tab/>
      </w:r>
      <w:r>
        <w:rPr>
          <w:rFonts w:ascii="Arial" w:cs="Arial" w:eastAsia="Arial" w:hAnsi="Arial"/>
          <w:sz w:val="15"/>
          <w:szCs w:val="15"/>
          <w:u w:val="single" w:color="auto"/>
          <w:color w:val="auto"/>
        </w:rPr>
        <w:t>$3,135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We have issued letters of credit as the security deposits for certain of our domestic leases. These letters of credit are secured by pledged certificates of deposit which are classified as Restricted Certificates of Deposit on our balance sheet. The terms of our leases require us to renew these letters of credit at least 30 days prior to their expiration dates for successive terms of not less than one year until lease expiration. Our outstanding letters of credit at September 30, 2013 and December 31, 2012 consisted of the following:</w:t>
      </w:r>
    </w:p>
    <w:p>
      <w:pPr>
        <w:spacing w:after="0" w:line="155"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9"/>
          </w:tcPr>
          <w:p>
            <w:pPr>
              <w:jc w:val="right"/>
              <w:ind w:right="180"/>
              <w:spacing w:after="0"/>
              <w:rPr>
                <w:sz w:val="20"/>
                <w:szCs w:val="20"/>
                <w:color w:val="auto"/>
              </w:rPr>
            </w:pPr>
            <w:r>
              <w:rPr>
                <w:rFonts w:ascii="Arial" w:cs="Arial" w:eastAsia="Arial" w:hAnsi="Arial"/>
                <w:sz w:val="14"/>
                <w:szCs w:val="14"/>
                <w:b w:val="1"/>
                <w:bCs w:val="1"/>
                <w:i w:val="1"/>
                <w:iCs w:val="1"/>
                <w:color w:val="auto"/>
                <w:w w:val="86"/>
              </w:rPr>
              <w:t>Letters of Credit</w:t>
            </w:r>
          </w:p>
        </w:tc>
        <w:tc>
          <w:tcPr>
            <w:tcW w:w="0" w:type="dxa"/>
            <w:vAlign w:val="bottom"/>
          </w:tcPr>
          <w:p>
            <w:pPr>
              <w:spacing w:after="0"/>
              <w:rPr>
                <w:sz w:val="1"/>
                <w:szCs w:val="1"/>
                <w:color w:val="auto"/>
              </w:rPr>
            </w:pPr>
          </w:p>
        </w:tc>
      </w:tr>
      <w:tr>
        <w:trPr>
          <w:trHeight w:val="146"/>
        </w:trPr>
        <w:tc>
          <w:tcPr>
            <w:tcW w:w="4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i w:val="1"/>
                <w:iCs w:val="1"/>
                <w:color w:val="auto"/>
                <w:w w:val="88"/>
              </w:rPr>
              <w:t>L/C</w:t>
            </w:r>
          </w:p>
        </w:tc>
        <w:tc>
          <w:tcPr>
            <w:tcW w:w="120" w:type="dxa"/>
            <w:vAlign w:val="bottom"/>
          </w:tcPr>
          <w:p>
            <w:pPr>
              <w:spacing w:after="0"/>
              <w:rPr>
                <w:sz w:val="12"/>
                <w:szCs w:val="12"/>
                <w:color w:val="auto"/>
              </w:rPr>
            </w:pPr>
          </w:p>
        </w:tc>
        <w:tc>
          <w:tcPr>
            <w:tcW w:w="78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i w:val="1"/>
                <w:iCs w:val="1"/>
                <w:color w:val="auto"/>
                <w:w w:val="80"/>
              </w:rPr>
              <w:t>Lease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10"/>
          </w:tcPr>
          <w:p>
            <w:pPr>
              <w:jc w:val="right"/>
              <w:ind w:right="60"/>
              <w:spacing w:after="0" w:line="146" w:lineRule="exact"/>
              <w:rPr>
                <w:sz w:val="20"/>
                <w:szCs w:val="20"/>
                <w:color w:val="auto"/>
              </w:rPr>
            </w:pPr>
            <w:r>
              <w:rPr>
                <w:rFonts w:ascii="Arial" w:cs="Arial" w:eastAsia="Arial" w:hAnsi="Arial"/>
                <w:sz w:val="14"/>
                <w:szCs w:val="14"/>
                <w:b w:val="1"/>
                <w:bCs w:val="1"/>
                <w:i w:val="1"/>
                <w:iCs w:val="1"/>
                <w:color w:val="auto"/>
                <w:w w:val="83"/>
              </w:rPr>
              <w:t>Amount Outstanding</w:t>
            </w: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Facility</w:t>
            </w: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80" w:type="dxa"/>
            <w:vAlign w:val="bottom"/>
            <w:gridSpan w:val="2"/>
            <w:vMerge w:val="continue"/>
          </w:tcPr>
          <w:p>
            <w:pPr>
              <w:spacing w:after="0"/>
              <w:rPr>
                <w:sz w:val="13"/>
                <w:szCs w:val="13"/>
                <w:color w:val="auto"/>
              </w:rPr>
            </w:pPr>
          </w:p>
        </w:tc>
        <w:tc>
          <w:tcPr>
            <w:tcW w:w="2080" w:type="dxa"/>
            <w:vAlign w:val="bottom"/>
            <w:gridSpan w:val="3"/>
            <w:vMerge w:val="restart"/>
          </w:tcPr>
          <w:p>
            <w:pPr>
              <w:jc w:val="center"/>
              <w:ind w:left="919"/>
              <w:spacing w:after="0"/>
              <w:rPr>
                <w:sz w:val="20"/>
                <w:szCs w:val="20"/>
                <w:color w:val="auto"/>
              </w:rPr>
            </w:pPr>
            <w:r>
              <w:rPr>
                <w:rFonts w:ascii="Arial" w:cs="Arial" w:eastAsia="Arial" w:hAnsi="Arial"/>
                <w:sz w:val="14"/>
                <w:szCs w:val="14"/>
                <w:b w:val="1"/>
                <w:bCs w:val="1"/>
                <w:i w:val="1"/>
                <w:iCs w:val="1"/>
                <w:color w:val="auto"/>
                <w:w w:val="90"/>
              </w:rPr>
              <w:t>Original L/C</w:t>
            </w: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i w:val="1"/>
                <w:iCs w:val="1"/>
                <w:color w:val="auto"/>
                <w:w w:val="87"/>
              </w:rPr>
              <w:t>Expiration</w:t>
            </w: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i w:val="1"/>
                <w:iCs w:val="1"/>
                <w:color w:val="auto"/>
              </w:rPr>
              <w:t>Expiration</w:t>
            </w:r>
          </w:p>
        </w:tc>
        <w:tc>
          <w:tcPr>
            <w:tcW w:w="580" w:type="dxa"/>
            <w:vAlign w:val="bottom"/>
            <w:gridSpan w:val="6"/>
            <w:vMerge w:val="restart"/>
          </w:tcPr>
          <w:p>
            <w:pPr>
              <w:jc w:val="center"/>
              <w:spacing w:after="0"/>
              <w:rPr>
                <w:sz w:val="20"/>
                <w:szCs w:val="20"/>
                <w:color w:val="auto"/>
              </w:rPr>
            </w:pPr>
            <w:r>
              <w:rPr>
                <w:rFonts w:ascii="Arial" w:cs="Arial" w:eastAsia="Arial" w:hAnsi="Arial"/>
                <w:sz w:val="14"/>
                <w:szCs w:val="14"/>
                <w:b w:val="1"/>
                <w:bCs w:val="1"/>
                <w:i w:val="1"/>
                <w:iCs w:val="1"/>
                <w:color w:val="auto"/>
                <w:w w:val="83"/>
              </w:rPr>
              <w:t>Sept. 30,</w:t>
            </w:r>
          </w:p>
        </w:tc>
        <w:tc>
          <w:tcPr>
            <w:tcW w:w="780" w:type="dxa"/>
            <w:vAlign w:val="bottom"/>
            <w:gridSpan w:val="6"/>
            <w:vMerge w:val="restart"/>
          </w:tcPr>
          <w:p>
            <w:pPr>
              <w:jc w:val="right"/>
              <w:ind w:right="20"/>
              <w:spacing w:after="0"/>
              <w:rPr>
                <w:sz w:val="20"/>
                <w:szCs w:val="20"/>
                <w:color w:val="auto"/>
              </w:rPr>
            </w:pPr>
            <w:r>
              <w:rPr>
                <w:rFonts w:ascii="Arial" w:cs="Arial" w:eastAsia="Arial" w:hAnsi="Arial"/>
                <w:sz w:val="14"/>
                <w:szCs w:val="14"/>
                <w:b w:val="1"/>
                <w:bCs w:val="1"/>
                <w:i w:val="1"/>
                <w:iCs w:val="1"/>
                <w:color w:val="auto"/>
              </w:rPr>
              <w:t>Dec. 31,</w:t>
            </w:r>
          </w:p>
        </w:tc>
        <w:tc>
          <w:tcPr>
            <w:tcW w:w="0" w:type="dxa"/>
            <w:vAlign w:val="bottom"/>
          </w:tcPr>
          <w:p>
            <w:pPr>
              <w:spacing w:after="0"/>
              <w:rPr>
                <w:sz w:val="1"/>
                <w:szCs w:val="1"/>
                <w:color w:val="auto"/>
              </w:rPr>
            </w:pPr>
          </w:p>
        </w:tc>
      </w:tr>
      <w:tr>
        <w:trPr>
          <w:trHeight w:val="50"/>
        </w:trPr>
        <w:tc>
          <w:tcPr>
            <w:tcW w:w="420" w:type="dxa"/>
            <w:vAlign w:val="bottom"/>
            <w:tcBorders>
              <w:top w:val="single" w:sz="8" w:color="auto"/>
            </w:tcBorders>
          </w:tcPr>
          <w:p>
            <w:pPr>
              <w:spacing w:after="0"/>
              <w:rPr>
                <w:sz w:val="4"/>
                <w:szCs w:val="4"/>
                <w:color w:val="auto"/>
              </w:rPr>
            </w:pPr>
          </w:p>
        </w:tc>
        <w:tc>
          <w:tcPr>
            <w:tcW w:w="1860" w:type="dxa"/>
            <w:vAlign w:val="bottom"/>
          </w:tcPr>
          <w:p>
            <w:pPr>
              <w:spacing w:after="0"/>
              <w:rPr>
                <w:sz w:val="4"/>
                <w:szCs w:val="4"/>
                <w:color w:val="auto"/>
              </w:rPr>
            </w:pPr>
          </w:p>
        </w:tc>
        <w:tc>
          <w:tcPr>
            <w:tcW w:w="2080" w:type="dxa"/>
            <w:vAlign w:val="bottom"/>
            <w:gridSpan w:val="3"/>
            <w:vMerge w:val="continue"/>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580" w:type="dxa"/>
            <w:vAlign w:val="bottom"/>
            <w:gridSpan w:val="6"/>
            <w:vMerge w:val="continue"/>
          </w:tcPr>
          <w:p>
            <w:pPr>
              <w:spacing w:after="0"/>
              <w:rPr>
                <w:sz w:val="4"/>
                <w:szCs w:val="4"/>
                <w:color w:val="auto"/>
              </w:rPr>
            </w:pPr>
          </w:p>
        </w:tc>
        <w:tc>
          <w:tcPr>
            <w:tcW w:w="7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4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Issue Date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gridSpan w:val="4"/>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2013</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Borders>
              <w:bottom w:val="single" w:sz="8" w:color="auto"/>
            </w:tcBorders>
            <w:gridSpan w:val="3"/>
          </w:tcPr>
          <w:p>
            <w:pPr>
              <w:jc w:val="right"/>
              <w:spacing w:after="0" w:line="146" w:lineRule="exact"/>
              <w:rPr>
                <w:sz w:val="20"/>
                <w:szCs w:val="20"/>
                <w:color w:val="auto"/>
              </w:rPr>
            </w:pPr>
            <w:r>
              <w:rPr>
                <w:rFonts w:ascii="Arial" w:cs="Arial" w:eastAsia="Arial" w:hAnsi="Arial"/>
                <w:sz w:val="14"/>
                <w:szCs w:val="14"/>
                <w:b w:val="1"/>
                <w:bCs w:val="1"/>
                <w:i w:val="1"/>
                <w:iCs w:val="1"/>
                <w:color w:val="auto"/>
              </w:rPr>
              <w:t>2012</w:t>
            </w: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280" w:type="dxa"/>
            <w:vAlign w:val="bottom"/>
            <w:gridSpan w:val="2"/>
          </w:tcPr>
          <w:p>
            <w:pPr>
              <w:spacing w:after="0"/>
              <w:rPr>
                <w:sz w:val="20"/>
                <w:szCs w:val="20"/>
                <w:color w:val="auto"/>
              </w:rPr>
            </w:pPr>
            <w:r>
              <w:rPr>
                <w:rFonts w:ascii="Arial" w:cs="Arial" w:eastAsia="Arial" w:hAnsi="Arial"/>
                <w:sz w:val="18"/>
                <w:szCs w:val="18"/>
                <w:color w:val="auto"/>
              </w:rPr>
              <w:t>Mt. Laurel, NJ</w:t>
            </w:r>
          </w:p>
        </w:tc>
        <w:tc>
          <w:tcPr>
            <w:tcW w:w="208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3/29/2010</w:t>
            </w:r>
          </w:p>
        </w:tc>
        <w:tc>
          <w:tcPr>
            <w:tcW w:w="98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3/31/2014</w:t>
            </w:r>
          </w:p>
        </w:tc>
        <w:tc>
          <w:tcPr>
            <w:tcW w:w="900" w:type="dxa"/>
            <w:vAlign w:val="bottom"/>
            <w:gridSpan w:val="3"/>
            <w:vMerge w:val="restart"/>
          </w:tcPr>
          <w:p>
            <w:pPr>
              <w:ind w:left="100"/>
              <w:spacing w:after="0"/>
              <w:rPr>
                <w:sz w:val="20"/>
                <w:szCs w:val="20"/>
                <w:color w:val="auto"/>
              </w:rPr>
            </w:pPr>
            <w:r>
              <w:rPr>
                <w:rFonts w:ascii="Arial" w:cs="Arial" w:eastAsia="Arial" w:hAnsi="Arial"/>
                <w:sz w:val="18"/>
                <w:szCs w:val="18"/>
                <w:color w:val="auto"/>
                <w:w w:val="97"/>
              </w:rPr>
              <w:t>4/30/2021</w:t>
            </w:r>
          </w:p>
        </w:tc>
        <w:tc>
          <w:tcPr>
            <w:tcW w:w="580" w:type="dxa"/>
            <w:vAlign w:val="bottom"/>
            <w:gridSpan w:val="6"/>
            <w:vMerge w:val="restart"/>
          </w:tcPr>
          <w:p>
            <w:pPr>
              <w:jc w:val="right"/>
              <w:spacing w:after="0"/>
              <w:rPr>
                <w:sz w:val="20"/>
                <w:szCs w:val="20"/>
                <w:color w:val="auto"/>
              </w:rPr>
            </w:pPr>
            <w:r>
              <w:rPr>
                <w:rFonts w:ascii="Arial" w:cs="Arial" w:eastAsia="Arial" w:hAnsi="Arial"/>
                <w:sz w:val="18"/>
                <w:szCs w:val="18"/>
                <w:color w:val="auto"/>
              </w:rPr>
              <w:t>$250</w:t>
            </w:r>
          </w:p>
        </w:tc>
        <w:tc>
          <w:tcPr>
            <w:tcW w:w="780" w:type="dxa"/>
            <w:vAlign w:val="bottom"/>
            <w:gridSpan w:val="6"/>
            <w:vMerge w:val="restart"/>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80" w:type="dxa"/>
            <w:vAlign w:val="bottom"/>
            <w:gridSpan w:val="3"/>
            <w:vMerge w:val="continue"/>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580" w:type="dxa"/>
            <w:vAlign w:val="bottom"/>
            <w:gridSpan w:val="6"/>
            <w:vMerge w:val="continue"/>
          </w:tcPr>
          <w:p>
            <w:pPr>
              <w:spacing w:after="0"/>
              <w:rPr>
                <w:sz w:val="18"/>
                <w:szCs w:val="18"/>
                <w:color w:val="auto"/>
              </w:rPr>
            </w:pPr>
          </w:p>
        </w:tc>
        <w:tc>
          <w:tcPr>
            <w:tcW w:w="78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80" w:type="dxa"/>
            <w:vAlign w:val="bottom"/>
            <w:gridSpan w:val="2"/>
          </w:tcPr>
          <w:p>
            <w:pPr>
              <w:spacing w:after="0"/>
              <w:rPr>
                <w:sz w:val="20"/>
                <w:szCs w:val="20"/>
                <w:color w:val="auto"/>
              </w:rPr>
            </w:pPr>
            <w:r>
              <w:rPr>
                <w:rFonts w:ascii="Arial" w:cs="Arial" w:eastAsia="Arial" w:hAnsi="Arial"/>
                <w:sz w:val="18"/>
                <w:szCs w:val="18"/>
                <w:color w:val="auto"/>
              </w:rPr>
              <w:t>Mansfield, MA</w:t>
            </w:r>
          </w:p>
        </w:tc>
        <w:tc>
          <w:tcPr>
            <w:tcW w:w="208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10/27/2010</w:t>
            </w:r>
          </w:p>
        </w:tc>
        <w:tc>
          <w:tcPr>
            <w:tcW w:w="98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w w:val="97"/>
              </w:rPr>
              <w:t>11/08/2014</w:t>
            </w:r>
          </w:p>
        </w:tc>
        <w:tc>
          <w:tcPr>
            <w:tcW w:w="900" w:type="dxa"/>
            <w:vAlign w:val="bottom"/>
            <w:gridSpan w:val="3"/>
            <w:vMerge w:val="restart"/>
          </w:tcPr>
          <w:p>
            <w:pPr>
              <w:ind w:left="100"/>
              <w:spacing w:after="0"/>
              <w:rPr>
                <w:sz w:val="20"/>
                <w:szCs w:val="20"/>
                <w:color w:val="auto"/>
              </w:rPr>
            </w:pPr>
            <w:r>
              <w:rPr>
                <w:rFonts w:ascii="Arial" w:cs="Arial" w:eastAsia="Arial" w:hAnsi="Arial"/>
                <w:sz w:val="18"/>
                <w:szCs w:val="18"/>
                <w:color w:val="auto"/>
                <w:w w:val="97"/>
              </w:rPr>
              <w:t>8/23/2021</w:t>
            </w:r>
          </w:p>
        </w:tc>
        <w:tc>
          <w:tcPr>
            <w:tcW w:w="260" w:type="dxa"/>
            <w:vAlign w:val="bottom"/>
            <w:gridSpan w:val="4"/>
            <w:vMerge w:val="restart"/>
          </w:tcPr>
          <w:p>
            <w:pPr>
              <w:spacing w:after="0"/>
              <w:rPr>
                <w:sz w:val="21"/>
                <w:szCs w:val="21"/>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200</w:t>
            </w:r>
          </w:p>
        </w:tc>
        <w:tc>
          <w:tcPr>
            <w:tcW w:w="460" w:type="dxa"/>
            <w:vAlign w:val="bottom"/>
            <w:gridSpan w:val="3"/>
            <w:vMerge w:val="restart"/>
          </w:tcPr>
          <w:p>
            <w:pPr>
              <w:spacing w:after="0"/>
              <w:rPr>
                <w:sz w:val="21"/>
                <w:szCs w:val="21"/>
                <w:color w:val="auto"/>
              </w:rPr>
            </w:pPr>
          </w:p>
        </w:tc>
        <w:tc>
          <w:tcPr>
            <w:tcW w:w="320" w:type="dxa"/>
            <w:vAlign w:val="bottom"/>
            <w:gridSpan w:val="3"/>
            <w:vMerge w:val="restart"/>
          </w:tcPr>
          <w:p>
            <w:pPr>
              <w:jc w:val="right"/>
              <w:spacing w:after="0"/>
              <w:rPr>
                <w:sz w:val="20"/>
                <w:szCs w:val="20"/>
                <w:color w:val="auto"/>
              </w:rPr>
            </w:pPr>
            <w:r>
              <w:rPr>
                <w:rFonts w:ascii="Arial" w:cs="Arial" w:eastAsia="Arial" w:hAnsi="Arial"/>
                <w:sz w:val="18"/>
                <w:szCs w:val="18"/>
                <w:color w:val="auto"/>
                <w:w w:val="99"/>
              </w:rPr>
              <w:t>200</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80" w:type="dxa"/>
            <w:vAlign w:val="bottom"/>
            <w:gridSpan w:val="3"/>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260" w:type="dxa"/>
            <w:vAlign w:val="bottom"/>
            <w:gridSpan w:val="4"/>
            <w:vMerge w:val="continue"/>
          </w:tcPr>
          <w:p>
            <w:pPr>
              <w:spacing w:after="0"/>
              <w:rPr>
                <w:sz w:val="15"/>
                <w:szCs w:val="15"/>
                <w:color w:val="auto"/>
              </w:rPr>
            </w:pPr>
          </w:p>
        </w:tc>
        <w:tc>
          <w:tcPr>
            <w:tcW w:w="320" w:type="dxa"/>
            <w:vAlign w:val="bottom"/>
            <w:tcBorders>
              <w:bottom w:val="single" w:sz="8" w:color="auto"/>
            </w:tcBorders>
            <w:gridSpan w:val="2"/>
            <w:vMerge w:val="continue"/>
          </w:tcPr>
          <w:p>
            <w:pPr>
              <w:spacing w:after="0"/>
              <w:rPr>
                <w:sz w:val="15"/>
                <w:szCs w:val="15"/>
                <w:color w:val="auto"/>
              </w:rPr>
            </w:pPr>
          </w:p>
        </w:tc>
        <w:tc>
          <w:tcPr>
            <w:tcW w:w="460" w:type="dxa"/>
            <w:vAlign w:val="bottom"/>
            <w:gridSpan w:val="3"/>
            <w:vMerge w:val="continue"/>
          </w:tcPr>
          <w:p>
            <w:pPr>
              <w:spacing w:after="0"/>
              <w:rPr>
                <w:sz w:val="15"/>
                <w:szCs w:val="15"/>
                <w:color w:val="auto"/>
              </w:rPr>
            </w:pPr>
          </w:p>
        </w:tc>
        <w:tc>
          <w:tcPr>
            <w:tcW w:w="32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w:t>
            </w:r>
          </w:p>
        </w:tc>
        <w:tc>
          <w:tcPr>
            <w:tcW w:w="78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424"/>
        </w:trPr>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gridSpan w:val="2"/>
          </w:tcPr>
          <w:p>
            <w:pPr>
              <w:jc w:val="right"/>
              <w:ind w:right="192"/>
              <w:spacing w:after="0"/>
              <w:rPr>
                <w:sz w:val="20"/>
                <w:szCs w:val="20"/>
                <w:color w:val="auto"/>
              </w:rPr>
            </w:pPr>
            <w:r>
              <w:rPr>
                <w:rFonts w:ascii="Arial" w:cs="Arial" w:eastAsia="Arial" w:hAnsi="Arial"/>
                <w:sz w:val="18"/>
                <w:szCs w:val="18"/>
                <w:color w:val="auto"/>
                <w:w w:val="99"/>
              </w:rPr>
              <w:t>- 13 -</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91" w:lineRule="exact"/>
        <w:rPr>
          <w:sz w:val="20"/>
          <w:szCs w:val="20"/>
          <w:color w:val="auto"/>
        </w:rPr>
      </w:pPr>
    </w:p>
    <w:p>
      <w:pPr>
        <w:ind w:left="540" w:right="340"/>
        <w:spacing w:after="0" w:line="332" w:lineRule="auto"/>
        <w:rPr>
          <w:sz w:val="20"/>
          <w:szCs w:val="20"/>
          <w:color w:val="auto"/>
        </w:rPr>
      </w:pPr>
      <w:r>
        <w:rPr>
          <w:rFonts w:ascii="Arial" w:cs="Arial" w:eastAsia="Arial" w:hAnsi="Arial"/>
          <w:sz w:val="16"/>
          <w:szCs w:val="16"/>
          <w:color w:val="auto"/>
        </w:rPr>
        <w:t>As of September 30, 2013, we had outstanding stock options and unvested restricted stock awards granted under stock-based employee compensation plans that are described more fully in Note 15 to the consolidated financial statements in our 2012 Form 10-K.</w:t>
      </w:r>
    </w:p>
    <w:p>
      <w:pPr>
        <w:spacing w:after="0" w:line="139"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As of September 30, 2013, total compensation expense to be recognized in future periods was $144. The weighted average period over which this expense is expected to be recognized is 1.8 years. All of this expense is related to nonvested shares of restricted stock.</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Restricted Stock Awards</w:t>
      </w:r>
    </w:p>
    <w:p>
      <w:pPr>
        <w:spacing w:after="0" w:line="225" w:lineRule="exact"/>
        <w:rPr>
          <w:sz w:val="20"/>
          <w:szCs w:val="20"/>
          <w:color w:val="auto"/>
        </w:rPr>
      </w:pPr>
    </w:p>
    <w:p>
      <w:pPr>
        <w:ind w:left="540" w:right="420"/>
        <w:spacing w:after="0" w:line="335" w:lineRule="auto"/>
        <w:rPr>
          <w:sz w:val="20"/>
          <w:szCs w:val="20"/>
          <w:color w:val="auto"/>
        </w:rPr>
      </w:pPr>
      <w:r>
        <w:rPr>
          <w:rFonts w:ascii="Arial" w:cs="Arial" w:eastAsia="Arial" w:hAnsi="Arial"/>
          <w:sz w:val="15"/>
          <w:szCs w:val="15"/>
          <w:color w:val="auto"/>
        </w:rPr>
        <w:t>We record compensation expense for restricted stock awards (nonvested shares) based on the quoted market price of our stock at the grant date and amortize the expense over the vesting period. Restricted stock awards generally vest over four years. The following table shows the allocation of the compensation expense we recorded during the three and nine months ended September 30, 2013 and 2012, respectively, related to nonvested shares:</w:t>
      </w:r>
    </w:p>
    <w:p>
      <w:pPr>
        <w:spacing w:after="0" w:line="10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700" w:type="dxa"/>
            <w:vAlign w:val="bottom"/>
            <w:gridSpan w:val="8"/>
          </w:tcPr>
          <w:p>
            <w:pPr>
              <w:jc w:val="center"/>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1300" w:type="dxa"/>
            <w:vAlign w:val="bottom"/>
            <w:gridSpan w:val="9"/>
          </w:tcPr>
          <w:p>
            <w:pPr>
              <w:jc w:val="right"/>
              <w:ind w:right="60"/>
              <w:spacing w:after="0"/>
              <w:rPr>
                <w:sz w:val="20"/>
                <w:szCs w:val="20"/>
                <w:color w:val="auto"/>
              </w:rPr>
            </w:pPr>
            <w:r>
              <w:rPr>
                <w:rFonts w:ascii="Arial" w:cs="Arial" w:eastAsia="Arial" w:hAnsi="Arial"/>
                <w:sz w:val="14"/>
                <w:szCs w:val="14"/>
                <w:b w:val="1"/>
                <w:bCs w:val="1"/>
                <w:i w:val="1"/>
                <w:iCs w:val="1"/>
                <w:color w:val="auto"/>
                <w:w w:val="93"/>
              </w:rPr>
              <w:t>Nine Months Ended</w:t>
            </w:r>
          </w:p>
        </w:tc>
      </w:tr>
      <w:tr>
        <w:trPr>
          <w:trHeight w:val="146"/>
        </w:trPr>
        <w:tc>
          <w:tcPr>
            <w:tcW w:w="3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79"/>
              </w:rPr>
              <w:t>Sept. 30,</w:t>
            </w:r>
          </w:p>
        </w:tc>
        <w:tc>
          <w:tcPr>
            <w:tcW w:w="1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ind w:left="180"/>
              <w:spacing w:after="0" w:line="146" w:lineRule="exact"/>
              <w:rPr>
                <w:sz w:val="20"/>
                <w:szCs w:val="20"/>
                <w:color w:val="auto"/>
              </w:rPr>
            </w:pPr>
            <w:r>
              <w:rPr>
                <w:rFonts w:ascii="Arial" w:cs="Arial" w:eastAsia="Arial" w:hAnsi="Arial"/>
                <w:sz w:val="14"/>
                <w:szCs w:val="14"/>
                <w:b w:val="1"/>
                <w:bCs w:val="1"/>
                <w:i w:val="1"/>
                <w:iCs w:val="1"/>
                <w:color w:val="auto"/>
                <w:w w:val="97"/>
              </w:rPr>
              <w:t>Sept. 30,</w:t>
            </w:r>
          </w:p>
        </w:tc>
        <w:tc>
          <w:tcPr>
            <w:tcW w:w="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6"/>
        </w:trPr>
        <w:tc>
          <w:tcPr>
            <w:tcW w:w="3560" w:type="dxa"/>
            <w:vAlign w:val="bottom"/>
          </w:tcPr>
          <w:p>
            <w:pPr>
              <w:spacing w:after="0"/>
              <w:rPr>
                <w:sz w:val="13"/>
                <w:szCs w:val="13"/>
                <w:color w:val="auto"/>
              </w:rPr>
            </w:pPr>
          </w:p>
        </w:tc>
        <w:tc>
          <w:tcPr>
            <w:tcW w:w="7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2013</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180" w:type="dxa"/>
            <w:vAlign w:val="bottom"/>
          </w:tcPr>
          <w:p>
            <w:pPr>
              <w:spacing w:after="0"/>
              <w:rPr>
                <w:sz w:val="13"/>
                <w:szCs w:val="13"/>
                <w:color w:val="auto"/>
              </w:rPr>
            </w:pPr>
          </w:p>
        </w:tc>
        <w:tc>
          <w:tcPr>
            <w:tcW w:w="520" w:type="dxa"/>
            <w:vAlign w:val="bottom"/>
            <w:gridSpan w:val="5"/>
          </w:tcPr>
          <w:p>
            <w:pPr>
              <w:jc w:val="right"/>
              <w:ind w:right="60"/>
              <w:spacing w:after="0" w:line="155" w:lineRule="exact"/>
              <w:rPr>
                <w:sz w:val="20"/>
                <w:szCs w:val="20"/>
                <w:color w:val="auto"/>
              </w:rPr>
            </w:pPr>
            <w:r>
              <w:rPr>
                <w:rFonts w:ascii="Arial" w:cs="Arial" w:eastAsia="Arial" w:hAnsi="Arial"/>
                <w:sz w:val="14"/>
                <w:szCs w:val="14"/>
                <w:b w:val="1"/>
                <w:bCs w:val="1"/>
                <w:i w:val="1"/>
                <w:iCs w:val="1"/>
                <w:color w:val="auto"/>
              </w:rPr>
              <w:t>2013</w:t>
            </w:r>
          </w:p>
        </w:tc>
        <w:tc>
          <w:tcPr>
            <w:tcW w:w="5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i w:val="1"/>
                <w:iCs w:val="1"/>
                <w:color w:val="auto"/>
                <w:w w:val="74"/>
              </w:rPr>
              <w:t>2012</w:t>
            </w:r>
          </w:p>
        </w:tc>
        <w:tc>
          <w:tcPr>
            <w:tcW w:w="40" w:type="dxa"/>
            <w:vAlign w:val="bottom"/>
          </w:tcPr>
          <w:p>
            <w:pPr>
              <w:spacing w:after="0"/>
              <w:rPr>
                <w:sz w:val="13"/>
                <w:szCs w:val="13"/>
                <w:color w:val="auto"/>
              </w:rPr>
            </w:pPr>
          </w:p>
        </w:tc>
      </w:tr>
      <w:tr>
        <w:trPr>
          <w:trHeight w:val="20"/>
        </w:trPr>
        <w:tc>
          <w:tcPr>
            <w:tcW w:w="3560" w:type="dxa"/>
            <w:vAlign w:val="bottom"/>
          </w:tcPr>
          <w:p>
            <w:pPr>
              <w:spacing w:after="0" w:line="20" w:lineRule="exact"/>
              <w:rPr>
                <w:sz w:val="1"/>
                <w:szCs w:val="1"/>
                <w:color w:val="auto"/>
              </w:rPr>
            </w:pPr>
          </w:p>
        </w:tc>
        <w:tc>
          <w:tcPr>
            <w:tcW w:w="500" w:type="dxa"/>
            <w:vAlign w:val="bottom"/>
            <w:tcBorders>
              <w:right w:val="single" w:sz="8" w:color="auto"/>
            </w:tcBorders>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2"/>
        </w:trPr>
        <w:tc>
          <w:tcPr>
            <w:tcW w:w="3560" w:type="dxa"/>
            <w:vAlign w:val="bottom"/>
          </w:tcPr>
          <w:p>
            <w:pPr>
              <w:spacing w:after="0"/>
              <w:rPr>
                <w:sz w:val="20"/>
                <w:szCs w:val="20"/>
                <w:color w:val="auto"/>
              </w:rPr>
            </w:pPr>
            <w:r>
              <w:rPr>
                <w:rFonts w:ascii="Arial" w:cs="Arial" w:eastAsia="Arial" w:hAnsi="Arial"/>
                <w:sz w:val="18"/>
                <w:szCs w:val="18"/>
                <w:color w:val="auto"/>
              </w:rPr>
              <w:t>Cost of revenues</w:t>
            </w:r>
          </w:p>
        </w:tc>
        <w:tc>
          <w:tcPr>
            <w:tcW w:w="500" w:type="dxa"/>
            <w:vAlign w:val="bottom"/>
            <w:gridSpan w:val="2"/>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  2</w:t>
            </w:r>
          </w:p>
        </w:tc>
        <w:tc>
          <w:tcPr>
            <w:tcW w:w="400" w:type="dxa"/>
            <w:vAlign w:val="bottom"/>
          </w:tcPr>
          <w:p>
            <w:pPr>
              <w:spacing w:after="0"/>
              <w:rPr>
                <w:sz w:val="24"/>
                <w:szCs w:val="24"/>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rPr>
              <w:t>$  1</w:t>
            </w:r>
          </w:p>
        </w:tc>
        <w:tc>
          <w:tcPr>
            <w:tcW w:w="520" w:type="dxa"/>
            <w:vAlign w:val="bottom"/>
            <w:gridSpan w:val="5"/>
          </w:tcPr>
          <w:p>
            <w:pPr>
              <w:jc w:val="right"/>
              <w:spacing w:after="0"/>
              <w:rPr>
                <w:sz w:val="20"/>
                <w:szCs w:val="20"/>
                <w:color w:val="auto"/>
              </w:rPr>
            </w:pPr>
            <w:r>
              <w:rPr>
                <w:rFonts w:ascii="Arial" w:cs="Arial" w:eastAsia="Arial" w:hAnsi="Arial"/>
                <w:sz w:val="18"/>
                <w:szCs w:val="18"/>
                <w:color w:val="auto"/>
              </w:rPr>
              <w:t>$  5</w:t>
            </w:r>
          </w:p>
        </w:tc>
        <w:tc>
          <w:tcPr>
            <w:tcW w:w="52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w w:val="79"/>
              </w:rPr>
              <w:t>$  5</w:t>
            </w:r>
          </w:p>
        </w:tc>
      </w:tr>
      <w:tr>
        <w:trPr>
          <w:trHeight w:val="459"/>
        </w:trPr>
        <w:tc>
          <w:tcPr>
            <w:tcW w:w="3560" w:type="dxa"/>
            <w:vAlign w:val="bottom"/>
          </w:tcPr>
          <w:p>
            <w:pPr>
              <w:spacing w:after="0"/>
              <w:rPr>
                <w:sz w:val="20"/>
                <w:szCs w:val="20"/>
                <w:color w:val="auto"/>
              </w:rPr>
            </w:pPr>
            <w:r>
              <w:rPr>
                <w:rFonts w:ascii="Arial" w:cs="Arial" w:eastAsia="Arial" w:hAnsi="Arial"/>
                <w:sz w:val="18"/>
                <w:szCs w:val="18"/>
                <w:color w:val="auto"/>
              </w:rPr>
              <w:t>Selling expense</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4"/>
                <w:szCs w:val="24"/>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520" w:type="dxa"/>
            <w:vAlign w:val="bottom"/>
            <w:gridSpan w:val="5"/>
          </w:tcPr>
          <w:p>
            <w:pPr>
              <w:jc w:val="right"/>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459"/>
        </w:trPr>
        <w:tc>
          <w:tcPr>
            <w:tcW w:w="3560" w:type="dxa"/>
            <w:vAlign w:val="bottom"/>
          </w:tcPr>
          <w:p>
            <w:pPr>
              <w:spacing w:after="0"/>
              <w:rPr>
                <w:sz w:val="20"/>
                <w:szCs w:val="20"/>
                <w:color w:val="auto"/>
              </w:rPr>
            </w:pPr>
            <w:r>
              <w:rPr>
                <w:rFonts w:ascii="Arial" w:cs="Arial" w:eastAsia="Arial" w:hAnsi="Arial"/>
                <w:sz w:val="18"/>
                <w:szCs w:val="18"/>
                <w:color w:val="auto"/>
                <w:w w:val="93"/>
              </w:rPr>
              <w:t>Engineering and product development expense</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24"/>
                <w:szCs w:val="24"/>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rPr>
              <w:t>7</w:t>
            </w:r>
          </w:p>
        </w:tc>
        <w:tc>
          <w:tcPr>
            <w:tcW w:w="520" w:type="dxa"/>
            <w:vAlign w:val="bottom"/>
            <w:gridSpan w:val="5"/>
          </w:tcPr>
          <w:p>
            <w:pPr>
              <w:jc w:val="right"/>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19</w:t>
            </w:r>
          </w:p>
        </w:tc>
      </w:tr>
      <w:tr>
        <w:trPr>
          <w:trHeight w:val="421"/>
        </w:trPr>
        <w:tc>
          <w:tcPr>
            <w:tcW w:w="356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500" w:type="dxa"/>
            <w:vAlign w:val="bottom"/>
            <w:gridSpan w:val="2"/>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520" w:type="dxa"/>
            <w:vAlign w:val="bottom"/>
            <w:gridSpan w:val="5"/>
          </w:tcPr>
          <w:p>
            <w:pPr>
              <w:jc w:val="right"/>
              <w:spacing w:after="0"/>
              <w:rPr>
                <w:sz w:val="20"/>
                <w:szCs w:val="20"/>
                <w:color w:val="auto"/>
              </w:rPr>
            </w:pPr>
            <w:r>
              <w:rPr>
                <w:rFonts w:ascii="Arial" w:cs="Arial" w:eastAsia="Arial" w:hAnsi="Arial"/>
                <w:sz w:val="18"/>
                <w:szCs w:val="18"/>
                <w:color w:val="auto"/>
              </w:rPr>
              <w:t>53</w:t>
            </w:r>
          </w:p>
        </w:tc>
        <w:tc>
          <w:tcPr>
            <w:tcW w:w="52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35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r>
      <w:tr>
        <w:trPr>
          <w:trHeight w:val="439"/>
        </w:trPr>
        <w:tc>
          <w:tcPr>
            <w:tcW w:w="356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73"/>
              </w:rPr>
              <w:t>$</w:t>
            </w:r>
            <w:r>
              <w:rPr>
                <w:rFonts w:ascii="Arial" w:cs="Arial" w:eastAsia="Arial" w:hAnsi="Arial"/>
                <w:sz w:val="18"/>
                <w:szCs w:val="18"/>
                <w:color w:val="auto"/>
                <w:w w:val="73"/>
              </w:rPr>
              <w:t>32</w:t>
            </w:r>
          </w:p>
        </w:tc>
        <w:tc>
          <w:tcPr>
            <w:tcW w:w="52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w:t>
            </w:r>
          </w:p>
        </w:tc>
        <w:tc>
          <w:tcPr>
            <w:tcW w:w="52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93</w:t>
            </w:r>
          </w:p>
        </w:tc>
      </w:tr>
      <w:tr>
        <w:trPr>
          <w:trHeight w:val="20"/>
        </w:trPr>
        <w:tc>
          <w:tcPr>
            <w:tcW w:w="3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bl>
    <w:p>
      <w:pPr>
        <w:spacing w:after="0" w:line="3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was no compensation expense capitalized in the three or nine months ended September 30, 2013 or 2012.</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activity related to nonvested shares for the nine months ended September 30, 2013:</w:t>
      </w:r>
    </w:p>
    <w:p>
      <w:pPr>
        <w:spacing w:after="0" w:line="22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4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9"/>
        </w:trPr>
        <w:tc>
          <w:tcPr>
            <w:tcW w:w="4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i w:val="1"/>
                <w:iCs w:val="1"/>
                <w:color w:val="auto"/>
              </w:rPr>
              <w:t>Number</w:t>
            </w: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9"/>
              </w:rPr>
              <w:t>Grant Date</w:t>
            </w:r>
          </w:p>
        </w:tc>
      </w:tr>
      <w:tr>
        <w:trPr>
          <w:trHeight w:val="146"/>
        </w:trPr>
        <w:tc>
          <w:tcPr>
            <w:tcW w:w="4120" w:type="dxa"/>
            <w:vAlign w:val="bottom"/>
          </w:tcPr>
          <w:p>
            <w:pPr>
              <w:spacing w:after="0"/>
              <w:rPr>
                <w:sz w:val="12"/>
                <w:szCs w:val="12"/>
                <w:color w:val="auto"/>
              </w:rPr>
            </w:pPr>
          </w:p>
        </w:tc>
        <w:tc>
          <w:tcPr>
            <w:tcW w:w="1260" w:type="dxa"/>
            <w:vAlign w:val="bottom"/>
            <w:gridSpan w:val="4"/>
          </w:tcPr>
          <w:p>
            <w:pPr>
              <w:ind w:left="540"/>
              <w:spacing w:after="0" w:line="146" w:lineRule="exact"/>
              <w:rPr>
                <w:sz w:val="20"/>
                <w:szCs w:val="20"/>
                <w:color w:val="auto"/>
              </w:rPr>
            </w:pPr>
            <w:r>
              <w:rPr>
                <w:rFonts w:ascii="Arial" w:cs="Arial" w:eastAsia="Arial" w:hAnsi="Arial"/>
                <w:sz w:val="14"/>
                <w:szCs w:val="14"/>
                <w:b w:val="1"/>
                <w:bCs w:val="1"/>
                <w:i w:val="1"/>
                <w:iCs w:val="1"/>
                <w:color w:val="auto"/>
              </w:rPr>
              <w:t>of Shares</w:t>
            </w:r>
          </w:p>
        </w:tc>
        <w:tc>
          <w:tcPr>
            <w:tcW w:w="80" w:type="dxa"/>
            <w:vAlign w:val="bottom"/>
          </w:tcPr>
          <w:p>
            <w:pPr>
              <w:spacing w:after="0"/>
              <w:rPr>
                <w:sz w:val="12"/>
                <w:szCs w:val="12"/>
                <w:color w:val="auto"/>
              </w:rPr>
            </w:pPr>
          </w:p>
        </w:tc>
        <w:tc>
          <w:tcPr>
            <w:tcW w:w="620" w:type="dxa"/>
            <w:vAlign w:val="bottom"/>
            <w:gridSpan w:val="2"/>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9"/>
              </w:rPr>
              <w:t>Fair Value</w:t>
            </w:r>
          </w:p>
        </w:tc>
      </w:tr>
      <w:tr>
        <w:trPr>
          <w:trHeight w:val="20"/>
        </w:trPr>
        <w:tc>
          <w:tcPr>
            <w:tcW w:w="412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Nonvested shares outstanding, January 1, 2013</w:t>
            </w:r>
          </w:p>
        </w:tc>
        <w:tc>
          <w:tcPr>
            <w:tcW w:w="6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79"/>
              </w:rPr>
              <w:t>108,750</w:t>
            </w: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20"/>
                <w:szCs w:val="20"/>
                <w:color w:val="auto"/>
              </w:rPr>
            </w:pPr>
          </w:p>
        </w:tc>
      </w:tr>
      <w:tr>
        <w:trPr>
          <w:trHeight w:val="459"/>
        </w:trPr>
        <w:tc>
          <w:tcPr>
            <w:tcW w:w="41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42,500</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24"/>
                <w:szCs w:val="24"/>
                <w:color w:val="auto"/>
              </w:rPr>
            </w:pPr>
          </w:p>
        </w:tc>
      </w:tr>
      <w:tr>
        <w:trPr>
          <w:trHeight w:val="459"/>
        </w:trPr>
        <w:tc>
          <w:tcPr>
            <w:tcW w:w="4120" w:type="dxa"/>
            <w:vAlign w:val="bottom"/>
          </w:tcPr>
          <w:p>
            <w:pPr>
              <w:ind w:left="140"/>
              <w:spacing w:after="0"/>
              <w:rPr>
                <w:sz w:val="20"/>
                <w:szCs w:val="20"/>
                <w:color w:val="auto"/>
              </w:rPr>
            </w:pPr>
            <w:r>
              <w:rPr>
                <w:rFonts w:ascii="Arial" w:cs="Arial" w:eastAsia="Arial" w:hAnsi="Arial"/>
                <w:sz w:val="18"/>
                <w:szCs w:val="18"/>
                <w:color w:val="auto"/>
              </w:rPr>
              <w:t>Vested</w:t>
            </w:r>
          </w:p>
        </w:tc>
        <w:tc>
          <w:tcPr>
            <w:tcW w:w="1260" w:type="dxa"/>
            <w:vAlign w:val="bottom"/>
            <w:gridSpan w:val="4"/>
          </w:tcPr>
          <w:p>
            <w:pPr>
              <w:ind w:left="580"/>
              <w:spacing w:after="0"/>
              <w:rPr>
                <w:sz w:val="20"/>
                <w:szCs w:val="20"/>
                <w:color w:val="auto"/>
              </w:rPr>
            </w:pPr>
            <w:r>
              <w:rPr>
                <w:rFonts w:ascii="Arial" w:cs="Arial" w:eastAsia="Arial" w:hAnsi="Arial"/>
                <w:sz w:val="18"/>
                <w:szCs w:val="18"/>
                <w:color w:val="auto"/>
                <w:w w:val="98"/>
              </w:rPr>
              <w:t>(56,250)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24"/>
                <w:szCs w:val="24"/>
                <w:color w:val="auto"/>
              </w:rPr>
            </w:pPr>
          </w:p>
        </w:tc>
      </w:tr>
      <w:tr>
        <w:trPr>
          <w:trHeight w:val="421"/>
        </w:trPr>
        <w:tc>
          <w:tcPr>
            <w:tcW w:w="412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600" w:type="dxa"/>
            <w:vAlign w:val="bottom"/>
          </w:tcPr>
          <w:p>
            <w:pPr>
              <w:spacing w:after="0"/>
              <w:rPr>
                <w:sz w:val="24"/>
                <w:szCs w:val="2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439"/>
        </w:trPr>
        <w:tc>
          <w:tcPr>
            <w:tcW w:w="4120" w:type="dxa"/>
            <w:vAlign w:val="bottom"/>
          </w:tcPr>
          <w:p>
            <w:pPr>
              <w:spacing w:after="0"/>
              <w:rPr>
                <w:sz w:val="20"/>
                <w:szCs w:val="20"/>
                <w:color w:val="auto"/>
              </w:rPr>
            </w:pPr>
            <w:r>
              <w:rPr>
                <w:rFonts w:ascii="Arial" w:cs="Arial" w:eastAsia="Arial" w:hAnsi="Arial"/>
                <w:sz w:val="18"/>
                <w:szCs w:val="18"/>
                <w:color w:val="auto"/>
                <w:w w:val="98"/>
              </w:rPr>
              <w:t>Nonvested shares outstanding, September 30, 2013</w:t>
            </w:r>
          </w:p>
        </w:tc>
        <w:tc>
          <w:tcPr>
            <w:tcW w:w="600" w:type="dxa"/>
            <w:vAlign w:val="bottom"/>
          </w:tcPr>
          <w:p>
            <w:pPr>
              <w:spacing w:after="0"/>
              <w:rPr>
                <w:sz w:val="24"/>
                <w:szCs w:val="2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95,000</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00"/>
          </w:cols>
          <w:pgMar w:left="240" w:top="158" w:right="259" w:bottom="20" w:gutter="0" w:footer="0" w:header="0"/>
        </w:sect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5"/>
          <w:szCs w:val="15"/>
          <w:i w:val="1"/>
          <w:iCs w:val="1"/>
          <w:u w:val="single" w:color="auto"/>
          <w:color w:val="auto"/>
        </w:rPr>
        <w:t>Stock Options</w:t>
      </w:r>
    </w:p>
    <w:p>
      <w:pPr>
        <w:sectPr>
          <w:pgSz w:w="11900" w:h="16838" w:orient="portrait"/>
          <w:cols w:equalWidth="0" w:num="1">
            <w:col w:w="11400"/>
          </w:cols>
          <w:pgMar w:left="240" w:top="158" w:right="259" w:bottom="20" w:gutter="0" w:footer="0" w:header="0"/>
          <w:type w:val="continuous"/>
        </w:sectPr>
      </w:pPr>
    </w:p>
    <w:bookmarkStart w:id="12" w:name="page13"/>
    <w:bookmarkEnd w:id="12"/>
    <w:p>
      <w:pPr>
        <w:ind w:left="540"/>
        <w:spacing w:after="0"/>
        <w:rPr>
          <w:sz w:val="20"/>
          <w:szCs w:val="20"/>
          <w:color w:val="auto"/>
        </w:rPr>
      </w:pPr>
      <w:r>
        <w:rPr>
          <w:rFonts w:ascii="Arial" w:cs="Arial" w:eastAsia="Arial" w:hAnsi="Arial"/>
          <w:sz w:val="18"/>
          <w:szCs w:val="18"/>
          <w:color w:val="auto"/>
        </w:rPr>
        <w:t>The following table summarizes the stock option activity for the nine months ended September 30, 2013:</w:t>
      </w:r>
    </w:p>
    <w:p>
      <w:pPr>
        <w:spacing w:after="0" w:line="22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4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4"/>
          </w:tcPr>
          <w:p>
            <w:pPr>
              <w:jc w:val="right"/>
              <w:ind w:right="200"/>
              <w:spacing w:after="0" w:line="149" w:lineRule="exact"/>
              <w:rPr>
                <w:sz w:val="20"/>
                <w:szCs w:val="20"/>
                <w:color w:val="auto"/>
              </w:rPr>
            </w:pPr>
            <w:r>
              <w:rPr>
                <w:rFonts w:ascii="Arial" w:cs="Arial" w:eastAsia="Arial" w:hAnsi="Arial"/>
                <w:sz w:val="14"/>
                <w:szCs w:val="14"/>
                <w:b w:val="1"/>
                <w:bCs w:val="1"/>
                <w:i w:val="1"/>
                <w:iCs w:val="1"/>
                <w:color w:val="auto"/>
                <w:w w:val="83"/>
              </w:rPr>
              <w:t>Number</w:t>
            </w:r>
          </w:p>
        </w:tc>
        <w:tc>
          <w:tcPr>
            <w:tcW w:w="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6"/>
        </w:trPr>
        <w:tc>
          <w:tcPr>
            <w:tcW w:w="4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4"/>
          </w:tcPr>
          <w:p>
            <w:pPr>
              <w:jc w:val="right"/>
              <w:ind w:right="180"/>
              <w:spacing w:after="0" w:line="146" w:lineRule="exact"/>
              <w:rPr>
                <w:sz w:val="20"/>
                <w:szCs w:val="20"/>
                <w:color w:val="auto"/>
              </w:rPr>
            </w:pPr>
            <w:r>
              <w:rPr>
                <w:rFonts w:ascii="Arial" w:cs="Arial" w:eastAsia="Arial" w:hAnsi="Arial"/>
                <w:sz w:val="14"/>
                <w:szCs w:val="14"/>
                <w:b w:val="1"/>
                <w:bCs w:val="1"/>
                <w:i w:val="1"/>
                <w:iCs w:val="1"/>
                <w:color w:val="auto"/>
                <w:w w:val="72"/>
              </w:rPr>
              <w:t>of Shares</w:t>
            </w:r>
          </w:p>
        </w:tc>
        <w:tc>
          <w:tcPr>
            <w:tcW w:w="86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Exercise Price</w:t>
            </w:r>
          </w:p>
        </w:tc>
      </w:tr>
      <w:tr>
        <w:trPr>
          <w:trHeight w:val="20"/>
        </w:trPr>
        <w:tc>
          <w:tcPr>
            <w:tcW w:w="45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4540" w:type="dxa"/>
            <w:vAlign w:val="bottom"/>
          </w:tcPr>
          <w:p>
            <w:pPr>
              <w:spacing w:after="0"/>
              <w:rPr>
                <w:sz w:val="20"/>
                <w:szCs w:val="20"/>
                <w:color w:val="auto"/>
              </w:rPr>
            </w:pPr>
            <w:r>
              <w:rPr>
                <w:rFonts w:ascii="Arial" w:cs="Arial" w:eastAsia="Arial" w:hAnsi="Arial"/>
                <w:sz w:val="18"/>
                <w:szCs w:val="18"/>
                <w:color w:val="auto"/>
                <w:w w:val="94"/>
              </w:rPr>
              <w:t>Options outstanding, January 1, 2013 (219,000 exercisable)</w:t>
            </w:r>
          </w:p>
        </w:tc>
        <w:tc>
          <w:tcPr>
            <w:tcW w:w="20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219,000</w:t>
            </w:r>
          </w:p>
        </w:tc>
        <w:tc>
          <w:tcPr>
            <w:tcW w:w="80" w:type="dxa"/>
            <w:vAlign w:val="bottom"/>
          </w:tcPr>
          <w:p>
            <w:pPr>
              <w:spacing w:after="0"/>
              <w:rPr>
                <w:sz w:val="20"/>
                <w:szCs w:val="20"/>
                <w:color w:val="auto"/>
              </w:rPr>
            </w:pP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$3.17</w:t>
            </w:r>
          </w:p>
        </w:tc>
      </w:tr>
      <w:tr>
        <w:trPr>
          <w:trHeight w:val="459"/>
        </w:trPr>
        <w:tc>
          <w:tcPr>
            <w:tcW w:w="4540" w:type="dxa"/>
            <w:vAlign w:val="bottom"/>
          </w:tcPr>
          <w:p>
            <w:pPr>
              <w:ind w:left="140"/>
              <w:spacing w:after="0"/>
              <w:rPr>
                <w:sz w:val="20"/>
                <w:szCs w:val="20"/>
                <w:color w:val="auto"/>
              </w:rPr>
            </w:pPr>
            <w:r>
              <w:rPr>
                <w:rFonts w:ascii="Arial" w:cs="Arial" w:eastAsia="Arial" w:hAnsi="Arial"/>
                <w:sz w:val="18"/>
                <w:szCs w:val="18"/>
                <w:color w:val="auto"/>
              </w:rPr>
              <w:t>Granted</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r>
      <w:tr>
        <w:trPr>
          <w:trHeight w:val="459"/>
        </w:trPr>
        <w:tc>
          <w:tcPr>
            <w:tcW w:w="454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(10,000)</w:t>
            </w: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3.04</w:t>
            </w:r>
          </w:p>
        </w:tc>
      </w:tr>
      <w:tr>
        <w:trPr>
          <w:trHeight w:val="421"/>
        </w:trPr>
        <w:tc>
          <w:tcPr>
            <w:tcW w:w="4540" w:type="dxa"/>
            <w:vAlign w:val="bottom"/>
          </w:tcPr>
          <w:p>
            <w:pPr>
              <w:ind w:left="140"/>
              <w:spacing w:after="0"/>
              <w:rPr>
                <w:sz w:val="20"/>
                <w:szCs w:val="20"/>
                <w:color w:val="auto"/>
              </w:rPr>
            </w:pPr>
            <w:r>
              <w:rPr>
                <w:rFonts w:ascii="Arial" w:cs="Arial" w:eastAsia="Arial" w:hAnsi="Arial"/>
                <w:sz w:val="18"/>
                <w:szCs w:val="18"/>
                <w:color w:val="auto"/>
              </w:rPr>
              <w:t>Forfeited/Expired</w:t>
            </w: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(199,000)</w:t>
            </w: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3.05</w:t>
            </w:r>
          </w:p>
        </w:tc>
      </w:tr>
      <w:tr>
        <w:trPr>
          <w:trHeight w:val="20"/>
        </w:trPr>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439"/>
        </w:trPr>
        <w:tc>
          <w:tcPr>
            <w:tcW w:w="4540" w:type="dxa"/>
            <w:vAlign w:val="bottom"/>
          </w:tcPr>
          <w:p>
            <w:pPr>
              <w:spacing w:after="0"/>
              <w:rPr>
                <w:sz w:val="20"/>
                <w:szCs w:val="20"/>
                <w:color w:val="auto"/>
              </w:rPr>
            </w:pPr>
            <w:r>
              <w:rPr>
                <w:rFonts w:ascii="Arial" w:cs="Arial" w:eastAsia="Arial" w:hAnsi="Arial"/>
                <w:sz w:val="18"/>
                <w:szCs w:val="18"/>
                <w:color w:val="auto"/>
                <w:w w:val="90"/>
              </w:rPr>
              <w:t>Options outstanding, September 30, 2013 (10,000 exercisable)</w:t>
            </w:r>
          </w:p>
        </w:tc>
        <w:tc>
          <w:tcPr>
            <w:tcW w:w="200" w:type="dxa"/>
            <w:vAlign w:val="bottom"/>
          </w:tcPr>
          <w:p>
            <w:pPr>
              <w:spacing w:after="0"/>
              <w:rPr>
                <w:sz w:val="24"/>
                <w:szCs w:val="24"/>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24"/>
                <w:szCs w:val="24"/>
                <w:color w:val="auto"/>
              </w:rPr>
            </w:pP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5.66</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- 14 -</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191" w:lineRule="exact"/>
        <w:rPr>
          <w:sz w:val="20"/>
          <w:szCs w:val="20"/>
          <w:color w:val="auto"/>
        </w:rPr>
      </w:pPr>
    </w:p>
    <w:p>
      <w:pPr>
        <w:ind w:left="540" w:right="60"/>
        <w:spacing w:after="0" w:line="298" w:lineRule="auto"/>
        <w:rPr>
          <w:sz w:val="20"/>
          <w:szCs w:val="20"/>
          <w:color w:val="auto"/>
        </w:rPr>
      </w:pPr>
      <w:r>
        <w:rPr>
          <w:rFonts w:ascii="Arial" w:cs="Arial" w:eastAsia="Arial" w:hAnsi="Arial"/>
          <w:sz w:val="16"/>
          <w:szCs w:val="16"/>
          <w:color w:val="auto"/>
        </w:rPr>
        <w:t>We have a defined contribution 401(k) plan for our employees who work in the U.S. (the "inTEST 401(k) Plan"). All permanent employees of inTEST Corporation, Temptronic (effective January 1, 2013) and inTEST Silicon Valley Corporation who are at least 18 years of age are eligible to participate in the plan. We match employee contributions dollar for dollar up to 10% of the employee's annual compensation, with a maximum limit of $5. Employer contributions vest ratably over four years. Matching contributions are discretionary.</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have three reportable segments, which are also our reporting units: Thermal Products, Mechanical Products and Electrical Products.</w:t>
      </w:r>
    </w:p>
    <w:p>
      <w:pPr>
        <w:spacing w:after="0" w:line="248"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The Thermal Products segment includes the operations of Temptronic, Thermonics (which we acquired in January 2012 as discussed further in Note 3), Sigma, inTEST Thermal Solutions GmbH (formerly Temptronic GmbH) (Germany), and inTEST Pte, Limited (Singapore). Sales of this segment consist primarily of temperature management systems which we design, manufacture and market under our Temptronic, Thermonics and Sigma Systems product lines. In addition, this segment provides post warranty service and support.</w:t>
      </w:r>
    </w:p>
    <w:p>
      <w:pPr>
        <w:spacing w:after="0" w:line="167" w:lineRule="exact"/>
        <w:rPr>
          <w:sz w:val="20"/>
          <w:szCs w:val="20"/>
          <w:color w:val="auto"/>
        </w:rPr>
      </w:pPr>
    </w:p>
    <w:p>
      <w:pPr>
        <w:ind w:left="540" w:right="100"/>
        <w:spacing w:after="0" w:line="259" w:lineRule="auto"/>
        <w:rPr>
          <w:sz w:val="20"/>
          <w:szCs w:val="20"/>
          <w:color w:val="auto"/>
        </w:rPr>
      </w:pPr>
      <w:r>
        <w:rPr>
          <w:rFonts w:ascii="Arial" w:cs="Arial" w:eastAsia="Arial" w:hAnsi="Arial"/>
          <w:sz w:val="18"/>
          <w:szCs w:val="18"/>
          <w:color w:val="auto"/>
        </w:rPr>
        <w:t>The Mechanical Products segment includes the operations of our Mt. Laurel, New Jersey manufacturing facility. Sales of our Mechanical Products segment consist primarily of manipulator and docking hardware products, which we design, manufacture and market. In addition, this segment provides post warranty service and support for various ATE equipment.</w:t>
      </w:r>
    </w:p>
    <w:p>
      <w:pPr>
        <w:spacing w:after="0" w:line="194"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color w:val="auto"/>
        </w:rPr>
        <w:t>The Electrical Products segment includes the operations of inTEST Silicon Valley Corporation. Sales of this segment consist primarily of tester interface products which we design, manufacture and market.</w:t>
      </w:r>
    </w:p>
    <w:p>
      <w:pPr>
        <w:spacing w:after="0" w:line="186" w:lineRule="exact"/>
        <w:rPr>
          <w:sz w:val="20"/>
          <w:szCs w:val="20"/>
          <w:color w:val="auto"/>
        </w:rPr>
      </w:pPr>
    </w:p>
    <w:p>
      <w:pPr>
        <w:ind w:left="540" w:right="220"/>
        <w:spacing w:after="0" w:line="323" w:lineRule="auto"/>
        <w:rPr>
          <w:sz w:val="20"/>
          <w:szCs w:val="20"/>
          <w:color w:val="auto"/>
        </w:rPr>
      </w:pPr>
      <w:r>
        <w:rPr>
          <w:rFonts w:ascii="Arial" w:cs="Arial" w:eastAsia="Arial" w:hAnsi="Arial"/>
          <w:sz w:val="15"/>
          <w:szCs w:val="15"/>
          <w:color w:val="auto"/>
        </w:rPr>
        <w:t>We operate our business worldwide, and all three segments sell their products both domestically and internationally. All three segments sell to semiconductor manufacturers, third-party test and assembly houses and ATE manufacturers. Our Thermal Products segment also sells into a variety of industries outside of the semiconductor industry, including the automotive, consumer electronics, defense/aerospace, energy and telecommunications industries. Intercompany pricing between segments is either a multiple of cost for component parts or list price for finished goods.</w:t>
      </w:r>
    </w:p>
    <w:p>
      <w:pPr>
        <w:sectPr>
          <w:pgSz w:w="11900" w:h="16838" w:orient="portrait"/>
          <w:cols w:equalWidth="0" w:num="1">
            <w:col w:w="11340"/>
          </w:cols>
          <w:pgMar w:left="240" w:top="131" w:right="319" w:bottom="0" w:gutter="0" w:footer="0" w:header="0"/>
        </w:sectPr>
      </w:pPr>
    </w:p>
    <w:p>
      <w:pPr>
        <w:spacing w:after="0" w:line="200" w:lineRule="exact"/>
        <w:rPr>
          <w:sz w:val="20"/>
          <w:szCs w:val="20"/>
          <w:color w:val="auto"/>
        </w:rPr>
      </w:pPr>
    </w:p>
    <w:p>
      <w:pPr>
        <w:spacing w:after="0" w:line="249"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Net revenues from unaffiliated customers:</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7"/>
          </w:tcPr>
          <w:p>
            <w:pPr>
              <w:jc w:val="center"/>
              <w:ind w:right="260"/>
              <w:spacing w:after="0"/>
              <w:rPr>
                <w:sz w:val="20"/>
                <w:szCs w:val="20"/>
                <w:color w:val="auto"/>
              </w:rPr>
            </w:pPr>
            <w:r>
              <w:rPr>
                <w:rFonts w:ascii="Arial" w:cs="Arial" w:eastAsia="Arial" w:hAnsi="Arial"/>
                <w:sz w:val="14"/>
                <w:szCs w:val="14"/>
                <w:b w:val="1"/>
                <w:bCs w:val="1"/>
                <w:i w:val="1"/>
                <w:iCs w:val="1"/>
                <w:color w:val="auto"/>
                <w:w w:val="86"/>
              </w:rPr>
              <w:t>Three Months Ended</w:t>
            </w:r>
          </w:p>
        </w:tc>
        <w:tc>
          <w:tcPr>
            <w:tcW w:w="1420" w:type="dxa"/>
            <w:vAlign w:val="bottom"/>
            <w:gridSpan w:val="6"/>
          </w:tcPr>
          <w:p>
            <w:pPr>
              <w:jc w:val="center"/>
              <w:ind w:left="32"/>
              <w:spacing w:after="0"/>
              <w:rPr>
                <w:sz w:val="20"/>
                <w:szCs w:val="20"/>
                <w:color w:val="auto"/>
              </w:rPr>
            </w:pPr>
            <w:r>
              <w:rPr>
                <w:rFonts w:ascii="Arial" w:cs="Arial" w:eastAsia="Arial" w:hAnsi="Arial"/>
                <w:sz w:val="14"/>
                <w:szCs w:val="14"/>
                <w:b w:val="1"/>
                <w:bCs w:val="1"/>
                <w:i w:val="1"/>
                <w:iCs w:val="1"/>
                <w:color w:val="auto"/>
                <w:w w:val="85"/>
              </w:rPr>
              <w:t>Nine Months Ended</w:t>
            </w:r>
          </w:p>
        </w:tc>
      </w:tr>
      <w:tr>
        <w:trPr>
          <w:trHeight w:val="146"/>
        </w:trPr>
        <w:tc>
          <w:tcPr>
            <w:tcW w:w="1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center"/>
              <w:ind w:left="72"/>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1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56"/>
        </w:trPr>
        <w:tc>
          <w:tcPr>
            <w:tcW w:w="180" w:type="dxa"/>
            <w:vAlign w:val="bottom"/>
            <w:gridSpan w:val="2"/>
          </w:tcPr>
          <w:p>
            <w:pPr>
              <w:spacing w:after="0"/>
              <w:rPr>
                <w:sz w:val="13"/>
                <w:szCs w:val="13"/>
                <w:color w:val="auto"/>
              </w:rPr>
            </w:pPr>
          </w:p>
        </w:tc>
        <w:tc>
          <w:tcPr>
            <w:tcW w:w="280" w:type="dxa"/>
            <w:vAlign w:val="bottom"/>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2013</w:t>
            </w:r>
          </w:p>
        </w:tc>
        <w:tc>
          <w:tcPr>
            <w:tcW w:w="460" w:type="dxa"/>
            <w:vAlign w:val="bottom"/>
          </w:tcPr>
          <w:p>
            <w:pPr>
              <w:spacing w:after="0"/>
              <w:rPr>
                <w:sz w:val="13"/>
                <w:szCs w:val="13"/>
                <w:color w:val="auto"/>
              </w:rPr>
            </w:pPr>
          </w:p>
        </w:tc>
        <w:tc>
          <w:tcPr>
            <w:tcW w:w="540" w:type="dxa"/>
            <w:vAlign w:val="bottom"/>
            <w:gridSpan w:val="3"/>
          </w:tcPr>
          <w:p>
            <w:pPr>
              <w:jc w:val="right"/>
              <w:ind w:right="200"/>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1160" w:type="dxa"/>
            <w:vAlign w:val="bottom"/>
            <w:gridSpan w:val="4"/>
          </w:tcPr>
          <w:p>
            <w:pPr>
              <w:jc w:val="right"/>
              <w:ind w:right="540"/>
              <w:spacing w:after="0" w:line="155" w:lineRule="exact"/>
              <w:rPr>
                <w:sz w:val="20"/>
                <w:szCs w:val="20"/>
                <w:color w:val="auto"/>
              </w:rPr>
            </w:pPr>
            <w:r>
              <w:rPr>
                <w:rFonts w:ascii="Arial" w:cs="Arial" w:eastAsia="Arial" w:hAnsi="Arial"/>
                <w:sz w:val="14"/>
                <w:szCs w:val="14"/>
                <w:b w:val="1"/>
                <w:bCs w:val="1"/>
                <w:i w:val="1"/>
                <w:iCs w:val="1"/>
                <w:color w:val="auto"/>
              </w:rPr>
              <w:t>2013</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76"/>
              </w:rPr>
              <w:t>2012</w:t>
            </w: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4360" w:space="720"/>
            <w:col w:w="6260"/>
          </w:cols>
          <w:pgMar w:left="240" w:top="131" w:right="319" w:bottom="0" w:gutter="0" w:footer="0" w:header="0"/>
          <w:type w:val="continuous"/>
        </w:sectPr>
      </w:pPr>
    </w:p>
    <w:p>
      <w:pPr>
        <w:spacing w:after="0" w:line="87" w:lineRule="exact"/>
        <w:rPr>
          <w:sz w:val="20"/>
          <w:szCs w:val="20"/>
          <w:color w:val="auto"/>
        </w:rPr>
      </w:pPr>
    </w:p>
    <w:tbl>
      <w:tblPr>
        <w:tblLayout w:type="fixed"/>
        <w:tblInd w:w="560" w:type="dxa"/>
        <w:tblCellMar>
          <w:top w:w="0" w:type="dxa"/>
          <w:left w:w="0" w:type="dxa"/>
          <w:bottom w:w="0" w:type="dxa"/>
          <w:right w:w="0" w:type="dxa"/>
        </w:tblCellMar>
      </w:tblPr>
      <w:tr>
        <w:trPr>
          <w:trHeight w:val="222"/>
        </w:trPr>
        <w:tc>
          <w:tcPr>
            <w:tcW w:w="4540" w:type="dxa"/>
            <w:vAlign w:val="bottom"/>
          </w:tcPr>
          <w:p>
            <w:pPr>
              <w:spacing w:after="0"/>
              <w:rPr>
                <w:sz w:val="20"/>
                <w:szCs w:val="20"/>
                <w:color w:val="auto"/>
              </w:rPr>
            </w:pPr>
            <w:r>
              <w:rPr>
                <w:rFonts w:ascii="Arial" w:cs="Arial" w:eastAsia="Arial" w:hAnsi="Arial"/>
                <w:sz w:val="18"/>
                <w:szCs w:val="18"/>
                <w:color w:val="auto"/>
              </w:rPr>
              <w:t>Thermal Products</w:t>
            </w: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w w:val="83"/>
              </w:rPr>
              <w:t>$ 5,844</w:t>
            </w:r>
          </w:p>
        </w:tc>
        <w:tc>
          <w:tcPr>
            <w:tcW w:w="2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3"/>
              </w:rPr>
              <w:t>$ 6,037</w:t>
            </w:r>
          </w:p>
        </w:tc>
        <w:tc>
          <w:tcPr>
            <w:tcW w:w="140" w:type="dxa"/>
            <w:vAlign w:val="bottom"/>
          </w:tcPr>
          <w:p>
            <w:pPr>
              <w:spacing w:after="0"/>
              <w:rPr>
                <w:sz w:val="19"/>
                <w:szCs w:val="19"/>
                <w:color w:val="auto"/>
              </w:rPr>
            </w:pPr>
          </w:p>
        </w:tc>
        <w:tc>
          <w:tcPr>
            <w:tcW w:w="680" w:type="dxa"/>
            <w:vAlign w:val="bottom"/>
            <w:gridSpan w:val="5"/>
          </w:tcPr>
          <w:p>
            <w:pPr>
              <w:jc w:val="right"/>
              <w:ind w:right="20"/>
              <w:spacing w:after="0"/>
              <w:rPr>
                <w:sz w:val="20"/>
                <w:szCs w:val="20"/>
                <w:color w:val="auto"/>
              </w:rPr>
            </w:pPr>
            <w:r>
              <w:rPr>
                <w:rFonts w:ascii="Arial" w:cs="Arial" w:eastAsia="Arial" w:hAnsi="Arial"/>
                <w:sz w:val="18"/>
                <w:szCs w:val="18"/>
                <w:color w:val="auto"/>
                <w:w w:val="98"/>
              </w:rPr>
              <w:t>$17,514</w:t>
            </w:r>
          </w:p>
        </w:tc>
        <w:tc>
          <w:tcPr>
            <w:tcW w:w="22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6"/>
              </w:rPr>
              <w:t>$18,651</w:t>
            </w:r>
          </w:p>
        </w:tc>
        <w:tc>
          <w:tcPr>
            <w:tcW w:w="60" w:type="dxa"/>
            <w:vAlign w:val="bottom"/>
          </w:tcPr>
          <w:p>
            <w:pPr>
              <w:spacing w:after="0"/>
              <w:rPr>
                <w:sz w:val="19"/>
                <w:szCs w:val="19"/>
                <w:color w:val="auto"/>
              </w:rPr>
            </w:pPr>
          </w:p>
        </w:tc>
      </w:tr>
      <w:tr>
        <w:trPr>
          <w:trHeight w:val="459"/>
        </w:trPr>
        <w:tc>
          <w:tcPr>
            <w:tcW w:w="4540" w:type="dxa"/>
            <w:vAlign w:val="bottom"/>
          </w:tcPr>
          <w:p>
            <w:pPr>
              <w:spacing w:after="0"/>
              <w:rPr>
                <w:sz w:val="20"/>
                <w:szCs w:val="20"/>
                <w:color w:val="auto"/>
              </w:rPr>
            </w:pPr>
            <w:r>
              <w:rPr>
                <w:rFonts w:ascii="Arial" w:cs="Arial" w:eastAsia="Arial" w:hAnsi="Arial"/>
                <w:sz w:val="18"/>
                <w:szCs w:val="18"/>
                <w:color w:val="auto"/>
              </w:rPr>
              <w:t>Mechanical Products</w:t>
            </w: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rPr>
              <w:t>2,193</w:t>
            </w:r>
          </w:p>
        </w:tc>
        <w:tc>
          <w:tcPr>
            <w:tcW w:w="22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2,677</w:t>
            </w:r>
          </w:p>
        </w:tc>
        <w:tc>
          <w:tcPr>
            <w:tcW w:w="140" w:type="dxa"/>
            <w:vAlign w:val="bottom"/>
          </w:tcPr>
          <w:p>
            <w:pPr>
              <w:spacing w:after="0"/>
              <w:rPr>
                <w:sz w:val="24"/>
                <w:szCs w:val="24"/>
                <w:color w:val="auto"/>
              </w:rPr>
            </w:pPr>
          </w:p>
        </w:tc>
        <w:tc>
          <w:tcPr>
            <w:tcW w:w="680" w:type="dxa"/>
            <w:vAlign w:val="bottom"/>
            <w:gridSpan w:val="5"/>
          </w:tcPr>
          <w:p>
            <w:pPr>
              <w:jc w:val="right"/>
              <w:ind w:right="20"/>
              <w:spacing w:after="0"/>
              <w:rPr>
                <w:sz w:val="20"/>
                <w:szCs w:val="20"/>
                <w:color w:val="auto"/>
              </w:rPr>
            </w:pPr>
            <w:r>
              <w:rPr>
                <w:rFonts w:ascii="Arial" w:cs="Arial" w:eastAsia="Arial" w:hAnsi="Arial"/>
                <w:sz w:val="18"/>
                <w:szCs w:val="18"/>
                <w:color w:val="auto"/>
              </w:rPr>
              <w:t>7,784</w:t>
            </w:r>
          </w:p>
        </w:tc>
        <w:tc>
          <w:tcPr>
            <w:tcW w:w="22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8,267</w:t>
            </w:r>
          </w:p>
        </w:tc>
        <w:tc>
          <w:tcPr>
            <w:tcW w:w="60" w:type="dxa"/>
            <w:vAlign w:val="bottom"/>
          </w:tcPr>
          <w:p>
            <w:pPr>
              <w:spacing w:after="0"/>
              <w:rPr>
                <w:sz w:val="24"/>
                <w:szCs w:val="24"/>
                <w:color w:val="auto"/>
              </w:rPr>
            </w:pPr>
          </w:p>
        </w:tc>
      </w:tr>
      <w:tr>
        <w:trPr>
          <w:trHeight w:val="421"/>
        </w:trPr>
        <w:tc>
          <w:tcPr>
            <w:tcW w:w="4540" w:type="dxa"/>
            <w:vAlign w:val="bottom"/>
          </w:tcPr>
          <w:p>
            <w:pPr>
              <w:spacing w:after="0"/>
              <w:rPr>
                <w:sz w:val="20"/>
                <w:szCs w:val="20"/>
                <w:color w:val="auto"/>
              </w:rPr>
            </w:pPr>
            <w:r>
              <w:rPr>
                <w:rFonts w:ascii="Arial" w:cs="Arial" w:eastAsia="Arial" w:hAnsi="Arial"/>
                <w:sz w:val="18"/>
                <w:szCs w:val="18"/>
                <w:color w:val="auto"/>
              </w:rPr>
              <w:t>Electrical Products</w:t>
            </w:r>
          </w:p>
        </w:tc>
        <w:tc>
          <w:tcPr>
            <w:tcW w:w="40" w:type="dxa"/>
            <w:vAlign w:val="bottom"/>
          </w:tcPr>
          <w:p>
            <w:pPr>
              <w:spacing w:after="0"/>
              <w:rPr>
                <w:sz w:val="24"/>
                <w:szCs w:val="24"/>
                <w:color w:val="auto"/>
              </w:rPr>
            </w:pPr>
          </w:p>
        </w:tc>
        <w:tc>
          <w:tcPr>
            <w:tcW w:w="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1,863</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2,085</w:t>
            </w:r>
          </w:p>
        </w:tc>
        <w:tc>
          <w:tcPr>
            <w:tcW w:w="14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4,793</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8,188</w:t>
            </w:r>
          </w:p>
        </w:tc>
        <w:tc>
          <w:tcPr>
            <w:tcW w:w="60" w:type="dxa"/>
            <w:vAlign w:val="bottom"/>
          </w:tcPr>
          <w:p>
            <w:pPr>
              <w:spacing w:after="0"/>
              <w:rPr>
                <w:sz w:val="24"/>
                <w:szCs w:val="24"/>
                <w:color w:val="auto"/>
              </w:rPr>
            </w:pPr>
          </w:p>
        </w:tc>
      </w:tr>
      <w:tr>
        <w:trPr>
          <w:trHeight w:val="439"/>
        </w:trPr>
        <w:tc>
          <w:tcPr>
            <w:tcW w:w="4540" w:type="dxa"/>
            <w:vAlign w:val="bottom"/>
          </w:tcPr>
          <w:p>
            <w:pPr>
              <w:spacing w:after="0"/>
              <w:rPr>
                <w:sz w:val="24"/>
                <w:szCs w:val="24"/>
                <w:color w:val="auto"/>
              </w:rPr>
            </w:pP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w w:val="83"/>
              </w:rPr>
              <w:t>$ 9,900</w:t>
            </w:r>
          </w:p>
        </w:tc>
        <w:tc>
          <w:tcPr>
            <w:tcW w:w="22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10,799</w:t>
            </w:r>
          </w:p>
        </w:tc>
        <w:tc>
          <w:tcPr>
            <w:tcW w:w="140" w:type="dxa"/>
            <w:vAlign w:val="bottom"/>
          </w:tcPr>
          <w:p>
            <w:pPr>
              <w:spacing w:after="0"/>
              <w:rPr>
                <w:sz w:val="24"/>
                <w:szCs w:val="24"/>
                <w:color w:val="auto"/>
              </w:rPr>
            </w:pPr>
          </w:p>
        </w:tc>
        <w:tc>
          <w:tcPr>
            <w:tcW w:w="680" w:type="dxa"/>
            <w:vAlign w:val="bottom"/>
            <w:gridSpan w:val="5"/>
          </w:tcPr>
          <w:p>
            <w:pPr>
              <w:jc w:val="right"/>
              <w:ind w:right="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30,091</w:t>
            </w:r>
          </w:p>
        </w:tc>
        <w:tc>
          <w:tcPr>
            <w:tcW w:w="22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35,106</w:t>
            </w:r>
          </w:p>
        </w:tc>
        <w:tc>
          <w:tcPr>
            <w:tcW w:w="60" w:type="dxa"/>
            <w:vAlign w:val="bottom"/>
          </w:tcPr>
          <w:p>
            <w:pPr>
              <w:spacing w:after="0"/>
              <w:rPr>
                <w:sz w:val="24"/>
                <w:szCs w:val="24"/>
                <w:color w:val="auto"/>
              </w:rPr>
            </w:pPr>
          </w:p>
        </w:tc>
      </w:tr>
      <w:tr>
        <w:trPr>
          <w:trHeight w:val="410"/>
        </w:trPr>
        <w:tc>
          <w:tcPr>
            <w:tcW w:w="4540" w:type="dxa"/>
            <w:vAlign w:val="bottom"/>
          </w:tcPr>
          <w:p>
            <w:pPr>
              <w:spacing w:after="0"/>
              <w:rPr>
                <w:sz w:val="20"/>
                <w:szCs w:val="20"/>
                <w:color w:val="auto"/>
              </w:rPr>
            </w:pPr>
            <w:r>
              <w:rPr>
                <w:rFonts w:ascii="Arial" w:cs="Arial" w:eastAsia="Arial" w:hAnsi="Arial"/>
                <w:sz w:val="18"/>
                <w:szCs w:val="18"/>
                <w:b w:val="1"/>
                <w:bCs w:val="1"/>
                <w:i w:val="1"/>
                <w:iCs w:val="1"/>
                <w:color w:val="auto"/>
              </w:rPr>
              <w:t>Earnings (loss) before income tax expense (benefit):</w:t>
            </w: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540" w:type="dxa"/>
            <w:vAlign w:val="bottom"/>
          </w:tcPr>
          <w:p>
            <w:pPr>
              <w:spacing w:after="0"/>
              <w:rPr>
                <w:sz w:val="20"/>
                <w:szCs w:val="20"/>
                <w:color w:val="auto"/>
              </w:rPr>
            </w:pPr>
            <w:r>
              <w:rPr>
                <w:rFonts w:ascii="Arial" w:cs="Arial" w:eastAsia="Arial" w:hAnsi="Arial"/>
                <w:sz w:val="18"/>
                <w:szCs w:val="18"/>
                <w:color w:val="auto"/>
              </w:rPr>
              <w:t>Thermal Products</w:t>
            </w:r>
          </w:p>
        </w:tc>
        <w:tc>
          <w:tcPr>
            <w:tcW w:w="540" w:type="dxa"/>
            <w:vAlign w:val="bottom"/>
            <w:gridSpan w:val="4"/>
          </w:tcPr>
          <w:p>
            <w:pPr>
              <w:jc w:val="right"/>
              <w:spacing w:after="0"/>
              <w:rPr>
                <w:sz w:val="20"/>
                <w:szCs w:val="20"/>
                <w:color w:val="auto"/>
              </w:rPr>
            </w:pPr>
            <w:r>
              <w:rPr>
                <w:rFonts w:ascii="Arial" w:cs="Arial" w:eastAsia="Arial" w:hAnsi="Arial"/>
                <w:sz w:val="18"/>
                <w:szCs w:val="18"/>
                <w:color w:val="auto"/>
                <w:w w:val="94"/>
              </w:rPr>
              <w:t>$1,232</w:t>
            </w:r>
          </w:p>
        </w:tc>
        <w:tc>
          <w:tcPr>
            <w:tcW w:w="22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  895</w:t>
            </w:r>
          </w:p>
        </w:tc>
        <w:tc>
          <w:tcPr>
            <w:tcW w:w="140" w:type="dxa"/>
            <w:vAlign w:val="bottom"/>
          </w:tcPr>
          <w:p>
            <w:pPr>
              <w:spacing w:after="0"/>
              <w:rPr>
                <w:sz w:val="24"/>
                <w:szCs w:val="24"/>
                <w:color w:val="auto"/>
              </w:rPr>
            </w:pPr>
          </w:p>
        </w:tc>
        <w:tc>
          <w:tcPr>
            <w:tcW w:w="900" w:type="dxa"/>
            <w:vAlign w:val="bottom"/>
            <w:gridSpan w:val="6"/>
          </w:tcPr>
          <w:p>
            <w:pPr>
              <w:jc w:val="right"/>
              <w:ind w:right="220"/>
              <w:spacing w:after="0"/>
              <w:rPr>
                <w:sz w:val="20"/>
                <w:szCs w:val="20"/>
                <w:color w:val="auto"/>
              </w:rPr>
            </w:pPr>
            <w:r>
              <w:rPr>
                <w:rFonts w:ascii="Arial" w:cs="Arial" w:eastAsia="Arial" w:hAnsi="Arial"/>
                <w:sz w:val="18"/>
                <w:szCs w:val="18"/>
                <w:color w:val="auto"/>
              </w:rPr>
              <w:t>$3,468</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$2,267</w:t>
            </w:r>
          </w:p>
        </w:tc>
      </w:tr>
      <w:tr>
        <w:trPr>
          <w:trHeight w:val="459"/>
        </w:trPr>
        <w:tc>
          <w:tcPr>
            <w:tcW w:w="4540" w:type="dxa"/>
            <w:vAlign w:val="bottom"/>
          </w:tcPr>
          <w:p>
            <w:pPr>
              <w:spacing w:after="0"/>
              <w:rPr>
                <w:sz w:val="20"/>
                <w:szCs w:val="20"/>
                <w:color w:val="auto"/>
              </w:rPr>
            </w:pPr>
            <w:r>
              <w:rPr>
                <w:rFonts w:ascii="Arial" w:cs="Arial" w:eastAsia="Arial" w:hAnsi="Arial"/>
                <w:sz w:val="18"/>
                <w:szCs w:val="18"/>
                <w:color w:val="auto"/>
              </w:rPr>
              <w:t>Mechanical Products</w:t>
            </w:r>
          </w:p>
        </w:tc>
        <w:tc>
          <w:tcPr>
            <w:tcW w:w="760" w:type="dxa"/>
            <w:vAlign w:val="bottom"/>
            <w:gridSpan w:val="5"/>
          </w:tcPr>
          <w:p>
            <w:pPr>
              <w:jc w:val="right"/>
              <w:ind w:right="200"/>
              <w:spacing w:after="0"/>
              <w:rPr>
                <w:sz w:val="20"/>
                <w:szCs w:val="20"/>
                <w:color w:val="auto"/>
              </w:rPr>
            </w:pPr>
            <w:r>
              <w:rPr>
                <w:rFonts w:ascii="Arial" w:cs="Arial" w:eastAsia="Arial" w:hAnsi="Arial"/>
                <w:sz w:val="18"/>
                <w:szCs w:val="18"/>
                <w:color w:val="auto"/>
              </w:rPr>
              <w:t>(346)</w:t>
            </w: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(324)</w:t>
            </w:r>
          </w:p>
        </w:tc>
        <w:tc>
          <w:tcPr>
            <w:tcW w:w="900" w:type="dxa"/>
            <w:vAlign w:val="bottom"/>
            <w:gridSpan w:val="6"/>
          </w:tcPr>
          <w:p>
            <w:pPr>
              <w:jc w:val="right"/>
              <w:ind w:right="200"/>
              <w:spacing w:after="0"/>
              <w:rPr>
                <w:sz w:val="20"/>
                <w:szCs w:val="20"/>
                <w:color w:val="auto"/>
              </w:rPr>
            </w:pPr>
            <w:r>
              <w:rPr>
                <w:rFonts w:ascii="Arial" w:cs="Arial" w:eastAsia="Arial" w:hAnsi="Arial"/>
                <w:sz w:val="18"/>
                <w:szCs w:val="18"/>
                <w:color w:val="auto"/>
              </w:rPr>
              <w:t>(742)</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(1,256)</w:t>
            </w:r>
          </w:p>
        </w:tc>
      </w:tr>
      <w:tr>
        <w:trPr>
          <w:trHeight w:val="459"/>
        </w:trPr>
        <w:tc>
          <w:tcPr>
            <w:tcW w:w="4540" w:type="dxa"/>
            <w:vAlign w:val="bottom"/>
          </w:tcPr>
          <w:p>
            <w:pPr>
              <w:spacing w:after="0"/>
              <w:rPr>
                <w:sz w:val="20"/>
                <w:szCs w:val="20"/>
                <w:color w:val="auto"/>
              </w:rPr>
            </w:pPr>
            <w:r>
              <w:rPr>
                <w:rFonts w:ascii="Arial" w:cs="Arial" w:eastAsia="Arial" w:hAnsi="Arial"/>
                <w:sz w:val="18"/>
                <w:szCs w:val="18"/>
                <w:color w:val="auto"/>
              </w:rPr>
              <w:t>Electrical Products</w:t>
            </w: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24"/>
                <w:szCs w:val="24"/>
                <w:color w:val="auto"/>
              </w:rPr>
            </w:pPr>
          </w:p>
        </w:tc>
        <w:tc>
          <w:tcPr>
            <w:tcW w:w="900" w:type="dxa"/>
            <w:vAlign w:val="bottom"/>
            <w:gridSpan w:val="6"/>
          </w:tcPr>
          <w:p>
            <w:pPr>
              <w:jc w:val="right"/>
              <w:ind w:right="220"/>
              <w:spacing w:after="0"/>
              <w:rPr>
                <w:sz w:val="20"/>
                <w:szCs w:val="20"/>
                <w:color w:val="auto"/>
              </w:rPr>
            </w:pPr>
            <w:r>
              <w:rPr>
                <w:rFonts w:ascii="Arial" w:cs="Arial" w:eastAsia="Arial" w:hAnsi="Arial"/>
                <w:sz w:val="18"/>
                <w:szCs w:val="18"/>
                <w:color w:val="auto"/>
              </w:rPr>
              <w:t>493</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2,115</w:t>
            </w:r>
          </w:p>
        </w:tc>
      </w:tr>
      <w:tr>
        <w:trPr>
          <w:trHeight w:val="421"/>
        </w:trPr>
        <w:tc>
          <w:tcPr>
            <w:tcW w:w="4540" w:type="dxa"/>
            <w:vAlign w:val="bottom"/>
          </w:tcPr>
          <w:p>
            <w:pPr>
              <w:spacing w:after="0"/>
              <w:rPr>
                <w:sz w:val="20"/>
                <w:szCs w:val="20"/>
                <w:color w:val="auto"/>
              </w:rPr>
            </w:pPr>
            <w:r>
              <w:rPr>
                <w:rFonts w:ascii="Arial" w:cs="Arial" w:eastAsia="Arial" w:hAnsi="Arial"/>
                <w:sz w:val="18"/>
                <w:szCs w:val="18"/>
                <w:color w:val="auto"/>
              </w:rPr>
              <w:t>Corporate</w:t>
            </w:r>
          </w:p>
        </w:tc>
        <w:tc>
          <w:tcPr>
            <w:tcW w:w="60" w:type="dxa"/>
            <w:vAlign w:val="bottom"/>
            <w:gridSpan w:val="2"/>
          </w:tcPr>
          <w:p>
            <w:pPr>
              <w:spacing w:after="0"/>
              <w:rPr>
                <w:sz w:val="24"/>
                <w:szCs w:val="24"/>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(66)</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24"/>
                <w:szCs w:val="24"/>
                <w:color w:val="auto"/>
              </w:rPr>
            </w:pPr>
          </w:p>
        </w:tc>
        <w:tc>
          <w:tcPr>
            <w:tcW w:w="900" w:type="dxa"/>
            <w:vAlign w:val="bottom"/>
            <w:gridSpan w:val="6"/>
          </w:tcPr>
          <w:p>
            <w:pPr>
              <w:jc w:val="right"/>
              <w:ind w:right="200"/>
              <w:spacing w:after="0"/>
              <w:rPr>
                <w:sz w:val="20"/>
                <w:szCs w:val="20"/>
                <w:color w:val="auto"/>
              </w:rPr>
            </w:pPr>
            <w:r>
              <w:rPr>
                <w:rFonts w:ascii="Arial" w:cs="Arial" w:eastAsia="Arial" w:hAnsi="Arial"/>
                <w:sz w:val="18"/>
                <w:szCs w:val="18"/>
                <w:color w:val="auto"/>
              </w:rPr>
              <w:t>(248)</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(191)</w:t>
            </w:r>
          </w:p>
        </w:tc>
      </w:tr>
      <w:tr>
        <w:trPr>
          <w:trHeight w:val="20"/>
        </w:trPr>
        <w:tc>
          <w:tcPr>
            <w:tcW w:w="45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540" w:type="dxa"/>
            <w:vAlign w:val="bottom"/>
          </w:tcPr>
          <w:p>
            <w:pPr>
              <w:spacing w:after="0"/>
              <w:rPr>
                <w:sz w:val="24"/>
                <w:szCs w:val="24"/>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1,114</w:t>
            </w:r>
          </w:p>
        </w:tc>
        <w:tc>
          <w:tcPr>
            <w:tcW w:w="22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1,012</w:t>
            </w:r>
          </w:p>
        </w:tc>
        <w:tc>
          <w:tcPr>
            <w:tcW w:w="140" w:type="dxa"/>
            <w:vAlign w:val="bottom"/>
          </w:tcPr>
          <w:p>
            <w:pPr>
              <w:spacing w:after="0"/>
              <w:rPr>
                <w:sz w:val="24"/>
                <w:szCs w:val="24"/>
                <w:color w:val="auto"/>
              </w:rPr>
            </w:pPr>
          </w:p>
        </w:tc>
        <w:tc>
          <w:tcPr>
            <w:tcW w:w="900" w:type="dxa"/>
            <w:vAlign w:val="bottom"/>
            <w:gridSpan w:val="6"/>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2,971</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2,935</w:t>
            </w:r>
          </w:p>
        </w:tc>
      </w:tr>
      <w:tr>
        <w:trPr>
          <w:trHeight w:val="20"/>
        </w:trPr>
        <w:tc>
          <w:tcPr>
            <w:tcW w:w="4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ectPr>
          <w:pgSz w:w="11900" w:h="16838" w:orient="portrait"/>
          <w:cols w:equalWidth="0" w:num="1">
            <w:col w:w="11340"/>
          </w:cols>
          <w:pgMar w:left="240" w:top="131" w:right="319" w:bottom="0" w:gutter="0" w:footer="0" w:header="0"/>
          <w:type w:val="continuous"/>
        </w:sectPr>
      </w:pPr>
    </w:p>
    <w:bookmarkStart w:id="13" w:name="page14"/>
    <w:bookmarkEnd w:id="13"/>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22"/>
        </w:trPr>
        <w:tc>
          <w:tcPr>
            <w:tcW w:w="4600" w:type="dxa"/>
            <w:vAlign w:val="bottom"/>
          </w:tcPr>
          <w:p>
            <w:pPr>
              <w:spacing w:after="0"/>
              <w:rPr>
                <w:sz w:val="20"/>
                <w:szCs w:val="20"/>
                <w:color w:val="auto"/>
              </w:rPr>
            </w:pPr>
            <w:r>
              <w:rPr>
                <w:rFonts w:ascii="Arial" w:cs="Arial" w:eastAsia="Arial" w:hAnsi="Arial"/>
                <w:sz w:val="18"/>
                <w:szCs w:val="18"/>
                <w:b w:val="1"/>
                <w:bCs w:val="1"/>
                <w:i w:val="1"/>
                <w:iCs w:val="1"/>
                <w:color w:val="auto"/>
              </w:rPr>
              <w:t>Net earnings (loss):</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59"/>
        </w:trPr>
        <w:tc>
          <w:tcPr>
            <w:tcW w:w="4600" w:type="dxa"/>
            <w:vAlign w:val="bottom"/>
          </w:tcPr>
          <w:p>
            <w:pPr>
              <w:spacing w:after="0"/>
              <w:rPr>
                <w:sz w:val="20"/>
                <w:szCs w:val="20"/>
                <w:color w:val="auto"/>
              </w:rPr>
            </w:pPr>
            <w:r>
              <w:rPr>
                <w:rFonts w:ascii="Arial" w:cs="Arial" w:eastAsia="Arial" w:hAnsi="Arial"/>
                <w:sz w:val="18"/>
                <w:szCs w:val="18"/>
                <w:color w:val="auto"/>
              </w:rPr>
              <w:t>Thermal Products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3"/>
              </w:rPr>
              <w:t>$1,206</w:t>
            </w:r>
          </w:p>
        </w:tc>
        <w:tc>
          <w:tcPr>
            <w:tcW w:w="2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587</w:t>
            </w:r>
          </w:p>
        </w:tc>
        <w:tc>
          <w:tcPr>
            <w:tcW w:w="34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83"/>
              </w:rPr>
              <w:t>$2,847</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$1,483</w:t>
            </w:r>
          </w:p>
        </w:tc>
      </w:tr>
      <w:tr>
        <w:trPr>
          <w:trHeight w:val="459"/>
        </w:trPr>
        <w:tc>
          <w:tcPr>
            <w:tcW w:w="4600" w:type="dxa"/>
            <w:vAlign w:val="bottom"/>
          </w:tcPr>
          <w:p>
            <w:pPr>
              <w:spacing w:after="0"/>
              <w:rPr>
                <w:sz w:val="20"/>
                <w:szCs w:val="20"/>
                <w:color w:val="auto"/>
              </w:rPr>
            </w:pPr>
            <w:r>
              <w:rPr>
                <w:rFonts w:ascii="Arial" w:cs="Arial" w:eastAsia="Arial" w:hAnsi="Arial"/>
                <w:sz w:val="18"/>
                <w:szCs w:val="18"/>
                <w:color w:val="auto"/>
              </w:rPr>
              <w:t>Mechanical Products</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(212)</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(686)</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(797)</w:t>
            </w:r>
          </w:p>
        </w:tc>
      </w:tr>
      <w:tr>
        <w:trPr>
          <w:trHeight w:val="459"/>
        </w:trPr>
        <w:tc>
          <w:tcPr>
            <w:tcW w:w="4600" w:type="dxa"/>
            <w:vAlign w:val="bottom"/>
          </w:tcPr>
          <w:p>
            <w:pPr>
              <w:spacing w:after="0"/>
              <w:rPr>
                <w:sz w:val="20"/>
                <w:szCs w:val="20"/>
                <w:color w:val="auto"/>
              </w:rPr>
            </w:pPr>
            <w:r>
              <w:rPr>
                <w:rFonts w:ascii="Arial" w:cs="Arial" w:eastAsia="Arial" w:hAnsi="Arial"/>
                <w:sz w:val="18"/>
                <w:szCs w:val="18"/>
                <w:color w:val="auto"/>
              </w:rPr>
              <w:t>Electrical Products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246</w:t>
            </w:r>
          </w:p>
        </w:tc>
        <w:tc>
          <w:tcPr>
            <w:tcW w:w="3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422</w:t>
            </w:r>
          </w:p>
        </w:tc>
        <w:tc>
          <w:tcPr>
            <w:tcW w:w="2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1,384</w:t>
            </w:r>
          </w:p>
        </w:tc>
        <w:tc>
          <w:tcPr>
            <w:tcW w:w="60" w:type="dxa"/>
            <w:vAlign w:val="bottom"/>
          </w:tcPr>
          <w:p>
            <w:pPr>
              <w:spacing w:after="0"/>
              <w:rPr>
                <w:sz w:val="24"/>
                <w:szCs w:val="24"/>
                <w:color w:val="auto"/>
              </w:rPr>
            </w:pPr>
          </w:p>
        </w:tc>
      </w:tr>
      <w:tr>
        <w:trPr>
          <w:trHeight w:val="421"/>
        </w:trPr>
        <w:tc>
          <w:tcPr>
            <w:tcW w:w="4600" w:type="dxa"/>
            <w:vAlign w:val="bottom"/>
          </w:tcPr>
          <w:p>
            <w:pPr>
              <w:spacing w:after="0"/>
              <w:rPr>
                <w:sz w:val="20"/>
                <w:szCs w:val="20"/>
                <w:color w:val="auto"/>
              </w:rPr>
            </w:pPr>
            <w:r>
              <w:rPr>
                <w:rFonts w:ascii="Arial" w:cs="Arial" w:eastAsia="Arial" w:hAnsi="Arial"/>
                <w:sz w:val="18"/>
                <w:szCs w:val="18"/>
                <w:color w:val="auto"/>
              </w:rPr>
              <w:t>Corporate</w:t>
            </w:r>
          </w:p>
        </w:tc>
        <w:tc>
          <w:tcPr>
            <w:tcW w:w="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(198)</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4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6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1,090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664</w:t>
            </w:r>
          </w:p>
        </w:tc>
        <w:tc>
          <w:tcPr>
            <w:tcW w:w="3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2,385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1,955</w:t>
            </w:r>
          </w:p>
        </w:tc>
      </w:tr>
      <w:tr>
        <w:trPr>
          <w:trHeight w:val="20"/>
        </w:trPr>
        <w:tc>
          <w:tcPr>
            <w:tcW w:w="4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3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- 15 -</w:t>
      </w:r>
    </w:p>
    <w:p>
      <w:pPr>
        <w:spacing w:after="0" w:line="200" w:lineRule="exact"/>
        <w:rPr>
          <w:sz w:val="20"/>
          <w:szCs w:val="20"/>
          <w:color w:val="auto"/>
        </w:rPr>
      </w:pP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SEGMENT INFORMATION </w:t>
      </w:r>
      <w:r>
        <w:rPr>
          <w:rFonts w:ascii="Arial" w:cs="Arial" w:eastAsia="Arial" w:hAnsi="Arial"/>
          <w:sz w:val="18"/>
          <w:szCs w:val="18"/>
          <w:color w:val="auto"/>
        </w:rPr>
        <w:t>(Continued)</w:t>
      </w:r>
    </w:p>
    <w:p>
      <w:pPr>
        <w:sectPr>
          <w:pgSz w:w="11900" w:h="16838" w:orient="portrait"/>
          <w:cols w:equalWidth="0" w:num="1">
            <w:col w:w="11260"/>
          </w:cols>
          <w:pgMar w:left="240" w:top="158" w:right="399" w:bottom="0" w:gutter="0" w:footer="0" w:header="0"/>
        </w:sectPr>
      </w:pPr>
    </w:p>
    <w:p>
      <w:pPr>
        <w:spacing w:after="0" w:line="200" w:lineRule="exact"/>
        <w:rPr>
          <w:sz w:val="20"/>
          <w:szCs w:val="20"/>
          <w:color w:val="auto"/>
        </w:rPr>
      </w:pPr>
    </w:p>
    <w:p>
      <w:pPr>
        <w:spacing w:after="0" w:line="247"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Identifiable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i w:val="1"/>
          <w:iCs w:val="1"/>
          <w:color w:val="auto"/>
        </w:rPr>
        <w:t>Sept. 30,</w:t>
      </w:r>
      <w:r>
        <w:rPr>
          <w:sz w:val="20"/>
          <w:szCs w:val="20"/>
          <w:color w:val="auto"/>
        </w:rPr>
        <w:tab/>
      </w:r>
      <w:r>
        <w:rPr>
          <w:rFonts w:ascii="Arial" w:cs="Arial" w:eastAsia="Arial" w:hAnsi="Arial"/>
          <w:sz w:val="12"/>
          <w:szCs w:val="12"/>
          <w:b w:val="1"/>
          <w:bCs w:val="1"/>
          <w:i w:val="1"/>
          <w:iCs w:val="1"/>
          <w:color w:val="auto"/>
        </w:rPr>
        <w:t>Dec. 31,</w:t>
      </w:r>
    </w:p>
    <w:p>
      <w:pPr>
        <w:spacing w:after="0" w:line="28"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4"/>
          <w:szCs w:val="14"/>
          <w:b w:val="1"/>
          <w:bCs w:val="1"/>
          <w:i w:val="1"/>
          <w:iCs w:val="1"/>
          <w:color w:val="auto"/>
        </w:rPr>
        <w:t>2013</w:t>
      </w:r>
      <w:r>
        <w:rPr>
          <w:sz w:val="20"/>
          <w:szCs w:val="20"/>
          <w:color w:val="auto"/>
        </w:rPr>
        <w:tab/>
      </w:r>
      <w:r>
        <w:rPr>
          <w:rFonts w:ascii="Arial" w:cs="Arial" w:eastAsia="Arial" w:hAnsi="Arial"/>
          <w:sz w:val="14"/>
          <w:szCs w:val="14"/>
          <w:b w:val="1"/>
          <w:bCs w:val="1"/>
          <w:i w:val="1"/>
          <w:i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-8890</wp:posOffset>
            </wp:positionV>
            <wp:extent cx="85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3440" cy="8890"/>
                    </a:xfrm>
                    <a:prstGeom prst="rect">
                      <a:avLst/>
                    </a:prstGeom>
                    <a:noFill/>
                  </pic:spPr>
                </pic:pic>
              </a:graphicData>
            </a:graphic>
          </wp:anchor>
        </w:drawing>
      </w:r>
    </w:p>
    <w:p>
      <w:pPr>
        <w:spacing w:after="0" w:line="112" w:lineRule="exact"/>
        <w:rPr>
          <w:sz w:val="20"/>
          <w:szCs w:val="20"/>
          <w:color w:val="auto"/>
        </w:rPr>
      </w:pPr>
    </w:p>
    <w:p>
      <w:pPr>
        <w:sectPr>
          <w:pgSz w:w="11900" w:h="16838" w:orient="portrait"/>
          <w:cols w:equalWidth="0" w:num="2">
            <w:col w:w="5940" w:space="720"/>
            <w:col w:w="4600"/>
          </w:cols>
          <w:pgMar w:left="240" w:top="158" w:right="399" w:bottom="0" w:gutter="0" w:footer="0" w:header="0"/>
          <w:type w:val="continuous"/>
        </w:sectPr>
      </w:pPr>
    </w:p>
    <w:tbl>
      <w:tblPr>
        <w:tblLayout w:type="fixed"/>
        <w:tblInd w:w="560" w:type="dxa"/>
        <w:tblCellMar>
          <w:top w:w="0" w:type="dxa"/>
          <w:left w:w="0" w:type="dxa"/>
          <w:bottom w:w="0" w:type="dxa"/>
          <w:right w:w="0" w:type="dxa"/>
        </w:tblCellMar>
      </w:tblP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Thermal Products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2"/>
              </w:rPr>
              <w:t>$23,504</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$20,849</w:t>
            </w:r>
          </w:p>
        </w:tc>
      </w:tr>
      <w:tr>
        <w:trPr>
          <w:trHeight w:val="459"/>
        </w:trPr>
        <w:tc>
          <w:tcPr>
            <w:tcW w:w="6120" w:type="dxa"/>
            <w:vAlign w:val="bottom"/>
          </w:tcPr>
          <w:p>
            <w:pPr>
              <w:spacing w:after="0"/>
              <w:rPr>
                <w:sz w:val="20"/>
                <w:szCs w:val="20"/>
                <w:color w:val="auto"/>
              </w:rPr>
            </w:pPr>
            <w:r>
              <w:rPr>
                <w:rFonts w:ascii="Arial" w:cs="Arial" w:eastAsia="Arial" w:hAnsi="Arial"/>
                <w:sz w:val="18"/>
                <w:szCs w:val="18"/>
                <w:color w:val="auto"/>
              </w:rPr>
              <w:t>Mechanical Products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7,388</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7,737</w:t>
            </w:r>
          </w:p>
        </w:tc>
      </w:tr>
      <w:tr>
        <w:trPr>
          <w:trHeight w:val="421"/>
        </w:trPr>
        <w:tc>
          <w:tcPr>
            <w:tcW w:w="6120" w:type="dxa"/>
            <w:vAlign w:val="bottom"/>
          </w:tcPr>
          <w:p>
            <w:pPr>
              <w:spacing w:after="0"/>
              <w:rPr>
                <w:sz w:val="20"/>
                <w:szCs w:val="20"/>
                <w:color w:val="auto"/>
              </w:rPr>
            </w:pPr>
            <w:r>
              <w:rPr>
                <w:rFonts w:ascii="Arial" w:cs="Arial" w:eastAsia="Arial" w:hAnsi="Arial"/>
                <w:sz w:val="18"/>
                <w:szCs w:val="18"/>
                <w:color w:val="auto"/>
              </w:rPr>
              <w:t>Electrical Products</w:t>
            </w:r>
          </w:p>
        </w:tc>
        <w:tc>
          <w:tcPr>
            <w:tcW w:w="4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4,606</w:t>
            </w:r>
          </w:p>
        </w:tc>
        <w:tc>
          <w:tcPr>
            <w:tcW w:w="280" w:type="dxa"/>
            <w:vAlign w:val="bottom"/>
            <w:gridSpan w:val="2"/>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w:t>
            </w:r>
          </w:p>
        </w:tc>
      </w:tr>
      <w:tr>
        <w:trPr>
          <w:trHeight w:val="439"/>
        </w:trPr>
        <w:tc>
          <w:tcPr>
            <w:tcW w:w="6120" w:type="dxa"/>
            <w:vAlign w:val="bottom"/>
          </w:tcPr>
          <w:p>
            <w:pPr>
              <w:spacing w:after="0"/>
              <w:rPr>
                <w:sz w:val="24"/>
                <w:szCs w:val="2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35,498</w:t>
            </w:r>
          </w:p>
        </w:tc>
        <w:tc>
          <w:tcPr>
            <w:tcW w:w="240" w:type="dxa"/>
            <w:vAlign w:val="bottom"/>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32,399</w:t>
            </w: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ectPr>
          <w:pgSz w:w="11900" w:h="16838" w:orient="portrait"/>
          <w:cols w:equalWidth="0" w:num="1">
            <w:col w:w="11260"/>
          </w:cols>
          <w:pgMar w:left="240" w:top="158" w:right="399" w:bottom="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Net revenues from unaffiliated customers: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8"/>
          </w:tcPr>
          <w:p>
            <w:pPr>
              <w:jc w:val="center"/>
              <w:ind w:right="260"/>
              <w:spacing w:after="0"/>
              <w:rPr>
                <w:sz w:val="20"/>
                <w:szCs w:val="20"/>
                <w:color w:val="auto"/>
              </w:rPr>
            </w:pPr>
            <w:r>
              <w:rPr>
                <w:rFonts w:ascii="Arial" w:cs="Arial" w:eastAsia="Arial" w:hAnsi="Arial"/>
                <w:sz w:val="14"/>
                <w:szCs w:val="14"/>
                <w:b w:val="1"/>
                <w:bCs w:val="1"/>
                <w:i w:val="1"/>
                <w:iCs w:val="1"/>
                <w:color w:val="auto"/>
                <w:w w:val="86"/>
              </w:rPr>
              <w:t>Three Months Ended</w:t>
            </w:r>
          </w:p>
        </w:tc>
        <w:tc>
          <w:tcPr>
            <w:tcW w:w="1420" w:type="dxa"/>
            <w:vAlign w:val="bottom"/>
            <w:gridSpan w:val="6"/>
          </w:tcPr>
          <w:p>
            <w:pPr>
              <w:jc w:val="center"/>
              <w:ind w:left="32"/>
              <w:spacing w:after="0"/>
              <w:rPr>
                <w:sz w:val="20"/>
                <w:szCs w:val="20"/>
                <w:color w:val="auto"/>
              </w:rPr>
            </w:pPr>
            <w:r>
              <w:rPr>
                <w:rFonts w:ascii="Arial" w:cs="Arial" w:eastAsia="Arial" w:hAnsi="Arial"/>
                <w:sz w:val="14"/>
                <w:szCs w:val="14"/>
                <w:b w:val="1"/>
                <w:bCs w:val="1"/>
                <w:i w:val="1"/>
                <w:iCs w:val="1"/>
                <w:color w:val="auto"/>
                <w:w w:val="85"/>
              </w:rPr>
              <w:t>Nine Months Ended</w:t>
            </w:r>
          </w:p>
        </w:tc>
      </w:tr>
      <w:tr>
        <w:trPr>
          <w:trHeight w:val="146"/>
        </w:trPr>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center"/>
              <w:ind w:left="32"/>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6"/>
        </w:trPr>
        <w:tc>
          <w:tcPr>
            <w:tcW w:w="180" w:type="dxa"/>
            <w:vAlign w:val="bottom"/>
            <w:gridSpan w:val="2"/>
          </w:tcPr>
          <w:p>
            <w:pPr>
              <w:spacing w:after="0"/>
              <w:rPr>
                <w:sz w:val="13"/>
                <w:szCs w:val="13"/>
                <w:color w:val="auto"/>
              </w:rPr>
            </w:pPr>
          </w:p>
        </w:tc>
        <w:tc>
          <w:tcPr>
            <w:tcW w:w="280" w:type="dxa"/>
            <w:vAlign w:val="bottom"/>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2013</w:t>
            </w:r>
          </w:p>
        </w:tc>
        <w:tc>
          <w:tcPr>
            <w:tcW w:w="460" w:type="dxa"/>
            <w:vAlign w:val="bottom"/>
          </w:tcPr>
          <w:p>
            <w:pPr>
              <w:spacing w:after="0"/>
              <w:rPr>
                <w:sz w:val="13"/>
                <w:szCs w:val="13"/>
                <w:color w:val="auto"/>
              </w:rPr>
            </w:pPr>
          </w:p>
        </w:tc>
        <w:tc>
          <w:tcPr>
            <w:tcW w:w="540" w:type="dxa"/>
            <w:vAlign w:val="bottom"/>
            <w:gridSpan w:val="4"/>
          </w:tcPr>
          <w:p>
            <w:pPr>
              <w:jc w:val="right"/>
              <w:ind w:right="200"/>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1160" w:type="dxa"/>
            <w:vAlign w:val="bottom"/>
            <w:gridSpan w:val="4"/>
          </w:tcPr>
          <w:p>
            <w:pPr>
              <w:jc w:val="right"/>
              <w:ind w:right="540"/>
              <w:spacing w:after="0" w:line="155" w:lineRule="exact"/>
              <w:rPr>
                <w:sz w:val="20"/>
                <w:szCs w:val="20"/>
                <w:color w:val="auto"/>
              </w:rPr>
            </w:pPr>
            <w:r>
              <w:rPr>
                <w:rFonts w:ascii="Arial" w:cs="Arial" w:eastAsia="Arial" w:hAnsi="Arial"/>
                <w:sz w:val="14"/>
                <w:szCs w:val="14"/>
                <w:b w:val="1"/>
                <w:bCs w:val="1"/>
                <w:i w:val="1"/>
                <w:iCs w:val="1"/>
                <w:color w:val="auto"/>
              </w:rPr>
              <w:t>2013</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76"/>
              </w:rPr>
              <w:t>2012</w:t>
            </w: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4360" w:space="720"/>
            <w:col w:w="6180"/>
          </w:cols>
          <w:pgMar w:left="240" w:top="158" w:right="399" w:bottom="0" w:gutter="0" w:footer="0" w:header="0"/>
          <w:type w:val="continuous"/>
        </w:sectPr>
      </w:pPr>
    </w:p>
    <w:p>
      <w:pPr>
        <w:spacing w:after="0" w:line="87" w:lineRule="exact"/>
        <w:rPr>
          <w:sz w:val="20"/>
          <w:szCs w:val="20"/>
          <w:color w:val="auto"/>
        </w:rPr>
      </w:pPr>
    </w:p>
    <w:tbl>
      <w:tblPr>
        <w:tblLayout w:type="fixed"/>
        <w:tblInd w:w="560" w:type="dxa"/>
        <w:tblCellMar>
          <w:top w:w="0" w:type="dxa"/>
          <w:left w:w="0" w:type="dxa"/>
          <w:bottom w:w="0" w:type="dxa"/>
          <w:right w:w="0" w:type="dxa"/>
        </w:tblCellMar>
      </w:tblPr>
      <w:tr>
        <w:trPr>
          <w:trHeight w:val="222"/>
        </w:trPr>
        <w:tc>
          <w:tcPr>
            <w:tcW w:w="4540" w:type="dxa"/>
            <w:vAlign w:val="bottom"/>
          </w:tcPr>
          <w:p>
            <w:pPr>
              <w:spacing w:after="0"/>
              <w:rPr>
                <w:sz w:val="20"/>
                <w:szCs w:val="20"/>
                <w:color w:val="auto"/>
              </w:rPr>
            </w:pPr>
            <w:r>
              <w:rPr>
                <w:rFonts w:ascii="Arial" w:cs="Arial" w:eastAsia="Arial" w:hAnsi="Arial"/>
                <w:sz w:val="18"/>
                <w:szCs w:val="18"/>
                <w:color w:val="auto"/>
              </w:rPr>
              <w:t>U.S.</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$ 3,098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4,123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9,816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$12,052</w:t>
            </w:r>
          </w:p>
        </w:tc>
      </w:tr>
      <w:tr>
        <w:trPr>
          <w:trHeight w:val="421"/>
        </w:trPr>
        <w:tc>
          <w:tcPr>
            <w:tcW w:w="4540" w:type="dxa"/>
            <w:vAlign w:val="bottom"/>
          </w:tcPr>
          <w:p>
            <w:pPr>
              <w:spacing w:after="0"/>
              <w:rPr>
                <w:sz w:val="20"/>
                <w:szCs w:val="20"/>
                <w:color w:val="auto"/>
              </w:rPr>
            </w:pPr>
            <w:r>
              <w:rPr>
                <w:rFonts w:ascii="Arial" w:cs="Arial" w:eastAsia="Arial" w:hAnsi="Arial"/>
                <w:sz w:val="18"/>
                <w:szCs w:val="18"/>
                <w:color w:val="auto"/>
              </w:rPr>
              <w:t>Foreign</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6,802</w:t>
            </w:r>
          </w:p>
        </w:tc>
        <w:tc>
          <w:tcPr>
            <w:tcW w:w="2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20,275</w:t>
            </w:r>
          </w:p>
        </w:tc>
        <w:tc>
          <w:tcPr>
            <w:tcW w:w="28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23,054</w:t>
            </w:r>
          </w:p>
        </w:tc>
      </w:tr>
      <w:tr>
        <w:trPr>
          <w:trHeight w:val="439"/>
        </w:trPr>
        <w:tc>
          <w:tcPr>
            <w:tcW w:w="45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$ 9,900</w:t>
            </w:r>
          </w:p>
        </w:tc>
        <w:tc>
          <w:tcPr>
            <w:tcW w:w="2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10,799</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30,091</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35,106</w:t>
            </w:r>
          </w:p>
        </w:tc>
      </w:tr>
      <w:tr>
        <w:trPr>
          <w:trHeight w:val="20"/>
        </w:trPr>
        <w:tc>
          <w:tcPr>
            <w:tcW w:w="4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240" w:top="158" w:right="399" w:bottom="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Property and equipment: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i w:val="1"/>
          <w:iCs w:val="1"/>
          <w:color w:val="auto"/>
        </w:rPr>
        <w:t>Sept. 30,</w:t>
      </w:r>
      <w:r>
        <w:rPr>
          <w:sz w:val="20"/>
          <w:szCs w:val="20"/>
          <w:color w:val="auto"/>
        </w:rPr>
        <w:tab/>
      </w:r>
      <w:r>
        <w:rPr>
          <w:rFonts w:ascii="Arial" w:cs="Arial" w:eastAsia="Arial" w:hAnsi="Arial"/>
          <w:sz w:val="12"/>
          <w:szCs w:val="12"/>
          <w:b w:val="1"/>
          <w:bCs w:val="1"/>
          <w:i w:val="1"/>
          <w:iCs w:val="1"/>
          <w:color w:val="auto"/>
        </w:rPr>
        <w:t>Dec. 31,</w:t>
      </w:r>
    </w:p>
    <w:p>
      <w:pPr>
        <w:spacing w:after="0" w:line="28"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4"/>
          <w:szCs w:val="14"/>
          <w:b w:val="1"/>
          <w:bCs w:val="1"/>
          <w:i w:val="1"/>
          <w:iCs w:val="1"/>
          <w:color w:val="auto"/>
        </w:rPr>
        <w:t>2013</w:t>
      </w:r>
      <w:r>
        <w:rPr>
          <w:sz w:val="20"/>
          <w:szCs w:val="20"/>
          <w:color w:val="auto"/>
        </w:rPr>
        <w:tab/>
      </w:r>
      <w:r>
        <w:rPr>
          <w:rFonts w:ascii="Arial" w:cs="Arial" w:eastAsia="Arial" w:hAnsi="Arial"/>
          <w:sz w:val="14"/>
          <w:szCs w:val="14"/>
          <w:b w:val="1"/>
          <w:bCs w:val="1"/>
          <w:i w:val="1"/>
          <w:i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-8890</wp:posOffset>
            </wp:positionV>
            <wp:extent cx="853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3440" cy="8890"/>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5940" w:space="720"/>
            <w:col w:w="4600"/>
          </w:cols>
          <w:pgMar w:left="240" w:top="158" w:right="399" w:bottom="0" w:gutter="0" w:footer="0" w:header="0"/>
          <w:type w:val="continuous"/>
        </w:sectPr>
      </w:pPr>
    </w:p>
    <w:p>
      <w:pPr>
        <w:spacing w:after="0" w:line="87" w:lineRule="exact"/>
        <w:rPr>
          <w:sz w:val="20"/>
          <w:szCs w:val="20"/>
          <w:color w:val="auto"/>
        </w:rPr>
      </w:pPr>
    </w:p>
    <w:tbl>
      <w:tblPr>
        <w:tblLayout w:type="fixed"/>
        <w:tblInd w:w="560" w:type="dxa"/>
        <w:tblCellMar>
          <w:top w:w="0" w:type="dxa"/>
          <w:left w:w="0" w:type="dxa"/>
          <w:bottom w:w="0" w:type="dxa"/>
          <w:right w:w="0" w:type="dxa"/>
        </w:tblCellMar>
      </w:tblPr>
      <w:tr>
        <w:trPr>
          <w:trHeight w:val="222"/>
        </w:trPr>
        <w:tc>
          <w:tcPr>
            <w:tcW w:w="6240" w:type="dxa"/>
            <w:vAlign w:val="bottom"/>
          </w:tcPr>
          <w:p>
            <w:pPr>
              <w:spacing w:after="0"/>
              <w:rPr>
                <w:sz w:val="20"/>
                <w:szCs w:val="20"/>
                <w:color w:val="auto"/>
              </w:rPr>
            </w:pPr>
            <w:r>
              <w:rPr>
                <w:rFonts w:ascii="Arial" w:cs="Arial" w:eastAsia="Arial" w:hAnsi="Arial"/>
                <w:sz w:val="18"/>
                <w:szCs w:val="18"/>
                <w:color w:val="auto"/>
              </w:rPr>
              <w:t>U.S.</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735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899</w:t>
            </w:r>
          </w:p>
        </w:tc>
      </w:tr>
      <w:tr>
        <w:trPr>
          <w:trHeight w:val="421"/>
        </w:trPr>
        <w:tc>
          <w:tcPr>
            <w:tcW w:w="6240" w:type="dxa"/>
            <w:vAlign w:val="bottom"/>
          </w:tcPr>
          <w:p>
            <w:pPr>
              <w:spacing w:after="0"/>
              <w:rPr>
                <w:sz w:val="20"/>
                <w:szCs w:val="20"/>
                <w:color w:val="auto"/>
              </w:rPr>
            </w:pPr>
            <w:r>
              <w:rPr>
                <w:rFonts w:ascii="Arial" w:cs="Arial" w:eastAsia="Arial" w:hAnsi="Arial"/>
                <w:sz w:val="18"/>
                <w:szCs w:val="18"/>
                <w:color w:val="auto"/>
              </w:rPr>
              <w:t>Foreign</w:t>
            </w: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42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r>
      <w:tr>
        <w:trPr>
          <w:trHeight w:val="439"/>
        </w:trPr>
        <w:tc>
          <w:tcPr>
            <w:tcW w:w="624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5"/>
                <w:szCs w:val="5"/>
                <w:u w:val="single" w:color="auto"/>
                <w:color w:val="auto"/>
                <w:w w:val="70"/>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1,196</w:t>
            </w:r>
          </w:p>
        </w:tc>
        <w:tc>
          <w:tcPr>
            <w:tcW w:w="42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1,250</w:t>
            </w:r>
          </w:p>
        </w:tc>
      </w:tr>
      <w:tr>
        <w:trPr>
          <w:trHeight w:val="20"/>
        </w:trPr>
        <w:tc>
          <w:tcPr>
            <w:tcW w:w="624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91" w:lineRule="exact"/>
        <w:rPr>
          <w:sz w:val="20"/>
          <w:szCs w:val="20"/>
          <w:color w:val="auto"/>
        </w:rPr>
      </w:pPr>
    </w:p>
    <w:p>
      <w:pPr>
        <w:ind w:left="540" w:right="280"/>
        <w:spacing w:after="0" w:line="259" w:lineRule="auto"/>
        <w:rPr>
          <w:sz w:val="20"/>
          <w:szCs w:val="20"/>
          <w:color w:val="auto"/>
        </w:rPr>
      </w:pPr>
      <w:r>
        <w:rPr>
          <w:rFonts w:ascii="Arial" w:cs="Arial" w:eastAsia="Arial" w:hAnsi="Arial"/>
          <w:sz w:val="18"/>
          <w:szCs w:val="18"/>
          <w:color w:val="auto"/>
        </w:rPr>
        <w:t>On October 29, 2013, we issued 85,000 shares of restricted stock to various key employees and certain executive officers, one of which is a director. Based on a grant date fair value of $3.97 per share, we will record total compensation expense of $337 related to these shares. This expense will be recorded on a straight-line basis over the four year vesting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 - - - - - - - - - - - - - - - - - - - - - - - - - - - - -</w:t>
      </w:r>
    </w:p>
    <w:p>
      <w:pPr>
        <w:sectPr>
          <w:pgSz w:w="11900" w:h="16838" w:orient="portrait"/>
          <w:cols w:equalWidth="0" w:num="1">
            <w:col w:w="11260"/>
          </w:cols>
          <w:pgMar w:left="240" w:top="158" w:right="399" w:bottom="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- 16 -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Risk Factors and Forward-Looking Statements</w:t>
      </w:r>
    </w:p>
    <w:p>
      <w:pPr>
        <w:spacing w:after="0" w:line="231"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See Part I, Item 1 - "Business - Cautionary Statement Regarding Forward-Looking Statements" in our 2012 Form 10-K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w:t>
      </w:r>
    </w:p>
    <w:p>
      <w:pPr>
        <w:spacing w:after="0" w:line="172"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 in our 2012 Form 10-K. Material changes to such risk factors may be reported in subsequent Quarterly Reports on Form 10-Q in Part II, Item 1A. There have been no such changes from the risk factors set forth in our 2012 Form 10-K.</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540" w:right="20"/>
        <w:spacing w:after="0" w:line="286"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 These industry cycles are difficult to predict and in recent years have become more volatile and, in certain cases, shorter in duration. Because the industry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78" w:lineRule="exact"/>
        <w:rPr>
          <w:sz w:val="20"/>
          <w:szCs w:val="20"/>
          <w:color w:val="auto"/>
        </w:rPr>
      </w:pPr>
    </w:p>
    <w:p>
      <w:pPr>
        <w:ind w:left="540" w:right="40"/>
        <w:spacing w:after="0" w:line="288" w:lineRule="auto"/>
        <w:rPr>
          <w:sz w:val="20"/>
          <w:szCs w:val="20"/>
          <w:color w:val="auto"/>
        </w:rPr>
      </w:pPr>
      <w:r>
        <w:rPr>
          <w:rFonts w:ascii="Arial" w:cs="Arial" w:eastAsia="Arial" w:hAnsi="Arial"/>
          <w:sz w:val="16"/>
          <w:szCs w:val="16"/>
          <w:color w:val="auto"/>
        </w:rPr>
        <w:t>We believe that purchases of most of our products are typically made from semiconductor manufacturers' capital expenditure budgets. Certain portions of our business, however, are generally less dependent upon the capital expenditure budgets of the end users. For example, purchases of certain related ATE interface products, such as sockets and interface boards, which must be replaced periodically, are typically made from the end users' operating budgets. In addition, purchases of certain of our products, such as docking hardware, for the purpose of upgrading or improving the utilization, performance and efficiency of existing ATE, tend to be counter cyclical to sales of new ATE. Moreover, we believe a portion of our sales of thermal products results from the increasing need for temperature testing of circuit boards and specialized components that do not have the design or quantity to be tested in an electronic device handler. In addition, we market our Thermostream temperature management systems in industries outside the semiconductor test industry, such as the automotive, consumer electronics, defense/aerospace, energy and telecommunications industries. We believe that these industries usually are less cyclical than the ATE industry.</w:t>
      </w:r>
    </w:p>
    <w:p>
      <w:pPr>
        <w:spacing w:after="0" w:line="174" w:lineRule="exact"/>
        <w:rPr>
          <w:sz w:val="20"/>
          <w:szCs w:val="20"/>
          <w:color w:val="auto"/>
        </w:rPr>
      </w:pPr>
    </w:p>
    <w:p>
      <w:pPr>
        <w:ind w:left="540" w:right="160"/>
        <w:spacing w:after="0" w:line="291"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changes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industry,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smaller quantities (which prevents us from acquiring component materials in larger volumes at lower cost and increasing unit costs), (ii) the practice of OEM manufacturers to specify other suppliers as primary vendors, with less frequent opportunities to compete for such designations, (iii) the role of third-party test and assembly houses in the ATE market and their requirement of products with a greater range of use at the lowest cost, (iv) customer supply chain management groups demanding lower prices and spreading purchases across multiple vendors, and (v) certain competitors aggressively reducing their products' sales prices (causing us to either reduce our products' sales price to be successful in obtaining the sale or causing loss of the sale). These shifts in market practices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ectPr>
          <w:pgSz w:w="11900" w:h="16838" w:orient="portrait"/>
          <w:cols w:equalWidth="0" w:num="1">
            <w:col w:w="11400"/>
          </w:cols>
          <w:pgMar w:left="240" w:top="523" w:right="259" w:bottom="0" w:gutter="0" w:footer="0" w:header="0"/>
        </w:sectPr>
      </w:pPr>
    </w:p>
    <w:bookmarkStart w:id="15" w:name="page16"/>
    <w:bookmarkEnd w:id="15"/>
    <w:p>
      <w:pPr>
        <w:ind w:left="540"/>
        <w:spacing w:after="0"/>
        <w:rPr>
          <w:sz w:val="20"/>
          <w:szCs w:val="20"/>
          <w:color w:val="auto"/>
        </w:rPr>
      </w:pPr>
      <w:r>
        <w:rPr>
          <w:rFonts w:ascii="Arial" w:cs="Arial" w:eastAsia="Arial" w:hAnsi="Arial"/>
          <w:sz w:val="18"/>
          <w:szCs w:val="18"/>
          <w:i w:val="1"/>
          <w:iCs w:val="1"/>
          <w:u w:val="single" w:color="auto"/>
          <w:color w:val="auto"/>
        </w:rPr>
        <w:t>Net Revenues and Orders</w:t>
      </w:r>
    </w:p>
    <w:p>
      <w:pPr>
        <w:spacing w:after="0" w:line="225" w:lineRule="exact"/>
        <w:rPr>
          <w:sz w:val="20"/>
          <w:szCs w:val="20"/>
          <w:color w:val="auto"/>
        </w:rPr>
      </w:pPr>
    </w:p>
    <w:p>
      <w:pPr>
        <w:ind w:left="540" w:right="560"/>
        <w:spacing w:after="0" w:line="268" w:lineRule="auto"/>
        <w:rPr>
          <w:sz w:val="20"/>
          <w:szCs w:val="20"/>
          <w:color w:val="auto"/>
        </w:rPr>
      </w:pPr>
      <w:r>
        <w:rPr>
          <w:rFonts w:ascii="Arial" w:cs="Arial" w:eastAsia="Arial" w:hAnsi="Arial"/>
          <w:sz w:val="18"/>
          <w:szCs w:val="18"/>
          <w:color w:val="auto"/>
        </w:rPr>
        <w:t>The following table sets forth, for the periods indicated, a breakdown of the net revenues from unaffiliated customers both by product segment and geographic area (based on the location to which the goods are shipped).</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00"/>
        <w:spacing w:after="0"/>
        <w:rPr>
          <w:sz w:val="20"/>
          <w:szCs w:val="20"/>
          <w:color w:val="auto"/>
        </w:rPr>
      </w:pPr>
      <w:r>
        <w:rPr>
          <w:rFonts w:ascii="Arial" w:cs="Arial" w:eastAsia="Arial" w:hAnsi="Arial"/>
          <w:sz w:val="15"/>
          <w:szCs w:val="15"/>
          <w:b w:val="1"/>
          <w:bCs w:val="1"/>
          <w:i w:val="1"/>
          <w:iCs w:val="1"/>
          <w:color w:val="auto"/>
        </w:rPr>
        <w:t>Net revenues from unaffiliated customers: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i w:val="1"/>
                <w:iCs w:val="1"/>
                <w:color w:val="auto"/>
              </w:rPr>
              <w:t>(in 000's)</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6"/>
        </w:trPr>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tcBorders>
              <w:bottom w:val="single" w:sz="8" w:color="auto"/>
            </w:tcBorders>
            <w:gridSpan w:val="8"/>
          </w:tcPr>
          <w:p>
            <w:pPr>
              <w:ind w:left="140"/>
              <w:spacing w:after="0" w:line="155" w:lineRule="exact"/>
              <w:rPr>
                <w:sz w:val="20"/>
                <w:szCs w:val="20"/>
                <w:color w:val="auto"/>
              </w:rPr>
            </w:pPr>
            <w:r>
              <w:rPr>
                <w:rFonts w:ascii="Arial" w:cs="Arial" w:eastAsia="Arial" w:hAnsi="Arial"/>
                <w:sz w:val="14"/>
                <w:szCs w:val="14"/>
                <w:b w:val="1"/>
                <w:bCs w:val="1"/>
                <w:i w:val="1"/>
                <w:iCs w:val="1"/>
                <w:color w:val="auto"/>
                <w:w w:val="93"/>
              </w:rPr>
              <w:t>Three Months Ended</w:t>
            </w:r>
          </w:p>
        </w:tc>
        <w:tc>
          <w:tcPr>
            <w:tcW w:w="420" w:type="dxa"/>
            <w:vAlign w:val="bottom"/>
            <w:gridSpan w:val="2"/>
          </w:tcPr>
          <w:p>
            <w:pPr>
              <w:spacing w:after="0"/>
              <w:rPr>
                <w:sz w:val="13"/>
                <w:szCs w:val="13"/>
                <w:color w:val="auto"/>
              </w:rPr>
            </w:pPr>
          </w:p>
        </w:tc>
        <w:tc>
          <w:tcPr>
            <w:tcW w:w="1120" w:type="dxa"/>
            <w:vAlign w:val="bottom"/>
            <w:tcBorders>
              <w:bottom w:val="single" w:sz="8" w:color="auto"/>
            </w:tcBorders>
            <w:gridSpan w:val="7"/>
          </w:tcPr>
          <w:p>
            <w:pPr>
              <w:jc w:val="center"/>
              <w:spacing w:after="0" w:line="155" w:lineRule="exact"/>
              <w:rPr>
                <w:sz w:val="20"/>
                <w:szCs w:val="20"/>
                <w:color w:val="auto"/>
              </w:rPr>
            </w:pPr>
            <w:r>
              <w:rPr>
                <w:rFonts w:ascii="Arial" w:cs="Arial" w:eastAsia="Arial" w:hAnsi="Arial"/>
                <w:sz w:val="14"/>
                <w:szCs w:val="14"/>
                <w:b w:val="1"/>
                <w:bCs w:val="1"/>
                <w:i w:val="1"/>
                <w:iCs w:val="1"/>
                <w:color w:val="auto"/>
                <w:w w:val="85"/>
              </w:rPr>
              <w:t>Nine Months Ended</w:t>
            </w:r>
          </w:p>
        </w:tc>
      </w:tr>
      <w:tr>
        <w:trPr>
          <w:trHeight w:val="156"/>
        </w:trPr>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4"/>
          </w:tcPr>
          <w:p>
            <w:pPr>
              <w:ind w:left="100"/>
              <w:spacing w:after="0" w:line="155" w:lineRule="exact"/>
              <w:rPr>
                <w:sz w:val="20"/>
                <w:szCs w:val="20"/>
                <w:color w:val="auto"/>
              </w:rPr>
            </w:pPr>
            <w:r>
              <w:rPr>
                <w:rFonts w:ascii="Arial" w:cs="Arial" w:eastAsia="Arial" w:hAnsi="Arial"/>
                <w:sz w:val="14"/>
                <w:szCs w:val="14"/>
                <w:b w:val="1"/>
                <w:bCs w:val="1"/>
                <w:i w:val="1"/>
                <w:iCs w:val="1"/>
                <w:color w:val="auto"/>
              </w:rPr>
              <w:t>Sept. 30,</w:t>
            </w:r>
          </w:p>
        </w:tc>
        <w:tc>
          <w:tcPr>
            <w:tcW w:w="280" w:type="dxa"/>
            <w:vAlign w:val="bottom"/>
            <w:gridSpan w:val="2"/>
          </w:tcPr>
          <w:p>
            <w:pPr>
              <w:spacing w:after="0"/>
              <w:rPr>
                <w:sz w:val="13"/>
                <w:szCs w:val="13"/>
                <w:color w:val="auto"/>
              </w:rPr>
            </w:pPr>
          </w:p>
        </w:tc>
        <w:tc>
          <w:tcPr>
            <w:tcW w:w="860" w:type="dxa"/>
            <w:vAlign w:val="bottom"/>
            <w:gridSpan w:val="4"/>
          </w:tcPr>
          <w:p>
            <w:pPr>
              <w:spacing w:after="0" w:line="155" w:lineRule="exact"/>
              <w:rPr>
                <w:sz w:val="20"/>
                <w:szCs w:val="20"/>
                <w:color w:val="auto"/>
              </w:rPr>
            </w:pPr>
            <w:r>
              <w:rPr>
                <w:rFonts w:ascii="Arial" w:cs="Arial" w:eastAsia="Arial" w:hAnsi="Arial"/>
                <w:sz w:val="14"/>
                <w:szCs w:val="14"/>
                <w:b w:val="1"/>
                <w:bCs w:val="1"/>
                <w:i w:val="1"/>
                <w:iCs w:val="1"/>
                <w:color w:val="auto"/>
              </w:rPr>
              <w:t>June 30,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5"/>
          </w:tcPr>
          <w:p>
            <w:pPr>
              <w:jc w:val="center"/>
              <w:ind w:right="160"/>
              <w:spacing w:after="0" w:line="155" w:lineRule="exact"/>
              <w:rPr>
                <w:sz w:val="20"/>
                <w:szCs w:val="20"/>
                <w:color w:val="auto"/>
              </w:rPr>
            </w:pPr>
            <w:r>
              <w:rPr>
                <w:rFonts w:ascii="Arial" w:cs="Arial" w:eastAsia="Arial" w:hAnsi="Arial"/>
                <w:sz w:val="14"/>
                <w:szCs w:val="14"/>
                <w:b w:val="1"/>
                <w:bCs w:val="1"/>
                <w:i w:val="1"/>
                <w:iCs w:val="1"/>
                <w:color w:val="auto"/>
                <w:w w:val="83"/>
              </w:rPr>
              <w:t>Sept. 30,</w:t>
            </w:r>
          </w:p>
        </w:tc>
      </w:tr>
      <w:tr>
        <w:trPr>
          <w:trHeight w:val="20"/>
        </w:trPr>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2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w w:val="76"/>
              </w:rPr>
              <w:t>2013</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2012</w:t>
            </w:r>
          </w:p>
        </w:tc>
        <w:tc>
          <w:tcPr>
            <w:tcW w:w="200" w:type="dxa"/>
            <w:vAlign w:val="bottom"/>
          </w:tcPr>
          <w:p>
            <w:pPr>
              <w:spacing w:after="0"/>
              <w:rPr>
                <w:sz w:val="13"/>
                <w:szCs w:val="13"/>
                <w:color w:val="auto"/>
              </w:rPr>
            </w:pPr>
          </w:p>
        </w:tc>
        <w:tc>
          <w:tcPr>
            <w:tcW w:w="4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2013</w:t>
            </w:r>
          </w:p>
        </w:tc>
        <w:tc>
          <w:tcPr>
            <w:tcW w:w="380" w:type="dxa"/>
            <w:vAlign w:val="bottom"/>
          </w:tcPr>
          <w:p>
            <w:pPr>
              <w:spacing w:after="0"/>
              <w:rPr>
                <w:sz w:val="13"/>
                <w:szCs w:val="13"/>
                <w:color w:val="auto"/>
              </w:rPr>
            </w:pPr>
          </w:p>
        </w:tc>
        <w:tc>
          <w:tcPr>
            <w:tcW w:w="3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2013</w:t>
            </w:r>
          </w:p>
        </w:tc>
        <w:tc>
          <w:tcPr>
            <w:tcW w:w="100" w:type="dxa"/>
            <w:vAlign w:val="bottom"/>
          </w:tcPr>
          <w:p>
            <w:pPr>
              <w:spacing w:after="0"/>
              <w:rPr>
                <w:sz w:val="13"/>
                <w:szCs w:val="13"/>
                <w:color w:val="auto"/>
              </w:rPr>
            </w:pPr>
          </w:p>
        </w:tc>
        <w:tc>
          <w:tcPr>
            <w:tcW w:w="5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140" w:type="dxa"/>
            <w:vAlign w:val="bottom"/>
          </w:tcPr>
          <w:p>
            <w:pPr>
              <w:spacing w:after="0"/>
              <w:rPr>
                <w:sz w:val="13"/>
                <w:szCs w:val="13"/>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4400" w:space="720"/>
            <w:col w:w="6300"/>
          </w:cols>
          <w:pgMar w:left="240" w:top="131" w:right="239" w:bottom="0" w:gutter="0" w:footer="0" w:header="0"/>
          <w:type w:val="continuous"/>
        </w:sectPr>
      </w:pPr>
    </w:p>
    <w:p>
      <w:pPr>
        <w:spacing w:after="0" w:line="87"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Thermal Products</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$ 5,844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6,037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5,772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17,514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$18,651</w:t>
            </w:r>
          </w:p>
        </w:tc>
      </w:tr>
      <w:tr>
        <w:trPr>
          <w:trHeight w:val="459"/>
        </w:trPr>
        <w:tc>
          <w:tcPr>
            <w:tcW w:w="3900" w:type="dxa"/>
            <w:vAlign w:val="bottom"/>
          </w:tcPr>
          <w:p>
            <w:pPr>
              <w:spacing w:after="0"/>
              <w:rPr>
                <w:sz w:val="20"/>
                <w:szCs w:val="20"/>
                <w:color w:val="auto"/>
              </w:rPr>
            </w:pPr>
            <w:r>
              <w:rPr>
                <w:rFonts w:ascii="Arial" w:cs="Arial" w:eastAsia="Arial" w:hAnsi="Arial"/>
                <w:sz w:val="18"/>
                <w:szCs w:val="18"/>
                <w:color w:val="auto"/>
              </w:rPr>
              <w:t>Mechanical Products</w:t>
            </w:r>
          </w:p>
        </w:tc>
        <w:tc>
          <w:tcPr>
            <w:tcW w:w="520" w:type="dxa"/>
            <w:vAlign w:val="bottom"/>
          </w:tcPr>
          <w:p>
            <w:pPr>
              <w:jc w:val="right"/>
              <w:spacing w:after="0"/>
              <w:rPr>
                <w:sz w:val="20"/>
                <w:szCs w:val="20"/>
                <w:color w:val="auto"/>
              </w:rPr>
            </w:pPr>
            <w:r>
              <w:rPr>
                <w:rFonts w:ascii="Arial" w:cs="Arial" w:eastAsia="Arial" w:hAnsi="Arial"/>
                <w:sz w:val="18"/>
                <w:szCs w:val="18"/>
                <w:color w:val="auto"/>
              </w:rPr>
              <w:t>2,193</w:t>
            </w: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2,677</w:t>
            </w:r>
          </w:p>
        </w:tc>
        <w:tc>
          <w:tcPr>
            <w:tcW w:w="280" w:type="dxa"/>
            <w:vAlign w:val="bottom"/>
          </w:tcPr>
          <w:p>
            <w:pPr>
              <w:spacing w:after="0"/>
              <w:rPr>
                <w:sz w:val="24"/>
                <w:szCs w:val="2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3,798</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7,784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8,267</w:t>
            </w:r>
          </w:p>
        </w:tc>
      </w:tr>
      <w:tr>
        <w:trPr>
          <w:trHeight w:val="421"/>
        </w:trPr>
        <w:tc>
          <w:tcPr>
            <w:tcW w:w="3900" w:type="dxa"/>
            <w:vAlign w:val="bottom"/>
          </w:tcPr>
          <w:p>
            <w:pPr>
              <w:spacing w:after="0"/>
              <w:rPr>
                <w:sz w:val="20"/>
                <w:szCs w:val="20"/>
                <w:color w:val="auto"/>
              </w:rPr>
            </w:pPr>
            <w:r>
              <w:rPr>
                <w:rFonts w:ascii="Arial" w:cs="Arial" w:eastAsia="Arial" w:hAnsi="Arial"/>
                <w:sz w:val="18"/>
                <w:szCs w:val="18"/>
                <w:color w:val="auto"/>
              </w:rPr>
              <w:t>Electrical Products</w:t>
            </w:r>
          </w:p>
        </w:tc>
        <w:tc>
          <w:tcPr>
            <w:tcW w:w="520" w:type="dxa"/>
            <w:vAlign w:val="bottom"/>
          </w:tcPr>
          <w:p>
            <w:pPr>
              <w:jc w:val="right"/>
              <w:spacing w:after="0"/>
              <w:rPr>
                <w:sz w:val="20"/>
                <w:szCs w:val="20"/>
                <w:color w:val="auto"/>
              </w:rPr>
            </w:pPr>
            <w:r>
              <w:rPr>
                <w:rFonts w:ascii="Arial" w:cs="Arial" w:eastAsia="Arial" w:hAnsi="Arial"/>
                <w:sz w:val="18"/>
                <w:szCs w:val="18"/>
                <w:color w:val="auto"/>
              </w:rPr>
              <w:t>1,863</w:t>
            </w: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2,085</w:t>
            </w:r>
          </w:p>
        </w:tc>
        <w:tc>
          <w:tcPr>
            <w:tcW w:w="280" w:type="dxa"/>
            <w:vAlign w:val="bottom"/>
          </w:tcPr>
          <w:p>
            <w:pPr>
              <w:spacing w:after="0"/>
              <w:rPr>
                <w:sz w:val="24"/>
                <w:szCs w:val="2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1,648</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4,793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8,188</w:t>
            </w:r>
          </w:p>
        </w:tc>
      </w:tr>
      <w:tr>
        <w:trPr>
          <w:trHeight w:val="20"/>
        </w:trPr>
        <w:tc>
          <w:tcPr>
            <w:tcW w:w="39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439"/>
        </w:trPr>
        <w:tc>
          <w:tcPr>
            <w:tcW w:w="39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$ 9,900</w:t>
            </w:r>
          </w:p>
        </w:tc>
        <w:tc>
          <w:tcPr>
            <w:tcW w:w="18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10,799</w:t>
            </w:r>
          </w:p>
        </w:tc>
        <w:tc>
          <w:tcPr>
            <w:tcW w:w="28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11,218</w:t>
            </w:r>
          </w:p>
        </w:tc>
        <w:tc>
          <w:tcPr>
            <w:tcW w:w="14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30,091</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35,106</w:t>
            </w:r>
          </w:p>
        </w:tc>
      </w:tr>
      <w:tr>
        <w:trPr>
          <w:trHeight w:val="26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52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r>
      <w:tr>
        <w:trPr>
          <w:trHeight w:val="459"/>
        </w:trPr>
        <w:tc>
          <w:tcPr>
            <w:tcW w:w="3900" w:type="dxa"/>
            <w:vAlign w:val="bottom"/>
          </w:tcPr>
          <w:p>
            <w:pPr>
              <w:spacing w:after="0"/>
              <w:rPr>
                <w:sz w:val="20"/>
                <w:szCs w:val="20"/>
                <w:color w:val="auto"/>
              </w:rPr>
            </w:pPr>
            <w:r>
              <w:rPr>
                <w:rFonts w:ascii="Arial" w:cs="Arial" w:eastAsia="Arial" w:hAnsi="Arial"/>
                <w:sz w:val="18"/>
                <w:szCs w:val="18"/>
                <w:color w:val="auto"/>
              </w:rPr>
              <w:t>U.S.</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$ 3,098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4,123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3,504</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9,816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$12,052</w:t>
            </w:r>
          </w:p>
        </w:tc>
      </w:tr>
      <w:tr>
        <w:trPr>
          <w:trHeight w:val="421"/>
        </w:trPr>
        <w:tc>
          <w:tcPr>
            <w:tcW w:w="3900" w:type="dxa"/>
            <w:vAlign w:val="bottom"/>
          </w:tcPr>
          <w:p>
            <w:pPr>
              <w:spacing w:after="0"/>
              <w:rPr>
                <w:sz w:val="20"/>
                <w:szCs w:val="20"/>
                <w:color w:val="auto"/>
              </w:rPr>
            </w:pPr>
            <w:r>
              <w:rPr>
                <w:rFonts w:ascii="Arial" w:cs="Arial" w:eastAsia="Arial" w:hAnsi="Arial"/>
                <w:sz w:val="18"/>
                <w:szCs w:val="18"/>
                <w:color w:val="auto"/>
              </w:rPr>
              <w:t>Foreign</w:t>
            </w:r>
          </w:p>
        </w:tc>
        <w:tc>
          <w:tcPr>
            <w:tcW w:w="520" w:type="dxa"/>
            <w:vAlign w:val="bottom"/>
          </w:tcPr>
          <w:p>
            <w:pPr>
              <w:jc w:val="right"/>
              <w:spacing w:after="0"/>
              <w:rPr>
                <w:sz w:val="20"/>
                <w:szCs w:val="20"/>
                <w:color w:val="auto"/>
              </w:rPr>
            </w:pPr>
            <w:r>
              <w:rPr>
                <w:rFonts w:ascii="Arial" w:cs="Arial" w:eastAsia="Arial" w:hAnsi="Arial"/>
                <w:sz w:val="18"/>
                <w:szCs w:val="18"/>
                <w:color w:val="auto"/>
              </w:rPr>
              <w:t>6,802</w:t>
            </w: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6,676</w:t>
            </w:r>
          </w:p>
        </w:tc>
        <w:tc>
          <w:tcPr>
            <w:tcW w:w="280" w:type="dxa"/>
            <w:vAlign w:val="bottom"/>
          </w:tcPr>
          <w:p>
            <w:pPr>
              <w:spacing w:after="0"/>
              <w:rPr>
                <w:sz w:val="24"/>
                <w:szCs w:val="2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7,714</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20,275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23,054</w:t>
            </w:r>
          </w:p>
        </w:tc>
      </w:tr>
      <w:tr>
        <w:trPr>
          <w:trHeight w:val="20"/>
        </w:trPr>
        <w:tc>
          <w:tcPr>
            <w:tcW w:w="39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439"/>
        </w:trPr>
        <w:tc>
          <w:tcPr>
            <w:tcW w:w="39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$ 9,900</w:t>
            </w:r>
          </w:p>
        </w:tc>
        <w:tc>
          <w:tcPr>
            <w:tcW w:w="18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10,799</w:t>
            </w:r>
          </w:p>
        </w:tc>
        <w:tc>
          <w:tcPr>
            <w:tcW w:w="28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11,218</w:t>
            </w:r>
          </w:p>
        </w:tc>
        <w:tc>
          <w:tcPr>
            <w:tcW w:w="14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30,091</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35,106</w:t>
            </w:r>
          </w:p>
        </w:tc>
      </w:tr>
      <w:tr>
        <w:trPr>
          <w:trHeight w:val="20"/>
        </w:trPr>
        <w:tc>
          <w:tcPr>
            <w:tcW w:w="39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bl>
    <w:p>
      <w:pPr>
        <w:spacing w:after="0" w:line="397"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Our consolidated net revenues for the quarter ended September 30, 2013 decreased $899,000 or 8% as compared to the same period in 2012. For the quarter ended September 30, 2013, the net revenues of our Thermal, Mechanical and Electrical Products segments decreased $193,000 or 3%, $484,000 or 18% and $222,000 or 11%, respectively, as compared to the same period in 2012. Our consolidated net revenues for the quarter ended September 30, 2013 decreased $1.3 million or 12% as compared to the quarter ended June 30, 2013. The net revenues of our Thermal and Electrical Products segments increased $72,000 or 1% and $215,000 or 13%, respectively, for the third quarter of 2013 as compared to the second quarter of 2013, while the net revenues of our Mechanical Products segment decreased $1.6 million or 42% during this time period. Net revenues from customers in various industries outside of the ATE industry and those net revenues as a percentage of our total consolidated net revenues were $3.6 million or 37%, respectively, for the quarter ended September 30, 2013, compared to $2.5 million or 22%, respectively, for the quarter ended June 30, 2013, and $1.3 million or 12%, respectively, for the quarter ended September 30, 2012.</w:t>
      </w:r>
    </w:p>
    <w:p>
      <w:pPr>
        <w:spacing w:after="0" w:line="174"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We believe the decline in the level of net revenues for all of our product segments in the third quarter of 2013 as compared to the same period in 2012 primarily reflects reduced levels of demand within the ATE industry. We experienced a softening in demand during the third quarter of 2013 which became more pronounced as the quarter progressed. We currently expect this reduced level of demand to impact the level of both orders and shipments for all of our product segments in the fourth quarter of 2013.</w:t>
      </w:r>
    </w:p>
    <w:p>
      <w:pPr>
        <w:spacing w:after="0" w:line="197" w:lineRule="exact"/>
        <w:rPr>
          <w:sz w:val="20"/>
          <w:szCs w:val="20"/>
          <w:color w:val="auto"/>
        </w:rPr>
      </w:pPr>
    </w:p>
    <w:p>
      <w:pPr>
        <w:ind w:left="540" w:right="120"/>
        <w:spacing w:after="0" w:line="291" w:lineRule="auto"/>
        <w:rPr>
          <w:sz w:val="20"/>
          <w:szCs w:val="20"/>
          <w:color w:val="auto"/>
        </w:rPr>
      </w:pPr>
      <w:r>
        <w:rPr>
          <w:rFonts w:ascii="Arial" w:cs="Arial" w:eastAsia="Arial" w:hAnsi="Arial"/>
          <w:sz w:val="16"/>
          <w:szCs w:val="16"/>
          <w:color w:val="auto"/>
        </w:rPr>
        <w:t>The increase in the level of net revenues of our Thermal and Electrical Products segments for the third quarter of 2013 as compared to the second quarter of 2013 was due primarily to two factors: in our Thermal Products segment, this increase was due to a higher level of net revenues from the various industries outside of the ATE industry to which this segment sells, while in our Electrical Products segment, the increase was driven by significantly increased demand from one large OEM customer. These improvements in net revenues in the third quarter of 2013 as compared to the second quarter of 2013 were not large enough to offset the reduction in net revenues in our Mechanical Products segment, however, resulting in an overall decrease in our consolidated net revenues as compared to the second quarter of 2013.</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right="20"/>
        <w:spacing w:after="0" w:line="303" w:lineRule="auto"/>
        <w:rPr>
          <w:sz w:val="20"/>
          <w:szCs w:val="20"/>
          <w:color w:val="auto"/>
        </w:rPr>
      </w:pPr>
      <w:r>
        <w:rPr>
          <w:rFonts w:ascii="Arial" w:cs="Arial" w:eastAsia="Arial" w:hAnsi="Arial"/>
          <w:sz w:val="15"/>
          <w:szCs w:val="15"/>
          <w:color w:val="auto"/>
        </w:rPr>
        <w:t>We believe the decline in the net revenues of our Mechanical Products segment during the third quarter of 2013 as compared to the second quarter of 2013 reflects weakened demand for this segment's products. We believe this weakened demand is indicative not only of overall weakness in the ATE industry but also the increasing captive manufacturing of manipulators by some tester manufacturers. While this trend began several years ago, it is only since</w:t>
      </w:r>
    </w:p>
    <w:p>
      <w:pPr>
        <w:spacing w:after="0" w:line="1" w:lineRule="exact"/>
        <w:rPr>
          <w:sz w:val="20"/>
          <w:szCs w:val="20"/>
          <w:color w:val="auto"/>
        </w:rPr>
      </w:pPr>
    </w:p>
    <w:p>
      <w:pPr>
        <w:ind w:left="540" w:right="60"/>
        <w:spacing w:after="0" w:line="295" w:lineRule="auto"/>
        <w:rPr>
          <w:sz w:val="20"/>
          <w:szCs w:val="20"/>
          <w:color w:val="auto"/>
        </w:rPr>
      </w:pPr>
      <w:r>
        <w:rPr>
          <w:rFonts w:ascii="Arial" w:cs="Arial" w:eastAsia="Arial" w:hAnsi="Arial"/>
          <w:sz w:val="16"/>
          <w:szCs w:val="16"/>
          <w:color w:val="auto"/>
        </w:rPr>
        <w:t>2012 that these actions have begun to significantly reduce the size of the available market for non-captive manufactured manipulator products. We have seen a similar trend develop in the available market for docking hardware products as well, but to date, our net revenues for docking hardware products have not been as negatively affected as those of our manipulator products. We are currently exploring various options with the goal of both increasing our level of net revenues as well as reducing our overall level of variable and fixed costs for this product segment.</w:t>
      </w:r>
    </w:p>
    <w:p>
      <w:pPr>
        <w:spacing w:after="0" w:line="169" w:lineRule="exact"/>
        <w:rPr>
          <w:sz w:val="20"/>
          <w:szCs w:val="20"/>
          <w:color w:val="auto"/>
        </w:rPr>
      </w:pPr>
    </w:p>
    <w:p>
      <w:pPr>
        <w:ind w:left="540" w:right="60"/>
        <w:spacing w:after="0" w:line="289" w:lineRule="auto"/>
        <w:rPr>
          <w:sz w:val="20"/>
          <w:szCs w:val="20"/>
          <w:color w:val="auto"/>
        </w:rPr>
      </w:pPr>
      <w:r>
        <w:rPr>
          <w:rFonts w:ascii="Arial" w:cs="Arial" w:eastAsia="Arial" w:hAnsi="Arial"/>
          <w:sz w:val="16"/>
          <w:szCs w:val="16"/>
          <w:color w:val="auto"/>
        </w:rPr>
        <w:t>Total orders for the quarter ended September 30, 2013 were $10.4 million compared to $11.0 million for the quarter ended June 30, 2013 and $8.7 million for the quarter ended September 30, 2012. For the quarter ended September 30, 2013, orders for our Thermal, Mechanical and Electrical Products segments were $6.5 million, $1.8 million and $2.1 million, respectively, compared to $5.4 million, $3.7 million and $1.9 million for the quarter ended June 30, 2013, respectively, and $5.7 million, $1.7 million and $1.3 million for the quarter ended September 30, 2012, respectively. Orders from customers in various industries outside of the ATE industry and those orders as a percentage of our total consolidated orders were $3.8 million or 36%, respectively, for the quarter ended September 30, 2013, compared to $2.2 million or 20%, respectively, for the quarter ended June 30, 2013, and $1.6 million or 19%, respectively, for the quarter ended September 30, 2012.We cannot be certain what the level of our orders or net revenues will be in any future period for any of our product segments.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Backlog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At September 30, 2013, our backlog of unfilled orders for all products was approximately $3.2 million compared with approximately $2.7 million at June</w:t>
      </w:r>
    </w:p>
    <w:p>
      <w:pPr>
        <w:sectPr>
          <w:pgSz w:w="11900" w:h="16838" w:orient="portrait"/>
          <w:cols w:equalWidth="0" w:num="1">
            <w:col w:w="11420"/>
          </w:cols>
          <w:pgMar w:left="240" w:top="131" w:right="239" w:bottom="0" w:gutter="0" w:footer="0" w:header="0"/>
          <w:type w:val="continuous"/>
        </w:sectPr>
      </w:pPr>
    </w:p>
    <w:bookmarkStart w:id="16" w:name="page17"/>
    <w:bookmarkEnd w:id="16"/>
    <w:p>
      <w:pPr>
        <w:ind w:left="540" w:right="20"/>
        <w:spacing w:after="0" w:line="294" w:lineRule="auto"/>
        <w:rPr>
          <w:sz w:val="20"/>
          <w:szCs w:val="20"/>
          <w:color w:val="auto"/>
        </w:rPr>
      </w:pPr>
      <w:r>
        <w:rPr>
          <w:rFonts w:ascii="Arial" w:cs="Arial" w:eastAsia="Arial" w:hAnsi="Arial"/>
          <w:sz w:val="16"/>
          <w:szCs w:val="16"/>
          <w:color w:val="auto"/>
        </w:rPr>
        <w:t>30, 2013 and $3.2 million at September 30, 2012. Our backlog includes customer orders which we have accepted, substantially all of which we expect to deliver in 2013.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540" w:right="20"/>
        <w:spacing w:after="0" w:line="294" w:lineRule="auto"/>
        <w:rPr>
          <w:sz w:val="20"/>
          <w:szCs w:val="20"/>
          <w:color w:val="auto"/>
        </w:rPr>
      </w:pPr>
      <w:r>
        <w:rPr>
          <w:rFonts w:ascii="Arial" w:cs="Arial" w:eastAsia="Arial" w:hAnsi="Arial"/>
          <w:sz w:val="16"/>
          <w:szCs w:val="16"/>
          <w:color w:val="auto"/>
        </w:rPr>
        <w:t>Our three product segments each have multiple products that we design, manufacture and sell to our customers. The gross margin on each product we offer is affected by a number of factors including the amount of intellectual property (such as patents) utilized in the product, the number of units ordered by the customer at one time, and the amount of inTEST designed and fabricated material included in our product compared with the amount of third-party designed and fabricated material included in our product. The weight of each of these factors, as well as the current market conditions, determines the ultimate sales price we can obtain for our products and the resulting gross margin.</w:t>
      </w:r>
    </w:p>
    <w:p>
      <w:pPr>
        <w:spacing w:after="0" w:line="170"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94" w:lineRule="exact"/>
        <w:rPr>
          <w:sz w:val="20"/>
          <w:szCs w:val="20"/>
          <w:color w:val="auto"/>
        </w:rPr>
      </w:pPr>
    </w:p>
    <w:p>
      <w:pPr>
        <w:ind w:left="540" w:right="60"/>
        <w:spacing w:after="0" w:line="294" w:lineRule="auto"/>
        <w:rPr>
          <w:sz w:val="20"/>
          <w:szCs w:val="20"/>
          <w:color w:val="auto"/>
        </w:rPr>
      </w:pPr>
      <w:r>
        <w:rPr>
          <w:rFonts w:ascii="Arial" w:cs="Arial" w:eastAsia="Arial" w:hAnsi="Arial"/>
          <w:sz w:val="16"/>
          <w:szCs w:val="16"/>
          <w:color w:val="auto"/>
        </w:rPr>
        <w:t>We sell most of our products to semiconductor manufacturers and third-party test and assembly houses (end user sales) and to ATE manufacturers (OEM sales) who ultimately resell our equipment with theirs to semiconductor manufacturers. Our Thermal Products segment also sells into a variety of other industries including the automotive, consumer electronics, defense/aerospace, energy and telecommunications industries. The mix of customers during any given period will affect our gross margin due to differing sales discounts and commissions. For the nine months ended September 30, 2013 and 2012, our OEM sales as a percentage of net revenues were 11% and 16%, respectively.</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- 19 -</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chain managers to reduce our sales prices to them. If we cannot further reduce our manufacturing and operating costs, these pricing pressures will continue to reduce our gross and operating margins.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1" w:lineRule="exact"/>
        <w:rPr>
          <w:sz w:val="20"/>
          <w:szCs w:val="20"/>
          <w:color w:val="auto"/>
        </w:rPr>
      </w:pPr>
    </w:p>
    <w:p>
      <w:pPr>
        <w:ind w:left="540" w:right="140"/>
        <w:spacing w:after="0" w:line="256" w:lineRule="auto"/>
        <w:rPr>
          <w:sz w:val="20"/>
          <w:szCs w:val="20"/>
          <w:color w:val="auto"/>
        </w:rPr>
      </w:pPr>
      <w:r>
        <w:rPr>
          <w:rFonts w:ascii="Arial" w:cs="Arial" w:eastAsia="Arial" w:hAnsi="Arial"/>
          <w:sz w:val="18"/>
          <w:szCs w:val="18"/>
          <w:color w:val="auto"/>
        </w:rPr>
        <w:t>The results of operations for our three product segments are generally affected by the same factors. Separate discussions and analyses for each product segment would be repetitive and obscure any unique factors that affected the results of operations of our different product segments. The discussion and analysis that follows, therefore, is presented on a consolidated basis and includes discussion of factors unique to each product segment where significant to an understanding of that segment.</w:t>
      </w:r>
    </w:p>
    <w:p>
      <w:pPr>
        <w:spacing w:after="0" w:line="197" w:lineRule="exact"/>
        <w:rPr>
          <w:sz w:val="20"/>
          <w:szCs w:val="20"/>
          <w:color w:val="auto"/>
        </w:rPr>
      </w:pPr>
    </w:p>
    <w:p>
      <w:pPr>
        <w:ind w:left="540" w:right="40"/>
        <w:spacing w:after="0" w:line="268" w:lineRule="auto"/>
        <w:rPr>
          <w:sz w:val="20"/>
          <w:szCs w:val="20"/>
          <w:color w:val="auto"/>
        </w:rPr>
      </w:pPr>
      <w:r>
        <w:rPr>
          <w:rFonts w:ascii="Arial" w:cs="Arial" w:eastAsia="Arial" w:hAnsi="Arial"/>
          <w:sz w:val="18"/>
          <w:szCs w:val="18"/>
          <w:color w:val="auto"/>
        </w:rPr>
        <w:t>The following table sets forth, for the periods indicated, the principal items included in the Consolidated Statements of Operations as a percentage of total net revenues.</w:t>
      </w:r>
    </w:p>
    <w:p>
      <w:pPr>
        <w:spacing w:after="0" w:line="14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16"/>
          </w:tcPr>
          <w:p>
            <w:pPr>
              <w:jc w:val="right"/>
              <w:ind w:right="440"/>
              <w:spacing w:after="0"/>
              <w:rPr>
                <w:sz w:val="20"/>
                <w:szCs w:val="20"/>
                <w:color w:val="auto"/>
              </w:rPr>
            </w:pPr>
            <w:r>
              <w:rPr>
                <w:rFonts w:ascii="Arial" w:cs="Arial" w:eastAsia="Arial" w:hAnsi="Arial"/>
                <w:sz w:val="14"/>
                <w:szCs w:val="14"/>
                <w:b w:val="1"/>
                <w:bCs w:val="1"/>
                <w:i w:val="1"/>
                <w:iCs w:val="1"/>
                <w:color w:val="auto"/>
                <w:w w:val="90"/>
              </w:rPr>
              <w:t>Percentage of Net Revenues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440" w:type="dxa"/>
            <w:vAlign w:val="bottom"/>
          </w:tcPr>
          <w:p>
            <w:pPr>
              <w:spacing w:after="0"/>
              <w:rPr>
                <w:sz w:val="13"/>
                <w:szCs w:val="13"/>
                <w:color w:val="auto"/>
              </w:rPr>
            </w:pPr>
          </w:p>
        </w:tc>
        <w:tc>
          <w:tcPr>
            <w:tcW w:w="1840" w:type="dxa"/>
            <w:vAlign w:val="bottom"/>
            <w:gridSpan w:val="15"/>
          </w:tcPr>
          <w:p>
            <w:pPr>
              <w:jc w:val="right"/>
              <w:ind w:right="300"/>
              <w:spacing w:after="0" w:line="155" w:lineRule="exact"/>
              <w:rPr>
                <w:sz w:val="20"/>
                <w:szCs w:val="20"/>
                <w:color w:val="auto"/>
              </w:rPr>
            </w:pPr>
            <w:r>
              <w:rPr>
                <w:rFonts w:ascii="Arial" w:cs="Arial" w:eastAsia="Arial" w:hAnsi="Arial"/>
                <w:sz w:val="14"/>
                <w:szCs w:val="14"/>
                <w:b w:val="1"/>
                <w:bCs w:val="1"/>
                <w:i w:val="1"/>
                <w:iCs w:val="1"/>
                <w:color w:val="auto"/>
                <w:w w:val="91"/>
              </w:rPr>
              <w:t>Quarters Ended Sept. 30,</w:t>
            </w:r>
          </w:p>
        </w:tc>
        <w:tc>
          <w:tcPr>
            <w:tcW w:w="1940" w:type="dxa"/>
            <w:vAlign w:val="bottom"/>
            <w:gridSpan w:val="15"/>
          </w:tcPr>
          <w:p>
            <w:pPr>
              <w:jc w:val="right"/>
              <w:ind w:right="160"/>
              <w:spacing w:after="0" w:line="155" w:lineRule="exact"/>
              <w:rPr>
                <w:sz w:val="20"/>
                <w:szCs w:val="20"/>
                <w:color w:val="auto"/>
              </w:rPr>
            </w:pPr>
            <w:r>
              <w:rPr>
                <w:rFonts w:ascii="Arial" w:cs="Arial" w:eastAsia="Arial" w:hAnsi="Arial"/>
                <w:sz w:val="14"/>
                <w:szCs w:val="14"/>
                <w:b w:val="1"/>
                <w:bCs w:val="1"/>
                <w:i w:val="1"/>
                <w:iCs w:val="1"/>
                <w:color w:val="auto"/>
                <w:w w:val="91"/>
              </w:rPr>
              <w:t>Nine Months Ended Sept. 30,</w:t>
            </w:r>
          </w:p>
        </w:tc>
      </w:tr>
      <w:tr>
        <w:trPr>
          <w:trHeight w:val="156"/>
        </w:trPr>
        <w:tc>
          <w:tcPr>
            <w:tcW w:w="3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2013</w:t>
            </w:r>
          </w:p>
        </w:tc>
        <w:tc>
          <w:tcPr>
            <w:tcW w:w="1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2012</w:t>
            </w:r>
          </w:p>
        </w:tc>
        <w:tc>
          <w:tcPr>
            <w:tcW w:w="1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2013</w:t>
            </w: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2012</w:t>
            </w:r>
          </w:p>
        </w:tc>
        <w:tc>
          <w:tcPr>
            <w:tcW w:w="1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5"/>
        </w:trPr>
        <w:tc>
          <w:tcPr>
            <w:tcW w:w="3440" w:type="dxa"/>
            <w:vAlign w:val="bottom"/>
          </w:tcPr>
          <w:p>
            <w:pPr>
              <w:spacing w:after="0"/>
              <w:rPr>
                <w:sz w:val="20"/>
                <w:szCs w:val="20"/>
                <w:color w:val="auto"/>
              </w:rPr>
            </w:pPr>
            <w:r>
              <w:rPr>
                <w:rFonts w:ascii="Arial" w:cs="Arial" w:eastAsia="Arial" w:hAnsi="Arial"/>
                <w:sz w:val="18"/>
                <w:szCs w:val="18"/>
                <w:color w:val="auto"/>
              </w:rPr>
              <w:t>Net revenues</w:t>
            </w:r>
          </w:p>
        </w:tc>
        <w:tc>
          <w:tcPr>
            <w:tcW w:w="940" w:type="dxa"/>
            <w:vAlign w:val="bottom"/>
            <w:gridSpan w:val="7"/>
          </w:tcPr>
          <w:p>
            <w:pPr>
              <w:jc w:val="right"/>
              <w:ind w:right="160"/>
              <w:spacing w:after="0"/>
              <w:rPr>
                <w:sz w:val="20"/>
                <w:szCs w:val="20"/>
                <w:color w:val="auto"/>
              </w:rPr>
            </w:pPr>
            <w:r>
              <w:rPr>
                <w:rFonts w:ascii="Arial" w:cs="Arial" w:eastAsia="Arial" w:hAnsi="Arial"/>
                <w:sz w:val="18"/>
                <w:szCs w:val="18"/>
                <w:color w:val="auto"/>
              </w:rPr>
              <w:t>100.0%</w:t>
            </w:r>
          </w:p>
        </w:tc>
        <w:tc>
          <w:tcPr>
            <w:tcW w:w="900" w:type="dxa"/>
            <w:vAlign w:val="bottom"/>
            <w:gridSpan w:val="8"/>
          </w:tcPr>
          <w:p>
            <w:pPr>
              <w:jc w:val="right"/>
              <w:ind w:right="140"/>
              <w:spacing w:after="0"/>
              <w:rPr>
                <w:sz w:val="20"/>
                <w:szCs w:val="20"/>
                <w:color w:val="auto"/>
              </w:rPr>
            </w:pPr>
            <w:r>
              <w:rPr>
                <w:rFonts w:ascii="Arial" w:cs="Arial" w:eastAsia="Arial" w:hAnsi="Arial"/>
                <w:sz w:val="18"/>
                <w:szCs w:val="18"/>
                <w:color w:val="auto"/>
              </w:rPr>
              <w:t>100.0%</w:t>
            </w:r>
          </w:p>
        </w:tc>
        <w:tc>
          <w:tcPr>
            <w:tcW w:w="1280" w:type="dxa"/>
            <w:vAlign w:val="bottom"/>
            <w:gridSpan w:val="8"/>
          </w:tcPr>
          <w:p>
            <w:pPr>
              <w:jc w:val="right"/>
              <w:ind w:right="340"/>
              <w:spacing w:after="0"/>
              <w:rPr>
                <w:sz w:val="20"/>
                <w:szCs w:val="20"/>
                <w:color w:val="auto"/>
              </w:rPr>
            </w:pPr>
            <w:r>
              <w:rPr>
                <w:rFonts w:ascii="Arial" w:cs="Arial" w:eastAsia="Arial" w:hAnsi="Arial"/>
                <w:sz w:val="18"/>
                <w:szCs w:val="18"/>
                <w:color w:val="auto"/>
              </w:rPr>
              <w:t>100.0%</w:t>
            </w:r>
          </w:p>
        </w:tc>
        <w:tc>
          <w:tcPr>
            <w:tcW w:w="660" w:type="dxa"/>
            <w:vAlign w:val="bottom"/>
            <w:gridSpan w:val="7"/>
          </w:tcPr>
          <w:p>
            <w:pPr>
              <w:jc w:val="right"/>
              <w:spacing w:after="0"/>
              <w:rPr>
                <w:sz w:val="20"/>
                <w:szCs w:val="20"/>
                <w:color w:val="auto"/>
              </w:rPr>
            </w:pPr>
            <w:r>
              <w:rPr>
                <w:rFonts w:ascii="Arial" w:cs="Arial" w:eastAsia="Arial" w:hAnsi="Arial"/>
                <w:sz w:val="18"/>
                <w:szCs w:val="18"/>
                <w:color w:val="auto"/>
              </w:rPr>
              <w:t>100.0%</w:t>
            </w:r>
          </w:p>
        </w:tc>
      </w:tr>
      <w:tr>
        <w:trPr>
          <w:trHeight w:val="421"/>
        </w:trPr>
        <w:tc>
          <w:tcPr>
            <w:tcW w:w="3440" w:type="dxa"/>
            <w:vAlign w:val="bottom"/>
          </w:tcPr>
          <w:p>
            <w:pPr>
              <w:spacing w:after="0"/>
              <w:rPr>
                <w:sz w:val="20"/>
                <w:szCs w:val="20"/>
                <w:color w:val="auto"/>
              </w:rPr>
            </w:pPr>
            <w:r>
              <w:rPr>
                <w:rFonts w:ascii="Arial" w:cs="Arial" w:eastAsia="Arial" w:hAnsi="Arial"/>
                <w:sz w:val="18"/>
                <w:szCs w:val="18"/>
                <w:color w:val="auto"/>
              </w:rPr>
              <w:t>Cost of revenues</w:t>
            </w:r>
          </w:p>
        </w:tc>
        <w:tc>
          <w:tcPr>
            <w:tcW w:w="260" w:type="dxa"/>
            <w:vAlign w:val="bottom"/>
            <w:gridSpan w:val="3"/>
          </w:tcPr>
          <w:p>
            <w:pPr>
              <w:spacing w:after="0"/>
              <w:rPr>
                <w:sz w:val="24"/>
                <w:szCs w:val="24"/>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52.</w:t>
            </w:r>
            <w:r>
              <w:rPr>
                <w:rFonts w:ascii="Arial" w:cs="Arial" w:eastAsia="Arial" w:hAnsi="Arial"/>
                <w:sz w:val="18"/>
                <w:szCs w:val="18"/>
                <w:u w:val="single" w:color="auto"/>
                <w:color w:val="auto"/>
              </w:rPr>
              <w:t>0</w:t>
            </w:r>
          </w:p>
        </w:tc>
        <w:tc>
          <w:tcPr>
            <w:tcW w:w="28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4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55.9</w:t>
            </w:r>
          </w:p>
        </w:tc>
        <w:tc>
          <w:tcPr>
            <w:tcW w:w="260" w:type="dxa"/>
            <w:vAlign w:val="bottom"/>
          </w:tcPr>
          <w:p>
            <w:pPr>
              <w:spacing w:after="0"/>
              <w:rPr>
                <w:sz w:val="24"/>
                <w:szCs w:val="24"/>
                <w:color w:val="auto"/>
              </w:rPr>
            </w:pPr>
          </w:p>
        </w:tc>
        <w:tc>
          <w:tcPr>
            <w:tcW w:w="420" w:type="dxa"/>
            <w:vAlign w:val="bottom"/>
            <w:gridSpan w:val="3"/>
          </w:tcPr>
          <w:p>
            <w:pPr>
              <w:spacing w:after="0"/>
              <w:rPr>
                <w:sz w:val="24"/>
                <w:szCs w:val="24"/>
                <w:color w:val="auto"/>
              </w:rPr>
            </w:pPr>
          </w:p>
        </w:tc>
        <w:tc>
          <w:tcPr>
            <w:tcW w:w="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52.</w:t>
            </w:r>
            <w:r>
              <w:rPr>
                <w:rFonts w:ascii="Arial" w:cs="Arial" w:eastAsia="Arial" w:hAnsi="Arial"/>
                <w:sz w:val="18"/>
                <w:szCs w:val="18"/>
                <w:u w:val="single" w:color="auto"/>
                <w:color w:val="auto"/>
              </w:rPr>
              <w:t>4</w:t>
            </w:r>
          </w:p>
        </w:tc>
        <w:tc>
          <w:tcPr>
            <w:tcW w:w="46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4"/>
                <w:szCs w:val="24"/>
                <w:color w:val="auto"/>
              </w:rPr>
            </w:pPr>
          </w:p>
        </w:tc>
      </w:tr>
      <w:tr>
        <w:trPr>
          <w:trHeight w:val="439"/>
        </w:trPr>
        <w:tc>
          <w:tcPr>
            <w:tcW w:w="3440" w:type="dxa"/>
            <w:vAlign w:val="bottom"/>
          </w:tcPr>
          <w:p>
            <w:pPr>
              <w:spacing w:after="0"/>
              <w:rPr>
                <w:sz w:val="20"/>
                <w:szCs w:val="20"/>
                <w:color w:val="auto"/>
              </w:rPr>
            </w:pPr>
            <w:r>
              <w:rPr>
                <w:rFonts w:ascii="Arial" w:cs="Arial" w:eastAsia="Arial" w:hAnsi="Arial"/>
                <w:sz w:val="18"/>
                <w:szCs w:val="18"/>
                <w:color w:val="auto"/>
              </w:rPr>
              <w:t>Gross margin</w:t>
            </w:r>
          </w:p>
        </w:tc>
        <w:tc>
          <w:tcPr>
            <w:tcW w:w="260" w:type="dxa"/>
            <w:vAlign w:val="bottom"/>
            <w:gridSpan w:val="3"/>
          </w:tcPr>
          <w:p>
            <w:pPr>
              <w:spacing w:after="0"/>
              <w:rPr>
                <w:sz w:val="24"/>
                <w:szCs w:val="24"/>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48.</w:t>
            </w:r>
            <w:r>
              <w:rPr>
                <w:rFonts w:ascii="Arial" w:cs="Arial" w:eastAsia="Arial" w:hAnsi="Arial"/>
                <w:sz w:val="18"/>
                <w:szCs w:val="18"/>
                <w:u w:val="single" w:color="auto"/>
                <w:color w:val="auto"/>
              </w:rPr>
              <w:t>0</w:t>
            </w:r>
          </w:p>
        </w:tc>
        <w:tc>
          <w:tcPr>
            <w:tcW w:w="28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4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44.1</w:t>
            </w:r>
          </w:p>
        </w:tc>
        <w:tc>
          <w:tcPr>
            <w:tcW w:w="260" w:type="dxa"/>
            <w:vAlign w:val="bottom"/>
          </w:tcPr>
          <w:p>
            <w:pPr>
              <w:spacing w:after="0"/>
              <w:rPr>
                <w:sz w:val="24"/>
                <w:szCs w:val="24"/>
                <w:color w:val="auto"/>
              </w:rPr>
            </w:pPr>
          </w:p>
        </w:tc>
        <w:tc>
          <w:tcPr>
            <w:tcW w:w="420" w:type="dxa"/>
            <w:vAlign w:val="bottom"/>
            <w:gridSpan w:val="3"/>
          </w:tcPr>
          <w:p>
            <w:pPr>
              <w:spacing w:after="0"/>
              <w:rPr>
                <w:sz w:val="24"/>
                <w:szCs w:val="24"/>
                <w:color w:val="auto"/>
              </w:rPr>
            </w:pPr>
          </w:p>
        </w:tc>
        <w:tc>
          <w:tcPr>
            <w:tcW w:w="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47.</w:t>
            </w:r>
            <w:r>
              <w:rPr>
                <w:rFonts w:ascii="Arial" w:cs="Arial" w:eastAsia="Arial" w:hAnsi="Arial"/>
                <w:sz w:val="18"/>
                <w:szCs w:val="18"/>
                <w:u w:val="single" w:color="auto"/>
                <w:color w:val="auto"/>
              </w:rPr>
              <w:t>6</w:t>
            </w:r>
          </w:p>
        </w:tc>
        <w:tc>
          <w:tcPr>
            <w:tcW w:w="46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4"/>
                <w:szCs w:val="24"/>
                <w:color w:val="auto"/>
              </w:rPr>
            </w:pPr>
          </w:p>
        </w:tc>
      </w:tr>
      <w:tr>
        <w:trPr>
          <w:trHeight w:val="478"/>
        </w:trPr>
        <w:tc>
          <w:tcPr>
            <w:tcW w:w="3440" w:type="dxa"/>
            <w:vAlign w:val="bottom"/>
          </w:tcPr>
          <w:p>
            <w:pPr>
              <w:spacing w:after="0"/>
              <w:rPr>
                <w:sz w:val="20"/>
                <w:szCs w:val="20"/>
                <w:color w:val="auto"/>
              </w:rPr>
            </w:pPr>
            <w:r>
              <w:rPr>
                <w:rFonts w:ascii="Arial" w:cs="Arial" w:eastAsia="Arial" w:hAnsi="Arial"/>
                <w:sz w:val="18"/>
                <w:szCs w:val="18"/>
                <w:color w:val="auto"/>
              </w:rPr>
              <w:t>Selling expense</w:t>
            </w:r>
          </w:p>
        </w:tc>
        <w:tc>
          <w:tcPr>
            <w:tcW w:w="660" w:type="dxa"/>
            <w:vAlign w:val="bottom"/>
            <w:gridSpan w:val="6"/>
          </w:tcPr>
          <w:p>
            <w:pPr>
              <w:jc w:val="right"/>
              <w:spacing w:after="0"/>
              <w:rPr>
                <w:sz w:val="20"/>
                <w:szCs w:val="20"/>
                <w:color w:val="auto"/>
              </w:rPr>
            </w:pPr>
            <w:r>
              <w:rPr>
                <w:rFonts w:ascii="Arial" w:cs="Arial" w:eastAsia="Arial" w:hAnsi="Arial"/>
                <w:sz w:val="18"/>
                <w:szCs w:val="18"/>
                <w:color w:val="auto"/>
              </w:rPr>
              <w:t>12.7</w:t>
            </w:r>
          </w:p>
        </w:tc>
        <w:tc>
          <w:tcPr>
            <w:tcW w:w="280" w:type="dxa"/>
            <w:vAlign w:val="bottom"/>
          </w:tcPr>
          <w:p>
            <w:pPr>
              <w:spacing w:after="0"/>
              <w:rPr>
                <w:sz w:val="24"/>
                <w:szCs w:val="24"/>
                <w:color w:val="auto"/>
              </w:rPr>
            </w:pPr>
          </w:p>
        </w:tc>
        <w:tc>
          <w:tcPr>
            <w:tcW w:w="640" w:type="dxa"/>
            <w:vAlign w:val="bottom"/>
            <w:gridSpan w:val="7"/>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24"/>
                <w:szCs w:val="24"/>
                <w:color w:val="auto"/>
              </w:rPr>
            </w:pPr>
          </w:p>
        </w:tc>
        <w:tc>
          <w:tcPr>
            <w:tcW w:w="820" w:type="dxa"/>
            <w:vAlign w:val="bottom"/>
            <w:gridSpan w:val="7"/>
          </w:tcPr>
          <w:p>
            <w:pPr>
              <w:jc w:val="right"/>
              <w:spacing w:after="0"/>
              <w:rPr>
                <w:sz w:val="20"/>
                <w:szCs w:val="20"/>
                <w:color w:val="auto"/>
              </w:rPr>
            </w:pPr>
            <w:r>
              <w:rPr>
                <w:rFonts w:ascii="Arial" w:cs="Arial" w:eastAsia="Arial" w:hAnsi="Arial"/>
                <w:sz w:val="18"/>
                <w:szCs w:val="18"/>
                <w:color w:val="auto"/>
              </w:rPr>
              <w:t>13.2</w:t>
            </w:r>
          </w:p>
        </w:tc>
        <w:tc>
          <w:tcPr>
            <w:tcW w:w="460" w:type="dxa"/>
            <w:vAlign w:val="bottom"/>
          </w:tcPr>
          <w:p>
            <w:pPr>
              <w:spacing w:after="0"/>
              <w:rPr>
                <w:sz w:val="24"/>
                <w:szCs w:val="24"/>
                <w:color w:val="auto"/>
              </w:rPr>
            </w:pPr>
          </w:p>
        </w:tc>
        <w:tc>
          <w:tcPr>
            <w:tcW w:w="540" w:type="dxa"/>
            <w:vAlign w:val="bottom"/>
            <w:gridSpan w:val="6"/>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4"/>
                <w:szCs w:val="24"/>
                <w:color w:val="auto"/>
              </w:rPr>
            </w:pPr>
          </w:p>
        </w:tc>
      </w:tr>
      <w:tr>
        <w:trPr>
          <w:trHeight w:val="459"/>
        </w:trPr>
        <w:tc>
          <w:tcPr>
            <w:tcW w:w="3440" w:type="dxa"/>
            <w:vAlign w:val="bottom"/>
          </w:tcPr>
          <w:p>
            <w:pPr>
              <w:spacing w:after="0"/>
              <w:rPr>
                <w:sz w:val="20"/>
                <w:szCs w:val="20"/>
                <w:color w:val="auto"/>
              </w:rPr>
            </w:pPr>
            <w:r>
              <w:rPr>
                <w:rFonts w:ascii="Arial" w:cs="Arial" w:eastAsia="Arial" w:hAnsi="Arial"/>
                <w:sz w:val="18"/>
                <w:szCs w:val="18"/>
                <w:color w:val="auto"/>
                <w:w w:val="90"/>
              </w:rPr>
              <w:t>Engineering and product development expense</w:t>
            </w:r>
          </w:p>
        </w:tc>
        <w:tc>
          <w:tcPr>
            <w:tcW w:w="660" w:type="dxa"/>
            <w:vAlign w:val="bottom"/>
            <w:gridSpan w:val="6"/>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24"/>
                <w:szCs w:val="24"/>
                <w:color w:val="auto"/>
              </w:rPr>
            </w:pPr>
          </w:p>
        </w:tc>
        <w:tc>
          <w:tcPr>
            <w:tcW w:w="640" w:type="dxa"/>
            <w:vAlign w:val="bottom"/>
            <w:gridSpan w:val="7"/>
          </w:tcPr>
          <w:p>
            <w:pPr>
              <w:jc w:val="right"/>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24"/>
                <w:szCs w:val="24"/>
                <w:color w:val="auto"/>
              </w:rPr>
            </w:pPr>
          </w:p>
        </w:tc>
        <w:tc>
          <w:tcPr>
            <w:tcW w:w="820" w:type="dxa"/>
            <w:vAlign w:val="bottom"/>
            <w:gridSpan w:val="7"/>
          </w:tcPr>
          <w:p>
            <w:pPr>
              <w:jc w:val="right"/>
              <w:spacing w:after="0"/>
              <w:rPr>
                <w:sz w:val="20"/>
                <w:szCs w:val="20"/>
                <w:color w:val="auto"/>
              </w:rPr>
            </w:pPr>
            <w:r>
              <w:rPr>
                <w:rFonts w:ascii="Arial" w:cs="Arial" w:eastAsia="Arial" w:hAnsi="Arial"/>
                <w:sz w:val="18"/>
                <w:szCs w:val="18"/>
                <w:color w:val="auto"/>
              </w:rPr>
              <w:t>9.5</w:t>
            </w:r>
          </w:p>
        </w:tc>
        <w:tc>
          <w:tcPr>
            <w:tcW w:w="460" w:type="dxa"/>
            <w:vAlign w:val="bottom"/>
          </w:tcPr>
          <w:p>
            <w:pPr>
              <w:spacing w:after="0"/>
              <w:rPr>
                <w:sz w:val="24"/>
                <w:szCs w:val="24"/>
                <w:color w:val="auto"/>
              </w:rPr>
            </w:pPr>
          </w:p>
        </w:tc>
        <w:tc>
          <w:tcPr>
            <w:tcW w:w="540" w:type="dxa"/>
            <w:vAlign w:val="bottom"/>
            <w:gridSpan w:val="6"/>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4"/>
                <w:szCs w:val="24"/>
                <w:color w:val="auto"/>
              </w:rPr>
            </w:pPr>
          </w:p>
        </w:tc>
      </w:tr>
      <w:tr>
        <w:trPr>
          <w:trHeight w:val="459"/>
        </w:trPr>
        <w:tc>
          <w:tcPr>
            <w:tcW w:w="344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660" w:type="dxa"/>
            <w:vAlign w:val="bottom"/>
            <w:gridSpan w:val="6"/>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24"/>
                <w:szCs w:val="24"/>
                <w:color w:val="auto"/>
              </w:rPr>
            </w:pPr>
          </w:p>
        </w:tc>
        <w:tc>
          <w:tcPr>
            <w:tcW w:w="640" w:type="dxa"/>
            <w:vAlign w:val="bottom"/>
            <w:gridSpan w:val="7"/>
          </w:tcPr>
          <w:p>
            <w:pPr>
              <w:jc w:val="right"/>
              <w:spacing w:after="0"/>
              <w:rPr>
                <w:sz w:val="20"/>
                <w:szCs w:val="20"/>
                <w:color w:val="auto"/>
              </w:rPr>
            </w:pPr>
            <w:r>
              <w:rPr>
                <w:rFonts w:ascii="Arial" w:cs="Arial" w:eastAsia="Arial" w:hAnsi="Arial"/>
                <w:sz w:val="18"/>
                <w:szCs w:val="18"/>
                <w:color w:val="auto"/>
              </w:rPr>
              <w:t>13.4</w:t>
            </w:r>
          </w:p>
        </w:tc>
        <w:tc>
          <w:tcPr>
            <w:tcW w:w="260" w:type="dxa"/>
            <w:vAlign w:val="bottom"/>
          </w:tcPr>
          <w:p>
            <w:pPr>
              <w:spacing w:after="0"/>
              <w:rPr>
                <w:sz w:val="24"/>
                <w:szCs w:val="24"/>
                <w:color w:val="auto"/>
              </w:rPr>
            </w:pPr>
          </w:p>
        </w:tc>
        <w:tc>
          <w:tcPr>
            <w:tcW w:w="820" w:type="dxa"/>
            <w:vAlign w:val="bottom"/>
            <w:gridSpan w:val="7"/>
          </w:tcPr>
          <w:p>
            <w:pPr>
              <w:jc w:val="right"/>
              <w:spacing w:after="0"/>
              <w:rPr>
                <w:sz w:val="20"/>
                <w:szCs w:val="20"/>
                <w:color w:val="auto"/>
              </w:rPr>
            </w:pPr>
            <w:r>
              <w:rPr>
                <w:rFonts w:ascii="Arial" w:cs="Arial" w:eastAsia="Arial" w:hAnsi="Arial"/>
                <w:sz w:val="18"/>
                <w:szCs w:val="18"/>
                <w:color w:val="auto"/>
              </w:rPr>
              <w:t>15.1</w:t>
            </w:r>
          </w:p>
        </w:tc>
        <w:tc>
          <w:tcPr>
            <w:tcW w:w="460" w:type="dxa"/>
            <w:vAlign w:val="bottom"/>
          </w:tcPr>
          <w:p>
            <w:pPr>
              <w:spacing w:after="0"/>
              <w:rPr>
                <w:sz w:val="24"/>
                <w:szCs w:val="24"/>
                <w:color w:val="auto"/>
              </w:rPr>
            </w:pPr>
          </w:p>
        </w:tc>
        <w:tc>
          <w:tcPr>
            <w:tcW w:w="540" w:type="dxa"/>
            <w:vAlign w:val="bottom"/>
            <w:gridSpan w:val="6"/>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4"/>
                <w:szCs w:val="24"/>
                <w:color w:val="auto"/>
              </w:rPr>
            </w:pPr>
          </w:p>
        </w:tc>
      </w:tr>
      <w:tr>
        <w:trPr>
          <w:trHeight w:val="421"/>
        </w:trPr>
        <w:tc>
          <w:tcPr>
            <w:tcW w:w="3440" w:type="dxa"/>
            <w:vAlign w:val="bottom"/>
          </w:tcPr>
          <w:p>
            <w:pPr>
              <w:spacing w:after="0"/>
              <w:rPr>
                <w:sz w:val="20"/>
                <w:szCs w:val="20"/>
                <w:color w:val="auto"/>
              </w:rPr>
            </w:pPr>
            <w:r>
              <w:rPr>
                <w:rFonts w:ascii="Arial" w:cs="Arial" w:eastAsia="Arial" w:hAnsi="Arial"/>
                <w:sz w:val="18"/>
                <w:szCs w:val="18"/>
                <w:color w:val="auto"/>
              </w:rPr>
              <w:t>Restructuring and other charges</w:t>
            </w:r>
          </w:p>
        </w:tc>
        <w:tc>
          <w:tcPr>
            <w:tcW w:w="340" w:type="dxa"/>
            <w:vAlign w:val="bottom"/>
            <w:gridSpan w:val="4"/>
          </w:tcPr>
          <w:p>
            <w:pPr>
              <w:spacing w:after="0"/>
              <w:rPr>
                <w:sz w:val="24"/>
                <w:szCs w:val="24"/>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w:t>
            </w:r>
          </w:p>
        </w:tc>
        <w:tc>
          <w:tcPr>
            <w:tcW w:w="280" w:type="dxa"/>
            <w:vAlign w:val="bottom"/>
          </w:tcPr>
          <w:p>
            <w:pPr>
              <w:spacing w:after="0"/>
              <w:rPr>
                <w:sz w:val="24"/>
                <w:szCs w:val="24"/>
                <w:color w:val="auto"/>
              </w:rPr>
            </w:pPr>
          </w:p>
        </w:tc>
        <w:tc>
          <w:tcPr>
            <w:tcW w:w="320" w:type="dxa"/>
            <w:vAlign w:val="bottom"/>
            <w:gridSpan w:val="3"/>
          </w:tcPr>
          <w:p>
            <w:pPr>
              <w:spacing w:after="0"/>
              <w:rPr>
                <w:sz w:val="24"/>
                <w:szCs w:val="24"/>
                <w:color w:val="auto"/>
              </w:rPr>
            </w:pPr>
          </w:p>
        </w:tc>
        <w:tc>
          <w:tcPr>
            <w:tcW w:w="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w:t>
            </w:r>
          </w:p>
        </w:tc>
        <w:tc>
          <w:tcPr>
            <w:tcW w:w="260" w:type="dxa"/>
            <w:vAlign w:val="bottom"/>
          </w:tcPr>
          <w:p>
            <w:pPr>
              <w:spacing w:after="0"/>
              <w:rPr>
                <w:sz w:val="24"/>
                <w:szCs w:val="24"/>
                <w:color w:val="auto"/>
              </w:rPr>
            </w:pPr>
          </w:p>
        </w:tc>
        <w:tc>
          <w:tcPr>
            <w:tcW w:w="500" w:type="dxa"/>
            <w:vAlign w:val="bottom"/>
            <w:gridSpan w:val="4"/>
          </w:tcPr>
          <w:p>
            <w:pPr>
              <w:spacing w:after="0"/>
              <w:rPr>
                <w:sz w:val="24"/>
                <w:szCs w:val="24"/>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w:t>
            </w:r>
          </w:p>
        </w:tc>
        <w:tc>
          <w:tcPr>
            <w:tcW w:w="460" w:type="dxa"/>
            <w:vAlign w:val="bottom"/>
          </w:tcPr>
          <w:p>
            <w:pPr>
              <w:spacing w:after="0"/>
              <w:rPr>
                <w:sz w:val="24"/>
                <w:szCs w:val="24"/>
                <w:color w:val="auto"/>
              </w:rPr>
            </w:pPr>
          </w:p>
        </w:tc>
        <w:tc>
          <w:tcPr>
            <w:tcW w:w="220" w:type="dxa"/>
            <w:vAlign w:val="bottom"/>
            <w:gridSpan w:val="3"/>
          </w:tcPr>
          <w:p>
            <w:pPr>
              <w:spacing w:after="0"/>
              <w:rPr>
                <w:sz w:val="24"/>
                <w:szCs w:val="24"/>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w:t>
            </w:r>
          </w:p>
        </w:tc>
        <w:tc>
          <w:tcPr>
            <w:tcW w:w="120" w:type="dxa"/>
            <w:vAlign w:val="bottom"/>
          </w:tcPr>
          <w:p>
            <w:pPr>
              <w:spacing w:after="0"/>
              <w:rPr>
                <w:sz w:val="24"/>
                <w:szCs w:val="24"/>
                <w:color w:val="auto"/>
              </w:rPr>
            </w:pPr>
          </w:p>
        </w:tc>
      </w:tr>
      <w:tr>
        <w:trPr>
          <w:trHeight w:val="478"/>
        </w:trPr>
        <w:tc>
          <w:tcPr>
            <w:tcW w:w="3440" w:type="dxa"/>
            <w:vAlign w:val="bottom"/>
          </w:tcPr>
          <w:p>
            <w:pPr>
              <w:spacing w:after="0"/>
              <w:rPr>
                <w:sz w:val="20"/>
                <w:szCs w:val="20"/>
                <w:color w:val="auto"/>
              </w:rPr>
            </w:pPr>
            <w:r>
              <w:rPr>
                <w:rFonts w:ascii="Arial" w:cs="Arial" w:eastAsia="Arial" w:hAnsi="Arial"/>
                <w:sz w:val="18"/>
                <w:szCs w:val="18"/>
                <w:color w:val="auto"/>
              </w:rPr>
              <w:t>Operating income</w:t>
            </w:r>
          </w:p>
        </w:tc>
        <w:tc>
          <w:tcPr>
            <w:tcW w:w="660" w:type="dxa"/>
            <w:vAlign w:val="bottom"/>
            <w:gridSpan w:val="6"/>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24"/>
                <w:szCs w:val="24"/>
                <w:color w:val="auto"/>
              </w:rPr>
            </w:pPr>
          </w:p>
        </w:tc>
        <w:tc>
          <w:tcPr>
            <w:tcW w:w="640" w:type="dxa"/>
            <w:vAlign w:val="bottom"/>
            <w:gridSpan w:val="7"/>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24"/>
                <w:szCs w:val="24"/>
                <w:color w:val="auto"/>
              </w:rPr>
            </w:pPr>
          </w:p>
        </w:tc>
        <w:tc>
          <w:tcPr>
            <w:tcW w:w="820" w:type="dxa"/>
            <w:vAlign w:val="bottom"/>
            <w:gridSpan w:val="7"/>
          </w:tcPr>
          <w:p>
            <w:pPr>
              <w:jc w:val="right"/>
              <w:spacing w:after="0"/>
              <w:rPr>
                <w:sz w:val="20"/>
                <w:szCs w:val="20"/>
                <w:color w:val="auto"/>
              </w:rPr>
            </w:pPr>
            <w:r>
              <w:rPr>
                <w:rFonts w:ascii="Arial" w:cs="Arial" w:eastAsia="Arial" w:hAnsi="Arial"/>
                <w:sz w:val="18"/>
                <w:szCs w:val="18"/>
                <w:color w:val="auto"/>
              </w:rPr>
              <w:t>9.8</w:t>
            </w:r>
          </w:p>
        </w:tc>
        <w:tc>
          <w:tcPr>
            <w:tcW w:w="460" w:type="dxa"/>
            <w:vAlign w:val="bottom"/>
          </w:tcPr>
          <w:p>
            <w:pPr>
              <w:spacing w:after="0"/>
              <w:rPr>
                <w:sz w:val="24"/>
                <w:szCs w:val="24"/>
                <w:color w:val="auto"/>
              </w:rPr>
            </w:pPr>
          </w:p>
        </w:tc>
        <w:tc>
          <w:tcPr>
            <w:tcW w:w="540" w:type="dxa"/>
            <w:vAlign w:val="bottom"/>
            <w:gridSpan w:val="6"/>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4"/>
                <w:szCs w:val="24"/>
                <w:color w:val="auto"/>
              </w:rPr>
            </w:pPr>
          </w:p>
        </w:tc>
      </w:tr>
      <w:tr>
        <w:trPr>
          <w:trHeight w:val="421"/>
        </w:trPr>
        <w:tc>
          <w:tcPr>
            <w:tcW w:w="3440" w:type="dxa"/>
            <w:vAlign w:val="bottom"/>
          </w:tcPr>
          <w:p>
            <w:pPr>
              <w:spacing w:after="0"/>
              <w:rPr>
                <w:sz w:val="20"/>
                <w:szCs w:val="20"/>
                <w:color w:val="auto"/>
              </w:rPr>
            </w:pPr>
            <w:r>
              <w:rPr>
                <w:rFonts w:ascii="Arial" w:cs="Arial" w:eastAsia="Arial" w:hAnsi="Arial"/>
                <w:sz w:val="18"/>
                <w:szCs w:val="18"/>
                <w:color w:val="auto"/>
              </w:rPr>
              <w:t>Other income</w:t>
            </w:r>
          </w:p>
        </w:tc>
        <w:tc>
          <w:tcPr>
            <w:tcW w:w="340" w:type="dxa"/>
            <w:vAlign w:val="bottom"/>
            <w:gridSpan w:val="4"/>
          </w:tcPr>
          <w:p>
            <w:pPr>
              <w:spacing w:after="0"/>
              <w:rPr>
                <w:sz w:val="24"/>
                <w:szCs w:val="24"/>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w:t>
            </w:r>
          </w:p>
        </w:tc>
        <w:tc>
          <w:tcPr>
            <w:tcW w:w="280" w:type="dxa"/>
            <w:vAlign w:val="bottom"/>
          </w:tcPr>
          <w:p>
            <w:pPr>
              <w:spacing w:after="0"/>
              <w:rPr>
                <w:sz w:val="24"/>
                <w:szCs w:val="24"/>
                <w:color w:val="auto"/>
              </w:rPr>
            </w:pPr>
          </w:p>
        </w:tc>
        <w:tc>
          <w:tcPr>
            <w:tcW w:w="320" w:type="dxa"/>
            <w:vAlign w:val="bottom"/>
            <w:gridSpan w:val="3"/>
          </w:tcPr>
          <w:p>
            <w:pPr>
              <w:spacing w:after="0"/>
              <w:rPr>
                <w:sz w:val="24"/>
                <w:szCs w:val="24"/>
                <w:color w:val="auto"/>
              </w:rPr>
            </w:pPr>
          </w:p>
        </w:tc>
        <w:tc>
          <w:tcPr>
            <w:tcW w:w="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w:t>
            </w:r>
          </w:p>
        </w:tc>
        <w:tc>
          <w:tcPr>
            <w:tcW w:w="260" w:type="dxa"/>
            <w:vAlign w:val="bottom"/>
          </w:tcPr>
          <w:p>
            <w:pPr>
              <w:spacing w:after="0"/>
              <w:rPr>
                <w:sz w:val="24"/>
                <w:szCs w:val="24"/>
                <w:color w:val="auto"/>
              </w:rPr>
            </w:pPr>
          </w:p>
        </w:tc>
        <w:tc>
          <w:tcPr>
            <w:tcW w:w="500" w:type="dxa"/>
            <w:vAlign w:val="bottom"/>
            <w:gridSpan w:val="4"/>
          </w:tcPr>
          <w:p>
            <w:pPr>
              <w:spacing w:after="0"/>
              <w:rPr>
                <w:sz w:val="24"/>
                <w:szCs w:val="24"/>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w:t>
            </w:r>
          </w:p>
        </w:tc>
        <w:tc>
          <w:tcPr>
            <w:tcW w:w="460" w:type="dxa"/>
            <w:vAlign w:val="bottom"/>
          </w:tcPr>
          <w:p>
            <w:pPr>
              <w:spacing w:after="0"/>
              <w:rPr>
                <w:sz w:val="24"/>
                <w:szCs w:val="24"/>
                <w:color w:val="auto"/>
              </w:rPr>
            </w:pPr>
          </w:p>
        </w:tc>
        <w:tc>
          <w:tcPr>
            <w:tcW w:w="220" w:type="dxa"/>
            <w:vAlign w:val="bottom"/>
            <w:gridSpan w:val="3"/>
          </w:tcPr>
          <w:p>
            <w:pPr>
              <w:spacing w:after="0"/>
              <w:rPr>
                <w:sz w:val="24"/>
                <w:szCs w:val="24"/>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w:t>
            </w:r>
          </w:p>
        </w:tc>
        <w:tc>
          <w:tcPr>
            <w:tcW w:w="120" w:type="dxa"/>
            <w:vAlign w:val="bottom"/>
          </w:tcPr>
          <w:p>
            <w:pPr>
              <w:spacing w:after="0"/>
              <w:rPr>
                <w:sz w:val="24"/>
                <w:szCs w:val="24"/>
                <w:color w:val="auto"/>
              </w:rPr>
            </w:pPr>
          </w:p>
        </w:tc>
      </w:tr>
      <w:tr>
        <w:trPr>
          <w:trHeight w:val="478"/>
        </w:trPr>
        <w:tc>
          <w:tcPr>
            <w:tcW w:w="3440" w:type="dxa"/>
            <w:vAlign w:val="bottom"/>
          </w:tcPr>
          <w:p>
            <w:pPr>
              <w:spacing w:after="0"/>
              <w:rPr>
                <w:sz w:val="20"/>
                <w:szCs w:val="20"/>
                <w:color w:val="auto"/>
              </w:rPr>
            </w:pPr>
            <w:r>
              <w:rPr>
                <w:rFonts w:ascii="Arial" w:cs="Arial" w:eastAsia="Arial" w:hAnsi="Arial"/>
                <w:sz w:val="18"/>
                <w:szCs w:val="18"/>
                <w:color w:val="auto"/>
              </w:rPr>
              <w:t>Earnings before income tax expense</w:t>
            </w:r>
          </w:p>
        </w:tc>
        <w:tc>
          <w:tcPr>
            <w:tcW w:w="660" w:type="dxa"/>
            <w:vAlign w:val="bottom"/>
            <w:gridSpan w:val="6"/>
          </w:tcPr>
          <w:p>
            <w:pPr>
              <w:jc w:val="right"/>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24"/>
                <w:szCs w:val="24"/>
                <w:color w:val="auto"/>
              </w:rPr>
            </w:pPr>
          </w:p>
        </w:tc>
        <w:tc>
          <w:tcPr>
            <w:tcW w:w="640" w:type="dxa"/>
            <w:vAlign w:val="bottom"/>
            <w:gridSpan w:val="7"/>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24"/>
                <w:szCs w:val="24"/>
                <w:color w:val="auto"/>
              </w:rPr>
            </w:pPr>
          </w:p>
        </w:tc>
        <w:tc>
          <w:tcPr>
            <w:tcW w:w="820" w:type="dxa"/>
            <w:vAlign w:val="bottom"/>
            <w:gridSpan w:val="7"/>
          </w:tcPr>
          <w:p>
            <w:pPr>
              <w:jc w:val="right"/>
              <w:spacing w:after="0"/>
              <w:rPr>
                <w:sz w:val="20"/>
                <w:szCs w:val="20"/>
                <w:color w:val="auto"/>
              </w:rPr>
            </w:pPr>
            <w:r>
              <w:rPr>
                <w:rFonts w:ascii="Arial" w:cs="Arial" w:eastAsia="Arial" w:hAnsi="Arial"/>
                <w:sz w:val="18"/>
                <w:szCs w:val="18"/>
                <w:color w:val="auto"/>
              </w:rPr>
              <w:t>9.9</w:t>
            </w:r>
          </w:p>
        </w:tc>
        <w:tc>
          <w:tcPr>
            <w:tcW w:w="460" w:type="dxa"/>
            <w:vAlign w:val="bottom"/>
          </w:tcPr>
          <w:p>
            <w:pPr>
              <w:spacing w:after="0"/>
              <w:rPr>
                <w:sz w:val="24"/>
                <w:szCs w:val="24"/>
                <w:color w:val="auto"/>
              </w:rPr>
            </w:pPr>
          </w:p>
        </w:tc>
        <w:tc>
          <w:tcPr>
            <w:tcW w:w="540" w:type="dxa"/>
            <w:vAlign w:val="bottom"/>
            <w:gridSpan w:val="6"/>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4"/>
                <w:szCs w:val="24"/>
                <w:color w:val="auto"/>
              </w:rPr>
            </w:pPr>
          </w:p>
        </w:tc>
      </w:tr>
      <w:tr>
        <w:trPr>
          <w:trHeight w:val="421"/>
        </w:trPr>
        <w:tc>
          <w:tcPr>
            <w:tcW w:w="3440" w:type="dxa"/>
            <w:vAlign w:val="bottom"/>
          </w:tcPr>
          <w:p>
            <w:pPr>
              <w:spacing w:after="0"/>
              <w:rPr>
                <w:sz w:val="20"/>
                <w:szCs w:val="20"/>
                <w:color w:val="auto"/>
              </w:rPr>
            </w:pPr>
            <w:r>
              <w:rPr>
                <w:rFonts w:ascii="Arial" w:cs="Arial" w:eastAsia="Arial" w:hAnsi="Arial"/>
                <w:sz w:val="18"/>
                <w:szCs w:val="18"/>
                <w:color w:val="auto"/>
              </w:rPr>
              <w:t>Income tax expense</w:t>
            </w:r>
          </w:p>
        </w:tc>
        <w:tc>
          <w:tcPr>
            <w:tcW w:w="340" w:type="dxa"/>
            <w:vAlign w:val="bottom"/>
            <w:gridSpan w:val="4"/>
          </w:tcPr>
          <w:p>
            <w:pPr>
              <w:spacing w:after="0"/>
              <w:rPr>
                <w:sz w:val="24"/>
                <w:szCs w:val="24"/>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w:t>
            </w:r>
          </w:p>
        </w:tc>
        <w:tc>
          <w:tcPr>
            <w:tcW w:w="280" w:type="dxa"/>
            <w:vAlign w:val="bottom"/>
          </w:tcPr>
          <w:p>
            <w:pPr>
              <w:spacing w:after="0"/>
              <w:rPr>
                <w:sz w:val="24"/>
                <w:szCs w:val="24"/>
                <w:color w:val="auto"/>
              </w:rPr>
            </w:pPr>
          </w:p>
        </w:tc>
        <w:tc>
          <w:tcPr>
            <w:tcW w:w="320" w:type="dxa"/>
            <w:vAlign w:val="bottom"/>
            <w:gridSpan w:val="3"/>
          </w:tcPr>
          <w:p>
            <w:pPr>
              <w:spacing w:after="0"/>
              <w:rPr>
                <w:sz w:val="24"/>
                <w:szCs w:val="24"/>
                <w:color w:val="auto"/>
              </w:rPr>
            </w:pPr>
          </w:p>
        </w:tc>
        <w:tc>
          <w:tcPr>
            <w:tcW w:w="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2</w:t>
            </w:r>
          </w:p>
        </w:tc>
        <w:tc>
          <w:tcPr>
            <w:tcW w:w="260" w:type="dxa"/>
            <w:vAlign w:val="bottom"/>
          </w:tcPr>
          <w:p>
            <w:pPr>
              <w:spacing w:after="0"/>
              <w:rPr>
                <w:sz w:val="24"/>
                <w:szCs w:val="24"/>
                <w:color w:val="auto"/>
              </w:rPr>
            </w:pPr>
          </w:p>
        </w:tc>
        <w:tc>
          <w:tcPr>
            <w:tcW w:w="500" w:type="dxa"/>
            <w:vAlign w:val="bottom"/>
            <w:gridSpan w:val="4"/>
          </w:tcPr>
          <w:p>
            <w:pPr>
              <w:spacing w:after="0"/>
              <w:rPr>
                <w:sz w:val="24"/>
                <w:szCs w:val="24"/>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0</w:t>
            </w:r>
          </w:p>
        </w:tc>
        <w:tc>
          <w:tcPr>
            <w:tcW w:w="460" w:type="dxa"/>
            <w:vAlign w:val="bottom"/>
          </w:tcPr>
          <w:p>
            <w:pPr>
              <w:spacing w:after="0"/>
              <w:rPr>
                <w:sz w:val="24"/>
                <w:szCs w:val="24"/>
                <w:color w:val="auto"/>
              </w:rPr>
            </w:pPr>
          </w:p>
        </w:tc>
        <w:tc>
          <w:tcPr>
            <w:tcW w:w="220" w:type="dxa"/>
            <w:vAlign w:val="bottom"/>
            <w:gridSpan w:val="3"/>
          </w:tcPr>
          <w:p>
            <w:pPr>
              <w:spacing w:after="0"/>
              <w:rPr>
                <w:sz w:val="24"/>
                <w:szCs w:val="24"/>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8</w:t>
            </w:r>
          </w:p>
        </w:tc>
        <w:tc>
          <w:tcPr>
            <w:tcW w:w="120" w:type="dxa"/>
            <w:vAlign w:val="bottom"/>
          </w:tcPr>
          <w:p>
            <w:pPr>
              <w:spacing w:after="0"/>
              <w:rPr>
                <w:sz w:val="24"/>
                <w:szCs w:val="24"/>
                <w:color w:val="auto"/>
              </w:rPr>
            </w:pPr>
          </w:p>
        </w:tc>
      </w:tr>
      <w:tr>
        <w:trPr>
          <w:trHeight w:val="439"/>
        </w:trPr>
        <w:tc>
          <w:tcPr>
            <w:tcW w:w="3440" w:type="dxa"/>
            <w:vAlign w:val="bottom"/>
          </w:tcPr>
          <w:p>
            <w:pPr>
              <w:spacing w:after="0"/>
              <w:rPr>
                <w:sz w:val="20"/>
                <w:szCs w:val="20"/>
                <w:color w:val="auto"/>
              </w:rPr>
            </w:pPr>
            <w:r>
              <w:rPr>
                <w:rFonts w:ascii="Arial" w:cs="Arial" w:eastAsia="Arial" w:hAnsi="Arial"/>
                <w:sz w:val="18"/>
                <w:szCs w:val="18"/>
                <w:color w:val="auto"/>
              </w:rPr>
              <w:t>Net earnings</w:t>
            </w:r>
          </w:p>
        </w:tc>
        <w:tc>
          <w:tcPr>
            <w:tcW w:w="940" w:type="dxa"/>
            <w:vAlign w:val="bottom"/>
            <w:gridSpan w:val="7"/>
          </w:tcPr>
          <w:p>
            <w:pPr>
              <w:jc w:val="right"/>
              <w:ind w:right="160"/>
              <w:spacing w:after="0"/>
              <w:rPr>
                <w:sz w:val="20"/>
                <w:szCs w:val="20"/>
                <w:color w:val="auto"/>
              </w:rPr>
            </w:pPr>
            <w:r>
              <w:rPr>
                <w:rFonts w:ascii="Arial" w:cs="Arial" w:eastAsia="Arial" w:hAnsi="Arial"/>
                <w:sz w:val="18"/>
                <w:szCs w:val="18"/>
                <w:color w:val="auto"/>
              </w:rPr>
              <w:t>11.0%</w:t>
            </w:r>
          </w:p>
        </w:tc>
        <w:tc>
          <w:tcPr>
            <w:tcW w:w="900" w:type="dxa"/>
            <w:vAlign w:val="bottom"/>
            <w:gridSpan w:val="8"/>
          </w:tcPr>
          <w:p>
            <w:pPr>
              <w:jc w:val="right"/>
              <w:ind w:right="140"/>
              <w:spacing w:after="0"/>
              <w:rPr>
                <w:sz w:val="20"/>
                <w:szCs w:val="20"/>
                <w:color w:val="auto"/>
              </w:rPr>
            </w:pPr>
            <w:r>
              <w:rPr>
                <w:rFonts w:ascii="Arial" w:cs="Arial" w:eastAsia="Arial" w:hAnsi="Arial"/>
                <w:sz w:val="18"/>
                <w:szCs w:val="18"/>
                <w:color w:val="auto"/>
              </w:rPr>
              <w:t>6.2%</w:t>
            </w:r>
          </w:p>
        </w:tc>
        <w:tc>
          <w:tcPr>
            <w:tcW w:w="1280" w:type="dxa"/>
            <w:vAlign w:val="bottom"/>
            <w:gridSpan w:val="8"/>
          </w:tcPr>
          <w:p>
            <w:pPr>
              <w:jc w:val="right"/>
              <w:ind w:right="340"/>
              <w:spacing w:after="0"/>
              <w:rPr>
                <w:sz w:val="20"/>
                <w:szCs w:val="20"/>
                <w:color w:val="auto"/>
              </w:rPr>
            </w:pPr>
            <w:r>
              <w:rPr>
                <w:rFonts w:ascii="Arial" w:cs="Arial" w:eastAsia="Arial" w:hAnsi="Arial"/>
                <w:sz w:val="18"/>
                <w:szCs w:val="18"/>
                <w:color w:val="auto"/>
              </w:rPr>
              <w:t>7.9%</w:t>
            </w:r>
          </w:p>
        </w:tc>
        <w:tc>
          <w:tcPr>
            <w:tcW w:w="660" w:type="dxa"/>
            <w:vAlign w:val="bottom"/>
            <w:gridSpan w:val="7"/>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3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400"/>
          </w:cols>
          <w:pgMar w:left="240" w:top="131" w:right="259" w:bottom="0" w:gutter="0" w:footer="0" w:header="0"/>
        </w:sectPr>
      </w:pPr>
    </w:p>
    <w:bookmarkStart w:id="17" w:name="page18"/>
    <w:bookmarkEnd w:id="17"/>
    <w:p>
      <w:pPr>
        <w:ind w:left="540"/>
        <w:spacing w:after="0"/>
        <w:rPr>
          <w:sz w:val="20"/>
          <w:szCs w:val="20"/>
          <w:color w:val="auto"/>
        </w:rPr>
      </w:pPr>
      <w:r>
        <w:rPr>
          <w:rFonts w:ascii="Arial" w:cs="Arial" w:eastAsia="Arial" w:hAnsi="Arial"/>
          <w:sz w:val="18"/>
          <w:szCs w:val="18"/>
          <w:i w:val="1"/>
          <w:iCs w:val="1"/>
          <w:u w:val="single" w:color="auto"/>
          <w:color w:val="auto"/>
        </w:rPr>
        <w:t>Quarter Ended September 30, 2013 Compared to Quarter Ended September 30, 2012</w:t>
      </w:r>
    </w:p>
    <w:p>
      <w:pPr>
        <w:spacing w:after="0" w:line="225" w:lineRule="exact"/>
        <w:rPr>
          <w:sz w:val="20"/>
          <w:szCs w:val="20"/>
          <w:color w:val="auto"/>
        </w:rPr>
      </w:pPr>
    </w:p>
    <w:p>
      <w:pPr>
        <w:jc w:val="both"/>
        <w:ind w:left="540" w:right="600"/>
        <w:spacing w:after="0" w:line="259"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$9.9 million for the quarter ended September 30, 2013 compared to $10.8 million for the same period in 2012,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$899,000 or 8%. We believe the decrease in our net revenues during the third quarter of 2013 primarily reflects the factors previously discussed in the Overview.</w:t>
      </w:r>
    </w:p>
    <w:p>
      <w:pPr>
        <w:spacing w:after="0" w:line="194" w:lineRule="exact"/>
        <w:rPr>
          <w:sz w:val="20"/>
          <w:szCs w:val="20"/>
          <w:color w:val="auto"/>
        </w:rPr>
      </w:pPr>
    </w:p>
    <w:p>
      <w:pPr>
        <w:ind w:left="540" w:right="40"/>
        <w:spacing w:after="0" w:line="289"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was 48% for the quarter ended September 30, 2013 compared to 44% for the same period in 2012. The improvement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gross margin was primarily the result of a reduction in our component material costs as a percentage of net revenues, which decreased from 37% of net revenues in the third quarter of 2012 to 33% of net revenues in the third quarter of 2013. We attribute the decrease to changes in product and customer mix. In addition, the improvement in gross margin reflects a lower level of charges for obsolete and excess inventory in the third quarter of 2013 as compared to the same period in 2012. The reduction in these charges primarily reflects fewer items falling into our standard objective criteria. These decreases were partially offset by an increase in our fixed operating costs as a percentage of net revenues. Although these costs decreased $57,000 in absolute dollar terms, they increased from 15% of net revenues for the third quarter of 2012 to 16% of net revenues for the third quarter of 2013 reflecting that they were less fully absorbed due to the lower net revenue levels in the third quarter of 2013.</w:t>
      </w:r>
    </w:p>
    <w:p>
      <w:pPr>
        <w:spacing w:after="0" w:line="172" w:lineRule="exact"/>
        <w:rPr>
          <w:sz w:val="20"/>
          <w:szCs w:val="20"/>
          <w:color w:val="auto"/>
        </w:rPr>
      </w:pPr>
    </w:p>
    <w:p>
      <w:pPr>
        <w:jc w:val="both"/>
        <w:ind w:left="540" w:right="100"/>
        <w:spacing w:after="0" w:line="259"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$1.3 million for each of the quarters ended September 30, 2013 and 2012, respectively. Reductions in commissions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lower net revenue levels in the third quarter of 2013 were offset by higher levels of salary and benefits expense as a result of an increase in our sales staff in our Thermal and Electrical Products segments.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$945,000 for the quarter ended September 30, 2013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$1.0 million for the same period in 2012, a decrease of $61,000 or 6%. The decrease primarily reflects reduced spending on third party product development consultants.</w:t>
      </w:r>
    </w:p>
    <w:p>
      <w:pPr>
        <w:spacing w:after="0" w:line="194"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was $1.5 million for the quarter ended September 30, 2013 compared to $1.4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in 2012, a decrease of $24,000 or 2%. The decrease primarily reflects the discontinuation of the profit sharing contributions in our Thermal Products segment effective January 1, 2013.</w:t>
      </w:r>
    </w:p>
    <w:p>
      <w:pPr>
        <w:spacing w:after="0" w:line="194"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the quarter ended September 30, 2013, we recorded income tax expense of $24,000 compared to $348,000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2012. Our effective tax rate was 2% for the quarter ended September 30, 2013 compared to 34% for the same period in 2012. On a quarterly basis, we record income tax expense or benefit based on the expected annualized effective tax rate for the various taxing jurisdictions in which we operate our businesses. The reduction in our effective tax rate for the third quarter of 2013 primarily reflects additional benefits recorded in connection with the finalization of an audit of our German operation as well as, to a lesser extent, the filing of our 2012 federal income tax return, both of which occurred in September 2013.</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Nine Months Ended September 30, 2013 Compared to Nine Months Ended September 30, 2012</w:t>
      </w:r>
    </w:p>
    <w:p>
      <w:pPr>
        <w:spacing w:after="0" w:line="225"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were $30.1 million for the nine months ended September 30, 2013 compared to $35.1 million for the same period in 2012,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$5.0 million or 14%. For the nine months ended September 30, 2013, the net revenues of our Thermal, Mechanical and Electrical Products segments decreased $1.1 million or 6%, $483,000 or 6% and $3.4 million or 42%, respectively, as compared to the same period in 2012. We believe the decrease in our net revenues during the first nine months of 2013 primarily reflects the factors previously discussed in the Overview. In addition, we attribute the higher percentage decrease for our Electrical Products segment in the first nine months of 2013 as compared to the same period in 2012 to the fact that during the first nine months of 2012, our Electrical Products segment experienced an unusually high level of demand from one particular OEM customer which was non-recurring.</w:t>
      </w:r>
    </w:p>
    <w:p>
      <w:pPr>
        <w:spacing w:after="0" w:line="172" w:lineRule="exact"/>
        <w:rPr>
          <w:sz w:val="20"/>
          <w:szCs w:val="20"/>
          <w:color w:val="auto"/>
        </w:rPr>
      </w:pPr>
    </w:p>
    <w:p>
      <w:pPr>
        <w:ind w:left="540" w:right="20"/>
        <w:spacing w:after="0" w:line="289"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was 48% for the nine months ended September 30, 2013 compared to 44% for the same period in 2012. The improvement in</w:t>
      </w:r>
      <w:r>
        <w:rPr>
          <w:rFonts w:ascii="Arial" w:cs="Arial" w:eastAsia="Arial" w:hAnsi="Arial"/>
          <w:sz w:val="16"/>
          <w:szCs w:val="16"/>
          <w:i w:val="1"/>
          <w:iCs w:val="1"/>
          <w:color w:val="auto"/>
        </w:rPr>
        <w:t xml:space="preserve"> </w:t>
      </w:r>
      <w:r>
        <w:rPr>
          <w:rFonts w:ascii="Arial" w:cs="Arial" w:eastAsia="Arial" w:hAnsi="Arial"/>
          <w:sz w:val="16"/>
          <w:szCs w:val="16"/>
          <w:color w:val="auto"/>
        </w:rPr>
        <w:t>the gross margin was primarily the result of a reduction in our component material costs as a percentage of net revenues, which decreased from 37% of net revenues for the first nine months of 2012 to 34% of net revenues for the same period in 2013. We attribute the decrease to changes in customer and product mix. In addition, the improvement in gross margin reflects a lower level of charges for obsolete and excess inventory in the first nine months of 2013 as compared to the same period in 2012. The reduction in these charges primarily reflects fewer items falling into our standard objective criteria. Finally, although our fixed operating costs were relatively unchanged at 15% of net revenues for the first nine months of 2013 and 2012, in absolute dollar terms these costs declined $766,000 for the nine months ended September 30, 2013 as compared to the same period in 2012. This decrease primarily reflects reduced headcount in our Thermal and Mechanical Products segments.</w:t>
      </w:r>
    </w:p>
    <w:p>
      <w:pPr>
        <w:spacing w:after="0" w:line="172" w:lineRule="exact"/>
        <w:rPr>
          <w:sz w:val="20"/>
          <w:szCs w:val="20"/>
          <w:color w:val="auto"/>
        </w:rPr>
      </w:pPr>
    </w:p>
    <w:p>
      <w:pPr>
        <w:ind w:left="540" w:right="20"/>
        <w:spacing w:after="0" w:line="298" w:lineRule="auto"/>
        <w:rPr>
          <w:sz w:val="20"/>
          <w:szCs w:val="20"/>
          <w:color w:val="auto"/>
        </w:rPr>
      </w:pPr>
      <w:r>
        <w:rPr>
          <w:rFonts w:ascii="Arial" w:cs="Arial" w:eastAsia="Arial" w:hAnsi="Arial"/>
          <w:sz w:val="16"/>
          <w:szCs w:val="16"/>
          <w:i w:val="1"/>
          <w:iCs w:val="1"/>
          <w:color w:val="auto"/>
        </w:rPr>
        <w:t xml:space="preserve">Selling Expense. </w:t>
      </w:r>
      <w:r>
        <w:rPr>
          <w:rFonts w:ascii="Arial" w:cs="Arial" w:eastAsia="Arial" w:hAnsi="Arial"/>
          <w:sz w:val="16"/>
          <w:szCs w:val="16"/>
          <w:color w:val="auto"/>
        </w:rPr>
        <w:t>Selling expense was $4.0 million for the nine months ended September 30, 2013 compared to $4.3 million for the same period in 2012,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$311,000 or 7%. The decrease primarily reflects lower levels of commission expense reflecting the lower net revenue levels in the first nine months of 2013 as compared to the same period in 2012. This decrease was partially offset by higher levels of salary and benefits expense as a result of an increase in our sales staff in our Thermal and Electrical Products segments.</w:t>
      </w:r>
    </w:p>
    <w:p>
      <w:pPr>
        <w:spacing w:after="0" w:line="167"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relatively unchanged at $2.9 million for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2013 and 2012, respectively. Increases in spending on matters related to our intellectual property were offset by reductions in the use of third party product development consultants.</w:t>
      </w:r>
    </w:p>
    <w:p>
      <w:pPr>
        <w:spacing w:after="0" w:line="194" w:lineRule="exact"/>
        <w:rPr>
          <w:sz w:val="20"/>
          <w:szCs w:val="20"/>
          <w:color w:val="auto"/>
        </w:rPr>
      </w:pPr>
    </w:p>
    <w:p>
      <w:pPr>
        <w:ind w:left="540" w:right="80"/>
        <w:spacing w:after="0" w:line="255"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was $4.5 million for the nine months ended September 30, 2013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$5.1 million for the same period in 2012, a decrease of $553,000 or 11%. During the first nine months of 2012, we recorded $337,000 in costs associated with the acquisition of Thermonics and $55,000 in costs related to the relocation of our Electrical Products segment's operation in California. There were no similar costs recorded in the first nine months of 2013. To a lesser extent, the decrease also reflects lower levels of professional fees and a reduction in salary and benefits expense.</w:t>
      </w:r>
    </w:p>
    <w:p>
      <w:pPr>
        <w:sectPr>
          <w:pgSz w:w="11900" w:h="16838" w:orient="portrait"/>
          <w:cols w:equalWidth="0" w:num="1">
            <w:col w:w="11420"/>
          </w:cols>
          <w:pgMar w:left="240" w:top="361" w:right="239" w:bottom="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color w:val="auto"/>
        </w:rPr>
        <w:t>- 21 -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jc w:val="both"/>
        <w:ind w:left="540" w:right="60"/>
        <w:spacing w:after="0" w:line="306" w:lineRule="auto"/>
        <w:rPr>
          <w:sz w:val="20"/>
          <w:szCs w:val="20"/>
          <w:color w:val="auto"/>
        </w:rPr>
      </w:pPr>
      <w:r>
        <w:rPr>
          <w:rFonts w:ascii="Arial" w:cs="Arial" w:eastAsia="Arial" w:hAnsi="Arial"/>
          <w:sz w:val="16"/>
          <w:szCs w:val="16"/>
          <w:i w:val="1"/>
          <w:iCs w:val="1"/>
          <w:color w:val="auto"/>
        </w:rPr>
        <w:t xml:space="preserve">Restructuring and Other Charges. </w:t>
      </w:r>
      <w:r>
        <w:rPr>
          <w:rFonts w:ascii="Arial" w:cs="Arial" w:eastAsia="Arial" w:hAnsi="Arial"/>
          <w:sz w:val="16"/>
          <w:szCs w:val="16"/>
          <w:color w:val="auto"/>
        </w:rPr>
        <w:t>Restructuring and other charges were $359,000 for the first nine months of 2012. There were no similar charges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nine months of 2013. The restructuring and other charges recorded during the first nine months of 2012 represent facility closure costs related to the closure of the Sunnyvale, California facility occupied by Thermonics at the time of our acquisition of this operation.</w:t>
      </w:r>
    </w:p>
    <w:p>
      <w:pPr>
        <w:spacing w:after="0" w:line="161" w:lineRule="exact"/>
        <w:rPr>
          <w:sz w:val="20"/>
          <w:szCs w:val="20"/>
          <w:color w:val="auto"/>
        </w:rPr>
      </w:pPr>
    </w:p>
    <w:p>
      <w:pPr>
        <w:ind w:left="540" w:right="40"/>
        <w:spacing w:after="0" w:line="290"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nine months ended September 30, 2013, we recorded income tax expense of $586,000 compared to $980,000 for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2012. Our effective tax rate was 20% for the first nine months of 2013 compared to 33% for the same period in 2012. On a quarterly basis, we record income tax expense or benefit based on the expected annualized effective tax rate for the various taxing jurisdictions in which we operate our businesses. The reduction in our effective tax rate in the first nine months of 2013 as compared to the same period in 2012 reflects the recording of the effect of the reinstatement of certain domestic research and development tax credits which was enacted in January 2013, as well as the recording of additional benefits in connection with the finalization of an audit of our German operation and, to a lesser extent, the filing of our 2012 federal income tax return, both of which occurred in September 2013.</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ind w:left="540" w:right="200"/>
        <w:spacing w:after="0" w:line="287" w:lineRule="auto"/>
        <w:rPr>
          <w:sz w:val="20"/>
          <w:szCs w:val="20"/>
          <w:color w:val="auto"/>
        </w:rPr>
      </w:pPr>
      <w:r>
        <w:rPr>
          <w:rFonts w:ascii="Arial" w:cs="Arial" w:eastAsia="Arial" w:hAnsi="Arial"/>
          <w:sz w:val="16"/>
          <w:szCs w:val="16"/>
          <w:color w:val="auto"/>
        </w:rPr>
        <w:t>Net cash provided by operations for the nine months ended September 30, 2013 was $1.4 million compared to $4.8 million for the same period in 2012. During the first nine months of 2013, we recorded net earnings of $2.4 million. However, the positive impact on cash of our net earnings was partially offset by an increase of $1.9 million in accounts receivable and $612,000 in inventories. These increases reflect increased business activity during the third quarter of 2013 as compared to the fourth quarter of 2012. These increases were partially offset by a $465,000 increase in accounts payable during the first nine months of 2013, also reflecting the increased business activity as compared to the fourth quarter of 2012. During the first nine months of 2013, domestic and foreign income taxes payable increased $249,000 reflecting the accrual of income tax due on our earnings. Finally, during the first nine months of 2013, we recorded a deferred income tax benefit of $52,000 compared to deferred income tax expense of $489,000 for the comparable period in 2012. The shift from deferred tax expense to a deferred tax benefit during the nine months ended September 30, 2013 primarily reflects the recording of additional benefits in connection with the finalization of an audit of our German operation and, to a lesser extent, the filing of our 2012 federal income tax return, both of which occurred in September 2013.</w:t>
      </w:r>
    </w:p>
    <w:p>
      <w:pPr>
        <w:spacing w:after="0" w:line="177"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We have no significant commitments for capital expenditures for the balance of 2013, however, depending upon changes in market demand, we may make such purchases as we deem necessary and appropriate.</w:t>
      </w:r>
    </w:p>
    <w:p>
      <w:pPr>
        <w:spacing w:after="0" w:line="186" w:lineRule="exact"/>
        <w:rPr>
          <w:sz w:val="20"/>
          <w:szCs w:val="20"/>
          <w:color w:val="auto"/>
        </w:rPr>
      </w:pPr>
    </w:p>
    <w:p>
      <w:pPr>
        <w:ind w:left="540" w:right="320"/>
        <w:spacing w:after="0" w:line="256" w:lineRule="auto"/>
        <w:rPr>
          <w:sz w:val="20"/>
          <w:szCs w:val="20"/>
          <w:color w:val="auto"/>
        </w:rPr>
      </w:pPr>
      <w:r>
        <w:rPr>
          <w:rFonts w:ascii="Arial" w:cs="Arial" w:eastAsia="Arial" w:hAnsi="Arial"/>
          <w:sz w:val="18"/>
          <w:szCs w:val="18"/>
          <w:color w:val="auto"/>
        </w:rPr>
        <w:t>As of September 30, 2013, we had cash and cash equivalents of $16.8 million. We currently expect our cash and cash equivalents and projected future cash flow to be sufficient to support our short term working capital requirements. We do not currently have any credit facilities under which we can borrow to help fund our working capital or other requirements. We cannot be certain that, if needed, we would be able to obtain any credit facilities or under what terms such credit facilities would be available.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31"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See the Notes to the consolidated financial statements for information concerning the implementation and impact of new or recently adopted accounting standards.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31" w:lineRule="exact"/>
        <w:rPr>
          <w:sz w:val="20"/>
          <w:szCs w:val="20"/>
          <w:color w:val="auto"/>
        </w:rPr>
      </w:pPr>
    </w:p>
    <w:p>
      <w:pPr>
        <w:ind w:left="540" w:right="20"/>
        <w:spacing w:after="0" w:line="288"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deferred income tax valuation allowances and product warranty reserves.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September 30, 2013, there have been no significant changes to the accounting policies that we have deemed critical. These policies are more fully described in our 2012 Form 10-K.</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31" w:lineRule="exact"/>
        <w:rPr>
          <w:sz w:val="20"/>
          <w:szCs w:val="20"/>
          <w:color w:val="auto"/>
        </w:rPr>
      </w:pPr>
    </w:p>
    <w:p>
      <w:pPr>
        <w:ind w:left="540" w:right="200"/>
        <w:spacing w:after="0" w:line="259" w:lineRule="auto"/>
        <w:rPr>
          <w:sz w:val="20"/>
          <w:szCs w:val="20"/>
          <w:color w:val="auto"/>
        </w:rPr>
      </w:pPr>
      <w:r>
        <w:rPr>
          <w:rFonts w:ascii="Arial" w:cs="Arial" w:eastAsia="Arial" w:hAnsi="Arial"/>
          <w:sz w:val="18"/>
          <w:szCs w:val="18"/>
          <w:color w:val="auto"/>
        </w:rPr>
        <w:t>There were no off-balance sheet arrangements during the nine months ended September 30, 2013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disclosure is not required for a smaller reporting company.</w:t>
      </w:r>
    </w:p>
    <w:p>
      <w:pPr>
        <w:sectPr>
          <w:pgSz w:w="11900" w:h="16838" w:orient="portrait"/>
          <w:cols w:equalWidth="0" w:num="1">
            <w:col w:w="11420"/>
          </w:cols>
          <w:pgMar w:left="240" w:top="347" w:right="239" w:bottom="0" w:gutter="0" w:footer="0" w:header="0"/>
        </w:sect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ectPr>
          <w:pgSz w:w="11900" w:h="16838" w:orient="portrait"/>
          <w:cols w:equalWidth="0" w:num="1">
            <w:col w:w="11420"/>
          </w:cols>
          <w:pgMar w:left="240" w:top="347" w:right="239" w:bottom="0" w:gutter="0" w:footer="0" w:header="0"/>
          <w:type w:val="continuous"/>
        </w:sectPr>
      </w:pPr>
    </w:p>
    <w:bookmarkStart w:id="19" w:name="page20"/>
    <w:bookmarkEnd w:id="19"/>
    <w:p>
      <w:pPr>
        <w:ind w:left="540" w:right="160"/>
        <w:spacing w:after="0" w:line="258" w:lineRule="auto"/>
        <w:rPr>
          <w:sz w:val="20"/>
          <w:szCs w:val="20"/>
          <w:color w:val="auto"/>
        </w:rPr>
      </w:pPr>
      <w:r>
        <w:rPr>
          <w:rFonts w:ascii="Arial" w:cs="Arial" w:eastAsia="Arial" w:hAnsi="Arial"/>
          <w:sz w:val="18"/>
          <w:szCs w:val="18"/>
          <w:b w:val="1"/>
          <w:bCs w:val="1"/>
          <w:color w:val="auto"/>
        </w:rPr>
        <w:t>CEO and CFO Certifications</w:t>
      </w:r>
      <w:r>
        <w:rPr>
          <w:rFonts w:ascii="Arial" w:cs="Arial" w:eastAsia="Arial" w:hAnsi="Arial"/>
          <w:sz w:val="18"/>
          <w:szCs w:val="18"/>
          <w:color w:val="auto"/>
        </w:rPr>
        <w:t>. Included with this Quarterly Report as Exhibits 31.1 and 31.2 are two certifications, one by each of our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our Chief Financial Officer (the "Section 302 Certifications"). This Item 4 contains information concerning the evaluations of our disclosure controls and procedures that are referred to in the Section 302 Certifications. This information should be read in conjunction with the Section 302 Certifications for a more complete understanding of the topics addressed therein.</w:t>
      </w:r>
    </w:p>
    <w:p>
      <w:pPr>
        <w:spacing w:after="0" w:line="190" w:lineRule="exact"/>
        <w:rPr>
          <w:sz w:val="20"/>
          <w:szCs w:val="20"/>
          <w:color w:val="auto"/>
        </w:rPr>
      </w:pPr>
    </w:p>
    <w:p>
      <w:pPr>
        <w:ind w:left="540" w:right="180"/>
        <w:spacing w:after="0" w:line="262" w:lineRule="auto"/>
        <w:rPr>
          <w:sz w:val="20"/>
          <w:szCs w:val="20"/>
          <w:color w:val="auto"/>
        </w:rPr>
      </w:pPr>
      <w:r>
        <w:rPr>
          <w:rFonts w:ascii="Arial" w:cs="Arial" w:eastAsia="Arial" w:hAnsi="Arial"/>
          <w:sz w:val="18"/>
          <w:szCs w:val="18"/>
          <w:b w:val="1"/>
          <w:bCs w:val="1"/>
          <w:color w:val="auto"/>
        </w:rPr>
        <w:t>Evaluation of Our Disclosure Controls and Procedures</w:t>
      </w:r>
      <w:r>
        <w:rPr>
          <w:rFonts w:ascii="Arial" w:cs="Arial" w:eastAsia="Arial" w:hAnsi="Arial"/>
          <w:sz w:val="18"/>
          <w:szCs w:val="18"/>
          <w:color w:val="auto"/>
        </w:rPr>
        <w:t>. The SEC requires that as of the end of the quarter covered by this Report, our CEO and CFO</w:t>
      </w:r>
      <w:r>
        <w:rPr>
          <w:rFonts w:ascii="Arial" w:cs="Arial" w:eastAsia="Arial" w:hAnsi="Arial"/>
          <w:sz w:val="18"/>
          <w:szCs w:val="18"/>
          <w:b w:val="1"/>
          <w:bCs w:val="1"/>
          <w:color w:val="auto"/>
        </w:rPr>
        <w:t xml:space="preserve"> </w:t>
      </w:r>
      <w:r>
        <w:rPr>
          <w:rFonts w:ascii="Arial" w:cs="Arial" w:eastAsia="Arial" w:hAnsi="Arial"/>
          <w:sz w:val="18"/>
          <w:szCs w:val="18"/>
          <w:color w:val="auto"/>
        </w:rPr>
        <w:t>must evaluate the effectiveness of the design and operation of our disclosure controls and procedures and report on the effectiveness of the design and operation of our disclosure controls and procedures.</w:t>
      </w:r>
    </w:p>
    <w:p>
      <w:pPr>
        <w:spacing w:after="0" w:line="192"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"Disclosure controls and procedures" mean the controls and other procedures that are designed with the objective of ensuring that information required to be disclosed in our reports filed under the Securities Exchange Act of 1934 (the "Exchange Act"), such as this Report, is recorded, processed, summarized and reported within the time periods specified in the rules and forms promulgated by the SEC. Disclosure controls and procedures are also designed with the objective of ensuring that such information is accumulated and communicated to our management, including the CEO and CFO, as appropriate, to allow timely decisions regarding required disclosure.</w:t>
      </w:r>
    </w:p>
    <w:p>
      <w:pPr>
        <w:spacing w:after="0" w:line="191"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b w:val="1"/>
          <w:bCs w:val="1"/>
          <w:color w:val="auto"/>
        </w:rPr>
        <w:t>Limitations on the Effectiveness of Controls</w:t>
      </w:r>
      <w:r>
        <w:rPr>
          <w:rFonts w:ascii="Arial" w:cs="Arial" w:eastAsia="Arial" w:hAnsi="Arial"/>
          <w:sz w:val="16"/>
          <w:szCs w:val="16"/>
          <w:color w:val="auto"/>
        </w:rPr>
        <w:t>. Our management, including the CEO and CFO, does not expect that our disclosure controls and</w:t>
      </w:r>
      <w:r>
        <w:rPr>
          <w:rFonts w:ascii="Arial" w:cs="Arial" w:eastAsia="Arial" w:hAnsi="Arial"/>
          <w:sz w:val="16"/>
          <w:szCs w:val="16"/>
          <w:b w:val="1"/>
          <w:bCs w:val="1"/>
          <w:color w:val="auto"/>
        </w:rPr>
        <w:t xml:space="preserve"> </w:t>
      </w:r>
      <w:r>
        <w:rPr>
          <w:rFonts w:ascii="Arial" w:cs="Arial" w:eastAsia="Arial" w:hAnsi="Arial"/>
          <w:sz w:val="16"/>
          <w:szCs w:val="16"/>
          <w:color w:val="auto"/>
        </w:rPr>
        <w:t>procedures or our internal control over financial reporting will prevent all error and all fraud. A control system, no matter how well conceived and operated, can provide only reasonable, as opposed to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an entity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a system of controls may become inadequate because of changes in conditions, or the degree of compliance with the policies or procedures may deteriorate.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75" w:lineRule="exact"/>
        <w:rPr>
          <w:sz w:val="20"/>
          <w:szCs w:val="20"/>
          <w:color w:val="auto"/>
        </w:rPr>
      </w:pPr>
    </w:p>
    <w:p>
      <w:pPr>
        <w:jc w:val="both"/>
        <w:ind w:left="540" w:right="260"/>
        <w:spacing w:after="0" w:line="258"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inTEST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 - - - - - - - - - - - - - - - - - - - - - - - -</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1" w:lineRule="exact"/>
        <w:rPr>
          <w:sz w:val="20"/>
          <w:szCs w:val="20"/>
          <w:color w:val="auto"/>
        </w:rPr>
      </w:pPr>
    </w:p>
    <w:p>
      <w:pPr>
        <w:jc w:val="both"/>
        <w:ind w:left="540" w:right="20"/>
        <w:spacing w:after="0" w:line="268"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jc w:val="both"/>
        <w:ind w:left="540" w:right="20"/>
        <w:spacing w:after="0" w:line="259" w:lineRule="auto"/>
        <w:rPr>
          <w:sz w:val="20"/>
          <w:szCs w:val="20"/>
          <w:color w:val="auto"/>
        </w:rPr>
      </w:pPr>
      <w:r>
        <w:rPr>
          <w:rFonts w:ascii="Arial" w:cs="Arial" w:eastAsia="Arial" w:hAnsi="Arial"/>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Annual Report on Form 10-K for the year ended December 31, 2012.</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25" w:right="239" w:bottom="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6. Exhibits</w:t>
      </w:r>
    </w:p>
    <w:p>
      <w:pPr>
        <w:spacing w:after="0" w:line="191"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Index to Exhibits immediately following the signature page, which Index to Exhibits is incorporated herein by reference.</w:t>
      </w:r>
    </w:p>
    <w:p>
      <w:pPr>
        <w:spacing w:after="0" w:line="200" w:lineRule="exact"/>
        <w:rPr>
          <w:sz w:val="20"/>
          <w:szCs w:val="20"/>
          <w:color w:val="auto"/>
        </w:rPr>
      </w:pPr>
    </w:p>
    <w:p>
      <w:pPr>
        <w:spacing w:after="0" w:line="33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 - - - - - - - - - - - - - - - - - - - - - - - - - - - - - -</w:t>
      </w:r>
    </w:p>
    <w:p>
      <w:pPr>
        <w:spacing w:after="0" w:line="19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- 24 -</w:t>
      </w:r>
    </w:p>
    <w:p>
      <w:pPr>
        <w:spacing w:after="0" w:line="200" w:lineRule="exact"/>
        <w:rPr>
          <w:sz w:val="20"/>
          <w:szCs w:val="20"/>
          <w:color w:val="auto"/>
        </w:rPr>
      </w:pPr>
    </w:p>
    <w:p>
      <w:pPr>
        <w:spacing w:after="0" w:line="37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3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2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inTEST Corporation</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November 13, 2013</w:t>
            </w:r>
          </w:p>
        </w:tc>
        <w:tc>
          <w:tcPr>
            <w:tcW w:w="4580" w:type="dxa"/>
            <w:vAlign w:val="bottom"/>
            <w:gridSpan w:val="3"/>
          </w:tcPr>
          <w:p>
            <w:pPr>
              <w:spacing w:after="0"/>
              <w:rPr>
                <w:sz w:val="20"/>
                <w:szCs w:val="20"/>
                <w:color w:val="auto"/>
              </w:rPr>
            </w:pPr>
            <w:r>
              <w:rPr>
                <w:rFonts w:ascii="Arial" w:cs="Arial" w:eastAsia="Arial" w:hAnsi="Arial"/>
                <w:sz w:val="18"/>
                <w:szCs w:val="18"/>
                <w:color w:val="auto"/>
              </w:rPr>
              <w:t>/s/ Robert E. Matthiessen</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Robert E. Matthiessen</w:t>
            </w:r>
          </w:p>
        </w:tc>
        <w:tc>
          <w:tcPr>
            <w:tcW w:w="2800" w:type="dxa"/>
            <w:vAlign w:val="bottom"/>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580" w:type="dxa"/>
            <w:vAlign w:val="bottom"/>
            <w:gridSpan w:val="3"/>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November 13, 2013</w:t>
            </w:r>
          </w:p>
        </w:tc>
        <w:tc>
          <w:tcPr>
            <w:tcW w:w="4580" w:type="dxa"/>
            <w:vAlign w:val="bottom"/>
            <w:gridSpan w:val="3"/>
          </w:tcPr>
          <w:p>
            <w:pPr>
              <w:spacing w:after="0"/>
              <w:rPr>
                <w:sz w:val="20"/>
                <w:szCs w:val="20"/>
                <w:color w:val="auto"/>
              </w:rPr>
            </w:pPr>
            <w:r>
              <w:rPr>
                <w:rFonts w:ascii="Arial" w:cs="Arial" w:eastAsia="Arial" w:hAnsi="Arial"/>
                <w:sz w:val="18"/>
                <w:szCs w:val="18"/>
                <w:color w:val="auto"/>
              </w:rPr>
              <w:t>/s/ Hugh T. Regan, Jr.</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Hugh T. Regan, Jr.</w:t>
            </w:r>
          </w:p>
        </w:tc>
        <w:tc>
          <w:tcPr>
            <w:tcW w:w="3060" w:type="dxa"/>
            <w:vAlign w:val="bottom"/>
            <w:gridSpan w:val="2"/>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580" w:type="dxa"/>
            <w:vAlign w:val="bottom"/>
            <w:gridSpan w:val="3"/>
          </w:tcPr>
          <w:p>
            <w:pPr>
              <w:spacing w:after="0"/>
              <w:rPr>
                <w:sz w:val="20"/>
                <w:szCs w:val="20"/>
                <w:color w:val="auto"/>
              </w:rPr>
            </w:pPr>
            <w:r>
              <w:rPr>
                <w:rFonts w:ascii="Arial" w:cs="Arial" w:eastAsia="Arial" w:hAnsi="Arial"/>
                <w:sz w:val="18"/>
                <w:szCs w:val="18"/>
                <w:i w:val="1"/>
                <w:iCs w:val="1"/>
                <w:color w:val="auto"/>
              </w:rPr>
              <w:t>Secretary, Treasurer and Chief Financial Officer</w:t>
            </w:r>
          </w:p>
        </w:tc>
      </w:tr>
      <w:tr>
        <w:trPr>
          <w:trHeight w:val="797"/>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3"/>
          </w:tcPr>
          <w:p>
            <w:pPr>
              <w:jc w:val="right"/>
              <w:ind w:right="1380"/>
              <w:spacing w:after="0"/>
              <w:rPr>
                <w:sz w:val="20"/>
                <w:szCs w:val="20"/>
                <w:color w:val="auto"/>
              </w:rPr>
            </w:pPr>
            <w:r>
              <w:rPr>
                <w:rFonts w:ascii="Arial" w:cs="Arial" w:eastAsia="Arial" w:hAnsi="Arial"/>
                <w:sz w:val="18"/>
                <w:szCs w:val="18"/>
                <w:color w:val="auto"/>
              </w:rPr>
              <w:t>- 25 -</w:t>
            </w:r>
          </w:p>
        </w:tc>
      </w:tr>
      <w:tr>
        <w:trPr>
          <w:trHeight w:val="783"/>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3"/>
          </w:tcPr>
          <w:p>
            <w:pPr>
              <w:jc w:val="right"/>
              <w:spacing w:after="0"/>
              <w:rPr>
                <w:sz w:val="20"/>
                <w:szCs w:val="20"/>
                <w:color w:val="auto"/>
              </w:rPr>
            </w:pPr>
            <w:r>
              <w:rPr>
                <w:rFonts w:ascii="Arial" w:cs="Arial" w:eastAsia="Arial" w:hAnsi="Arial"/>
                <w:sz w:val="18"/>
                <w:szCs w:val="18"/>
                <w:b w:val="1"/>
                <w:bCs w:val="1"/>
                <w:color w:val="auto"/>
              </w:rPr>
              <w:t>- - - - - - - - - - - - - - - - - - - - - - - - - - - - - -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Chief Executive Officer pursuant to Rule 13a-14(a).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Chief Financial Officer pursuant to Rule 13a-14(a).</w:t>
      </w:r>
    </w:p>
    <w:p>
      <w:pPr>
        <w:spacing w:after="0" w:line="225" w:lineRule="exact"/>
        <w:rPr>
          <w:sz w:val="20"/>
          <w:szCs w:val="20"/>
          <w:color w:val="auto"/>
        </w:rPr>
      </w:pPr>
    </w:p>
    <w:p>
      <w:pPr>
        <w:ind w:left="440" w:right="4920" w:hanging="438"/>
        <w:spacing w:after="0" w:line="332" w:lineRule="auto"/>
        <w:rPr>
          <w:sz w:val="20"/>
          <w:szCs w:val="20"/>
          <w:color w:val="auto"/>
        </w:rPr>
      </w:pPr>
      <w:r>
        <w:rPr>
          <w:rFonts w:ascii="Arial" w:cs="Arial" w:eastAsia="Arial" w:hAnsi="Arial"/>
          <w:sz w:val="16"/>
          <w:szCs w:val="16"/>
          <w:color w:val="auto"/>
        </w:rPr>
        <w:t>32.1 Certification of Chief Executive Officer pursuant to 18 U.S.C. Section 1350, as adopted pursuant to Section 906 of the Sarbanes-Oxley Act of 2002.</w:t>
      </w:r>
    </w:p>
    <w:p>
      <w:pPr>
        <w:spacing w:after="0" w:line="139" w:lineRule="exact"/>
        <w:rPr>
          <w:sz w:val="20"/>
          <w:szCs w:val="20"/>
          <w:color w:val="auto"/>
        </w:rPr>
      </w:pPr>
    </w:p>
    <w:p>
      <w:pPr>
        <w:ind w:left="440" w:right="4980" w:hanging="438"/>
        <w:spacing w:after="0" w:line="332" w:lineRule="auto"/>
        <w:rPr>
          <w:sz w:val="20"/>
          <w:szCs w:val="20"/>
          <w:color w:val="auto"/>
        </w:rPr>
      </w:pPr>
      <w:r>
        <w:rPr>
          <w:rFonts w:ascii="Arial" w:cs="Arial" w:eastAsia="Arial" w:hAnsi="Arial"/>
          <w:sz w:val="16"/>
          <w:szCs w:val="16"/>
          <w:color w:val="auto"/>
        </w:rPr>
        <w:t>32.2 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29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- 26-</w:t>
      </w:r>
    </w:p>
    <w:p>
      <w:pPr>
        <w:sectPr>
          <w:pgSz w:w="11900" w:h="16838" w:orient="portrait"/>
          <w:cols w:equalWidth="0" w:num="1">
            <w:col w:w="10940"/>
          </w:cols>
          <w:pgMar w:left="240" w:top="517" w:right="71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13, 2013</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Robert E. Matthiessen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13, 2013</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1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60"/>
        <w:spacing w:after="0" w:line="270" w:lineRule="auto"/>
        <w:rPr>
          <w:sz w:val="20"/>
          <w:szCs w:val="20"/>
          <w:color w:val="auto"/>
        </w:rPr>
      </w:pPr>
      <w:r>
        <w:rPr>
          <w:rFonts w:ascii="Arial" w:cs="Arial" w:eastAsia="Arial" w:hAnsi="Arial"/>
          <w:sz w:val="23"/>
          <w:szCs w:val="23"/>
          <w:color w:val="auto"/>
        </w:rPr>
        <w:t>In connection with the Quarterly Report of inTEST Corporation (the "Company") on Form 10-Q for the period ending September 30, 2013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28" w:lineRule="exact"/>
        <w:rPr>
          <w:sz w:val="20"/>
          <w:szCs w:val="20"/>
          <w:color w:val="auto"/>
        </w:rPr>
      </w:pPr>
    </w:p>
    <w:p>
      <w:pPr>
        <w:ind w:right="520" w:firstLine="8"/>
        <w:spacing w:after="0" w:line="275" w:lineRule="auto"/>
        <w:tabs>
          <w:tab w:leader="none" w:pos="344" w:val="left"/>
        </w:tabs>
        <w:numPr>
          <w:ilvl w:val="0"/>
          <w:numId w:val="7"/>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7"/>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November 13, 2013</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Robert E. Matthiessen</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Robert E. Matthiessen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President and Chief Executive Officer</w:t>
      </w:r>
    </w:p>
    <w:p>
      <w:pPr>
        <w:sectPr>
          <w:pgSz w:w="11900" w:h="16838" w:orient="portrait"/>
          <w:cols w:equalWidth="0" w:num="1">
            <w:col w:w="11420"/>
          </w:cols>
          <w:pgMar w:left="240" w:top="11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286" w:lineRule="auto"/>
        <w:rPr>
          <w:sz w:val="20"/>
          <w:szCs w:val="20"/>
          <w:color w:val="auto"/>
        </w:rPr>
      </w:pPr>
      <w:r>
        <w:rPr>
          <w:rFonts w:ascii="Arial" w:cs="Arial" w:eastAsia="Arial" w:hAnsi="Arial"/>
          <w:sz w:val="22"/>
          <w:szCs w:val="22"/>
          <w:color w:val="auto"/>
        </w:rPr>
        <w:t>In connection with the Quarterly Report of inTEST Corporation (the "Company") on Form 10-Q for the period ending September 30, 2013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212" w:lineRule="exact"/>
        <w:rPr>
          <w:sz w:val="20"/>
          <w:szCs w:val="20"/>
          <w:color w:val="auto"/>
        </w:rPr>
      </w:pPr>
    </w:p>
    <w:p>
      <w:pPr>
        <w:ind w:right="520" w:firstLine="8"/>
        <w:spacing w:after="0" w:line="275" w:lineRule="auto"/>
        <w:tabs>
          <w:tab w:leader="none" w:pos="344" w:val="left"/>
        </w:tabs>
        <w:numPr>
          <w:ilvl w:val="0"/>
          <w:numId w:val="8"/>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8"/>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November 13, 2013</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Hugh T. Regan, Jr.</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Hugh T. Regan, Jr.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Secretary, Treasurer and Chief Financial Officer</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2019-12-06T17:44:58Z</dcterms:created>
  <dcterms:modified xsi:type="dcterms:W3CDTF">2019-12-06T17:44:58Z</dcterms:modified>
</cp:coreProperties>
</file>