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FORM 10-K</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8" w:lineRule="exact"/>
        <w:rPr>
          <w:sz w:val="24"/>
          <w:szCs w:val="24"/>
          <w:color w:val="auto"/>
        </w:rPr>
      </w:pPr>
    </w:p>
    <w:p>
      <w:pPr>
        <w:ind w:left="4100" w:right="2200" w:hanging="4092"/>
        <w:spacing w:after="0" w:line="253" w:lineRule="auto"/>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2017</w:t>
      </w: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4" w:lineRule="exact"/>
        <w:rPr>
          <w:sz w:val="24"/>
          <w:szCs w:val="24"/>
          <w:color w:val="auto"/>
        </w:rPr>
      </w:pPr>
    </w:p>
    <w:p>
      <w:pPr>
        <w:ind w:left="2840" w:right="1820" w:hanging="2832"/>
        <w:spacing w:after="0" w:line="296" w:lineRule="auto"/>
        <w:tabs>
          <w:tab w:leader="none" w:pos="393"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 to ___________________</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1-36117</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inTEST Corporation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62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98"/>
              </w:rPr>
              <w:t>DELAWARE</w:t>
            </w:r>
          </w:p>
        </w:tc>
        <w:tc>
          <w:tcPr>
            <w:tcW w:w="3520" w:type="dxa"/>
            <w:vAlign w:val="bottom"/>
          </w:tcPr>
          <w:p>
            <w:pPr>
              <w:jc w:val="right"/>
              <w:ind w:right="1230"/>
              <w:spacing w:after="0"/>
              <w:rPr>
                <w:sz w:val="20"/>
                <w:szCs w:val="20"/>
                <w:color w:val="auto"/>
              </w:rPr>
            </w:pPr>
            <w:r>
              <w:rPr>
                <w:rFonts w:ascii="Arial" w:cs="Arial" w:eastAsia="Arial" w:hAnsi="Arial"/>
                <w:sz w:val="18"/>
                <w:szCs w:val="18"/>
                <w:b w:val="1"/>
                <w:bCs w:val="1"/>
                <w:color w:val="auto"/>
              </w:rPr>
              <w:t>22-2370659</w:t>
            </w:r>
          </w:p>
        </w:tc>
      </w:tr>
      <w:tr>
        <w:trPr>
          <w:trHeight w:val="230"/>
        </w:trPr>
        <w:tc>
          <w:tcPr>
            <w:tcW w:w="5440" w:type="dxa"/>
            <w:vAlign w:val="bottom"/>
            <w:gridSpan w:val="3"/>
          </w:tcPr>
          <w:p>
            <w:pPr>
              <w:jc w:val="center"/>
              <w:ind w:right="10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54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7"/>
              </w:rPr>
              <w:t>804 EAST GATE DRIVE, SUITE 200</w:t>
            </w:r>
          </w:p>
        </w:tc>
        <w:tc>
          <w:tcPr>
            <w:tcW w:w="3520" w:type="dxa"/>
            <w:vAlign w:val="bottom"/>
          </w:tcPr>
          <w:p>
            <w:pPr>
              <w:spacing w:after="0"/>
              <w:rPr>
                <w:sz w:val="24"/>
                <w:szCs w:val="24"/>
                <w:color w:val="auto"/>
              </w:rPr>
            </w:pPr>
          </w:p>
        </w:tc>
      </w:tr>
      <w:tr>
        <w:trPr>
          <w:trHeight w:val="220"/>
        </w:trPr>
        <w:tc>
          <w:tcPr>
            <w:tcW w:w="820" w:type="dxa"/>
            <w:vAlign w:val="bottom"/>
          </w:tcPr>
          <w:p>
            <w:pPr>
              <w:spacing w:after="0"/>
              <w:rPr>
                <w:sz w:val="19"/>
                <w:szCs w:val="19"/>
                <w:color w:val="auto"/>
              </w:rPr>
            </w:pPr>
          </w:p>
        </w:tc>
        <w:tc>
          <w:tcPr>
            <w:tcW w:w="462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rPr>
              <w:t>MT. LAUREL, NEW JERSEY</w:t>
            </w:r>
          </w:p>
        </w:tc>
        <w:tc>
          <w:tcPr>
            <w:tcW w:w="3520" w:type="dxa"/>
            <w:vAlign w:val="bottom"/>
          </w:tcPr>
          <w:p>
            <w:pPr>
              <w:jc w:val="right"/>
              <w:ind w:right="1450"/>
              <w:spacing w:after="0"/>
              <w:rPr>
                <w:sz w:val="20"/>
                <w:szCs w:val="20"/>
                <w:color w:val="auto"/>
              </w:rPr>
            </w:pPr>
            <w:r>
              <w:rPr>
                <w:rFonts w:ascii="Arial" w:cs="Arial" w:eastAsia="Arial" w:hAnsi="Arial"/>
                <w:sz w:val="18"/>
                <w:szCs w:val="18"/>
                <w:b w:val="1"/>
                <w:bCs w:val="1"/>
                <w:color w:val="auto"/>
              </w:rPr>
              <w:t>08054</w:t>
            </w:r>
          </w:p>
        </w:tc>
      </w:tr>
      <w:tr>
        <w:trPr>
          <w:trHeight w:val="230"/>
        </w:trPr>
        <w:tc>
          <w:tcPr>
            <w:tcW w:w="5440" w:type="dxa"/>
            <w:vAlign w:val="bottom"/>
            <w:gridSpan w:val="3"/>
          </w:tcPr>
          <w:p>
            <w:pPr>
              <w:jc w:val="center"/>
              <w:ind w:right="102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59"/>
        </w:trPr>
        <w:tc>
          <w:tcPr>
            <w:tcW w:w="820" w:type="dxa"/>
            <w:vAlign w:val="bottom"/>
          </w:tcPr>
          <w:p>
            <w:pPr>
              <w:spacing w:after="0"/>
              <w:rPr>
                <w:sz w:val="24"/>
                <w:szCs w:val="24"/>
                <w:color w:val="auto"/>
              </w:rPr>
            </w:pPr>
          </w:p>
        </w:tc>
        <w:tc>
          <w:tcPr>
            <w:tcW w:w="814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89"/>
              </w:rPr>
              <w:t>Registrant's telephone number, including area code: (856) 505-8800</w:t>
            </w:r>
          </w:p>
        </w:tc>
      </w:tr>
      <w:tr>
        <w:trPr>
          <w:trHeight w:val="459"/>
        </w:trPr>
        <w:tc>
          <w:tcPr>
            <w:tcW w:w="820" w:type="dxa"/>
            <w:vAlign w:val="bottom"/>
          </w:tcPr>
          <w:p>
            <w:pPr>
              <w:spacing w:after="0"/>
              <w:rPr>
                <w:sz w:val="24"/>
                <w:szCs w:val="24"/>
                <w:color w:val="auto"/>
              </w:rPr>
            </w:pPr>
          </w:p>
        </w:tc>
        <w:tc>
          <w:tcPr>
            <w:tcW w:w="8140" w:type="dxa"/>
            <w:vAlign w:val="bottom"/>
            <w:gridSpan w:val="3"/>
          </w:tcPr>
          <w:p>
            <w:pPr>
              <w:jc w:val="center"/>
              <w:ind w:right="8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19"/>
        </w:trPr>
        <w:tc>
          <w:tcPr>
            <w:tcW w:w="8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84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7"/>
        </w:trPr>
        <w:tc>
          <w:tcPr>
            <w:tcW w:w="544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Common Stock, par value $0.01 per share</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emerging growth company. See definitions of "large accelerated filer," "accelerated filer" and "smaller reporting company" and “emerging growth company” in Rule 12b-2 of the Exchange Act.</w:t>
      </w:r>
    </w:p>
    <w:p>
      <w:pPr>
        <w:sectPr>
          <w:pgSz w:w="11900" w:h="16838" w:orient="portrait"/>
          <w:cols w:equalWidth="0" w:num="1">
            <w:col w:w="11380"/>
          </w:cols>
          <w:pgMar w:left="240" w:top="476" w:right="279" w:bottom="471"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560" w:space="720"/>
            <w:col w:w="5100"/>
          </w:cols>
          <w:pgMar w:left="240" w:top="476" w:right="279" w:bottom="471"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2017 (the last business day of the registrant's most recently completed second fiscal quarter), was: $57,738,020.</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16, 2018, was 10,473,558.</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jc w:val="both"/>
        <w:ind w:right="420"/>
        <w:spacing w:after="0" w:line="342" w:lineRule="auto"/>
        <w:rPr>
          <w:sz w:val="20"/>
          <w:szCs w:val="20"/>
          <w:color w:val="auto"/>
        </w:rPr>
      </w:pPr>
      <w:r>
        <w:rPr>
          <w:rFonts w:ascii="Arial" w:cs="Arial" w:eastAsia="Arial" w:hAnsi="Arial"/>
          <w:sz w:val="16"/>
          <w:szCs w:val="16"/>
          <w:color w:val="auto"/>
        </w:rPr>
        <w:t>Portions of the definitive proxy statement of the Registrant for the Registrant's 2018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476" w:right="279" w:bottom="471"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760" w:type="dxa"/>
            <w:vAlign w:val="bottom"/>
            <w:gridSpan w:val="9"/>
          </w:tcPr>
          <w:p>
            <w:pPr>
              <w:jc w:val="center"/>
              <w:ind w:right="3820"/>
              <w:spacing w:after="0"/>
              <w:rPr>
                <w:sz w:val="20"/>
                <w:szCs w:val="20"/>
                <w:color w:val="auto"/>
              </w:rPr>
            </w:pPr>
            <w:r>
              <w:rPr>
                <w:rFonts w:ascii="Arial" w:cs="Arial" w:eastAsia="Arial" w:hAnsi="Arial"/>
                <w:sz w:val="18"/>
                <w:szCs w:val="18"/>
                <w:b w:val="1"/>
                <w:bCs w:val="1"/>
                <w:color w:val="auto"/>
                <w:w w:val="99"/>
              </w:rPr>
              <w:t>inTEST CORPORATION</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0" w:type="dxa"/>
            <w:vAlign w:val="bottom"/>
            <w:gridSpan w:val="8"/>
          </w:tcPr>
          <w:p>
            <w:pPr>
              <w:jc w:val="center"/>
              <w:ind w:right="4580"/>
              <w:spacing w:after="0"/>
              <w:rPr>
                <w:sz w:val="20"/>
                <w:szCs w:val="20"/>
                <w:color w:val="auto"/>
              </w:rPr>
            </w:pPr>
            <w:r>
              <w:rPr>
                <w:rFonts w:ascii="Arial" w:cs="Arial" w:eastAsia="Arial" w:hAnsi="Arial"/>
                <w:sz w:val="18"/>
                <w:szCs w:val="18"/>
                <w:b w:val="1"/>
                <w:bCs w:val="1"/>
                <w:color w:val="auto"/>
              </w:rPr>
              <w:t>FORM 10-K</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80" w:type="dxa"/>
            <w:vAlign w:val="bottom"/>
            <w:gridSpan w:val="10"/>
          </w:tcPr>
          <w:p>
            <w:pPr>
              <w:jc w:val="center"/>
              <w:ind w:right="3380"/>
              <w:spacing w:after="0"/>
              <w:rPr>
                <w:sz w:val="20"/>
                <w:szCs w:val="20"/>
                <w:color w:val="auto"/>
              </w:rPr>
            </w:pPr>
            <w:r>
              <w:rPr>
                <w:rFonts w:ascii="Arial" w:cs="Arial" w:eastAsia="Arial" w:hAnsi="Arial"/>
                <w:sz w:val="18"/>
                <w:szCs w:val="18"/>
                <w:b w:val="1"/>
                <w:bCs w:val="1"/>
                <w:color w:val="auto"/>
                <w:w w:val="98"/>
              </w:rPr>
              <w:t>FOR THE YEAR ENDED DECEMBER 31, 2017</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7"/>
          </w:tcPr>
          <w:p>
            <w:pPr>
              <w:jc w:val="center"/>
              <w:ind w:right="486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7"/>
            <w:vMerge w:val="restart"/>
          </w:tcPr>
          <w:p>
            <w:pPr>
              <w:jc w:val="center"/>
              <w:ind w:right="4860"/>
              <w:spacing w:after="0"/>
              <w:rPr>
                <w:sz w:val="20"/>
                <w:szCs w:val="20"/>
                <w:color w:val="auto"/>
              </w:rPr>
            </w:pPr>
            <w:r>
              <w:rPr>
                <w:rFonts w:ascii="Arial" w:cs="Arial" w:eastAsia="Arial" w:hAnsi="Arial"/>
                <w:sz w:val="18"/>
                <w:szCs w:val="18"/>
                <w:b w:val="1"/>
                <w:bCs w:val="1"/>
                <w:color w:val="auto"/>
                <w:w w:val="98"/>
              </w:rPr>
              <w:t>PART I</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i w:val="1"/>
                <w:iCs w:val="1"/>
                <w:color w:val="auto"/>
                <w:w w:val="78"/>
              </w:rPr>
              <w:t>Page</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20" w:type="dxa"/>
            <w:vAlign w:val="bottom"/>
            <w:gridSpan w:val="7"/>
            <w:vMerge w:val="continue"/>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40" w:type="dxa"/>
            <w:vAlign w:val="bottom"/>
            <w:gridSpan w:val="22"/>
          </w:tcPr>
          <w:p>
            <w:pPr>
              <w:spacing w:after="0"/>
              <w:rPr>
                <w:sz w:val="16"/>
                <w:szCs w:val="16"/>
                <w:color w:val="auto"/>
              </w:rPr>
            </w:pPr>
          </w:p>
        </w:tc>
        <w:tc>
          <w:tcPr>
            <w:tcW w:w="4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9180" w:type="dxa"/>
            <w:vAlign w:val="bottom"/>
            <w:gridSpan w:val="19"/>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Unresolved Staff Comments</w:t>
              </w:r>
            </w:hyperlink>
          </w:p>
        </w:tc>
        <w:tc>
          <w:tcPr>
            <w:tcW w:w="8040" w:type="dxa"/>
            <w:vAlign w:val="bottom"/>
            <w:gridSpan w:val="1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8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8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8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7"/>
          </w:tcPr>
          <w:p>
            <w:pPr>
              <w:jc w:val="center"/>
              <w:ind w:right="486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Market for Registrant's Common Equity, Related Stockholder Matters and Issuer Purchases of Equity Securities</w:t>
              </w:r>
            </w:hyperlink>
          </w:p>
        </w:tc>
        <w:tc>
          <w:tcPr>
            <w:tcW w:w="20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080" w:type="dxa"/>
            <w:vAlign w:val="bottom"/>
            <w:gridSpan w:val="2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gridSpan w:val="4"/>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5720" w:type="dxa"/>
            <w:vAlign w:val="bottom"/>
            <w:gridSpan w:val="7"/>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10080" w:type="dxa"/>
            <w:vAlign w:val="bottom"/>
            <w:gridSpan w:val="2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Financial Statements and Supplementary Data</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Changes in and Disagreements with Accountants on Accounting and Financial Disclosure</w:t>
              </w:r>
            </w:hyperlink>
          </w:p>
        </w:tc>
        <w:tc>
          <w:tcPr>
            <w:tcW w:w="3600" w:type="dxa"/>
            <w:vAlign w:val="bottom"/>
            <w:gridSpan w:val="3"/>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0080" w:type="dxa"/>
            <w:vAlign w:val="bottom"/>
            <w:gridSpan w:val="2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8320" w:type="dxa"/>
            <w:vAlign w:val="bottom"/>
            <w:gridSpan w:val="14"/>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7"/>
          </w:tcPr>
          <w:p>
            <w:pPr>
              <w:jc w:val="center"/>
              <w:ind w:right="484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1008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Directors, Executive Officers and Corporate Governance</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6000" w:type="dxa"/>
            <w:vAlign w:val="bottom"/>
            <w:gridSpan w:val="8"/>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8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Security Ownership of Certain Beneficial Owners and Management and Related Stockholder Matters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Transactions, and Director Independence</w:t>
              </w:r>
            </w:hyperlink>
          </w:p>
        </w:tc>
        <w:tc>
          <w:tcPr>
            <w:tcW w:w="280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Principal Accounting Fees and Services</w:t>
              </w:r>
            </w:hyperlink>
          </w:p>
        </w:tc>
        <w:tc>
          <w:tcPr>
            <w:tcW w:w="4640" w:type="dxa"/>
            <w:vAlign w:val="bottom"/>
            <w:gridSpan w:val="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7"/>
          </w:tcPr>
          <w:p>
            <w:pPr>
              <w:jc w:val="center"/>
              <w:ind w:right="484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Exhibits, Financial Statement Schedules</w:t>
              </w:r>
            </w:hyperlink>
          </w:p>
        </w:tc>
        <w:tc>
          <w:tcPr>
            <w:tcW w:w="7180" w:type="dxa"/>
            <w:vAlign w:val="bottom"/>
            <w:gridSpan w:val="10"/>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008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Form 10-K Summary</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Index to Exhibits</w:t>
              </w:r>
            </w:hyperlink>
          </w:p>
        </w:tc>
        <w:tc>
          <w:tcPr>
            <w:tcW w:w="300" w:type="dxa"/>
            <w:vAlign w:val="bottom"/>
            <w:tcBorders>
              <w:top w:val="single" w:sz="8" w:color="0000EE"/>
            </w:tcBorders>
            <w:gridSpan w:val="2"/>
          </w:tcPr>
          <w:p>
            <w:pPr>
              <w:spacing w:after="0"/>
              <w:rPr>
                <w:sz w:val="17"/>
                <w:szCs w:val="17"/>
                <w:color w:val="auto"/>
              </w:rPr>
            </w:pPr>
          </w:p>
        </w:tc>
        <w:tc>
          <w:tcPr>
            <w:tcW w:w="8540" w:type="dxa"/>
            <w:vAlign w:val="bottom"/>
            <w:gridSpan w:val="1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Signatures</w:t>
              </w:r>
            </w:hyperlink>
          </w:p>
        </w:tc>
        <w:tc>
          <w:tcPr>
            <w:tcW w:w="9320" w:type="dxa"/>
            <w:vAlign w:val="bottom"/>
            <w:gridSpan w:val="20"/>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Index to Consolidated Financial Statements and Financial Statement Schedule</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5440" w:type="dxa"/>
            <w:vAlign w:val="bottom"/>
            <w:tcBorders>
              <w:top w:val="single" w:sz="8" w:color="0000EE"/>
            </w:tcBorders>
            <w:gridSpan w:val="17"/>
          </w:tcPr>
          <w:p>
            <w:pPr>
              <w:jc w:val="center"/>
              <w:ind w:left="4050"/>
              <w:spacing w:after="0"/>
              <w:rPr>
                <w:sz w:val="20"/>
                <w:szCs w:val="20"/>
                <w:color w:val="auto"/>
              </w:rPr>
            </w:pPr>
            <w:r>
              <w:rPr>
                <w:rFonts w:ascii="Arial" w:cs="Arial" w:eastAsia="Arial" w:hAnsi="Arial"/>
                <w:sz w:val="18"/>
                <w:szCs w:val="18"/>
                <w:color w:val="auto"/>
                <w:w w:val="93"/>
              </w:rPr>
              <w:t>- 2 -</w:t>
            </w:r>
          </w:p>
        </w:tc>
        <w:tc>
          <w:tcPr>
            <w:tcW w:w="1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340" w:right="120"/>
        <w:spacing w:after="0" w:line="273" w:lineRule="auto"/>
        <w:rPr>
          <w:sz w:val="20"/>
          <w:szCs w:val="20"/>
          <w:color w:val="auto"/>
        </w:rPr>
      </w:pPr>
      <w:r>
        <w:rPr>
          <w:rFonts w:ascii="Arial" w:cs="Arial" w:eastAsia="Arial" w:hAnsi="Arial"/>
          <w:sz w:val="17"/>
          <w:szCs w:val="17"/>
          <w:color w:val="auto"/>
        </w:rPr>
        <w:t>From time to time, we make written or oral "forward-looking statements" within the meaning of the Private Securities Litigation Reform Act of 1995, including statements contained in our filings with the Securities and Exchange Commission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"plans" or "anticipates" or similar terminology, and include, but are not limited to, statements made in this Report regarding:</w:t>
      </w:r>
    </w:p>
    <w:p>
      <w:pPr>
        <w:spacing w:after="0" w:line="178"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major potential acquisitions;</w:t>
      </w:r>
    </w:p>
    <w:p>
      <w:pPr>
        <w:spacing w:after="0" w:line="9" w:lineRule="exact"/>
        <w:rPr>
          <w:rFonts w:ascii="Arial" w:cs="Arial" w:eastAsia="Arial" w:hAnsi="Arial"/>
          <w:sz w:val="18"/>
          <w:szCs w:val="18"/>
          <w:color w:val="auto"/>
        </w:rPr>
      </w:pPr>
    </w:p>
    <w:p>
      <w:pPr>
        <w:ind w:left="1300" w:right="100" w:hanging="320"/>
        <w:spacing w:after="0" w:line="281"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our strategy to diversify our business by entering markets outside the semiconductor and automated test equipment (“ATE”), markets, including the automotive, consumer electronics, defense/aerospace, energy, industrial, telecommunications and other markets;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semiconductor and ATE markets or other markets we serve;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trends in the semiconductor and ATE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new products and technologies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revenues generated by foreign subsidiaries;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fluctuations; and</w:t>
      </w:r>
    </w:p>
    <w:p>
      <w:pPr>
        <w:spacing w:after="0" w:line="9" w:lineRule="exact"/>
        <w:rPr>
          <w:rFonts w:ascii="Arial" w:cs="Arial" w:eastAsia="Arial" w:hAnsi="Arial"/>
          <w:sz w:val="18"/>
          <w:szCs w:val="18"/>
          <w:color w:val="auto"/>
        </w:rPr>
      </w:pPr>
    </w:p>
    <w:p>
      <w:pPr>
        <w:ind w:left="1300" w:right="280" w:hanging="320"/>
        <w:spacing w:after="0" w:line="261"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184"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In this report, "we," "us," "our," and the "Company" refer to inTEST Corporation and its consolidated subsidiaries. We are an independent designer, manufacturer and marketer of thermal management products and ATE interface solutions which are used by semiconductor manufacturers to perform development, qualifying and final testing of integrated circuits (“ICs”) and wafers, and for other electronic test across a range of industries including the automotive, defense/aerospace, energy, industrial, telecommunications and other markets. We also offer induction heating products for joining and forming metals in a variety of industrial markets, including automotive, aerospace, machinery, wire &amp; fasteners, medical, semiconductor, food &amp; beverage, and packaging. Our high-performance products are designed to enable our customers to improve the efficiency of their test and manufacturing processes and, consequently, their profitability.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Our largest customers include Analog Devices, Inc., Cypress Semiconductor Corporation, Foxconn Optical Interconnect Technologies, Inc., Hakuto Co. Ltd., NaigaiTEC Corporation, NXP Semiconductors N.V., Rosendahl Nextrom GmbH, STMicroelectonics N.V., Teradyne, Inc. and Texas Instruments Incorporated.</w:t>
      </w:r>
    </w:p>
    <w:p>
      <w:pPr>
        <w:spacing w:after="0" w:line="188" w:lineRule="exact"/>
        <w:rPr>
          <w:sz w:val="20"/>
          <w:szCs w:val="20"/>
          <w:color w:val="auto"/>
        </w:rPr>
      </w:pPr>
    </w:p>
    <w:p>
      <w:pPr>
        <w:jc w:val="both"/>
        <w:ind w:left="340" w:right="40"/>
        <w:spacing w:after="0" w:line="257"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inTEST Corporation was incorporated in New Jersey in 1981 and reincorporated in Delaware in April 1997. During 2016, we reorganized our business from three product segments, Thermal Products, Mechanical Products and Electrical Products, into two product segments, Thermal Products ("Thermal") and Electromechanical Semiconductor Products ("EMS"). Accordingly, effective January 1, 2017, we have two reportable segments, which are also our reporting units. Prior period information has been reclassified to be comparable to the presentation for 2017.</w:t>
      </w:r>
    </w:p>
    <w:p>
      <w:pPr>
        <w:spacing w:after="0" w:line="188"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On May 24, 2017, we completed the acquisition of Ambrell Corporation ("Ambrell") for $22.0 million in cash.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 This acquisition is discussed further in Note 3 to our consolidated financial statements included in Item 8 of this Report on Form 10-K.</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color w:val="auto"/>
        </w:rPr>
        <w:t>Our business is grounded in the ATE market, which provides automated test equipment to the semiconductor market. While the ATE market remains a key driver in our business, since 2009, we have taken actions to diversify our served markets to address the thermal test requirements of several other markets outside the semiconductor market as well as certain thermal process industrial requirements. The markets we have targeted outside the semiconductor market include the automotive, consumer electronics, defense/aerospace, energy, industrial and telecommunications markets. Prior to the acquisition of Ambrell in May 2017, as discussed above, we offered only highly specialized engineering solutions in these markets outside the semiconductor market, the demand for which is limited and which we expect may vary significantly from period to period. Ambrell sells its precision induction heating systems almost exclusively to customers in the industrial market, which is a non-semiconductor market. We expect that the acquisition of Ambrell will significantly reduce our dependence on customers in the semiconductor market. We expect that our future orders and net revenues will be approximately equally split between the semiconductor and non-semiconductor markets. During 2017 and 2016, our net revenues in markets outside the semiconductor market were $29.0 million (including $13.2 million of net revenues attributable to Ambrell) and $12.2 million, respectively, and represented 44% and 30%, respectively, of our total net revenues. In the last five years, our net revenues from sales in markets outside the semiconductor market have ranged from 27% to 44%.</w:t>
      </w:r>
    </w:p>
    <w:p>
      <w:pPr>
        <w:spacing w:after="0" w:line="180" w:lineRule="exact"/>
        <w:rPr>
          <w:sz w:val="20"/>
          <w:szCs w:val="20"/>
          <w:color w:val="auto"/>
        </w:rPr>
      </w:pPr>
    </w:p>
    <w:p>
      <w:pPr>
        <w:ind w:left="340" w:right="20"/>
        <w:spacing w:after="0" w:line="289" w:lineRule="auto"/>
        <w:rPr>
          <w:sz w:val="20"/>
          <w:szCs w:val="20"/>
          <w:color w:val="auto"/>
        </w:rPr>
      </w:pPr>
      <w:r>
        <w:rPr>
          <w:rFonts w:ascii="Arial" w:cs="Arial" w:eastAsia="Arial" w:hAnsi="Arial"/>
          <w:sz w:val="16"/>
          <w:szCs w:val="16"/>
          <w:color w:val="auto"/>
        </w:rPr>
        <w:t>The level of our net revenues in the various markets we serve outside the semiconductor market varies significantly from market to market. During 2017 and 2016, our net revenues from the telecommunications market represented 15% of our total net revenues for both years, while our net revenues from the defense/aerospace market represented 5% and 8%, respectively, of our total net revenues and our net revenues from the industrial market represented 21% and 2%, respectively, of our total net revenues. The level of our net revenues in these non-semiconductor markets has varied significantly in the past and we expect will vary significantly in the future as we build our presence in these markets and establish new markets for our products. One of our goals is to further expand our sales in these markets outside the semiconductor market; however, due to the highly specialized nature of many of our product offerings in these non-semiconductor markets, we do not expect broad market penetration in many of these markets and therefore, do not anticipate developing meaningful market shares in these non-semiconductor markets. Consequently, we are continuing to evaluate buying patterns and opportunities for growth in these markets that may affect our performance.</w:t>
      </w:r>
    </w:p>
    <w:p>
      <w:pPr>
        <w:spacing w:after="0" w:line="167" w:lineRule="exact"/>
        <w:rPr>
          <w:sz w:val="20"/>
          <w:szCs w:val="20"/>
          <w:color w:val="auto"/>
        </w:rPr>
      </w:pPr>
    </w:p>
    <w:p>
      <w:pPr>
        <w:ind w:left="340" w:right="40"/>
        <w:spacing w:after="0" w:line="273" w:lineRule="auto"/>
        <w:rPr>
          <w:sz w:val="20"/>
          <w:szCs w:val="20"/>
          <w:color w:val="auto"/>
        </w:rPr>
      </w:pPr>
      <w:r>
        <w:rPr>
          <w:rFonts w:ascii="Arial" w:cs="Arial" w:eastAsia="Arial" w:hAnsi="Arial"/>
          <w:sz w:val="17"/>
          <w:szCs w:val="17"/>
          <w:color w:val="auto"/>
        </w:rPr>
        <w:t>The one non-semiconductor market where we believe we have developed a meaningful market share is the optical transceiver market, which is a submarket to the broad telecommunications market. In contrast to the semiconductor or ATE markets where we serve a broad range of customers and where our business trends follow the overall market trends within the semiconductor or ATE markets, in the optical transceiver submarket, we only serve those companies producing high speed transceiver devices, which represent only a portion of that submarket, and therefore, optical transceiver submarket trends do not have a similar material impact on our financial results. The following discussion of our markets, therefore, is limited to only the ATE and semiconductor markets, which currently represent the majority of our net revenues.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Semiconductor and ATE Markets</w:t>
      </w:r>
    </w:p>
    <w:p>
      <w:pPr>
        <w:spacing w:after="0" w:line="225" w:lineRule="exact"/>
        <w:rPr>
          <w:sz w:val="20"/>
          <w:szCs w:val="20"/>
          <w:color w:val="auto"/>
        </w:rPr>
      </w:pPr>
    </w:p>
    <w:p>
      <w:pPr>
        <w:ind w:left="340" w:right="40"/>
        <w:spacing w:after="0" w:line="291" w:lineRule="auto"/>
        <w:rPr>
          <w:sz w:val="20"/>
          <w:szCs w:val="20"/>
          <w:color w:val="auto"/>
        </w:rPr>
      </w:pPr>
      <w:r>
        <w:rPr>
          <w:rFonts w:ascii="Arial" w:cs="Arial" w:eastAsia="Arial" w:hAnsi="Arial"/>
          <w:sz w:val="16"/>
          <w:szCs w:val="16"/>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67" w:lineRule="exact"/>
        <w:rPr>
          <w:sz w:val="20"/>
          <w:szCs w:val="20"/>
          <w:color w:val="auto"/>
        </w:rPr>
      </w:pPr>
    </w:p>
    <w:p>
      <w:pPr>
        <w:ind w:left="340" w:right="40"/>
        <w:spacing w:after="0" w:line="276" w:lineRule="auto"/>
        <w:rPr>
          <w:sz w:val="20"/>
          <w:szCs w:val="20"/>
          <w:color w:val="auto"/>
        </w:rPr>
      </w:pPr>
      <w:r>
        <w:rPr>
          <w:rFonts w:ascii="Arial" w:cs="Arial" w:eastAsia="Arial" w:hAnsi="Arial"/>
          <w:sz w:val="17"/>
          <w:szCs w:val="17"/>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included the shift to 300 mm wafers in production, system-on-a-chip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IC Test Process</w:t>
      </w:r>
    </w:p>
    <w:p>
      <w:pPr>
        <w:spacing w:after="0" w:line="225"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81" w:lineRule="exact"/>
        <w:rPr>
          <w:sz w:val="20"/>
          <w:szCs w:val="20"/>
          <w:color w:val="auto"/>
        </w:rPr>
      </w:pPr>
    </w:p>
    <w:p>
      <w:pPr>
        <w:ind w:left="340" w:right="460"/>
        <w:spacing w:after="0" w:line="257"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Once the good ICs have been identified, they are packaged.</w:t>
      </w:r>
    </w:p>
    <w:p>
      <w:pPr>
        <w:spacing w:after="0" w:line="188"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87"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Probers and handlers range in price from approximately $50,000 to $500,000.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88" w:lineRule="exact"/>
        <w:rPr>
          <w:sz w:val="20"/>
          <w:szCs w:val="20"/>
          <w:color w:val="auto"/>
        </w:rPr>
      </w:pPr>
    </w:p>
    <w:p>
      <w:pPr>
        <w:ind w:left="340" w:right="120"/>
        <w:spacing w:after="0" w:line="297"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 end-test are moved to front-end test.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Trends in IC Testing</w:t>
      </w:r>
    </w:p>
    <w:p>
      <w:pPr>
        <w:spacing w:after="0" w:line="225"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81"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including SOC designs, are more complex and dense. These technology trends have significant implications for the IC testing process, including:</w:t>
      </w:r>
    </w:p>
    <w:p>
      <w:pPr>
        <w:spacing w:after="0" w:line="18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test heads of higher complexity;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signal densities;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test speeds;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generation of testers for SOC and other technologies.</w:t>
      </w:r>
    </w:p>
    <w:p>
      <w:pPr>
        <w:spacing w:after="0" w:line="210" w:lineRule="exact"/>
        <w:rPr>
          <w:rFonts w:ascii="Arial" w:cs="Arial" w:eastAsia="Arial" w:hAnsi="Arial"/>
          <w:sz w:val="18"/>
          <w:szCs w:val="18"/>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140"/>
        <w:spacing w:after="0" w:line="279" w:lineRule="auto"/>
        <w:rPr>
          <w:sz w:val="20"/>
          <w:szCs w:val="20"/>
          <w:color w:val="auto"/>
        </w:rPr>
      </w:pPr>
      <w:r>
        <w:rPr>
          <w:rFonts w:ascii="Arial" w:cs="Arial" w:eastAsia="Arial" w:hAnsi="Arial"/>
          <w:sz w:val="17"/>
          <w:szCs w:val="17"/>
          <w:i w:val="1"/>
          <w:iCs w:val="1"/>
          <w:color w:val="auto"/>
        </w:rPr>
        <w:t>Need for Plug-Compatibility and Integration</w:t>
      </w:r>
      <w:r>
        <w:rPr>
          <w:rFonts w:ascii="Arial" w:cs="Arial" w:eastAsia="Arial" w:hAnsi="Arial"/>
          <w:sz w:val="17"/>
          <w:szCs w:val="17"/>
          <w:color w:val="auto"/>
        </w:rPr>
        <w:t>. Semiconductor manufacturers need test methodologies that will perform increasingly complex tests while</w:t>
      </w:r>
      <w:r>
        <w:rPr>
          <w:rFonts w:ascii="Arial" w:cs="Arial" w:eastAsia="Arial" w:hAnsi="Arial"/>
          <w:sz w:val="17"/>
          <w:szCs w:val="17"/>
          <w:i w:val="1"/>
          <w:iCs w:val="1"/>
          <w:color w:val="auto"/>
        </w:rPr>
        <w:t xml:space="preserve"> </w:t>
      </w:r>
      <w:r>
        <w:rPr>
          <w:rFonts w:ascii="Arial" w:cs="Arial" w:eastAsia="Arial" w:hAnsi="Arial"/>
          <w:sz w:val="17"/>
          <w:szCs w:val="17"/>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71"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wafer-level testing. Creating a uniform thermal profile over much larger wafer areas represents a significant engineering and design challenge for ATE manufacturers.</w:t>
      </w:r>
    </w:p>
    <w:p>
      <w:pPr>
        <w:spacing w:after="0" w:line="187"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47" w:lineRule="exact"/>
        <w:rPr>
          <w:sz w:val="20"/>
          <w:szCs w:val="20"/>
          <w:color w:val="auto"/>
        </w:rPr>
      </w:pPr>
    </w:p>
    <w:p>
      <w:pPr>
        <w:jc w:val="both"/>
        <w:ind w:left="340" w:right="160"/>
        <w:spacing w:after="0" w:line="286" w:lineRule="auto"/>
        <w:rPr>
          <w:sz w:val="20"/>
          <w:szCs w:val="20"/>
          <w:color w:val="auto"/>
        </w:rPr>
      </w:pPr>
      <w:r>
        <w:rPr>
          <w:rFonts w:ascii="Arial" w:cs="Arial" w:eastAsia="Arial" w:hAnsi="Arial"/>
          <w:sz w:val="17"/>
          <w:szCs w:val="17"/>
          <w:i w:val="1"/>
          <w:iCs w:val="1"/>
          <w:color w:val="auto"/>
        </w:rPr>
        <w:t>Cost Reduction Through Increased Front-End Testing</w:t>
      </w:r>
      <w:r>
        <w:rPr>
          <w:rFonts w:ascii="Arial" w:cs="Arial" w:eastAsia="Arial" w:hAnsi="Arial"/>
          <w:sz w:val="17"/>
          <w:szCs w:val="17"/>
          <w:color w:val="auto"/>
        </w:rPr>
        <w:t>. As the cost of testing ICs increases, semiconductor manufacturers will continue to look for ways</w:t>
      </w:r>
      <w:r>
        <w:rPr>
          <w:rFonts w:ascii="Arial" w:cs="Arial" w:eastAsia="Arial" w:hAnsi="Arial"/>
          <w:sz w:val="17"/>
          <w:szCs w:val="17"/>
          <w:i w:val="1"/>
          <w:iCs w:val="1"/>
          <w:color w:val="auto"/>
        </w:rPr>
        <w:t xml:space="preserve"> </w:t>
      </w:r>
      <w:r>
        <w:rPr>
          <w:rFonts w:ascii="Arial" w:cs="Arial" w:eastAsia="Arial" w:hAnsi="Arial"/>
          <w:sz w:val="17"/>
          <w:szCs w:val="17"/>
          <w:color w:val="auto"/>
        </w:rPr>
        <w:t>to streamline the testing process to make it more cost-effective, such as the trend to use massive parallel testing, in which semiconductor manufacturers test multiple ICs on the wafer simultaneously. We believe that this factor will lead to more front-end, wafer-level testing.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left="340" w:right="320"/>
        <w:spacing w:after="0" w:line="279" w:lineRule="auto"/>
        <w:rPr>
          <w:sz w:val="20"/>
          <w:szCs w:val="20"/>
          <w:color w:val="auto"/>
        </w:rPr>
      </w:pPr>
      <w:r>
        <w:rPr>
          <w:rFonts w:ascii="Arial" w:cs="Arial" w:eastAsia="Arial" w:hAnsi="Arial"/>
          <w:sz w:val="17"/>
          <w:szCs w:val="17"/>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market and other markets that we serve, which we believe provide the following advantages:</w:t>
      </w:r>
    </w:p>
    <w:p>
      <w:pPr>
        <w:spacing w:after="0" w:line="175" w:lineRule="exact"/>
        <w:rPr>
          <w:sz w:val="20"/>
          <w:szCs w:val="20"/>
          <w:color w:val="auto"/>
        </w:rPr>
      </w:pPr>
    </w:p>
    <w:p>
      <w:pPr>
        <w:ind w:left="340" w:right="20"/>
        <w:spacing w:after="0" w:line="245" w:lineRule="auto"/>
        <w:rPr>
          <w:sz w:val="20"/>
          <w:szCs w:val="20"/>
          <w:color w:val="auto"/>
        </w:rPr>
      </w:pPr>
      <w:r>
        <w:rPr>
          <w:rFonts w:ascii="Arial" w:cs="Arial" w:eastAsia="Arial" w:hAnsi="Arial"/>
          <w:sz w:val="17"/>
          <w:szCs w:val="17"/>
          <w:i w:val="1"/>
          <w:iCs w:val="1"/>
          <w:color w:val="auto"/>
        </w:rPr>
        <w:t>Temperature-Controlled Testing</w:t>
      </w:r>
      <w:r>
        <w:rPr>
          <w:rFonts w:ascii="Arial" w:cs="Arial" w:eastAsia="Arial" w:hAnsi="Arial"/>
          <w:sz w:val="17"/>
          <w:szCs w:val="17"/>
          <w:color w:val="auto"/>
        </w:rPr>
        <w:t>. Our Thermostream</w:t>
      </w:r>
      <w:r>
        <w:rPr>
          <w:rFonts w:ascii="Arial" w:cs="Arial" w:eastAsia="Arial" w:hAnsi="Arial"/>
          <w:sz w:val="28"/>
          <w:szCs w:val="28"/>
          <w:color w:val="auto"/>
          <w:vertAlign w:val="superscript"/>
        </w:rPr>
        <w:t>(R)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used by manufacturers in a number of markets to stress test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and electronic components, printed circuit boards and sub-assemblies. Our Thermochuck</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have significantly increased our product offerings in the area of temperature-controlled testing and enabled us to begin serving customers in other markets outside the ATE market. Sigma's thermal platforms and temperature chambers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200" w:lineRule="exact"/>
        <w:rPr>
          <w:sz w:val="20"/>
          <w:szCs w:val="20"/>
          <w:color w:val="auto"/>
        </w:rPr>
      </w:pPr>
    </w:p>
    <w:p>
      <w:pPr>
        <w:spacing w:after="0" w:line="217" w:lineRule="exact"/>
        <w:rPr>
          <w:sz w:val="20"/>
          <w:szCs w:val="20"/>
          <w:color w:val="auto"/>
        </w:rPr>
      </w:pPr>
    </w:p>
    <w:p>
      <w:pPr>
        <w:ind w:left="340" w:right="100"/>
        <w:spacing w:after="0" w:line="291" w:lineRule="auto"/>
        <w:rPr>
          <w:sz w:val="20"/>
          <w:szCs w:val="20"/>
          <w:color w:val="auto"/>
        </w:rPr>
      </w:pPr>
      <w:r>
        <w:rPr>
          <w:rFonts w:ascii="Arial" w:cs="Arial" w:eastAsia="Arial" w:hAnsi="Arial"/>
          <w:sz w:val="16"/>
          <w:szCs w:val="16"/>
          <w:i w:val="1"/>
          <w:iCs w:val="1"/>
          <w:color w:val="auto"/>
        </w:rPr>
        <w:t xml:space="preserve">Induction Heating Applications. </w:t>
      </w:r>
      <w:r>
        <w:rPr>
          <w:rFonts w:ascii="Arial" w:cs="Arial" w:eastAsia="Arial" w:hAnsi="Arial"/>
          <w:sz w:val="16"/>
          <w:szCs w:val="16"/>
          <w:color w:val="auto"/>
        </w:rPr>
        <w:t>Our acquisition of Ambrell added induction heating capabilities to our product offerings, which can be used by</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process applications where precision controlled heating is needed. Customers use our induction heating products in conjunction with other</w:t>
      </w:r>
    </w:p>
    <w:p>
      <w:pPr>
        <w:ind w:left="340" w:right="20"/>
        <w:spacing w:after="0" w:line="210" w:lineRule="auto"/>
        <w:rPr>
          <w:sz w:val="20"/>
          <w:szCs w:val="20"/>
          <w:color w:val="auto"/>
        </w:rPr>
      </w:pPr>
      <w:r>
        <w:rPr>
          <w:rFonts w:ascii="Arial" w:cs="Arial" w:eastAsia="Arial" w:hAnsi="Arial"/>
          <w:sz w:val="17"/>
          <w:szCs w:val="17"/>
          <w:color w:val="auto"/>
        </w:rPr>
        <w:t>technologies in various manufacturing environments to improve production efficiencies. Applications for our EKOHEAT</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or EASYHEAT</w:t>
      </w:r>
      <w:r>
        <w:rPr>
          <w:rFonts w:ascii="Arial" w:cs="Arial" w:eastAsia="Arial" w:hAnsi="Arial"/>
          <w:sz w:val="34"/>
          <w:szCs w:val="34"/>
          <w:color w:val="auto"/>
          <w:vertAlign w:val="superscript"/>
        </w:rPr>
        <w:t>™</w:t>
      </w:r>
      <w:r>
        <w:rPr>
          <w:rFonts w:ascii="Arial" w:cs="Arial" w:eastAsia="Arial" w:hAnsi="Arial"/>
          <w:sz w:val="17"/>
          <w:szCs w:val="17"/>
          <w:color w:val="auto"/>
        </w:rPr>
        <w:t xml:space="preserve"> induction heating products include annealing, bonding, brazing, curing, forging, heat treating, melting, shrink-fitting and testing.</w:t>
      </w:r>
    </w:p>
    <w:p>
      <w:pPr>
        <w:spacing w:after="0" w:line="202"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340" w:right="60"/>
        <w:spacing w:after="0" w:line="312" w:lineRule="auto"/>
        <w:rPr>
          <w:sz w:val="20"/>
          <w:szCs w:val="20"/>
          <w:color w:val="auto"/>
        </w:rPr>
      </w:pPr>
      <w:r>
        <w:rPr>
          <w:rFonts w:ascii="Arial" w:cs="Arial" w:eastAsia="Arial" w:hAnsi="Arial"/>
          <w:sz w:val="16"/>
          <w:szCs w:val="16"/>
          <w:i w:val="1"/>
          <w:iCs w:val="1"/>
          <w:color w:val="auto"/>
        </w:rPr>
        <w:t>Compatibility and Integration</w:t>
      </w:r>
      <w:r>
        <w:rPr>
          <w:rFonts w:ascii="Arial" w:cs="Arial" w:eastAsia="Arial" w:hAnsi="Arial"/>
          <w:sz w:val="16"/>
          <w:szCs w:val="16"/>
          <w:color w:val="auto"/>
        </w:rPr>
        <w:t>. A hallmark of our products has been, and continues to be, compatibility with a wide variety of ATE. Our manipulator and</w:t>
      </w:r>
      <w:r>
        <w:rPr>
          <w:rFonts w:ascii="Arial" w:cs="Arial" w:eastAsia="Arial" w:hAnsi="Arial"/>
          <w:sz w:val="16"/>
          <w:szCs w:val="16"/>
          <w:i w:val="1"/>
          <w:iCs w:val="1"/>
          <w:color w:val="auto"/>
        </w:rPr>
        <w:t xml:space="preserve"> </w:t>
      </w:r>
      <w:r>
        <w:rPr>
          <w:rFonts w:ascii="Arial" w:cs="Arial" w:eastAsia="Arial" w:hAnsi="Arial"/>
          <w:sz w:val="16"/>
          <w:szCs w:val="16"/>
          <w:color w:val="auto"/>
        </w:rPr>
        <w:t>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47" w:lineRule="exact"/>
        <w:rPr>
          <w:sz w:val="20"/>
          <w:szCs w:val="20"/>
          <w:color w:val="auto"/>
        </w:rPr>
      </w:pPr>
    </w:p>
    <w:p>
      <w:pPr>
        <w:ind w:left="340" w:right="60"/>
        <w:spacing w:after="0" w:line="276" w:lineRule="auto"/>
        <w:rPr>
          <w:sz w:val="20"/>
          <w:szCs w:val="20"/>
          <w:color w:val="auto"/>
        </w:rPr>
      </w:pPr>
      <w:r>
        <w:rPr>
          <w:rFonts w:ascii="Arial" w:cs="Arial" w:eastAsia="Arial" w:hAnsi="Arial"/>
          <w:sz w:val="17"/>
          <w:szCs w:val="17"/>
          <w:i w:val="1"/>
          <w:iCs w:val="1"/>
          <w:color w:val="auto"/>
        </w:rPr>
        <w:t>Worldwide Customer Service and Support</w:t>
      </w:r>
      <w:r>
        <w:rPr>
          <w:rFonts w:ascii="Arial" w:cs="Arial" w:eastAsia="Arial" w:hAnsi="Arial"/>
          <w:sz w:val="17"/>
          <w:szCs w:val="17"/>
          <w:color w:val="auto"/>
        </w:rPr>
        <w:t>. We have long recognized the need to maintain a physical presence near our customers' facilities.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we had domestic manufacturing facilities in California, Massachusetts, New Jersey and New York and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left="340" w:right="300"/>
        <w:spacing w:after="0" w:line="342" w:lineRule="auto"/>
        <w:rPr>
          <w:sz w:val="20"/>
          <w:szCs w:val="20"/>
          <w:color w:val="auto"/>
        </w:rPr>
      </w:pPr>
      <w:r>
        <w:rPr>
          <w:rFonts w:ascii="Arial" w:cs="Arial" w:eastAsia="Arial" w:hAnsi="Arial"/>
          <w:sz w:val="16"/>
          <w:szCs w:val="16"/>
          <w:color w:val="auto"/>
        </w:rPr>
        <w:t>We remain committed to our goals of being recognized in our markets as the designer and manufacturer of the highest quality and most cost-effective products and becoming the key supplier of all of our customers' product needs. Our strategies to achieve these goals include the following:</w:t>
      </w:r>
    </w:p>
    <w:p>
      <w:pPr>
        <w:spacing w:after="0" w:line="124"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i w:val="1"/>
          <w:iCs w:val="1"/>
          <w:color w:val="auto"/>
        </w:rPr>
        <w:t>Pursuing Synergistic Acquisitions</w:t>
      </w:r>
      <w:r>
        <w:rPr>
          <w:rFonts w:ascii="Arial" w:cs="Arial" w:eastAsia="Arial" w:hAnsi="Arial"/>
          <w:sz w:val="18"/>
          <w:szCs w:val="18"/>
          <w:color w:val="auto"/>
        </w:rPr>
        <w:t>. A key element of our growth strategy has been to acquire businesses, technologies or products that are complementary</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current product offerings. Since our initial public offering in 1997, we have acquired several businesses which have enabled us to expand our line of product offerings and have given us the opportunity to market a broader range of products to our customer base. In particular, the acquisitions of Temptronic in 2000, Sigma in 2008, Thermonics in 2012 and Ambrell in 2017 have provided access to markets that are less sensitive to cyclicality than the semiconductor market. We seek to make acquisitions that will further expand our product lines as well as increase our exposure to markets outside of the semiconductor market.</w:t>
      </w:r>
    </w:p>
    <w:p>
      <w:pPr>
        <w:spacing w:after="0" w:line="193"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i w:val="1"/>
          <w:iCs w:val="1"/>
          <w:color w:val="auto"/>
        </w:rPr>
        <w:t xml:space="preserve">Pursuing Revenue Growth Opportunities Outside the Semiconductor ATE Market. </w:t>
      </w:r>
      <w:r>
        <w:rPr>
          <w:rFonts w:ascii="Arial" w:cs="Arial" w:eastAsia="Arial" w:hAnsi="Arial"/>
          <w:sz w:val="17"/>
          <w:szCs w:val="17"/>
          <w:color w:val="auto"/>
        </w:rPr>
        <w:t>Another element of our growth strategy is to pursue revenue growth</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in markets we have not traditionally served, such as the automotive, consumer electronics, defense/aerospace, energy, industrial and telecommunications markets. We believe that we may be able to reduce some of the cyclicality that we have historically experienced by further diversifying our revenue streams outside the semiconductor ATE market. We see the most potential for this within our Thermal segment. During 2017 and 2016, approximately $29.0 million (including $13.2 million of net revenues attributable to Ambrell), or 44%, and $12.2 million, or 30%, respectively, of our total net revenues were derived from markets outside semiconductor. These revenues were all generated by our Thermal segment. We cannot determine at this time whether we will be successful in building our sales in these non-traditional markets or what the growth rate of our sales in these markets will be in future periods.</w:t>
      </w:r>
    </w:p>
    <w:p>
      <w:pPr>
        <w:spacing w:after="0" w:line="179" w:lineRule="exact"/>
        <w:rPr>
          <w:sz w:val="20"/>
          <w:szCs w:val="20"/>
          <w:color w:val="auto"/>
        </w:rPr>
      </w:pPr>
    </w:p>
    <w:p>
      <w:pPr>
        <w:ind w:left="340" w:right="300"/>
        <w:spacing w:after="0" w:line="264"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81"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 Engineering is also at the heart of the thermal segment where customers often return to inTEST with their next thermal challenge. We work to cement relationships with customers that have demanding specifications whether it be thermal testing at temperature extremes for aerospace application, for example, or delivering precise heating for efficient industrial processes. We believe that with our capabilities to consistently demonstrate solutions from proof of concept to manufactured products with required specifications, we can continue to strengthen our customer relationships.</w:t>
      </w:r>
    </w:p>
    <w:p>
      <w:pPr>
        <w:spacing w:after="0" w:line="166" w:lineRule="exact"/>
        <w:rPr>
          <w:sz w:val="20"/>
          <w:szCs w:val="20"/>
          <w:color w:val="auto"/>
        </w:rPr>
      </w:pPr>
    </w:p>
    <w:p>
      <w:pPr>
        <w:jc w:val="both"/>
        <w:ind w:left="340" w:right="80"/>
        <w:spacing w:after="0" w:line="264" w:lineRule="auto"/>
        <w:rPr>
          <w:sz w:val="20"/>
          <w:szCs w:val="20"/>
          <w:color w:val="auto"/>
        </w:rPr>
      </w:pPr>
      <w:r>
        <w:rPr>
          <w:rFonts w:ascii="Arial" w:cs="Arial" w:eastAsia="Arial" w:hAnsi="Arial"/>
          <w:sz w:val="18"/>
          <w:szCs w:val="18"/>
          <w:i w:val="1"/>
          <w:iCs w:val="1"/>
          <w:color w:val="auto"/>
        </w:rPr>
        <w:t>Maintaining Our International Presence</w:t>
      </w:r>
      <w:r>
        <w:rPr>
          <w:rFonts w:ascii="Arial" w:cs="Arial" w:eastAsia="Arial" w:hAnsi="Arial"/>
          <w:sz w:val="18"/>
          <w:szCs w:val="18"/>
          <w:color w:val="auto"/>
        </w:rPr>
        <w:t>. Our existing and potential customers are concentrated in certain regions throughout the world.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maintain a presence in the markets in which our customers operate. We currently have offices in the U.S., Germany, Singapore, the Netherlands and the U.K.</w:t>
      </w:r>
    </w:p>
    <w:p>
      <w:pPr>
        <w:spacing w:after="0" w:line="181" w:lineRule="exact"/>
        <w:rPr>
          <w:sz w:val="20"/>
          <w:szCs w:val="20"/>
          <w:color w:val="auto"/>
        </w:rPr>
      </w:pPr>
    </w:p>
    <w:p>
      <w:pPr>
        <w:ind w:left="340" w:right="240"/>
        <w:spacing w:after="0" w:line="264" w:lineRule="auto"/>
        <w:rPr>
          <w:sz w:val="20"/>
          <w:szCs w:val="20"/>
          <w:color w:val="auto"/>
        </w:rPr>
      </w:pPr>
      <w:r>
        <w:rPr>
          <w:rFonts w:ascii="Arial" w:cs="Arial" w:eastAsia="Arial" w:hAnsi="Arial"/>
          <w:sz w:val="18"/>
          <w:szCs w:val="18"/>
          <w:i w:val="1"/>
          <w:iCs w:val="1"/>
          <w:color w:val="auto"/>
        </w:rPr>
        <w:t xml:space="preserve">Controlling Costs. </w:t>
      </w:r>
      <w:r>
        <w:rPr>
          <w:rFonts w:ascii="Arial" w:cs="Arial" w:eastAsia="Arial" w:hAnsi="Arial"/>
          <w:sz w:val="18"/>
          <w:szCs w:val="18"/>
          <w:color w:val="auto"/>
        </w:rPr>
        <w:t>At the same time as we are pursuing growth opportunities, we will seek ways to more aggressively streamline our cost structure,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are positioned to offer products at prices that provide the margin for a reasonable profit as well as the resources for continual product development.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left="340" w:right="20"/>
        <w:spacing w:after="0" w:line="286" w:lineRule="auto"/>
        <w:rPr>
          <w:sz w:val="20"/>
          <w:szCs w:val="20"/>
          <w:color w:val="auto"/>
        </w:rPr>
      </w:pPr>
      <w:r>
        <w:rPr>
          <w:rFonts w:ascii="Arial" w:cs="Arial" w:eastAsia="Arial" w:hAnsi="Arial"/>
          <w:sz w:val="17"/>
          <w:szCs w:val="17"/>
          <w:color w:val="auto"/>
        </w:rPr>
        <w:t>In 2016, we reorganized our business from three product segments, Thermal Products, Mechanical Products and Electrical Products, into two product segments, Thermal and Electromechanical Semiconductor ("EMS"). Accordingly, effective January 1, 2017, we have two reportable segments, which are also our reporting units. Prior period information has been reclassified to be comparable to the presentation for 2017.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280"/>
        <w:spacing w:after="0" w:line="293" w:lineRule="auto"/>
        <w:rPr>
          <w:sz w:val="20"/>
          <w:szCs w:val="20"/>
          <w:color w:val="auto"/>
        </w:rPr>
      </w:pPr>
      <w:r>
        <w:rPr>
          <w:rFonts w:ascii="Arial" w:cs="Arial" w:eastAsia="Arial" w:hAnsi="Arial"/>
          <w:sz w:val="16"/>
          <w:szCs w:val="16"/>
          <w:color w:val="auto"/>
        </w:rPr>
        <w:t>Our Thermal segment consists of inTEST Thermal Solutions (“iTS”) which manufactures and sells products under the Temptronic, Sigma and Thermonics brand names and Ambrell, which we acquired in May 2017, as discussed above. iTS has operations in Massachusetts, Germany and Singapore. Ambrell has operations in New York, the Netherlands and the U.K. Customers use the thermal solutions produced by iTS for product development, characterization and production test applications. Ambrell provides customers with induction heating system solutions for conditioning, joining, and forming conductive materials in the manufacturing process. Our Thermal segment provides these solutions across an array of industries including automotive, consumer electronics, defense/aerospace, energy, industrial, semiconductor and telecommunications markets.</w:t>
      </w:r>
    </w:p>
    <w:p>
      <w:pPr>
        <w:spacing w:after="0" w:line="165" w:lineRule="exact"/>
        <w:rPr>
          <w:sz w:val="20"/>
          <w:szCs w:val="20"/>
          <w:color w:val="auto"/>
        </w:rPr>
      </w:pPr>
    </w:p>
    <w:p>
      <w:pPr>
        <w:ind w:left="340" w:right="40"/>
        <w:spacing w:after="0" w:line="276" w:lineRule="auto"/>
        <w:rPr>
          <w:sz w:val="20"/>
          <w:szCs w:val="20"/>
          <w:color w:val="auto"/>
        </w:rPr>
      </w:pPr>
      <w:r>
        <w:rPr>
          <w:rFonts w:ascii="Arial" w:cs="Arial" w:eastAsia="Arial" w:hAnsi="Arial"/>
          <w:sz w:val="17"/>
          <w:szCs w:val="17"/>
          <w:color w:val="auto"/>
        </w:rPr>
        <w:t>Our EMS segment consists of our manufacturing operations in New Jersey and California. Semiconductor manufacturers use our EMS solutions in back-end testing where our mechanical and electrical products serve production testing of wafers and specialized packaged ICs. These ICs include microprocessors, digital signal processing chips, mixed signal devices, MEMS (Micro-Electro-Mechanical Systems), application specific ICs and specialized memory ICs, and are used primarily in the automotive, consumer electronics, defense/aerospace, energy, industrial and telecommunications markets. We custom design most of our products for each customer's particular combination of ATE.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left="340" w:right="280"/>
        <w:spacing w:after="0" w:line="302" w:lineRule="auto"/>
        <w:rPr>
          <w:sz w:val="20"/>
          <w:szCs w:val="20"/>
          <w:color w:val="auto"/>
        </w:rPr>
      </w:pPr>
      <w:r>
        <w:rPr>
          <w:rFonts w:ascii="Arial" w:cs="Arial" w:eastAsia="Arial" w:hAnsi="Arial"/>
          <w:sz w:val="16"/>
          <w:szCs w:val="16"/>
          <w:color w:val="auto"/>
        </w:rPr>
        <w:t>Our thermal products are sold into the environmental test market encompassing a wide variety of markets including the ATE, automotive, consumer electronics, defense/aerospace, energy, industrial and telecommunications markets. Our thermal products enable a manufacturer to test semiconductor wafers and ICs, electronic components and assemblies, mechanical assemblies and electromechanical assemblies. Our thermal products provide the ability to characterize and stress test a variety of materials over extreme and variable temperature conditions that can occur in actual use.</w:t>
      </w:r>
    </w:p>
    <w:p>
      <w:pPr>
        <w:spacing w:after="0" w:line="158" w:lineRule="exact"/>
        <w:rPr>
          <w:sz w:val="20"/>
          <w:szCs w:val="20"/>
          <w:color w:val="auto"/>
        </w:rPr>
      </w:pPr>
    </w:p>
    <w:p>
      <w:pPr>
        <w:ind w:left="340"/>
        <w:spacing w:after="0" w:line="227" w:lineRule="auto"/>
        <w:rPr>
          <w:sz w:val="20"/>
          <w:szCs w:val="20"/>
          <w:color w:val="auto"/>
        </w:rPr>
      </w:pPr>
      <w:r>
        <w:rPr>
          <w:rFonts w:ascii="Arial" w:cs="Arial" w:eastAsia="Arial" w:hAnsi="Arial"/>
          <w:sz w:val="16"/>
          <w:szCs w:val="16"/>
          <w:i w:val="1"/>
          <w:iCs w:val="1"/>
          <w:color w:val="auto"/>
        </w:rPr>
        <w:t>ThermoStream</w:t>
      </w:r>
      <w:r>
        <w:rPr>
          <w:rFonts w:ascii="Arial" w:cs="Arial" w:eastAsia="Arial" w:hAnsi="Arial"/>
          <w:sz w:val="26"/>
          <w:szCs w:val="26"/>
          <w:i w:val="1"/>
          <w:iCs w:val="1"/>
          <w:color w:val="auto"/>
          <w:vertAlign w:val="superscript"/>
        </w:rPr>
        <w:t>(R)</w:t>
      </w:r>
      <w:r>
        <w:rPr>
          <w:rFonts w:ascii="Arial" w:cs="Arial" w:eastAsia="Arial" w:hAnsi="Arial"/>
          <w:sz w:val="16"/>
          <w:szCs w:val="16"/>
          <w:i w:val="1"/>
          <w:iCs w:val="1"/>
          <w:color w:val="auto"/>
        </w:rPr>
        <w:t xml:space="preserve"> Products</w:t>
      </w:r>
      <w:r>
        <w:rPr>
          <w:rFonts w:ascii="Arial" w:cs="Arial" w:eastAsia="Arial" w:hAnsi="Arial"/>
          <w:sz w:val="16"/>
          <w:szCs w:val="16"/>
          <w:color w:val="auto"/>
        </w:rPr>
        <w:t>: Our ThermoStream</w:t>
      </w:r>
      <w:r>
        <w:rPr>
          <w:rFonts w:ascii="Arial" w:cs="Arial" w:eastAsia="Arial" w:hAnsi="Arial"/>
          <w:sz w:val="26"/>
          <w:szCs w:val="26"/>
          <w:color w:val="auto"/>
          <w:vertAlign w:val="superscript"/>
        </w:rPr>
        <w:t>(R)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used in the semiconductor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provide a source of heated and cooled air which can be directed over the component or device under test. These systems are capable of controlling temperatures to within +/- 0.1 degree Celsius over a range</w:t>
      </w:r>
    </w:p>
    <w:p>
      <w:pPr>
        <w:ind w:left="340" w:right="340"/>
        <w:spacing w:after="0" w:line="219" w:lineRule="auto"/>
        <w:rPr>
          <w:sz w:val="20"/>
          <w:szCs w:val="20"/>
          <w:color w:val="auto"/>
        </w:rPr>
      </w:pPr>
      <w:r>
        <w:rPr>
          <w:rFonts w:ascii="Arial" w:cs="Arial" w:eastAsia="Arial" w:hAnsi="Arial"/>
          <w:sz w:val="17"/>
          <w:szCs w:val="17"/>
          <w:color w:val="auto"/>
        </w:rPr>
        <w:t>of -100 degrees Celsius to as high as +300 degrees Celsius within 1.0 degree Celsius of accuracy. As a stand-alone tool, ThermoStreams</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provide a temperature-controlled air stream to rapidly change and stabilize the temperature of packaged ICs and other devices.</w:t>
      </w:r>
    </w:p>
    <w:p>
      <w:pPr>
        <w:spacing w:after="0" w:line="206" w:lineRule="exact"/>
        <w:rPr>
          <w:sz w:val="20"/>
          <w:szCs w:val="20"/>
          <w:color w:val="auto"/>
        </w:rPr>
      </w:pPr>
    </w:p>
    <w:p>
      <w:pPr>
        <w:ind w:left="340" w:right="40"/>
        <w:spacing w:after="0" w:line="242" w:lineRule="auto"/>
        <w:rPr>
          <w:sz w:val="20"/>
          <w:szCs w:val="20"/>
          <w:color w:val="auto"/>
        </w:rPr>
      </w:pPr>
      <w:r>
        <w:rPr>
          <w:rFonts w:ascii="Arial" w:cs="Arial" w:eastAsia="Arial" w:hAnsi="Arial"/>
          <w:sz w:val="17"/>
          <w:szCs w:val="17"/>
          <w:color w:val="auto"/>
        </w:rPr>
        <w:t>Our MobileTemp Series combines our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semiconductor market and have found application in the automotive, electronic, fiber optic and oil field service markets testing such things as electronic sub-assemblies, sensor assemblies, and printed circuit boards.</w:t>
      </w:r>
    </w:p>
    <w:p>
      <w:pPr>
        <w:spacing w:after="0" w:line="205" w:lineRule="exact"/>
        <w:rPr>
          <w:sz w:val="20"/>
          <w:szCs w:val="20"/>
          <w:color w:val="auto"/>
        </w:rPr>
      </w:pPr>
    </w:p>
    <w:p>
      <w:pPr>
        <w:ind w:left="340" w:right="40"/>
        <w:spacing w:after="0" w:line="211" w:lineRule="auto"/>
        <w:rPr>
          <w:sz w:val="20"/>
          <w:szCs w:val="20"/>
          <w:color w:val="auto"/>
        </w:rPr>
      </w:pPr>
      <w:r>
        <w:rPr>
          <w:rFonts w:ascii="Arial" w:cs="Arial" w:eastAsia="Arial" w:hAnsi="Arial"/>
          <w:sz w:val="17"/>
          <w:szCs w:val="17"/>
          <w:color w:val="auto"/>
        </w:rPr>
        <w:t>Traditionally, our customers used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products primarily in engineering, quality assurance and small-run manufacturing environments. However, increasingly, our customers use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products in longer-run production applications.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and MobileTemp products range in price from approximately $15,000 to $50,000.</w:t>
      </w:r>
    </w:p>
    <w:p>
      <w:pPr>
        <w:spacing w:after="0" w:line="204"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i w:val="1"/>
          <w:iCs w:val="1"/>
          <w:color w:val="auto"/>
        </w:rPr>
        <w:t xml:space="preserve">ThermoChambers: </w:t>
      </w:r>
      <w:r>
        <w:rPr>
          <w:rFonts w:ascii="Arial" w:cs="Arial" w:eastAsia="Arial" w:hAnsi="Arial"/>
          <w:sz w:val="16"/>
          <w:szCs w:val="16"/>
          <w:color w:val="auto"/>
        </w:rPr>
        <w:t>Our chamber products are available in a variety of sizes, from small bench-top units to chambers with internal 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54"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i w:val="1"/>
          <w:iCs w:val="1"/>
          <w:color w:val="auto"/>
        </w:rPr>
        <w:t xml:space="preserve">Thermal Platforms: </w:t>
      </w:r>
      <w:r>
        <w:rPr>
          <w:rFonts w:ascii="Arial" w:cs="Arial" w:eastAsia="Arial" w:hAnsi="Arial"/>
          <w:sz w:val="17"/>
          <w:szCs w:val="17"/>
          <w:color w:val="auto"/>
        </w:rPr>
        <w:t>Our platforms are available in surface sizes ranging from 7.2 square inches to 616 square inches. They provide a flat, thermally</w:t>
      </w:r>
      <w:r>
        <w:rPr>
          <w:rFonts w:ascii="Arial" w:cs="Arial" w:eastAsia="Arial" w:hAnsi="Arial"/>
          <w:sz w:val="17"/>
          <w:szCs w:val="17"/>
          <w:i w:val="1"/>
          <w:iCs w:val="1"/>
          <w:color w:val="auto"/>
        </w:rPr>
        <w:t xml:space="preserve"> </w:t>
      </w:r>
      <w:r>
        <w:rPr>
          <w:rFonts w:ascii="Arial" w:cs="Arial" w:eastAsia="Arial" w:hAnsi="Arial"/>
          <w:sz w:val="17"/>
          <w:szCs w:val="17"/>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76" w:lineRule="exact"/>
        <w:rPr>
          <w:sz w:val="20"/>
          <w:szCs w:val="20"/>
          <w:color w:val="auto"/>
        </w:rPr>
      </w:pPr>
    </w:p>
    <w:p>
      <w:pPr>
        <w:ind w:left="340"/>
        <w:spacing w:after="0" w:line="227" w:lineRule="auto"/>
        <w:rPr>
          <w:sz w:val="20"/>
          <w:szCs w:val="20"/>
          <w:color w:val="auto"/>
        </w:rPr>
      </w:pPr>
      <w:r>
        <w:rPr>
          <w:rFonts w:ascii="Arial" w:cs="Arial" w:eastAsia="Arial" w:hAnsi="Arial"/>
          <w:sz w:val="16"/>
          <w:szCs w:val="16"/>
          <w:i w:val="1"/>
          <w:iCs w:val="1"/>
          <w:color w:val="auto"/>
        </w:rPr>
        <w:t>ThermoChuck</w:t>
      </w:r>
      <w:r>
        <w:rPr>
          <w:rFonts w:ascii="Arial" w:cs="Arial" w:eastAsia="Arial" w:hAnsi="Arial"/>
          <w:sz w:val="26"/>
          <w:szCs w:val="26"/>
          <w:i w:val="1"/>
          <w:iCs w:val="1"/>
          <w:color w:val="auto"/>
          <w:vertAlign w:val="superscript"/>
        </w:rPr>
        <w:t>(R)</w:t>
      </w:r>
      <w:r>
        <w:rPr>
          <w:rFonts w:ascii="Arial" w:cs="Arial" w:eastAsia="Arial" w:hAnsi="Arial"/>
          <w:sz w:val="16"/>
          <w:szCs w:val="16"/>
          <w:i w:val="1"/>
          <w:iCs w:val="1"/>
          <w:color w:val="auto"/>
        </w:rPr>
        <w:t xml:space="preserve"> Products</w:t>
      </w:r>
      <w:r>
        <w:rPr>
          <w:rFonts w:ascii="Arial" w:cs="Arial" w:eastAsia="Arial" w:hAnsi="Arial"/>
          <w:sz w:val="16"/>
          <w:szCs w:val="16"/>
          <w:color w:val="auto"/>
        </w:rPr>
        <w:t>: Our ThermoChuck</w:t>
      </w:r>
      <w:r>
        <w:rPr>
          <w:rFonts w:ascii="Arial" w:cs="Arial" w:eastAsia="Arial" w:hAnsi="Arial"/>
          <w:sz w:val="26"/>
          <w:szCs w:val="26"/>
          <w:color w:val="auto"/>
          <w:vertAlign w:val="superscript"/>
        </w:rPr>
        <w:t>(R)</w:t>
      </w:r>
      <w:r>
        <w:rPr>
          <w:rFonts w:ascii="Arial" w:cs="Arial" w:eastAsia="Arial" w:hAnsi="Arial"/>
          <w:sz w:val="16"/>
          <w:szCs w:val="16"/>
          <w:i w:val="1"/>
          <w:iCs w:val="1"/>
          <w:color w:val="auto"/>
        </w:rPr>
        <w:t xml:space="preserve"> </w:t>
      </w:r>
      <w:r>
        <w:rPr>
          <w:rFonts w:ascii="Arial" w:cs="Arial" w:eastAsia="Arial" w:hAnsi="Arial"/>
          <w:sz w:val="16"/>
          <w:szCs w:val="16"/>
          <w:color w:val="auto"/>
        </w:rPr>
        <w:t>precision vacuum platform assemblies, used primarily in the semiconductor market, quickly change</w:t>
      </w:r>
      <w:r>
        <w:rPr>
          <w:rFonts w:ascii="Arial" w:cs="Arial" w:eastAsia="Arial" w:hAnsi="Arial"/>
          <w:sz w:val="16"/>
          <w:szCs w:val="16"/>
          <w:i w:val="1"/>
          <w:iCs w:val="1"/>
          <w:color w:val="auto"/>
        </w:rPr>
        <w:t xml:space="preserve"> </w:t>
      </w:r>
      <w:r>
        <w:rPr>
          <w:rFonts w:ascii="Arial" w:cs="Arial" w:eastAsia="Arial" w:hAnsi="Arial"/>
          <w:sz w:val="16"/>
          <w:szCs w:val="16"/>
          <w:color w:val="auto"/>
        </w:rPr>
        <w:t>and stabilize the temperature of semiconductor wafers accurately and uniformly during testing without removing the wafer from its testing environment. Such temperatures can range from as low as -65 degrees Celsius to as high as +300 degrees Celsius. ThermoChucks</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are incorporated into wafer prober</w:t>
      </w:r>
    </w:p>
    <w:p>
      <w:pPr>
        <w:spacing w:after="0" w:line="2" w:lineRule="exact"/>
        <w:rPr>
          <w:sz w:val="20"/>
          <w:szCs w:val="20"/>
          <w:color w:val="auto"/>
        </w:rPr>
      </w:pPr>
    </w:p>
    <w:p>
      <w:pPr>
        <w:ind w:left="340" w:right="980"/>
        <w:spacing w:after="0" w:line="204" w:lineRule="auto"/>
        <w:rPr>
          <w:sz w:val="20"/>
          <w:szCs w:val="20"/>
          <w:color w:val="auto"/>
        </w:rPr>
      </w:pPr>
      <w:r>
        <w:rPr>
          <w:rFonts w:ascii="Arial" w:cs="Arial" w:eastAsia="Arial" w:hAnsi="Arial"/>
          <w:sz w:val="18"/>
          <w:szCs w:val="18"/>
          <w:color w:val="auto"/>
        </w:rPr>
        <w:t>equipment for laboratory analysis and for in-line production testing of semiconductor wafers. ThermoChuck</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products range in price from approximately $25,000 to $120,000.</w:t>
      </w:r>
    </w:p>
    <w:p>
      <w:pPr>
        <w:spacing w:after="0" w:line="208" w:lineRule="exact"/>
        <w:rPr>
          <w:sz w:val="20"/>
          <w:szCs w:val="20"/>
          <w:color w:val="auto"/>
        </w:rPr>
      </w:pPr>
    </w:p>
    <w:p>
      <w:pPr>
        <w:ind w:left="340" w:right="280"/>
        <w:spacing w:after="0" w:line="221" w:lineRule="auto"/>
        <w:rPr>
          <w:sz w:val="20"/>
          <w:szCs w:val="20"/>
          <w:color w:val="auto"/>
        </w:rPr>
      </w:pPr>
      <w:r>
        <w:rPr>
          <w:rFonts w:ascii="Arial" w:cs="Arial" w:eastAsia="Arial" w:hAnsi="Arial"/>
          <w:sz w:val="18"/>
          <w:szCs w:val="18"/>
          <w:i w:val="1"/>
          <w:iCs w:val="1"/>
          <w:color w:val="auto"/>
        </w:rPr>
        <w:t>Thermonics</w:t>
      </w:r>
      <w:r>
        <w:rPr>
          <w:rFonts w:ascii="Arial" w:cs="Arial" w:eastAsia="Arial" w:hAnsi="Arial"/>
          <w:sz w:val="30"/>
          <w:szCs w:val="30"/>
          <w:i w:val="1"/>
          <w:iCs w:val="1"/>
          <w:color w:val="auto"/>
          <w:vertAlign w:val="superscript"/>
        </w:rPr>
        <w:t>(R)</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Thermonics temperature conditioning products provide tempered gas or fluid to enable customers to maintain desired</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conditions within their tool or process. Applications include general industrial, chemical processing, energy, electronics, automotive, mil/aero and semiconductor markets. Prices range from $20,000 to greater than $200,000.</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8" w:lineRule="exact"/>
        <w:rPr>
          <w:sz w:val="20"/>
          <w:szCs w:val="20"/>
          <w:color w:val="auto"/>
        </w:rPr>
      </w:pPr>
    </w:p>
    <w:p>
      <w:pPr>
        <w:ind w:left="340"/>
        <w:spacing w:after="0" w:line="221" w:lineRule="auto"/>
        <w:rPr>
          <w:sz w:val="20"/>
          <w:szCs w:val="20"/>
          <w:color w:val="auto"/>
        </w:rPr>
      </w:pPr>
      <w:r>
        <w:rPr>
          <w:rFonts w:ascii="Arial" w:cs="Arial" w:eastAsia="Arial" w:hAnsi="Arial"/>
          <w:sz w:val="18"/>
          <w:szCs w:val="18"/>
          <w:i w:val="1"/>
          <w:iCs w:val="1"/>
          <w:color w:val="auto"/>
        </w:rPr>
        <w:t>EKOHEAT</w:t>
      </w:r>
      <w:r>
        <w:rPr>
          <w:rFonts w:ascii="Arial" w:cs="Arial" w:eastAsia="Arial" w:hAnsi="Arial"/>
          <w:sz w:val="30"/>
          <w:szCs w:val="30"/>
          <w:i w:val="1"/>
          <w:iCs w:val="1"/>
          <w:color w:val="auto"/>
          <w:vertAlign w:val="superscript"/>
        </w:rPr>
        <w:t>(R)</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EKOHEAT</w:t>
      </w:r>
      <w:r>
        <w:rPr>
          <w:rFonts w:ascii="Arial" w:cs="Arial" w:eastAsia="Arial" w:hAnsi="Arial"/>
          <w:sz w:val="30"/>
          <w:szCs w:val="30"/>
          <w:color w:val="auto"/>
          <w:vertAlign w:val="superscript"/>
        </w:rPr>
        <w:t>(R)</w:t>
      </w:r>
      <w:r>
        <w:rPr>
          <w:rFonts w:ascii="Arial" w:cs="Arial" w:eastAsia="Arial" w:hAnsi="Arial"/>
          <w:sz w:val="18"/>
          <w:szCs w:val="18"/>
          <w:i w:val="1"/>
          <w:iCs w:val="1"/>
          <w:color w:val="auto"/>
        </w:rPr>
        <w:t xml:space="preserve"> </w:t>
      </w:r>
      <w:r>
        <w:rPr>
          <w:rFonts w:ascii="Arial" w:cs="Arial" w:eastAsia="Arial" w:hAnsi="Arial"/>
          <w:sz w:val="18"/>
          <w:szCs w:val="18"/>
          <w:color w:val="auto"/>
        </w:rPr>
        <w:t>induction heating systems with power ratings from 10KW to 500KW are manufactured by Ambrell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conduct fast, efficient, repeatable non-contact heating of metals or other electrically conductive materials, in order to transform raw materials into finished parts. Prices range from $25,000 to $250,000.</w:t>
      </w:r>
    </w:p>
    <w:p>
      <w:pPr>
        <w:spacing w:after="0" w:line="206" w:lineRule="exact"/>
        <w:rPr>
          <w:sz w:val="20"/>
          <w:szCs w:val="20"/>
          <w:color w:val="auto"/>
        </w:rPr>
      </w:pPr>
    </w:p>
    <w:p>
      <w:pPr>
        <w:ind w:left="340" w:right="60"/>
        <w:spacing w:after="0" w:line="221" w:lineRule="auto"/>
        <w:rPr>
          <w:sz w:val="20"/>
          <w:szCs w:val="20"/>
          <w:color w:val="auto"/>
        </w:rPr>
      </w:pPr>
      <w:r>
        <w:rPr>
          <w:rFonts w:ascii="Arial" w:cs="Arial" w:eastAsia="Arial" w:hAnsi="Arial"/>
          <w:sz w:val="18"/>
          <w:szCs w:val="18"/>
          <w:i w:val="1"/>
          <w:iCs w:val="1"/>
          <w:color w:val="auto"/>
        </w:rPr>
        <w:t>EASYHEAT</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compact EASYHEAT</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induction heating systems with power ratings from 1KW to 10KW are manufactured by Ambrell</w:t>
      </w:r>
      <w:r>
        <w:rPr>
          <w:rFonts w:ascii="Arial" w:cs="Arial" w:eastAsia="Arial" w:hAnsi="Arial"/>
          <w:sz w:val="18"/>
          <w:szCs w:val="18"/>
          <w:i w:val="1"/>
          <w:iCs w:val="1"/>
          <w:color w:val="auto"/>
        </w:rPr>
        <w:t xml:space="preserve"> </w:t>
      </w:r>
      <w:r>
        <w:rPr>
          <w:rFonts w:ascii="Arial" w:cs="Arial" w:eastAsia="Arial" w:hAnsi="Arial"/>
          <w:sz w:val="18"/>
          <w:szCs w:val="18"/>
          <w:color w:val="auto"/>
        </w:rPr>
        <w:t>are used to conduct fast, efficient, repeatable non-contact heating of metals or other electrically conductive materials, in order to transform raw materials into finished parts. Prices range from $5,000 to $25,000.</w:t>
      </w:r>
    </w:p>
    <w:p>
      <w:pPr>
        <w:spacing w:after="0" w:line="206" w:lineRule="exact"/>
        <w:rPr>
          <w:sz w:val="20"/>
          <w:szCs w:val="20"/>
          <w:color w:val="auto"/>
        </w:rPr>
      </w:pPr>
    </w:p>
    <w:p>
      <w:pPr>
        <w:ind w:left="340" w:right="320"/>
        <w:spacing w:after="0" w:line="210" w:lineRule="auto"/>
        <w:rPr>
          <w:sz w:val="20"/>
          <w:szCs w:val="20"/>
          <w:color w:val="auto"/>
        </w:rPr>
      </w:pPr>
      <w:r>
        <w:rPr>
          <w:rFonts w:ascii="Arial" w:cs="Arial" w:eastAsia="Arial" w:hAnsi="Arial"/>
          <w:sz w:val="18"/>
          <w:szCs w:val="18"/>
          <w:color w:val="auto"/>
        </w:rPr>
        <w:t>Applications for both EKOHEAT</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and EASYHEAT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include annealing, bonding, brazing, curing, forging, heat treating, melting, shrink-fitting, soldering and testing.</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EMS Products</w:t>
      </w:r>
    </w:p>
    <w:p>
      <w:pPr>
        <w:spacing w:after="0" w:line="229" w:lineRule="exact"/>
        <w:rPr>
          <w:sz w:val="20"/>
          <w:szCs w:val="20"/>
          <w:color w:val="auto"/>
        </w:rPr>
      </w:pPr>
    </w:p>
    <w:p>
      <w:pPr>
        <w:ind w:left="340" w:right="80"/>
        <w:spacing w:after="0"/>
        <w:rPr>
          <w:sz w:val="20"/>
          <w:szCs w:val="20"/>
          <w:color w:val="auto"/>
        </w:rPr>
      </w:pPr>
      <w:r>
        <w:rPr>
          <w:rFonts w:ascii="Arial" w:cs="Arial" w:eastAsia="Arial" w:hAnsi="Arial"/>
          <w:sz w:val="16"/>
          <w:szCs w:val="16"/>
          <w:i w:val="1"/>
          <w:iCs w:val="1"/>
          <w:color w:val="auto"/>
        </w:rPr>
        <w:t xml:space="preserve">Manipulator Products. </w:t>
      </w:r>
      <w:r>
        <w:rPr>
          <w:rFonts w:ascii="Arial" w:cs="Arial" w:eastAsia="Arial" w:hAnsi="Arial"/>
          <w:sz w:val="16"/>
          <w:szCs w:val="16"/>
          <w:color w:val="auto"/>
        </w:rPr>
        <w:t>We offer two lines of manipulator products: the in2</w:t>
      </w:r>
      <w:r>
        <w:rPr>
          <w:rFonts w:ascii="Arial" w:cs="Arial" w:eastAsia="Arial" w:hAnsi="Arial"/>
          <w:sz w:val="26"/>
          <w:szCs w:val="26"/>
          <w:color w:val="auto"/>
          <w:vertAlign w:val="superscript"/>
        </w:rPr>
        <w:t>(R)</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Cobal Series. These free-standing universal manipulators can hold</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test heads and enable an operator to reposition a test head for alternate use with any one of several probers or handlers on a test floor.</w:t>
      </w:r>
    </w:p>
    <w:p>
      <w:pPr>
        <w:spacing w:after="0" w:line="206" w:lineRule="exact"/>
        <w:rPr>
          <w:sz w:val="20"/>
          <w:szCs w:val="20"/>
          <w:color w:val="auto"/>
        </w:rPr>
      </w:pPr>
    </w:p>
    <w:p>
      <w:pPr>
        <w:ind w:left="340" w:right="20"/>
        <w:spacing w:after="0" w:line="258" w:lineRule="auto"/>
        <w:rPr>
          <w:sz w:val="20"/>
          <w:szCs w:val="20"/>
          <w:color w:val="auto"/>
        </w:rPr>
      </w:pPr>
      <w:r>
        <w:rPr>
          <w:rFonts w:ascii="Arial" w:cs="Arial" w:eastAsia="Arial" w:hAnsi="Arial"/>
          <w:sz w:val="16"/>
          <w:szCs w:val="16"/>
          <w:color w:val="auto"/>
        </w:rPr>
        <w:t>The in2</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and Cobal Series of manipulator products incorporate our balanced floating-head design. This design permits a test head weighing up to 1,100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w:t>
      </w:r>
    </w:p>
    <w:p>
      <w:pPr>
        <w:spacing w:after="0" w:line="1" w:lineRule="exact"/>
        <w:rPr>
          <w:sz w:val="20"/>
          <w:szCs w:val="20"/>
          <w:color w:val="auto"/>
        </w:rPr>
      </w:pPr>
    </w:p>
    <w:p>
      <w:pPr>
        <w:jc w:val="both"/>
        <w:ind w:left="340" w:right="280"/>
        <w:spacing w:after="0" w:line="228" w:lineRule="auto"/>
        <w:rPr>
          <w:sz w:val="20"/>
          <w:szCs w:val="20"/>
          <w:color w:val="auto"/>
        </w:rPr>
      </w:pPr>
      <w:r>
        <w:rPr>
          <w:rFonts w:ascii="Arial" w:cs="Arial" w:eastAsia="Arial" w:hAnsi="Arial"/>
          <w:sz w:val="18"/>
          <w:szCs w:val="18"/>
          <w:color w:val="auto"/>
        </w:rPr>
        <w:t>particular production lot of ICs, the operator can quickly and easily disconnect a test head that is held in an in2</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manipulator and equipped with our docking hardware and dock it to another electronic device handler for testing either a subsequent lot of the same packaged ICs or to test different ICs. The in2</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and Cobal Series manipulators range in price from approximately $12,000 to $60,000.</w:t>
      </w:r>
    </w:p>
    <w:p>
      <w:pPr>
        <w:spacing w:after="0" w:line="79" w:lineRule="exact"/>
        <w:rPr>
          <w:sz w:val="20"/>
          <w:szCs w:val="20"/>
          <w:color w:val="auto"/>
        </w:rPr>
      </w:pPr>
    </w:p>
    <w:p>
      <w:pPr>
        <w:ind w:left="340"/>
        <w:spacing w:after="0" w:line="289"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We offer two lines of docking hardware products: fixed manual docking and Intellidock pin and cup docking. Both types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 the delicate 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Both types eliminate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67"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73" w:lineRule="exact"/>
        <w:rPr>
          <w:sz w:val="20"/>
          <w:szCs w:val="20"/>
          <w:color w:val="auto"/>
        </w:rPr>
      </w:pPr>
    </w:p>
    <w:p>
      <w:pPr>
        <w:ind w:left="340" w:right="180"/>
        <w:spacing w:after="0" w:line="284" w:lineRule="auto"/>
        <w:rPr>
          <w:sz w:val="20"/>
          <w:szCs w:val="20"/>
          <w:color w:val="auto"/>
        </w:rPr>
      </w:pPr>
      <w:r>
        <w:rPr>
          <w:rFonts w:ascii="Arial" w:cs="Arial" w:eastAsia="Arial" w:hAnsi="Arial"/>
          <w:sz w:val="16"/>
          <w:szCs w:val="16"/>
          <w:i w:val="1"/>
          <w:iCs w:val="1"/>
          <w:color w:val="auto"/>
        </w:rPr>
        <w:t>Interface Products</w:t>
      </w:r>
      <w:r>
        <w:rPr>
          <w:rFonts w:ascii="Arial" w:cs="Arial" w:eastAsia="Arial" w:hAnsi="Arial"/>
          <w:sz w:val="16"/>
          <w:szCs w:val="16"/>
          <w:color w:val="auto"/>
        </w:rPr>
        <w:t>. Our tester interface products provide the electrical connections between the tester and the wafer prober or IC handler to carry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w:t>
      </w:r>
    </w:p>
    <w:p>
      <w:pPr>
        <w:spacing w:after="0" w:line="5" w:lineRule="exact"/>
        <w:rPr>
          <w:sz w:val="20"/>
          <w:szCs w:val="20"/>
          <w:color w:val="auto"/>
        </w:rPr>
      </w:pPr>
    </w:p>
    <w:p>
      <w:pPr>
        <w:ind w:left="340" w:right="20"/>
        <w:spacing w:after="0" w:line="234" w:lineRule="auto"/>
        <w:rPr>
          <w:sz w:val="20"/>
          <w:szCs w:val="20"/>
          <w:color w:val="auto"/>
        </w:rPr>
      </w:pPr>
      <w:r>
        <w:rPr>
          <w:rFonts w:ascii="Arial" w:cs="Arial" w:eastAsia="Arial" w:hAnsi="Arial"/>
          <w:sz w:val="16"/>
          <w:szCs w:val="16"/>
          <w:color w:val="auto"/>
        </w:rPr>
        <w:t>such as analog, digital, mixed signal and radio frequency. For example, our Centaur</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modular interface is designed to provide flexibility and scalability through the use of replaceable signal modules which can be easily changed on the test floor as our customers' testing requirements change. In addition to</w:t>
      </w:r>
    </w:p>
    <w:p>
      <w:pPr>
        <w:spacing w:after="0" w:line="2" w:lineRule="exact"/>
        <w:rPr>
          <w:sz w:val="20"/>
          <w:szCs w:val="20"/>
          <w:color w:val="auto"/>
        </w:rPr>
      </w:pPr>
    </w:p>
    <w:p>
      <w:pPr>
        <w:ind w:left="340" w:right="260"/>
        <w:spacing w:after="0" w:line="205" w:lineRule="auto"/>
        <w:rPr>
          <w:sz w:val="20"/>
          <w:szCs w:val="20"/>
          <w:color w:val="auto"/>
        </w:rPr>
      </w:pPr>
      <w:r>
        <w:rPr>
          <w:rFonts w:ascii="Arial" w:cs="Arial" w:eastAsia="Arial" w:hAnsi="Arial"/>
          <w:sz w:val="18"/>
          <w:szCs w:val="18"/>
          <w:color w:val="auto"/>
        </w:rPr>
        <w:t>the Centaur</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modular interface, we also offer over 200 different types of tester interface models that we custom designed for our customers' specific applications. These tester interface products range in price from approximately $7,000 to $110,000.</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Please see Note 16 of our consolidated financial statements included in Item 8 of this Report on Form 10-K for additional data regarding net revenues, profit or loss and total assets of each of our segments and revenues attributable to foreign countries.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We market and sell our products primarily in markets where semiconductors are manufactured. North American and European semiconductor 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 We have been providing a greater number of engineered solutions to non-semiconductor markets. These are thermal-based solutions that fall into the categories of test and process, involving automotive, consumer electronics, defense/aerospace, energy, industrial and telecommunications markets.</w:t>
      </w:r>
    </w:p>
    <w:p>
      <w:pPr>
        <w:spacing w:after="0" w:line="178"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i w:val="1"/>
          <w:iCs w:val="1"/>
          <w:color w:val="auto"/>
        </w:rPr>
        <w:t>Thermal Products</w:t>
      </w:r>
      <w:r>
        <w:rPr>
          <w:rFonts w:ascii="Arial" w:cs="Arial" w:eastAsia="Arial" w:hAnsi="Arial"/>
          <w:sz w:val="17"/>
          <w:szCs w:val="17"/>
          <w:color w:val="auto"/>
        </w:rPr>
        <w:t>: We market our thermal products brands, Temptronic, Sigma and Thermonics, under the umbrella name of inTEST Thermal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visit our distributors regularly and have trained them to sell and service our thermal products.</w:t>
      </w:r>
    </w:p>
    <w:p>
      <w:pPr>
        <w:spacing w:after="0" w:line="182" w:lineRule="exact"/>
        <w:rPr>
          <w:sz w:val="20"/>
          <w:szCs w:val="20"/>
          <w:color w:val="auto"/>
        </w:rPr>
      </w:pPr>
    </w:p>
    <w:p>
      <w:pPr>
        <w:ind w:left="340" w:right="60"/>
        <w:spacing w:after="0" w:line="267" w:lineRule="auto"/>
        <w:rPr>
          <w:sz w:val="20"/>
          <w:szCs w:val="20"/>
          <w:color w:val="auto"/>
        </w:rPr>
      </w:pPr>
      <w:r>
        <w:rPr>
          <w:rFonts w:ascii="Arial" w:cs="Arial" w:eastAsia="Arial" w:hAnsi="Arial"/>
          <w:sz w:val="16"/>
          <w:szCs w:val="16"/>
          <w:color w:val="auto"/>
        </w:rPr>
        <w:t>We market our EASYHEAT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EKOHEAT</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precision induction heating equipment to manufacturers who require specialized industrial heating in a wide array of industries including automotive, aerospace and semiconductor and are sold globally through a combination of regional sales and strategic account managers and independent distributors. In North America and Europe, direct regional sales managers provide sales coverage augmented by distributors in Mexico and three European countries. Our strategic account managers cover targeted segments and create and manage relationships with key management personnel. In Asia, seven distributors have responsibility for sales and service of our products.</w:t>
      </w:r>
    </w:p>
    <w:p>
      <w:pPr>
        <w:spacing w:after="0" w:line="182"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a number of distributors in North America, Europe and Asia have factory-trained service technicians.</w:t>
      </w:r>
    </w:p>
    <w:p>
      <w:pPr>
        <w:spacing w:after="0" w:line="166" w:lineRule="exact"/>
        <w:rPr>
          <w:sz w:val="20"/>
          <w:szCs w:val="20"/>
          <w:color w:val="auto"/>
        </w:rPr>
      </w:pPr>
    </w:p>
    <w:p>
      <w:pPr>
        <w:ind w:left="340" w:right="320"/>
        <w:spacing w:after="0" w:line="264" w:lineRule="auto"/>
        <w:rPr>
          <w:sz w:val="20"/>
          <w:szCs w:val="20"/>
          <w:color w:val="auto"/>
        </w:rPr>
      </w:pPr>
      <w:r>
        <w:rPr>
          <w:rFonts w:ascii="Arial" w:cs="Arial" w:eastAsia="Arial" w:hAnsi="Arial"/>
          <w:sz w:val="18"/>
          <w:szCs w:val="18"/>
          <w:i w:val="1"/>
          <w:iCs w:val="1"/>
          <w:color w:val="auto"/>
        </w:rPr>
        <w:t>EMS Products</w:t>
      </w:r>
      <w:r>
        <w:rPr>
          <w:rFonts w:ascii="Arial" w:cs="Arial" w:eastAsia="Arial" w:hAnsi="Arial"/>
          <w:sz w:val="18"/>
          <w:szCs w:val="18"/>
          <w:color w:val="auto"/>
        </w:rPr>
        <w:t>: In North America, we sell to semiconductor manufacturers principally through the use of independent, commissioned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North American sales representatives also coordinate product installation and support with our technical staff and participate in trade shows.</w:t>
      </w:r>
    </w:p>
    <w:p>
      <w:pPr>
        <w:spacing w:after="0" w:line="18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87"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In Europe, we sell to semiconductor and ATE manufacturers through our internal sales staff. Technical support is provided by our staff in the U.K. In China, Japan, the Philippines, South Korea, and Thailand, we sell through the use of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left="340" w:right="20"/>
        <w:spacing w:after="0" w:line="285"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providers, as well as to original equipment manufacturers ("OEMs"), which include ATE manufacturers and their third-party outsource manufacturing partners. In the case of thermal products, we also market our products to independent testers of semiconductors, manufacturers of automotive, consumer electronics, defense/aerospace, energy, industrial and telecommunications products, semiconductor research facilities, and manufacturers and manufacturing process integrators for a variety of industrial process applications. Our customers use our products principally in production testing, although our</w:t>
      </w:r>
    </w:p>
    <w:p>
      <w:pPr>
        <w:spacing w:after="0" w:line="2" w:lineRule="exact"/>
        <w:rPr>
          <w:sz w:val="20"/>
          <w:szCs w:val="20"/>
          <w:color w:val="auto"/>
        </w:rPr>
      </w:pPr>
    </w:p>
    <w:p>
      <w:pPr>
        <w:ind w:left="340" w:right="140"/>
        <w:spacing w:after="0" w:line="198" w:lineRule="auto"/>
        <w:rPr>
          <w:sz w:val="20"/>
          <w:szCs w:val="20"/>
          <w:color w:val="auto"/>
        </w:rPr>
      </w:pPr>
      <w:r>
        <w:rPr>
          <w:rFonts w:ascii="Arial" w:cs="Arial" w:eastAsia="Arial" w:hAnsi="Arial"/>
          <w:sz w:val="18"/>
          <w:szCs w:val="18"/>
          <w:color w:val="auto"/>
        </w:rPr>
        <w:t>ThermoStream</w:t>
      </w:r>
      <w:r>
        <w:rPr>
          <w:rFonts w:ascii="Arial" w:cs="Arial" w:eastAsia="Arial" w:hAnsi="Arial"/>
          <w:sz w:val="36"/>
          <w:szCs w:val="36"/>
          <w:color w:val="auto"/>
          <w:vertAlign w:val="superscript"/>
        </w:rPr>
        <w:t>®</w:t>
      </w:r>
      <w:r>
        <w:rPr>
          <w:rFonts w:ascii="Arial" w:cs="Arial" w:eastAsia="Arial" w:hAnsi="Arial"/>
          <w:sz w:val="18"/>
          <w:szCs w:val="18"/>
          <w:color w:val="auto"/>
        </w:rPr>
        <w:t xml:space="preserve"> products traditionally have been used largely in engineering development and quality assurance. We believe that we sell to most of the major semiconductor manufacturers in the world.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During the years ended December 31, 2017 and 2016, Hakuto Co. Ltd., one of our distributors, accounted for 11% and 13% of our consolidated net revenues, respectively. These revenues were generated by our Thermal segment. During the years ended December 31, 2017 and 2016, Texas Instruments Incorporated accounted for 11% and 10% of our consolidated net revenues, respectively. While both of our operating segments sold products to this customer, these revenues were primarily generated by our EMS segment. Our ten largest customers accounted for approximately 46% and 50% of our consolidated net revenues in 2017 and 2016,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6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Our largest customers in 2017 include:</w:t>
            </w: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2"/>
        </w:trPr>
        <w:tc>
          <w:tcPr>
            <w:tcW w:w="2360" w:type="dxa"/>
            <w:vAlign w:val="bottom"/>
          </w:tcPr>
          <w:p>
            <w:pPr>
              <w:spacing w:after="0"/>
              <w:rPr>
                <w:sz w:val="20"/>
                <w:szCs w:val="20"/>
                <w:color w:val="auto"/>
              </w:rPr>
            </w:pPr>
            <w:r>
              <w:rPr>
                <w:rFonts w:ascii="Arial" w:cs="Arial" w:eastAsia="Arial" w:hAnsi="Arial"/>
                <w:sz w:val="18"/>
                <w:szCs w:val="18"/>
                <w:b w:val="1"/>
                <w:bCs w:val="1"/>
                <w:color w:val="auto"/>
                <w:w w:val="89"/>
              </w:rPr>
              <w:t>Semiconductor Manufacturers</w:t>
            </w:r>
          </w:p>
        </w:tc>
        <w:tc>
          <w:tcPr>
            <w:tcW w:w="9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ATE Manufacturers</w:t>
            </w: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r>
      <w:tr>
        <w:trPr>
          <w:trHeight w:val="20"/>
        </w:trPr>
        <w:tc>
          <w:tcPr>
            <w:tcW w:w="2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22"/>
        </w:trPr>
        <w:tc>
          <w:tcPr>
            <w:tcW w:w="2360" w:type="dxa"/>
            <w:vAlign w:val="bottom"/>
          </w:tcPr>
          <w:p>
            <w:pPr>
              <w:spacing w:after="0"/>
              <w:rPr>
                <w:sz w:val="20"/>
                <w:szCs w:val="20"/>
                <w:color w:val="auto"/>
              </w:rPr>
            </w:pPr>
            <w:r>
              <w:rPr>
                <w:rFonts w:ascii="Arial" w:cs="Arial" w:eastAsia="Arial" w:hAnsi="Arial"/>
                <w:sz w:val="18"/>
                <w:szCs w:val="18"/>
                <w:color w:val="auto"/>
              </w:rPr>
              <w:t>Analog Devices, Inc.</w:t>
            </w:r>
          </w:p>
        </w:tc>
        <w:tc>
          <w:tcPr>
            <w:tcW w:w="9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Teradyne, Inc.</w:t>
            </w:r>
          </w:p>
        </w:tc>
        <w:tc>
          <w:tcPr>
            <w:tcW w:w="7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0"/>
              </w:rPr>
              <w:t>Foxconn Optical Interconnect Technologies, Inc.</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Cypress Semiconductor Corporation</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Hakuto Co. Ltd.</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NaigaiTEC Corporation</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Rosendahl Nextrom GmbH</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NXP Semiconductors N.V.</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STMicroelectronics N.V.</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left="340" w:right="20"/>
        <w:spacing w:after="0" w:line="291" w:lineRule="auto"/>
        <w:rPr>
          <w:sz w:val="20"/>
          <w:szCs w:val="20"/>
          <w:color w:val="auto"/>
        </w:rPr>
      </w:pPr>
      <w:r>
        <w:rPr>
          <w:rFonts w:ascii="Arial" w:cs="Arial" w:eastAsia="Arial" w:hAnsi="Arial"/>
          <w:sz w:val="16"/>
          <w:szCs w:val="16"/>
          <w:color w:val="auto"/>
        </w:rPr>
        <w:t>As of December 31, 2017, our principal manufacturing operations consisted of assembly and testing at our facilities in California, Massachusetts, New Jersey and New York.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however, we believe that all materials and components are available in adequate amounts from other sources, although from time to time, certain components may be in short supply because of high demand or the inability of some vendors to consistently meet our quality or delivery requirements.</w:t>
      </w:r>
    </w:p>
    <w:p>
      <w:pPr>
        <w:spacing w:after="0" w:line="167"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66" w:lineRule="exact"/>
        <w:rPr>
          <w:sz w:val="20"/>
          <w:szCs w:val="20"/>
          <w:color w:val="auto"/>
        </w:rPr>
      </w:pPr>
    </w:p>
    <w:p>
      <w:pPr>
        <w:ind w:left="340" w:right="420"/>
        <w:spacing w:after="0" w:line="264" w:lineRule="auto"/>
        <w:rPr>
          <w:sz w:val="20"/>
          <w:szCs w:val="20"/>
          <w:color w:val="auto"/>
        </w:rPr>
      </w:pPr>
      <w:r>
        <w:rPr>
          <w:rFonts w:ascii="Arial" w:cs="Arial" w:eastAsia="Arial" w:hAnsi="Arial"/>
          <w:sz w:val="18"/>
          <w:szCs w:val="18"/>
          <w:color w:val="auto"/>
        </w:rPr>
        <w:t>Our Massachusetts facility is ISO 9001:2015 certified. Our New York facility is ISO 9001:2008 certified. Our New Jersey and California facilities manufacture products only for the semiconductor industry where ISO certification is not required. However, these locations do employ the practices embodied in the ISO 9001:2008.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Our success depends on our ability to provide our customers with products and solutions that are well engineered, and to design those products and solutions before, or at least no later than, our competitors. As of December 31, 2017, we employed a total of 42 engineers, who were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9" w:lineRule="exact"/>
        <w:rPr>
          <w:sz w:val="20"/>
          <w:szCs w:val="20"/>
          <w:color w:val="auto"/>
        </w:rPr>
      </w:pPr>
    </w:p>
    <w:p>
      <w:pPr>
        <w:ind w:left="340" w:right="320"/>
        <w:spacing w:after="0" w:line="264" w:lineRule="auto"/>
        <w:rPr>
          <w:sz w:val="20"/>
          <w:szCs w:val="20"/>
          <w:color w:val="auto"/>
        </w:rPr>
      </w:pPr>
      <w:r>
        <w:rPr>
          <w:rFonts w:ascii="Arial" w:cs="Arial" w:eastAsia="Arial" w:hAnsi="Arial"/>
          <w:sz w:val="18"/>
          <w:szCs w:val="18"/>
          <w:color w:val="auto"/>
        </w:rPr>
        <w:t>Since most of our products are customized, we consider substantially all of our engineering activities to be engineering and product development. We spent approximately $4.3 million in 2017 and $3.7 million in 2016 on engineering and product development. 2017 expenses include $650,000 attributable to Ambrell, which we acquired in May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Our policy is to protect our technology by filing patent applications for the technologies that we consider important to our business. We also rely on trademarks, trade secrets, copyrights and unpatented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120"/>
        <w:spacing w:after="0" w:line="297" w:lineRule="auto"/>
        <w:rPr>
          <w:sz w:val="20"/>
          <w:szCs w:val="20"/>
          <w:color w:val="auto"/>
        </w:rPr>
      </w:pPr>
      <w:r>
        <w:rPr>
          <w:rFonts w:ascii="Arial" w:cs="Arial" w:eastAsia="Arial" w:hAnsi="Arial"/>
          <w:sz w:val="16"/>
          <w:szCs w:val="16"/>
          <w:color w:val="auto"/>
        </w:rPr>
        <w:t>As of December 31, 2017, we held 79 active U.S. patents and had 7 pending U.S. patent applications covering various aspects of our technology. Our acquisition of Ambrell during 2017 provided 30 of those US patents, as well as 1 US patent application. Our U.S. patents expire at various times beginning in 2018 and extending through 2035. During 2017, one U.S. patent was issued and we had two U.S. patents expire. We do not believe that the upcoming expiration of certain of our patents in 2018 will have a material impact on our business. We also hold foreign patents and file foreign patent applications, in selected cases corresponding to our U.S. patents and patent applications, to the extent management deems appropriate.</w:t>
      </w:r>
    </w:p>
    <w:p>
      <w:pPr>
        <w:spacing w:after="0" w:line="158"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While we believe that our patents and other proprietary rights are important to our business, we also believe that, due to the rapid pace of technological change in the semiconductor equipment market,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We operate in an increasingly competitive environment within both of our product segments. Some of our competitors have greater financial resources and more extensive design and production capabilities than we do. Certain markets in which we operate have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93"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pacing w:after="0" w:line="192" w:lineRule="exact"/>
        <w:rPr>
          <w:sz w:val="20"/>
          <w:szCs w:val="20"/>
          <w:color w:val="auto"/>
        </w:rPr>
      </w:pPr>
    </w:p>
    <w:p>
      <w:pPr>
        <w:ind w:left="340" w:right="220"/>
        <w:spacing w:after="0" w:line="227" w:lineRule="auto"/>
        <w:rPr>
          <w:sz w:val="20"/>
          <w:szCs w:val="20"/>
          <w:color w:val="auto"/>
        </w:rPr>
      </w:pPr>
      <w:r>
        <w:rPr>
          <w:rFonts w:ascii="Arial" w:cs="Arial" w:eastAsia="Arial" w:hAnsi="Arial"/>
          <w:sz w:val="16"/>
          <w:szCs w:val="16"/>
          <w:color w:val="auto"/>
        </w:rPr>
        <w:t>Our principal competitors for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are FTS Systems, a part of SP Industries, and MPI Corporation. Our principal competitors for Thermochuck</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include Cascade Microtech, Inc., a subsidiary of FormFactor, Inc., ERS Electronik GmbH and Espec Corp. Our principal competitors for environmental chambers are Cincinnati Sub-Zero Products, Inc., Espec Corp. and Thermotron Industries. Our principal competitor for</w:t>
      </w:r>
    </w:p>
    <w:p>
      <w:pPr>
        <w:ind w:left="340" w:right="440"/>
        <w:spacing w:after="0" w:line="205" w:lineRule="auto"/>
        <w:rPr>
          <w:sz w:val="20"/>
          <w:szCs w:val="20"/>
          <w:color w:val="auto"/>
        </w:rPr>
      </w:pPr>
      <w:r>
        <w:rPr>
          <w:rFonts w:ascii="Arial" w:cs="Arial" w:eastAsia="Arial" w:hAnsi="Arial"/>
          <w:sz w:val="18"/>
          <w:szCs w:val="18"/>
          <w:color w:val="auto"/>
        </w:rPr>
        <w:t>thermal platforms is Environmental Stress Systems Inc. Our principal competitors for EKOHEAT</w:t>
      </w:r>
      <w:r>
        <w:rPr>
          <w:rFonts w:ascii="Arial" w:cs="Arial" w:eastAsia="Arial" w:hAnsi="Arial"/>
          <w:sz w:val="30"/>
          <w:szCs w:val="30"/>
          <w:color w:val="auto"/>
          <w:vertAlign w:val="superscript"/>
        </w:rPr>
        <w:t>(R)</w:t>
      </w:r>
      <w:r>
        <w:rPr>
          <w:rFonts w:ascii="Arial" w:cs="Arial" w:eastAsia="Arial" w:hAnsi="Arial"/>
          <w:sz w:val="18"/>
          <w:szCs w:val="18"/>
          <w:color w:val="auto"/>
        </w:rPr>
        <w:t xml:space="preserve"> and EASYHEAT™ products are Inductotherm Corporation, Ajax-Tocco Magneticthermic, EFD Induction Corporation, Trumpf Huettinger GmbH, and Ceia Loge.</w:t>
      </w:r>
    </w:p>
    <w:p>
      <w:pPr>
        <w:spacing w:after="0" w:line="203" w:lineRule="exact"/>
        <w:rPr>
          <w:sz w:val="20"/>
          <w:szCs w:val="20"/>
          <w:color w:val="auto"/>
        </w:rPr>
      </w:pPr>
    </w:p>
    <w:p>
      <w:pPr>
        <w:ind w:left="340" w:right="40"/>
        <w:spacing w:after="0" w:line="312" w:lineRule="auto"/>
        <w:rPr>
          <w:sz w:val="20"/>
          <w:szCs w:val="20"/>
          <w:color w:val="auto"/>
        </w:rPr>
      </w:pPr>
      <w:r>
        <w:rPr>
          <w:rFonts w:ascii="Arial" w:cs="Arial" w:eastAsia="Arial" w:hAnsi="Arial"/>
          <w:sz w:val="16"/>
          <w:szCs w:val="16"/>
          <w:color w:val="auto"/>
        </w:rPr>
        <w:t>Our principal competitors for manipulator products are Advantest Corporation, Esmo AG, Reid-Ashman Manufacturing and Teradyne, Inc. Our principal competitors for docking hardware products include Advantest Corporation, Esmo AG, Knight Automation, Reid-Ashman Manufacturing and Teradyne, Inc. Our principal competitors for tester interface products are Advantest Corporation, Esmo AG, Reid-Ashman Manufacturing and Teradyne, Inc.</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At December 31, 2017, our backlog of unfilled orders for all products was approximately $13.7 million compared with approximately $7.4 million at December 31, 2016. At December 31, 2017, our backlog included $5.5 million attributable to Ambrell. Our backlog includes customer orders which we have accepted, substantially all of which we expect to deliver in 2018.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At December 31, 2017, we had 199 full time employees, including 101 in manufacturing operations, 61 in customer support/operations and 37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 We also routinely post press releases, presentations, webcasts and other information regarding the Company on our website. The information posted to our website is not part of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84" w:lineRule="exact"/>
        <w:rPr>
          <w:sz w:val="20"/>
          <w:szCs w:val="20"/>
          <w:color w:val="auto"/>
        </w:rPr>
      </w:pPr>
    </w:p>
    <w:p>
      <w:pPr>
        <w:ind w:left="340" w:right="620"/>
        <w:spacing w:after="0" w:line="386" w:lineRule="auto"/>
        <w:rPr>
          <w:sz w:val="20"/>
          <w:szCs w:val="20"/>
          <w:color w:val="auto"/>
        </w:rPr>
      </w:pPr>
      <w:r>
        <w:rPr>
          <w:rFonts w:ascii="Arial" w:cs="Arial" w:eastAsia="Arial" w:hAnsi="Arial"/>
          <w:sz w:val="15"/>
          <w:szCs w:val="15"/>
          <w:b w:val="1"/>
          <w:bCs w:val="1"/>
          <w:color w:val="auto"/>
        </w:rPr>
        <w:t>We seek to acquire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97"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A key element of our growth strategy is to acquire businesses, technologies or products that are complementary to our current product offerings. We seek to make acquisitions that will further expand our product lines as well as reduce our overall reliance on the ATE market. We may not be able to execute our acquisition strategy if:</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unable to identify suitable businesses, technologies or products to acquire;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sufficient cash or access to required capital at the necessary time;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unwilling or unable to outbid larger, more resourceful companies;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unable to successfully close proposed acquisitions.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225" w:lineRule="exact"/>
        <w:rPr>
          <w:sz w:val="20"/>
          <w:szCs w:val="20"/>
          <w:color w:val="auto"/>
        </w:rPr>
      </w:pPr>
    </w:p>
    <w:p>
      <w:pPr>
        <w:ind w:left="980" w:right="38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might not be able to integrate future acquisitions into our business successfully or operate acquired businesses profitably;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realize substantial acquisition related expenses which would reduce our net earnings in future years;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11"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67" w:lineRule="exact"/>
        <w:rPr>
          <w:sz w:val="20"/>
          <w:szCs w:val="20"/>
          <w:color w:val="auto"/>
        </w:rPr>
      </w:pPr>
    </w:p>
    <w:p>
      <w:pPr>
        <w:ind w:left="340" w:right="140"/>
        <w:spacing w:after="0" w:line="282" w:lineRule="auto"/>
        <w:rPr>
          <w:sz w:val="20"/>
          <w:szCs w:val="20"/>
          <w:color w:val="auto"/>
        </w:rPr>
      </w:pPr>
      <w:r>
        <w:rPr>
          <w:rFonts w:ascii="Arial" w:cs="Arial" w:eastAsia="Arial" w:hAnsi="Arial"/>
          <w:sz w:val="18"/>
          <w:szCs w:val="18"/>
          <w:b w:val="1"/>
          <w:bCs w:val="1"/>
          <w:color w:val="auto"/>
        </w:rPr>
        <w:t>Our business is subject to intense competition, which has in the past and could in the future, materially adversely affect our business, financial condition and results of operations.</w:t>
      </w:r>
    </w:p>
    <w:p>
      <w:pPr>
        <w:spacing w:after="0" w:line="166" w:lineRule="exact"/>
        <w:rPr>
          <w:sz w:val="20"/>
          <w:szCs w:val="20"/>
          <w:color w:val="auto"/>
        </w:rPr>
      </w:pPr>
    </w:p>
    <w:p>
      <w:pPr>
        <w:ind w:left="340" w:right="40"/>
        <w:spacing w:after="0" w:line="271" w:lineRule="auto"/>
        <w:rPr>
          <w:sz w:val="20"/>
          <w:szCs w:val="20"/>
          <w:color w:val="auto"/>
        </w:rPr>
      </w:pPr>
      <w:r>
        <w:rPr>
          <w:rFonts w:ascii="Arial" w:cs="Arial" w:eastAsia="Arial" w:hAnsi="Arial"/>
          <w:sz w:val="17"/>
          <w:szCs w:val="17"/>
          <w:color w:val="auto"/>
        </w:rPr>
        <w:t>We face significant competition throughout the world in each of our product segments. Some of our competitors have substantial financial resources and more extensive design and production capabilities than we do. Some of our competitors are much smaller than we are, and therefore have much lower levels of overhead than we do, which enables them to sell their competing products at lower prices.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has and could continue to materially adversely affect our business, financial condition and results of operations.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 w:right="120"/>
        <w:spacing w:after="0" w:line="282" w:lineRule="auto"/>
        <w:rPr>
          <w:sz w:val="20"/>
          <w:szCs w:val="20"/>
          <w:color w:val="auto"/>
        </w:rPr>
      </w:pPr>
      <w:r>
        <w:rPr>
          <w:rFonts w:ascii="Arial" w:cs="Arial" w:eastAsia="Arial" w:hAnsi="Arial"/>
          <w:sz w:val="18"/>
          <w:szCs w:val="18"/>
          <w:b w:val="1"/>
          <w:bCs w:val="1"/>
          <w:color w:val="auto"/>
        </w:rPr>
        <w:t>Our sales are affected by the cyclicality and seasonality of the semiconductor and ATE markets, which causes our operating results to fluctuate significantly.</w:t>
      </w:r>
    </w:p>
    <w:p>
      <w:pPr>
        <w:spacing w:after="0" w:line="166"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 These market changes and seasonal sales pattern have contributed in the past, and will likely continue to contribute in the future, to fluctuations in our operating results.</w:t>
      </w:r>
    </w:p>
    <w:p>
      <w:pPr>
        <w:spacing w:after="0" w:line="178" w:lineRule="exact"/>
        <w:rPr>
          <w:sz w:val="20"/>
          <w:szCs w:val="20"/>
          <w:color w:val="auto"/>
        </w:rPr>
      </w:pPr>
    </w:p>
    <w:p>
      <w:pPr>
        <w:ind w:left="340" w:right="40"/>
        <w:spacing w:after="0" w:line="266" w:lineRule="auto"/>
        <w:rPr>
          <w:sz w:val="20"/>
          <w:szCs w:val="20"/>
          <w:color w:val="auto"/>
        </w:rPr>
      </w:pPr>
      <w:r>
        <w:rPr>
          <w:rFonts w:ascii="Arial" w:cs="Arial" w:eastAsia="Arial" w:hAnsi="Arial"/>
          <w:sz w:val="18"/>
          <w:szCs w:val="18"/>
          <w:b w:val="1"/>
          <w:bCs w:val="1"/>
          <w:color w:val="auto"/>
        </w:rPr>
        <w:t>We seek to further diversify the markets for our thermal products in order to increase the proportion of our sales attributable to markets which are less subject to cyclicality than the semiconductor and ATE markets. If we are unable to do so, our future performance will remain substantially exposed to the fluctuations of the cyclicality of the semiconductor and ATE markets.</w:t>
      </w:r>
    </w:p>
    <w:p>
      <w:pPr>
        <w:spacing w:after="0" w:line="180" w:lineRule="exact"/>
        <w:rPr>
          <w:sz w:val="20"/>
          <w:szCs w:val="20"/>
          <w:color w:val="auto"/>
        </w:rPr>
      </w:pPr>
    </w:p>
    <w:p>
      <w:pPr>
        <w:ind w:left="340" w:right="80"/>
        <w:spacing w:after="0" w:line="269" w:lineRule="auto"/>
        <w:rPr>
          <w:sz w:val="20"/>
          <w:szCs w:val="20"/>
          <w:color w:val="auto"/>
        </w:rPr>
      </w:pPr>
      <w:r>
        <w:rPr>
          <w:rFonts w:ascii="Arial" w:cs="Arial" w:eastAsia="Arial" w:hAnsi="Arial"/>
          <w:sz w:val="17"/>
          <w:szCs w:val="17"/>
          <w:color w:val="auto"/>
        </w:rPr>
        <w:t>Since 2009, we have sold our thermal products in markets outside of the semiconductor market, including the automotive, consumer electronics, defense/aerospace, energy, industrial and telecommunications markets. During 2017 and 2016, our sales to these non-semiconductor markets were $29.0 million (including $13.2 million of net revenues attributable to Ambrell) and $12.2 million, respectively, and represented 44% and 30% of our consolidated net revenues, respectively. Prior to our acquisition of Ambrell, we offered only highly specialized engineering solutions in these markets outside the semiconductor market, the demand for which is limited and which we expect may vary significantly from period to period. Our goal is to increase our sales into these and other non-semiconductor markets; however, in most cases, the expansion of our thermal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these non-semiconductor markets, we do not expect broad market penetration in many of these markets. If we are unable to expand our sales in non-semiconductor markets, our net revenues and results of operations will remain substantially dependent upon the cycles of the semiconductor and ATE markets.</w:t>
      </w:r>
    </w:p>
    <w:p>
      <w:pPr>
        <w:spacing w:after="0" w:line="176" w:lineRule="exact"/>
        <w:rPr>
          <w:sz w:val="20"/>
          <w:szCs w:val="20"/>
          <w:color w:val="auto"/>
        </w:rPr>
      </w:pPr>
    </w:p>
    <w:p>
      <w:pPr>
        <w:ind w:left="340" w:right="400"/>
        <w:spacing w:after="0" w:line="282" w:lineRule="auto"/>
        <w:rPr>
          <w:sz w:val="20"/>
          <w:szCs w:val="20"/>
          <w:color w:val="auto"/>
        </w:rPr>
      </w:pPr>
      <w:r>
        <w:rPr>
          <w:rFonts w:ascii="Arial" w:cs="Arial" w:eastAsia="Arial" w:hAnsi="Arial"/>
          <w:sz w:val="18"/>
          <w:szCs w:val="18"/>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66" w:lineRule="exact"/>
        <w:rPr>
          <w:sz w:val="20"/>
          <w:szCs w:val="20"/>
          <w:color w:val="auto"/>
        </w:rPr>
      </w:pPr>
    </w:p>
    <w:p>
      <w:pPr>
        <w:ind w:left="340" w:right="180"/>
        <w:spacing w:after="0" w:line="268" w:lineRule="auto"/>
        <w:rPr>
          <w:sz w:val="20"/>
          <w:szCs w:val="20"/>
          <w:color w:val="auto"/>
        </w:rPr>
      </w:pPr>
      <w:r>
        <w:rPr>
          <w:rFonts w:ascii="Arial" w:cs="Arial" w:eastAsia="Arial" w:hAnsi="Arial"/>
          <w:sz w:val="17"/>
          <w:szCs w:val="17"/>
          <w:color w:val="auto"/>
        </w:rPr>
        <w:t>In addition to the cyclicality and seasonality of the semiconductor and ATE markets,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 particular, demand for the products sold by EMS,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OEMs specifying other suppliers as primary vendors, with less frequent opportunities to compete for such designations, (iii) customers requiring products with a greater range of use at the lowest cost, and (iv) customer supply chain management groups demanding lower prices and spreading purchases across multiple vendors. These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84" w:lineRule="exact"/>
        <w:rPr>
          <w:sz w:val="20"/>
          <w:szCs w:val="20"/>
          <w:color w:val="auto"/>
        </w:rPr>
      </w:pPr>
    </w:p>
    <w:p>
      <w:pPr>
        <w:ind w:left="340" w:right="340"/>
        <w:spacing w:after="0" w:line="282"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66"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During the years ended December 31, 2017 and 2016, Hakuto Co. Ltd., one of our distributors, accounted for 11% and 13% of our consolidated net revenues, respectively. These revenues were generated by our Thermal segment. During the years ended December 31, 2017 and 2016, Texas Instruments Incorporated accounted for 11% and 10% of our consolidated net revenues, respectively. While both of our operating segments sold products to this customer, these revenues were primarily generated by our EMS segment. Our ten largest customers accounted for approximately 46% and 50% of our consolidated net revenues in 2017 and 2016,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29" w:lineRule="exact"/>
        <w:rPr>
          <w:sz w:val="20"/>
          <w:szCs w:val="20"/>
          <w:color w:val="auto"/>
        </w:rPr>
      </w:pPr>
    </w:p>
    <w:p>
      <w:pPr>
        <w:ind w:left="340" w:right="300"/>
        <w:spacing w:after="0" w:line="259" w:lineRule="auto"/>
        <w:rPr>
          <w:sz w:val="20"/>
          <w:szCs w:val="20"/>
          <w:color w:val="auto"/>
        </w:rPr>
      </w:pPr>
      <w:r>
        <w:rPr>
          <w:rFonts w:ascii="Arial" w:cs="Arial" w:eastAsia="Arial" w:hAnsi="Arial"/>
          <w:sz w:val="18"/>
          <w:szCs w:val="18"/>
          <w:color w:val="auto"/>
        </w:rPr>
        <w:t>Historically, our operating results have fluctuated significantly from quarter to quarter. We believe that these fluctuations occur primarily 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8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contingent consideration liability adjustments;</w:t>
      </w:r>
    </w:p>
    <w:p>
      <w:pPr>
        <w:spacing w:after="0" w:line="36" w:lineRule="exact"/>
        <w:rPr>
          <w:rFonts w:ascii="Arial" w:cs="Arial" w:eastAsia="Arial" w:hAnsi="Arial"/>
          <w:sz w:val="18"/>
          <w:szCs w:val="18"/>
          <w:color w:val="auto"/>
        </w:rPr>
      </w:pPr>
    </w:p>
    <w:p>
      <w:pPr>
        <w:ind w:left="980" w:right="100" w:hanging="324"/>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in the markets we serve outside the ATE market including the automotive, consumer electronics, defense/aerospace, energy, industrial and telecommunication markets;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 of the U.S. and global economies;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buying patterns of our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market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technological obsolescence of our inventories;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quantities of our inventories greater than is reasonably likely to be utilized in future periods;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 of product warranty charges;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due diligence and transaction-related expenses for a proposed acquisition that does not get completed;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timing of integration of our acquisitions and plant consolidations and relocations;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manufacturing capacity;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operating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shipments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our products sold;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customers and geographic regions where we sell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level of our fixed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the development of our proprietary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raw materials or fabricated parts when needed;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costs of component materials;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cancellation or rescheduling of orders by our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21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66" w:lineRule="exact"/>
        <w:rPr>
          <w:sz w:val="20"/>
          <w:szCs w:val="20"/>
          <w:color w:val="auto"/>
        </w:rPr>
      </w:pPr>
    </w:p>
    <w:p>
      <w:pPr>
        <w:ind w:left="340" w:right="20"/>
        <w:spacing w:after="0" w:line="289" w:lineRule="auto"/>
        <w:rPr>
          <w:sz w:val="20"/>
          <w:szCs w:val="20"/>
          <w:color w:val="auto"/>
        </w:rPr>
      </w:pPr>
      <w:r>
        <w:rPr>
          <w:rFonts w:ascii="Arial" w:cs="Arial" w:eastAsia="Arial" w:hAnsi="Arial"/>
          <w:sz w:val="17"/>
          <w:szCs w:val="17"/>
          <w:b w:val="1"/>
          <w:bCs w:val="1"/>
          <w:color w:val="auto"/>
        </w:rPr>
        <w:t>In connection with our acquisition of Ambrell in May 2017, we agreed to contingent consideration in the form of earnouts based on the future adjusted EBITDA of Ambrell for 2017 and 2018. Significant variation in the amount of the estimated fair value of contingent consideration from period to period is possible which could have a materially adverse effect on our results of operations.</w:t>
      </w:r>
    </w:p>
    <w:p>
      <w:pPr>
        <w:spacing w:after="0" w:line="162"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The consideration paid for the acquisition of Ambrell, which we acquired in May 2017, includes contingent consideration in the form of earnouts based on the future adjusted EBITDA of Ambrell. Adjusted EBITDA is earnings (or loss) from operations before interest expense, benefit or provision for income taxes, depreciation and amortization, and excludes other non-recurring income and expense items as defined in the stock purchase agreement for Ambrell. The first earnout, to be paid after calendar year 2017 is completed, is an amount equal to 8x Ambrell's adjusted EBITDA for 2017 minus the $22 million paid at closing. At December 31, 2017, we had accrued $5.4 million as the 2017 earnout payable on our balance sheet representing the amount of the first earnout. The second earnout, if any, to be paid after calendar year 2018 is completed, will be an amount equal to 8x Ambrell's adjusted EBITDA for 2018 minus the sum of the $22 million paid at closing and the earnout paid with respect to 2017. The 2017 and 2018 earnouts, in the aggregate, are capped at $18 million. To estimate the fair value of the contingent consideration at the acquisition date, an option based income approach using a Monte Carlo simulation model was utilized due to the non-linear payout structure. This resulted in an estimated fair value of $4.1 million, which was recorded as a contingent consideration liability as of the acquisition date. At December 31, 2017, the estimated fair value of our contingent consideration liability had increased to $11.1 million, and, accordingly, during the second half of 2017, we recorded a $7.0 million increase in the amounts accrued for contingent consideration. We use this same option based income approach to estimate the fair value of the contingent consideration as of the end of each quarter. Significant variation in the amount of the estimated fair value of contingent consideration from period to period is possible as the fair value is affected by our then current estimation of future events including future net revenues and other items that affect future projected adjusted EBITDA. Such variation could have a materially adverse effect on our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breach of our operational or security systems could negatively affect our business and results of operations.</w:t>
      </w:r>
    </w:p>
    <w:p>
      <w:pPr>
        <w:spacing w:after="0" w:line="229"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damage our reputation, cause losses and significantly increase our costs.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75" w:lineRule="exact"/>
        <w:rPr>
          <w:sz w:val="20"/>
          <w:szCs w:val="20"/>
          <w:color w:val="auto"/>
        </w:rPr>
      </w:pPr>
    </w:p>
    <w:p>
      <w:pPr>
        <w:ind w:left="340" w:right="220"/>
        <w:spacing w:after="0" w:line="282"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and ATE markets.</w:t>
      </w:r>
    </w:p>
    <w:p>
      <w:pPr>
        <w:spacing w:after="0" w:line="166"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Semiconductor technology continues to become more complex as manufacturers incorporate ICs into an increasing variety of products. This trend, and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29" w:lineRule="exact"/>
        <w:rPr>
          <w:sz w:val="20"/>
          <w:szCs w:val="20"/>
          <w:color w:val="auto"/>
        </w:rPr>
      </w:pPr>
    </w:p>
    <w:p>
      <w:pPr>
        <w:ind w:left="340" w:right="20"/>
        <w:spacing w:after="0" w:line="297" w:lineRule="auto"/>
        <w:rPr>
          <w:sz w:val="20"/>
          <w:szCs w:val="20"/>
          <w:color w:val="auto"/>
        </w:rPr>
      </w:pPr>
      <w:r>
        <w:rPr>
          <w:rFonts w:ascii="Arial" w:cs="Arial" w:eastAsia="Arial" w:hAnsi="Arial"/>
          <w:sz w:val="16"/>
          <w:szCs w:val="16"/>
          <w:color w:val="auto"/>
        </w:rPr>
        <w:t>Certain components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 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may suffer if we are unable to attract and retain key employees.</w:t>
      </w:r>
    </w:p>
    <w:p>
      <w:pPr>
        <w:spacing w:after="0" w:line="229"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The loss of key personnel could adversely affect our ability to manage our business effectively. Our future success will depend largely upon the continued services of our senior management and other key employees or the development of successors with commensurate skills and talents. In the past, during periods of weakened demand which has caused us to experience operating losses, we have implemented temporary salary and benefit reductions and eliminations that have remained in place until our operations returned to profitability. If global economic conditions were to deteriorate and we were to implement such salary and benefit reductions or eliminations again, or if we cannot continue to increase employee salaries and maintain employee benefits commensurate with competitive opportunities, we may not be able to retain our senior management and other key employees. Our business could suffer if we were to lose one of more of our senior officers or other key employees.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29" w:lineRule="exact"/>
        <w:rPr>
          <w:sz w:val="20"/>
          <w:szCs w:val="20"/>
          <w:color w:val="auto"/>
        </w:rPr>
      </w:pPr>
    </w:p>
    <w:p>
      <w:pPr>
        <w:ind w:left="340" w:right="80"/>
        <w:spacing w:after="0" w:line="273" w:lineRule="auto"/>
        <w:rPr>
          <w:sz w:val="20"/>
          <w:szCs w:val="20"/>
          <w:color w:val="auto"/>
        </w:rPr>
      </w:pPr>
      <w:r>
        <w:rPr>
          <w:rFonts w:ascii="Arial" w:cs="Arial" w:eastAsia="Arial" w:hAnsi="Arial"/>
          <w:sz w:val="17"/>
          <w:szCs w:val="17"/>
          <w:color w:val="auto"/>
        </w:rPr>
        <w:t>We have operated internationally for many years and expect to expand our international operations as necessary to continue expansion of our sales and service to our non-U.S. customers. Our foreign subsidiaries generated 17% and 16% of consolidated net revenues in 2017 and 2016, respectively. Net revenues from foreign customers totaled $46.6 million, or 70% of consolidated net revenues in 2016, and $27.2 million, or 68% of consolidated net revenues in 2016. We expect our net revenues from foreign customers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7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in foreign countries;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financial and operational controls and regulatory restrictions by foreign governments;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comply with a wide variety of U.S. and foreign import and export laws;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tariffs and taxes;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greater difficulty of administering business abroad.</w:t>
      </w:r>
    </w:p>
    <w:p>
      <w:pPr>
        <w:spacing w:after="0" w:line="210" w:lineRule="exact"/>
        <w:rPr>
          <w:rFonts w:ascii="Arial" w:cs="Arial" w:eastAsia="Arial" w:hAnsi="Arial"/>
          <w:sz w:val="18"/>
          <w:szCs w:val="18"/>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 w:right="160"/>
        <w:spacing w:after="0" w:line="282" w:lineRule="auto"/>
        <w:rPr>
          <w:sz w:val="20"/>
          <w:szCs w:val="20"/>
          <w:color w:val="auto"/>
        </w:rPr>
      </w:pPr>
      <w:r>
        <w:rPr>
          <w:rFonts w:ascii="Arial" w:cs="Arial" w:eastAsia="Arial" w:hAnsi="Arial"/>
          <w:sz w:val="18"/>
          <w:szCs w:val="18"/>
          <w:b w:val="1"/>
          <w:bCs w:val="1"/>
          <w:color w:val="auto"/>
        </w:rPr>
        <w:t>A significant portion of our cash position is maintained overseas and we may not be able to repatriate cash from overseas which could have an adverse effect on our financial condition.</w:t>
      </w:r>
    </w:p>
    <w:p>
      <w:pPr>
        <w:spacing w:after="0" w:line="166"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While much of our cash is in the U.S., a significant portion is generated from and maintained by our foreign operations. As of December 31, 2017, $2.5 million of our cash and cash equivalents was held by our foreign subsidiaries. Our financial condition and results of operations could be adversely impacted if we are unable to maintain a sufficient level of cash flow in the U.S. to address our cash requirements or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74" w:lineRule="exact"/>
        <w:rPr>
          <w:sz w:val="20"/>
          <w:szCs w:val="20"/>
          <w:color w:val="auto"/>
        </w:rPr>
      </w:pPr>
    </w:p>
    <w:p>
      <w:pPr>
        <w:ind w:left="340" w:right="200"/>
        <w:spacing w:after="0" w:line="282"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pacing w:after="0" w:line="166"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29"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At December 31, 2017, we leased 9 facilities worldwide. The following chart provides information regarding each of our principal facilities that we leased at December 31, 2017:</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Approx.</w:t>
            </w:r>
          </w:p>
        </w:tc>
        <w:tc>
          <w:tcPr>
            <w:tcW w:w="536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98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Lease</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Square</w:t>
            </w:r>
          </w:p>
        </w:tc>
        <w:tc>
          <w:tcPr>
            <w:tcW w:w="5360" w:type="dxa"/>
            <w:vAlign w:val="bottom"/>
          </w:tcPr>
          <w:p>
            <w:pPr>
              <w:spacing w:after="0"/>
              <w:rPr>
                <w:sz w:val="18"/>
                <w:szCs w:val="18"/>
                <w:color w:val="auto"/>
              </w:rPr>
            </w:pPr>
          </w:p>
        </w:tc>
      </w:tr>
      <w:tr>
        <w:trPr>
          <w:trHeight w:val="234"/>
        </w:trPr>
        <w:tc>
          <w:tcPr>
            <w:tcW w:w="236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Location</w:t>
            </w:r>
          </w:p>
        </w:tc>
        <w:tc>
          <w:tcPr>
            <w:tcW w:w="19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5"/>
              </w:rPr>
              <w:t>Expiration</w:t>
            </w:r>
          </w:p>
        </w:tc>
        <w:tc>
          <w:tcPr>
            <w:tcW w:w="11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Footage</w:t>
            </w:r>
          </w:p>
        </w:tc>
        <w:tc>
          <w:tcPr>
            <w:tcW w:w="5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Principal Uses</w:t>
            </w: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Mansfield, MA</w:t>
            </w:r>
          </w:p>
        </w:tc>
        <w:tc>
          <w:tcPr>
            <w:tcW w:w="19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August 2021</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52,700</w:t>
            </w: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Thermal segment operations.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Mt. Laurel, NJ</w:t>
            </w: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6"/>
              </w:rPr>
              <w:t>April 2021</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54,897</w:t>
            </w:r>
          </w:p>
        </w:tc>
        <w:tc>
          <w:tcPr>
            <w:tcW w:w="5360" w:type="dxa"/>
            <w:vAlign w:val="bottom"/>
          </w:tcPr>
          <w:p>
            <w:pPr>
              <w:ind w:left="160"/>
              <w:spacing w:after="0"/>
              <w:rPr>
                <w:sz w:val="20"/>
                <w:szCs w:val="20"/>
                <w:color w:val="auto"/>
              </w:rPr>
            </w:pPr>
            <w:r>
              <w:rPr>
                <w:rFonts w:ascii="Arial" w:cs="Arial" w:eastAsia="Arial" w:hAnsi="Arial"/>
                <w:sz w:val="18"/>
                <w:szCs w:val="18"/>
                <w:color w:val="auto"/>
              </w:rPr>
              <w:t>Corporate headquarters and EMS segment operations.</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Fremont, CA</w:t>
            </w:r>
          </w:p>
        </w:tc>
        <w:tc>
          <w:tcPr>
            <w:tcW w:w="19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October 2020</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15,746</w:t>
            </w: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EMS segment operations.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Scottsville, NY</w:t>
            </w: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6"/>
              </w:rPr>
              <w:t>April 2018</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54,869</w:t>
            </w:r>
          </w:p>
        </w:tc>
        <w:tc>
          <w:tcPr>
            <w:tcW w:w="5360" w:type="dxa"/>
            <w:vAlign w:val="bottom"/>
          </w:tcPr>
          <w:p>
            <w:pPr>
              <w:ind w:left="160"/>
              <w:spacing w:after="0"/>
              <w:rPr>
                <w:sz w:val="20"/>
                <w:szCs w:val="20"/>
                <w:color w:val="auto"/>
              </w:rPr>
            </w:pPr>
            <w:r>
              <w:rPr>
                <w:rFonts w:ascii="Arial" w:cs="Arial" w:eastAsia="Arial" w:hAnsi="Arial"/>
                <w:sz w:val="18"/>
                <w:szCs w:val="18"/>
                <w:color w:val="auto"/>
                <w:w w:val="99"/>
              </w:rPr>
              <w:t>Thermal segment operations (current principal facility for Ambrell)</w:t>
            </w: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Rochester, NY</w:t>
            </w:r>
          </w:p>
        </w:tc>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6"/>
              </w:rPr>
              <w:t>April 2028</w:t>
            </w:r>
          </w:p>
        </w:tc>
        <w:tc>
          <w:tcPr>
            <w:tcW w:w="112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0"/>
              </w:rPr>
              <w:t>79,150</w:t>
            </w:r>
          </w:p>
        </w:tc>
        <w:tc>
          <w:tcPr>
            <w:tcW w:w="5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Thermal segment operations (principal facility for Ambrell to be</w:t>
            </w:r>
          </w:p>
        </w:tc>
      </w:tr>
      <w:tr>
        <w:trPr>
          <w:trHeight w:val="230"/>
        </w:trPr>
        <w:tc>
          <w:tcPr>
            <w:tcW w:w="23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occupied May 2018)</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29" w:lineRule="exact"/>
        <w:rPr>
          <w:sz w:val="20"/>
          <w:szCs w:val="20"/>
          <w:color w:val="auto"/>
        </w:rPr>
      </w:pPr>
    </w:p>
    <w:p>
      <w:pPr>
        <w:ind w:left="340" w:right="260"/>
        <w:spacing w:after="0" w:line="342" w:lineRule="auto"/>
        <w:rPr>
          <w:sz w:val="20"/>
          <w:szCs w:val="20"/>
          <w:color w:val="auto"/>
        </w:rPr>
      </w:pPr>
      <w:r>
        <w:rPr>
          <w:rFonts w:ascii="Arial" w:cs="Arial" w:eastAsia="Arial" w:hAnsi="Arial"/>
          <w:sz w:val="16"/>
          <w:szCs w:val="16"/>
          <w:color w:val="auto"/>
        </w:rPr>
        <w:t>Our common stock is traded on NYSE American LLC (“NYSE American”) under the symbol "INTT." The following table sets forth the high and low sale prices of our common stock, as reported on the NYSE American for the periods indicated. Sale prices have been rounded to the nearest full cent.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Sales Price</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6"/>
        </w:trPr>
        <w:tc>
          <w:tcPr>
            <w:tcW w:w="580" w:type="dxa"/>
            <w:vAlign w:val="bottom"/>
          </w:tcPr>
          <w:p>
            <w:pPr>
              <w:spacing w:after="0"/>
              <w:rPr>
                <w:sz w:val="17"/>
                <w:szCs w:val="17"/>
                <w:color w:val="auto"/>
              </w:rPr>
            </w:pPr>
          </w:p>
        </w:tc>
        <w:tc>
          <w:tcPr>
            <w:tcW w:w="3040" w:type="dxa"/>
            <w:vAlign w:val="bottom"/>
            <w:gridSpan w:val="2"/>
          </w:tcPr>
          <w:p>
            <w:pPr>
              <w:spacing w:after="0" w:line="196" w:lineRule="exact"/>
              <w:rPr>
                <w:sz w:val="20"/>
                <w:szCs w:val="20"/>
                <w:color w:val="auto"/>
              </w:rPr>
            </w:pPr>
            <w:r>
              <w:rPr>
                <w:rFonts w:ascii="Arial" w:cs="Arial" w:eastAsia="Arial" w:hAnsi="Arial"/>
                <w:sz w:val="18"/>
                <w:szCs w:val="18"/>
                <w:color w:val="auto"/>
              </w:rPr>
              <w:t>2017</w:t>
            </w:r>
          </w:p>
        </w:tc>
        <w:tc>
          <w:tcPr>
            <w:tcW w:w="3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17"/>
                <w:szCs w:val="17"/>
                <w:color w:val="auto"/>
              </w:rPr>
            </w:pPr>
          </w:p>
        </w:tc>
        <w:tc>
          <w:tcPr>
            <w:tcW w:w="108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41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6.85</w:t>
            </w:r>
          </w:p>
        </w:tc>
        <w:tc>
          <w:tcPr>
            <w:tcW w:w="5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4.30</w:t>
            </w:r>
          </w:p>
        </w:tc>
        <w:tc>
          <w:tcPr>
            <w:tcW w:w="5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5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5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176"/>
        </w:trPr>
        <w:tc>
          <w:tcPr>
            <w:tcW w:w="580" w:type="dxa"/>
            <w:vAlign w:val="bottom"/>
          </w:tcPr>
          <w:p>
            <w:pPr>
              <w:spacing w:after="0"/>
              <w:rPr>
                <w:sz w:val="15"/>
                <w:szCs w:val="15"/>
                <w:color w:val="auto"/>
              </w:rPr>
            </w:pPr>
          </w:p>
        </w:tc>
        <w:tc>
          <w:tcPr>
            <w:tcW w:w="3040" w:type="dxa"/>
            <w:vAlign w:val="bottom"/>
            <w:gridSpan w:val="2"/>
          </w:tcPr>
          <w:p>
            <w:pPr>
              <w:spacing w:after="0" w:line="176" w:lineRule="exact"/>
              <w:rPr>
                <w:sz w:val="20"/>
                <w:szCs w:val="20"/>
                <w:color w:val="auto"/>
              </w:rPr>
            </w:pPr>
            <w:r>
              <w:rPr>
                <w:rFonts w:ascii="Arial" w:cs="Arial" w:eastAsia="Arial" w:hAnsi="Arial"/>
                <w:sz w:val="18"/>
                <w:szCs w:val="18"/>
                <w:color w:val="auto"/>
              </w:rPr>
              <w:t>2016</w:t>
            </w:r>
          </w:p>
        </w:tc>
        <w:tc>
          <w:tcPr>
            <w:tcW w:w="3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5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5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58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40" w:type="dxa"/>
            <w:vAlign w:val="bottom"/>
          </w:tcPr>
          <w:p>
            <w:pPr>
              <w:jc w:val="right"/>
              <w:ind w:right="1470"/>
              <w:spacing w:after="0"/>
              <w:rPr>
                <w:sz w:val="20"/>
                <w:szCs w:val="20"/>
                <w:color w:val="auto"/>
              </w:rPr>
            </w:pPr>
            <w:r>
              <w:rPr>
                <w:rFonts w:ascii="Arial" w:cs="Arial" w:eastAsia="Arial" w:hAnsi="Arial"/>
                <w:sz w:val="18"/>
                <w:szCs w:val="18"/>
                <w:color w:val="auto"/>
              </w:rPr>
              <w:t>- 18 -</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On March 16, 2018, the closing price for our common stock as reported on the NYSE American was $8.35. As of March 16, 2018, we had 10,473,558 shares outstanding that were held by approximately 1,000 beneficial and record holders.</w:t>
      </w:r>
    </w:p>
    <w:p>
      <w:pPr>
        <w:spacing w:after="0" w:line="170" w:lineRule="exact"/>
        <w:rPr>
          <w:sz w:val="20"/>
          <w:szCs w:val="20"/>
          <w:color w:val="auto"/>
        </w:rPr>
      </w:pPr>
    </w:p>
    <w:p>
      <w:pPr>
        <w:ind w:left="340" w:right="280"/>
        <w:spacing w:after="0" w:line="312" w:lineRule="auto"/>
        <w:rPr>
          <w:sz w:val="20"/>
          <w:szCs w:val="20"/>
          <w:color w:val="auto"/>
        </w:rPr>
      </w:pPr>
      <w:r>
        <w:rPr>
          <w:rFonts w:ascii="Arial" w:cs="Arial" w:eastAsia="Arial" w:hAnsi="Arial"/>
          <w:sz w:val="16"/>
          <w:szCs w:val="16"/>
          <w:color w:val="auto"/>
        </w:rPr>
        <w:t>No dividends were paid on our common stock in the years ended December 31, 2017 or 2016. We do not currently plan to pay cash dividends in the foreseeable future. Our current policy is to use any future earnings for reinvestment in the operation and expansion of our business, including possible acquisitions of other businesses, technologies or products. Payment of any future dividends will be at the discretion of our Board of Directors.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shares of our common stock repurchased by us or on our behalf during the quarter ended December 31, 2017.</w:t>
      </w:r>
    </w:p>
    <w:p>
      <w:pPr>
        <w:spacing w:after="0" w:line="200" w:lineRule="exact"/>
        <w:rPr>
          <w:sz w:val="20"/>
          <w:szCs w:val="20"/>
          <w:color w:val="auto"/>
        </w:rPr>
      </w:pPr>
    </w:p>
    <w:p>
      <w:pPr>
        <w:spacing w:after="0" w:line="241"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On October 27, 2015, our Board of Directors authorized the repurchase of up to $5.0 million of our common stock from time to time on the open market, in compliance with Rule 10b-18 under the Securities Exchange Act of 1934, or in privately negotiated transactions (the "2015 Repurchase Plan"). Repurchases may also be made under trading plans entered into with RW Baird &amp; Co. (each a "10b5-1 Plan"), which permit shares to be repurchased when we might otherwise be precluded from doing so under insider trading laws. The 2015 Repurchase Plan does not obligate us to repurchase any particular amount of common stock and may be suspended or discontinued at any time without prior notice. The 2015 Repurchase Plan is funded using our operating cash flow or available cash. The timing, price and amount of any shares repurchased under the 2015 Repurchase Plan is determined by our management, based on our evaluation of market conditions and other factors. To date, all purchases have been made in accordance with 10b5-1 Plans which provided for purchases to be made so long as the price did not exceed a maximum price. Recently, the price of our shares has exceeded the cap. Management is considering new parameters for future purchases and may enter into a new 10b5-1 Plan at some point under those new parameters. As of December 31, 2017, all of the Company’s 10b5-1 Plans had expired.</w:t>
      </w:r>
    </w:p>
    <w:p>
      <w:pPr>
        <w:spacing w:after="0" w:line="178"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During 2017 and 2016, we repurchased 13,883 and 241,805 shares under the 2015 Repurchase Plan, respectively at a cost of $62,000 and $978,000, respectively. As of December 31, 2017, we had repurchased a total of 297,020 shares at a cost of $1.2 million under the 2015 Repurchase Plan. All of the repurchased shares were retired.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340" w:right="40"/>
        <w:spacing w:after="0" w:line="312" w:lineRule="auto"/>
        <w:rPr>
          <w:sz w:val="20"/>
          <w:szCs w:val="20"/>
          <w:color w:val="auto"/>
        </w:rPr>
      </w:pPr>
      <w:r>
        <w:rPr>
          <w:rFonts w:ascii="Arial" w:cs="Arial" w:eastAsia="Arial" w:hAnsi="Arial"/>
          <w:sz w:val="16"/>
          <w:szCs w:val="16"/>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2014</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5"/>
          </w:tcPr>
          <w:p>
            <w:pPr>
              <w:jc w:val="right"/>
              <w:ind w:right="470"/>
              <w:spacing w:after="0"/>
              <w:rPr>
                <w:sz w:val="20"/>
                <w:szCs w:val="20"/>
                <w:color w:val="auto"/>
              </w:rPr>
            </w:pPr>
            <w:r>
              <w:rPr>
                <w:rFonts w:ascii="Arial" w:cs="Arial" w:eastAsia="Arial" w:hAnsi="Arial"/>
                <w:sz w:val="18"/>
                <w:szCs w:val="18"/>
                <w:color w:val="auto"/>
                <w:w w:val="93"/>
              </w:rPr>
              <w:t>(in thousands, except per share data)</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Condensed Consolidated Statement of Operations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66,801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40,227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38,889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41,796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39,426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34,690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20,378</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18,698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20,462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3,611</w:t>
            </w:r>
          </w:p>
        </w:tc>
        <w:tc>
          <w:tcPr>
            <w:tcW w:w="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4,146</w:t>
            </w: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3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4,916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2,658</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earnings per common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10,285</w:t>
            </w:r>
          </w:p>
        </w:tc>
        <w:tc>
          <w:tcPr>
            <w:tcW w:w="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10,314</w:t>
            </w: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10,473</w:t>
            </w:r>
          </w:p>
        </w:tc>
        <w:tc>
          <w:tcPr>
            <w:tcW w:w="3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10,432</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10,364</w:t>
            </w: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10,419</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w w:val="94"/>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13,290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28,611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25,710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23,126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19,018</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30,205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28,032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24,048</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62,493</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42,844</w:t>
            </w:r>
          </w:p>
        </w:tc>
        <w:tc>
          <w:tcPr>
            <w:tcW w:w="3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39,984</w:t>
            </w: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38,738</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39,288</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37,788</w:t>
            </w:r>
          </w:p>
        </w:tc>
        <w:tc>
          <w:tcPr>
            <w:tcW w:w="3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35,925</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34,368</w:t>
            </w: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31,149</w:t>
            </w:r>
          </w:p>
        </w:tc>
        <w:tc>
          <w:tcPr>
            <w:tcW w:w="82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- 19 -</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340"/>
        <w:spacing w:after="0" w:line="289"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As further discussed below, on May 24, 2017, we acquired Ambrell, which sells its products almost exclusively to customers in the industrial market, which is a non-semiconductor market. We expect that the acquisition of Ambrell will significantly reduce our dependence on customers in the semiconductor market. We expect that our future orders and net revenues will be approximately equally split between the semiconductor and non-semiconductor markets. Demand for ATE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67" w:lineRule="exact"/>
        <w:rPr>
          <w:sz w:val="20"/>
          <w:szCs w:val="20"/>
          <w:color w:val="auto"/>
        </w:rPr>
      </w:pPr>
    </w:p>
    <w:p>
      <w:pPr>
        <w:ind w:left="340" w:right="160"/>
        <w:spacing w:after="0" w:line="270" w:lineRule="auto"/>
        <w:rPr>
          <w:sz w:val="20"/>
          <w:szCs w:val="20"/>
          <w:color w:val="auto"/>
        </w:rPr>
      </w:pPr>
      <w:r>
        <w:rPr>
          <w:rFonts w:ascii="Arial" w:cs="Arial" w:eastAsia="Arial" w:hAnsi="Arial"/>
          <w:sz w:val="17"/>
          <w:szCs w:val="17"/>
          <w:color w:val="auto"/>
        </w:rPr>
        <w:t>In the past, the semiconductor market has been highly cyclical with recurring periods of oversupply, which often have a severe impact on the semiconductor market's demand for ATE, including the products we manufacture. This can cause wide fluctuations in both our orders and net revenues and, depending on our ability to react quickly to these shifts in demand, can significantly impact our results of operations. Semiconductor and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2"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340" w:right="20"/>
        <w:spacing w:after="0" w:line="312" w:lineRule="auto"/>
        <w:rPr>
          <w:sz w:val="20"/>
          <w:szCs w:val="20"/>
          <w:color w:val="auto"/>
        </w:rPr>
      </w:pPr>
      <w:r>
        <w:rPr>
          <w:rFonts w:ascii="Arial" w:cs="Arial" w:eastAsia="Arial" w:hAnsi="Arial"/>
          <w:sz w:val="16"/>
          <w:szCs w:val="16"/>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20"/>
        <w:spacing w:after="0" w:line="286" w:lineRule="auto"/>
        <w:rPr>
          <w:sz w:val="20"/>
          <w:szCs w:val="20"/>
          <w:color w:val="auto"/>
        </w:rPr>
      </w:pPr>
      <w:r>
        <w:rPr>
          <w:rFonts w:ascii="Arial" w:cs="Arial" w:eastAsia="Arial" w:hAnsi="Arial"/>
          <w:sz w:val="16"/>
          <w:szCs w:val="16"/>
          <w:color w:val="auto"/>
        </w:rPr>
        <w:t>As part of our ongoing strategy to reduce the impact of semiconductor and ATE market volatility on our business operations, we continue to diversify our served markets to address the thermal test requirements of several other markets outside the semiconductor market. These include the automotive, consumer electronics, consumer product packaging, defense/aerospace, energy, fiber optics, industrial, telecommunications and other markets. We believe that these markets usually are less cyclical than the semiconductor and ATE markets. While market share statistics exist for some of the markets we serve outside the semiconductor market, due to the nature of our highly specialized product offerings in these non-semiconductor markets, we do not expect broad market penetration in many of these markets and, therefore, do not anticipate developing meaningful market shares in these non-semiconductor markets. In addition, our orders and net revenues in any given period in these markets do not necessarily reflect the overall trends in these non-semiconductor markets due to our limited market shares. Consequently, we are continuing to evaluate buying patterns and opportunities for growth in these non-semiconductor markets that may affect our performance. The level of our orders and net revenues from these non-semiconductor markets has varied in the past, and we expect will vary significantly in the future, as we work to build our presence in these markets and establish new markets for our products. As previously mentioned, Ambrell, which we acquired in May 2017, sells its products almost exclusively to customers in the industrial market, which is one of the non-semiconductor markets we serve. We expect that the acquisition of Ambrell will significantly increase our orders and net revenues from markets outside the semiconductor market. As a result, we expect that our future orders and net revenues will be approximately equally split between the semiconductor and non-semiconductor markets.</w:t>
      </w:r>
    </w:p>
    <w:p>
      <w:pPr>
        <w:spacing w:after="0" w:line="172" w:lineRule="exact"/>
        <w:rPr>
          <w:sz w:val="20"/>
          <w:szCs w:val="20"/>
          <w:color w:val="auto"/>
        </w:rPr>
      </w:pPr>
    </w:p>
    <w:p>
      <w:pPr>
        <w:ind w:left="340" w:right="2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the products sold by EMS,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OEMs specifying other suppliers as primary vendors, with less frequent opportunities to compete for such designations, (iii) the in-house manufacturing activities of OEMs building certain products we have historically sold to them, including manipulators, docking hardware and tester interfaces,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prices to be successful in obtaining the sale or causing loss of the sale).</w:t>
      </w:r>
    </w:p>
    <w:p>
      <w:pPr>
        <w:spacing w:after="0" w:line="175" w:lineRule="exact"/>
        <w:rPr>
          <w:sz w:val="20"/>
          <w:szCs w:val="20"/>
          <w:color w:val="auto"/>
        </w:rPr>
      </w:pPr>
    </w:p>
    <w:p>
      <w:pPr>
        <w:ind w:left="340" w:right="160"/>
        <w:spacing w:after="0" w:line="273" w:lineRule="auto"/>
        <w:rPr>
          <w:sz w:val="20"/>
          <w:szCs w:val="20"/>
          <w:color w:val="auto"/>
        </w:rPr>
      </w:pPr>
      <w:r>
        <w:rPr>
          <w:rFonts w:ascii="Arial" w:cs="Arial" w:eastAsia="Arial" w:hAnsi="Arial"/>
          <w:sz w:val="17"/>
          <w:szCs w:val="17"/>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340"/>
        <w:spacing w:after="0" w:line="289" w:lineRule="auto"/>
        <w:rPr>
          <w:sz w:val="20"/>
          <w:szCs w:val="20"/>
          <w:color w:val="auto"/>
        </w:rPr>
      </w:pPr>
      <w:r>
        <w:rPr>
          <w:rFonts w:ascii="Arial" w:cs="Arial" w:eastAsia="Arial" w:hAnsi="Arial"/>
          <w:sz w:val="16"/>
          <w:szCs w:val="16"/>
          <w:color w:val="auto"/>
        </w:rPr>
        <w:t>On May 24, 2017, we completed the acquisition of Ambrell by acquiring all of its outstanding capital stock. Ambrell is a manufacturer of precision induction heating systems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This acquisition has been accounted for as a business combination using purchase accounting. The purchase price for Ambrell was $22.6 million in cash. Additional consideration in the form of earnouts may be paid based upon a multiple of adjusted EBITDA for 2017 and 2018. The 2017 and 2018 earnouts, in the aggregate, are capped at $18 million. As of December 31, 2017, we had accrued $5.4 million in 2017 earnout payable based on Ambrell’s 2017 adjusted EBITDA and $5.7 million as a contingent consideration liability based on our current projections for Ambrell’s 2018 adjusted EBITDA. For further discussion of the acquisition, see Notes 3 and 4 to our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product segment and market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43,953</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27,287</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16,666</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69,011</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45,272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23,739</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3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Semiconductor market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39,214</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31,491</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7,723</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69,011</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45,272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23,739</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spacing w:after="0" w:line="271" w:lineRule="auto"/>
        <w:rPr>
          <w:sz w:val="20"/>
          <w:szCs w:val="20"/>
          <w:color w:val="auto"/>
        </w:rPr>
      </w:pPr>
      <w:r>
        <w:rPr>
          <w:rFonts w:ascii="Arial" w:cs="Arial" w:eastAsia="Arial" w:hAnsi="Arial"/>
          <w:sz w:val="17"/>
          <w:szCs w:val="17"/>
          <w:color w:val="auto"/>
        </w:rPr>
        <w:t>Total consolidated orders for the year ended December 31, 2017 were $69.0 million compared to $45.3 million for the same period in 2016. During the year ended December 31, 2017, we recorded $14.9 million in orders attributable to Ambrell, of which $13.8 million were attributable to the industrial market, which is a non-semiconductor market. When adjusted to eliminate the impact of orders attributable to Ambrell, our consolidated orders for the year ended December 31, 2017 would have been $54.1 million and would have increased $8.8 million, or 20%, as compared to the same period in 2016. The increase reflects both strengthening in demand within the ATE market as well increased demand from customers in the telecommunications and defense/aerospace markets. The higher level of demand within the ATE market is being driven, in part, by the increasing number of ICs utilized in the automotive industry and the need to test those ICs. In addition, demand for ATE is also being driven by products which enable the Internet of Things (IoT) and the increasing number of ICs in consumer electronics and industrial applications.</w:t>
      </w:r>
    </w:p>
    <w:p>
      <w:pPr>
        <w:spacing w:after="0" w:line="179" w:lineRule="exact"/>
        <w:rPr>
          <w:sz w:val="20"/>
          <w:szCs w:val="20"/>
          <w:color w:val="auto"/>
        </w:rPr>
      </w:pPr>
    </w:p>
    <w:p>
      <w:pPr>
        <w:ind w:left="340" w:right="80"/>
        <w:spacing w:after="0" w:line="276" w:lineRule="auto"/>
        <w:rPr>
          <w:sz w:val="20"/>
          <w:szCs w:val="20"/>
          <w:color w:val="auto"/>
        </w:rPr>
      </w:pPr>
      <w:r>
        <w:rPr>
          <w:rFonts w:ascii="Arial" w:cs="Arial" w:eastAsia="Arial" w:hAnsi="Arial"/>
          <w:sz w:val="17"/>
          <w:szCs w:val="17"/>
          <w:color w:val="auto"/>
        </w:rPr>
        <w:t>When adjusted to eliminate the orders attributable to Ambrell, orders from customers in non-semiconductor markets for the year ended December 31, 2017 were $16.0 million, or 30% of total consolidated orders, compared to $13.8 million, or 30% of total consolidated orders for the same period in 2016. As previously mentioned, the increase in demand was primarily from customers in the telecommunications and, to a lesser extent, defense/aerospace markets. The level of our orders in these non-semiconductor markets has varied in the past, and we expect it will vary significantly in the future as we build our presence in these markets and establish new markets for our products.</w:t>
      </w:r>
    </w:p>
    <w:p>
      <w:pPr>
        <w:spacing w:after="0" w:line="173"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At December 31, 2017, our backlog of unfilled orders for all products was approximately $13.7 million compared with approximately $7.4 million at December 31, 2016. At December 31, 2017, our backlog included $5.5 million attributable to Ambrell. Our backlog includes customer orders which we have accepted, substantially all of which we expect to deliver in 2018.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42,233</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24,033</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18,200</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66,801</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26,574</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3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Semiconductor market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37,763</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28,045</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9,718</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66,801</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26,574</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3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97" w:lineRule="auto"/>
        <w:rPr>
          <w:sz w:val="20"/>
          <w:szCs w:val="20"/>
          <w:color w:val="auto"/>
        </w:rPr>
      </w:pPr>
      <w:r>
        <w:rPr>
          <w:rFonts w:ascii="Arial" w:cs="Arial" w:eastAsia="Arial" w:hAnsi="Arial"/>
          <w:sz w:val="16"/>
          <w:szCs w:val="16"/>
          <w:color w:val="auto"/>
        </w:rPr>
        <w:t>Total consolidated net revenues for the year ended December 31, 2017 were $66.8 million compared to $40.2 million for the same period in 2016. During the year ended December 31, 2017, we recorded $13.6 million in net revenues attributable to Ambrell, of which $13.2 million were attributable to the industrial market, which is a non-semiconductor market. When adjusted to eliminate the impact of the net revenues attributable to Ambrell, our net revenues for the year ended December 31, 2017, would have been $53.2 million and would have increased $13.0 million or 32% as compared to the same periods in 2016. The increase in net revenues primarily reflects the factors previously mentioned in Orders and Backlog.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When adjusted to eliminate the net revenues attributable to Ambrell, net revenues from customers in non-semiconductor markets for the year ended December 31, 2017 were $15.8 million, or 30% of total consolidated net revenues, compared to $12.2 million, or 30% of total consolidated net revenues for the same period in 2016. The increase in net revenues was primarily from customers in the telecommunications markets. The level of our net revenues in these non-semiconductor markets has varied in the past, and we expect it will vary significantly in the future as we build our presence in these markets and establish new markets for our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Both of our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87" w:lineRule="exact"/>
        <w:rPr>
          <w:sz w:val="20"/>
          <w:szCs w:val="20"/>
          <w:color w:val="auto"/>
        </w:rPr>
      </w:pPr>
    </w:p>
    <w:p>
      <w:pPr>
        <w:ind w:left="340" w:right="80"/>
        <w:spacing w:after="0" w:line="293"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As a result of the acquisition of Ambrell, we now also sell into the consumer products packaging, fiber optics and other markets within the broader industrial market. The mix of customers during any given period will affect our gross margin due to differing sales discounts and commissions. For the years ended December 31, 2017 and 2016, our OEM sales as a percentage of net revenues were 9% and 6%, respectively.</w:t>
      </w:r>
    </w:p>
    <w:p>
      <w:pPr>
        <w:spacing w:after="0" w:line="165" w:lineRule="exact"/>
        <w:rPr>
          <w:sz w:val="20"/>
          <w:szCs w:val="20"/>
          <w:color w:val="auto"/>
        </w:rPr>
      </w:pPr>
    </w:p>
    <w:p>
      <w:pPr>
        <w:ind w:left="340" w:right="360"/>
        <w:spacing w:after="0" w:line="257"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left="340" w:right="20"/>
        <w:spacing w:after="0" w:line="286" w:lineRule="auto"/>
        <w:rPr>
          <w:sz w:val="20"/>
          <w:szCs w:val="20"/>
          <w:color w:val="auto"/>
        </w:rPr>
      </w:pPr>
      <w:r>
        <w:rPr>
          <w:rFonts w:ascii="Arial" w:cs="Arial" w:eastAsia="Arial" w:hAnsi="Arial"/>
          <w:sz w:val="17"/>
          <w:szCs w:val="17"/>
          <w:color w:val="auto"/>
        </w:rPr>
        <w:t>The results of operations for our two product segments are generally affected by the same factors described in the Overview section above.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Year Ended December 31, 2017 Compared to Year Ended December 31, 2016</w:t>
      </w:r>
    </w:p>
    <w:p>
      <w:pPr>
        <w:spacing w:after="0" w:line="225"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$66.8 million for the year ended December 31, 2017 compared to $40.2 million for the same period in 2016,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$26.6 million or 66%. For the year ended December 31, 2017, our net revenues included $13.6 million of net revenues attributable to the aforementioned acquisition of Ambrell on May 24, 2017. When adjusted to eliminate the impact of the acquisition of Ambrell, our net revenues for the year ended December 31, 2017 would have increased $13.0 million or 32% as compared to the same period in 2016. We believe this increase reflects the factors previously discussed in the Overview.</w:t>
      </w:r>
    </w:p>
    <w:p>
      <w:pPr>
        <w:spacing w:after="0" w:line="188"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was 52% for the year ended December 31, 2017 compared to 51% for the same period in 2016. Although our fixed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costs increased $3.1 million in absolute dollar terms, they were more fully absorbed by the higher net revenue levels, resulting in the improvement in gross margin in 2017 as compared to 2016. Of the $3.1 million increase in the absolute dollar value of these costs, $2.3 million represents the fixed operating costs attributable to Ambrell. The remaining $764,000 increase in our fixed operating costs primarily reflects higher salary and benefits expense for our Thermal segment as a result of an increased use of temporary labor for operations support due to the increased order and shipment activity. To a lesser extent, both of our segments incurred higher costs for insurance premiums related to our employee benefit plans and an increase in our facility related costs in 2017 as compared to 2016.</w:t>
      </w:r>
    </w:p>
    <w:p>
      <w:pPr>
        <w:spacing w:after="0" w:line="178"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$8.1 million for the year ended December 31, 2017 compared to $5.6 million for the same period in 2016,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$2.5 million or 46%. Our expense for 2017 included $2.1 million of selling costs attributable to Ambrell. The remaining increase of $458,000 primarily reflects higher levels of commission expense reflecting the higher net revenues, and, to a lesser extent, an increase in salary and benefits expense for our Thermal segment.</w:t>
      </w:r>
    </w:p>
    <w:p>
      <w:pPr>
        <w:spacing w:after="0" w:line="187" w:lineRule="exact"/>
        <w:rPr>
          <w:sz w:val="20"/>
          <w:szCs w:val="20"/>
          <w:color w:val="auto"/>
        </w:rPr>
      </w:pPr>
    </w:p>
    <w:p>
      <w:pPr>
        <w:ind w:left="340" w:right="40"/>
        <w:spacing w:after="0" w:line="297"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$4.3 million for the year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$3.7 million for the same period in 2016, an increase of $641,000, or 18%. Our expense for 2017 included $650,000 of engineering costs attributable to Ambrell. When adjusted to eliminate this amount, engineering expense would have decreased $9,000 for 2017 as compared to same period in 2016. Decreases in spending on legal matters related to our intellectual property and lower salary and benefits expense for our EMS product segment were offset by increased spending on materials used in new product development, primarily for our Thermal segment.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40"/>
        <w:spacing w:after="0" w:line="293"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$11.7 million for the year ended December 31, 2017 compared to $7.0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2016, an increase of $4.7 million, or 67%. Our expense for 2017 included $935,000 of transaction costs related to the acquisition of Ambrell on May 24, 2017, and $3.0 million of general and administrative expense attributable to Ambrell. Ambrell’s general and administrative expense included $950,000 of amortization of intangible assets. Our expenses for 2016 included $510,000 of transaction costs related to an acquisition that did not close. When adjusted to eliminate these items, general and administrative expense would have increased $1.4 million or 21%, primarily reflecting an increase in accruals for profit-related bonuses, higher levels of professional fees and, to a lesser extent, an increase in travel costs.</w:t>
      </w:r>
    </w:p>
    <w:p>
      <w:pPr>
        <w:spacing w:after="0" w:line="165"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i w:val="1"/>
          <w:iCs w:val="1"/>
          <w:color w:val="auto"/>
        </w:rPr>
        <w:t xml:space="preserve">Contingent Consideration Liability. </w:t>
      </w:r>
      <w:r>
        <w:rPr>
          <w:rFonts w:ascii="Arial" w:cs="Arial" w:eastAsia="Arial" w:hAnsi="Arial"/>
          <w:sz w:val="18"/>
          <w:szCs w:val="18"/>
          <w:color w:val="auto"/>
        </w:rPr>
        <w:t>During the year ended December 31, 2017, we recorded an increase of $7.0 million in the fair value of our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contingent consideration. This liability is a result of the aforementioned acquisition of Ambrell in May 2017 and is discussed further in Notes 3 and 4 to our consolidated financial statements. This increase primarily reflects higher actual adjusted EBITDA for the year ended December 31, 2017 as a result of significantly higher than expected levels of net revenues in the fourth quarter of 2017 and an increase in the projected adjusted EBITDA for the year ended December 31, 2018, also as a result of current forecasts for net revenues in 2018 which exceed the amounts projected as of the acquisition date.</w:t>
      </w:r>
    </w:p>
    <w:p>
      <w:pPr>
        <w:spacing w:after="0" w:line="193"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year ended December 31, 2017, we recorded income tax expense of $2.9 million compared to $1.5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2016. Our effective tax rate was 75% for 2017 compared to 37% for 2016. On a quarterly basis, we record income tax expense or benefit based on the expected annualized effective tax rate for the various taxing jurisdictions in which we operate our businesses. The increase in our effective tax rate for 2017 primarily reflects the aforementioned adjustment to our liability for contingent consideration which is not deductible for tax purposes. In addition, our effective tax rate for 2017 reflects the impact of tax legislation enacted in December 2017 which, among other things, reduces the corporate tax rate to 21% starting in 2018 and creates a territorial tax system with a one-time mandatory transition tax on previously deferred earnings of foreign subsidiaries.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1" w:lineRule="exact"/>
        <w:rPr>
          <w:sz w:val="20"/>
          <w:szCs w:val="20"/>
          <w:color w:val="auto"/>
        </w:rPr>
      </w:pPr>
    </w:p>
    <w:p>
      <w:pPr>
        <w:ind w:left="340" w:right="4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and cash equivalents and working capital were as follows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13,290</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28,611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Working capital</w:t>
            </w: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16,580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32,950</w:t>
            </w:r>
          </w:p>
        </w:tc>
      </w:tr>
    </w:tbl>
    <w:p>
      <w:pPr>
        <w:spacing w:after="0" w:line="187" w:lineRule="exact"/>
        <w:rPr>
          <w:sz w:val="20"/>
          <w:szCs w:val="20"/>
          <w:color w:val="auto"/>
        </w:rPr>
      </w:pPr>
    </w:p>
    <w:p>
      <w:pPr>
        <w:ind w:left="340" w:right="80"/>
        <w:spacing w:after="0" w:line="273" w:lineRule="auto"/>
        <w:rPr>
          <w:sz w:val="20"/>
          <w:szCs w:val="20"/>
          <w:color w:val="auto"/>
        </w:rPr>
      </w:pPr>
      <w:r>
        <w:rPr>
          <w:rFonts w:ascii="Arial" w:cs="Arial" w:eastAsia="Arial" w:hAnsi="Arial"/>
          <w:sz w:val="17"/>
          <w:szCs w:val="17"/>
          <w:color w:val="auto"/>
        </w:rPr>
        <w:t>As of December 31, 2017, $2.5 million of our cash and cash equivalents was held by our foreign subsidiaries. We currently expect our cash and cash equivalents and projected future cash flow to be sufficient to support our short term working capital requirements, the post-acquisition integration of Ambrell, the 2017 earnout payable and potential contingent consideration payments for Ambrell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4" w:name="page25"/>
    <w:bookmarkEnd w:id="24"/>
    <w:p>
      <w:pPr>
        <w:jc w:val="center"/>
        <w:ind w:righ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340" w:right="40"/>
        <w:spacing w:after="0" w:line="28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year ended December 31, 2017 was $7.2 million. During 2017, we recorded net earnings of</w:t>
      </w:r>
      <w:r>
        <w:rPr>
          <w:rFonts w:ascii="Arial" w:cs="Arial" w:eastAsia="Arial" w:hAnsi="Arial"/>
          <w:sz w:val="16"/>
          <w:szCs w:val="16"/>
          <w:i w:val="1"/>
          <w:iCs w:val="1"/>
          <w:color w:val="auto"/>
        </w:rPr>
        <w:t xml:space="preserve"> </w:t>
      </w:r>
      <w:r>
        <w:rPr>
          <w:rFonts w:ascii="Arial" w:cs="Arial" w:eastAsia="Arial" w:hAnsi="Arial"/>
          <w:sz w:val="16"/>
          <w:szCs w:val="16"/>
          <w:color w:val="auto"/>
        </w:rPr>
        <w:t>$975,000 which included non-cash charges of $7.0 million for an increase in the fair value of our contingent consideration liability related to the acquisition of Ambrell, $1.8 million for depreciation and amortization, $344,000 for amortization of deferred compensation expense related to stock-based awards, and $251,000 as a provision for excess and obsolete inventory. We also recorded a deferred income tax benefit of $1.6 million during 2017 primarily as a result of tax legislation enacted in December 2017. Approximately $950,000 of our amortization expense was related to the intangible assets acquired as part of the acquisition of Ambrell in May 2017, which is discussed further in the Overview and Note 3 to our consolidated financial statements. When adjusted to eliminate the assets and liabilities purchased in the acquisition of Ambrell, accounts receivable increased $3.0 million during 2017, reflecting the increased business activity, while accounts payable decreased $756,000, primarily reflecting the timing of payments to vendors. During 2017, accrued wages and benefits increased $512,000 as a result of higher levels of accruals for profit-related bonuses and domestic and foreign income taxes payable increased $586,000 as a result of higher levels of taxable income during 2017.</w:t>
      </w:r>
    </w:p>
    <w:p>
      <w:pPr>
        <w:spacing w:after="0" w:line="169"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2017, we completed the acquisition of Ambrell for $22.0 million, net of cash acquired, as discussed in further detail in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Overview and Note 3 to our consolidated financial statements. During 2017, purchases of property and equipment were $745,000. We currently plan to spend approximately $2.1 million on leasehold improvements for a new facility for Ambrell in Rochester, New York. We expect to spend these funds during the first half of 2018 and expect to take occupancy on May 1, 2018. We have received grants from the State of New York and the City of Rochester for up to $550,000 in project cost reimbursements and $350,000 in refundable tax credits. The grants are dependent upon Ambrell maintaining and creating jobs locally during the five years following acceptance of the grants and will be provided to us once the tenant improvements have been completed, minimum full time employment targets are met and appropriate certifications are made. The refundable tax credits also have requirements related to maintaining and creating jobs locally for the period from June 2019 through January 1, 2029. We have no other significant commitments for capital expenditures for 2018; however, depending upon changes in market demand or manufacturing and sales strategies, we may make such purchases or investments as we deem necessary and appropriate.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2017, we utilized $62,000 to repurchase 13,883 shares of our common stock under the 2015 Repurchase Plan.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ind w:left="340" w:right="40"/>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2017 and 2016, we recorded inventory obsolescence charges for excess and obsolete inventory of $251,000 and $226,000, respectively.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340" w:right="120"/>
        <w:spacing w:after="0" w:line="290"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As of December 31, 2017 and 2016, goodwill was $13.7 million and $1.7 million, respectively. We did not record any impairment charges related to our goodwill during 2017 or 2016.</w:t>
      </w:r>
    </w:p>
    <w:p>
      <w:pPr>
        <w:spacing w:after="0" w:line="188" w:lineRule="exact"/>
        <w:rPr>
          <w:sz w:val="20"/>
          <w:szCs w:val="20"/>
          <w:color w:val="auto"/>
        </w:rPr>
      </w:pPr>
    </w:p>
    <w:p>
      <w:pPr>
        <w:ind w:left="340" w:right="160"/>
        <w:spacing w:after="0" w:line="290" w:lineRule="auto"/>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As of December 31, 2017 and 2016, our indefinite-lived intangible assets were trademarks carried at $6.7 million and $510,000, respectively. We did not record any impairment charges related to our indefinite-lived intangible assets during 2017 or 2016.</w:t>
      </w:r>
    </w:p>
    <w:p>
      <w:pPr>
        <w:spacing w:after="0" w:line="166" w:lineRule="exact"/>
        <w:rPr>
          <w:sz w:val="20"/>
          <w:szCs w:val="20"/>
          <w:color w:val="auto"/>
        </w:rPr>
      </w:pPr>
    </w:p>
    <w:p>
      <w:pPr>
        <w:ind w:left="340" w:right="60"/>
        <w:spacing w:after="0" w:line="293"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2017 and 2016, finite-lived intangibles and long-lived assets were $10.8 million and $1.3 million, respectively. We did not record any impairment charges related to our long-lived assets during 2017 or 2016.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Contingent Consideration Liability</w:t>
      </w:r>
    </w:p>
    <w:p>
      <w:pPr>
        <w:spacing w:after="0" w:line="225"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The contingent consideration liability on our balance sheet is accounted for in accordance with the guidance in ASC 820 (Fair Value Measurement). ASC 820 establishes a fair value hierarchy for instruments measured at fair value that distinguishes between assumptions based on market data (observable inputs) and our own assumptions (unobservable inputs). Our contingent consideration liability is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w:t>
      </w:r>
    </w:p>
    <w:p>
      <w:pPr>
        <w:spacing w:after="0" w:line="193" w:lineRule="exact"/>
        <w:rPr>
          <w:sz w:val="20"/>
          <w:szCs w:val="20"/>
          <w:color w:val="auto"/>
        </w:rPr>
      </w:pPr>
    </w:p>
    <w:p>
      <w:pPr>
        <w:ind w:left="340" w:right="40"/>
        <w:spacing w:after="0" w:line="270" w:lineRule="auto"/>
        <w:rPr>
          <w:sz w:val="20"/>
          <w:szCs w:val="20"/>
          <w:color w:val="auto"/>
        </w:rPr>
      </w:pPr>
      <w:r>
        <w:rPr>
          <w:rFonts w:ascii="Arial" w:cs="Arial" w:eastAsia="Arial" w:hAnsi="Arial"/>
          <w:sz w:val="17"/>
          <w:szCs w:val="17"/>
          <w:color w:val="auto"/>
        </w:rPr>
        <w:t>Our contingent consideration liability is a result of our acquisition of Ambrell on May 24, 2017, and it represents the estimated fair value of the additional cash consideration payable that is contingent upon the achievement of certain financial results by Ambrell in 2018, as discussed more fully in Note 3. The fair value of this Level 3 instrument involves generating various scenarios for projected adjusted EBITDA over a specified time period, calculating the associated contingent consideration payments and discounting the average payments to present value. During the second half of 2017, we recorded a $7.0 million increase in the fair value of our contingent consideration liability. These increases primarily reflect higher actual adjusted EBITDA for the year ended December 31, 2017 as a result of significantly higher than expected levels of net revenues and EBITDA in the fourth quarter of 2017 and an increase in the projected adjusted EBITDA for the year ended December 31, 2018, also as a result of current forecasts for net revenues in 2018 which exceed the amounts projected as of the acquisition date. As of December 31, 2017, the contingent consideration liability on our balance sheet for the 2018 earnout was $5.7 million.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2017, we had a net deferred tax liability of $3.0 million. As of December 31, 2016, we had a net deferred tax asset of $1.1 million. Our deferred tax valuation allowance at December 31, 2017 and 2016 was $370,000 and $0, respectively.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ind w:left="340" w:right="280"/>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2017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340" w:right="160"/>
        <w:spacing w:after="0" w:line="270" w:lineRule="auto"/>
        <w:rPr>
          <w:sz w:val="20"/>
          <w:szCs w:val="20"/>
          <w:color w:val="auto"/>
        </w:rPr>
      </w:pPr>
      <w:r>
        <w:rPr>
          <w:rFonts w:ascii="Arial" w:cs="Arial" w:eastAsia="Arial" w:hAnsi="Arial"/>
          <w:sz w:val="17"/>
          <w:szCs w:val="17"/>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4" w:lineRule="exact"/>
        <w:rPr>
          <w:sz w:val="20"/>
          <w:szCs w:val="20"/>
          <w:color w:val="auto"/>
        </w:rPr>
      </w:pPr>
    </w:p>
    <w:p>
      <w:pPr>
        <w:jc w:val="both"/>
        <w:ind w:left="340" w:right="200"/>
        <w:spacing w:after="0" w:line="261"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340" w:right="360"/>
        <w:spacing w:after="0" w:line="264"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left="340" w:right="420"/>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58"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48" w:lineRule="exact"/>
        <w:rPr>
          <w:rFonts w:ascii="Arial" w:cs="Arial" w:eastAsia="Arial" w:hAnsi="Arial"/>
          <w:sz w:val="16"/>
          <w:szCs w:val="16"/>
          <w:color w:val="auto"/>
        </w:rPr>
      </w:pPr>
    </w:p>
    <w:p>
      <w:pPr>
        <w:ind w:left="1300" w:right="140" w:hanging="320"/>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left="340" w:right="520"/>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2017.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2017, our internal control over financial reporting is effective at a reasonable assurance level.</w:t>
      </w:r>
    </w:p>
    <w:p>
      <w:pPr>
        <w:spacing w:after="0" w:line="187"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as such an attestation is not required pursuant to rules of the SEC applicable to smaller reporting companies.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 * * * * * * * * * * * * * *</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2018 Annual Meeting of Stockholders to be filed with the SEC on or before April 30, 2018, or, if our proxy statement is not filed on or before April 30, 2018, will be filed by that date by an amendment to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2018 Annual Meeting of Stockholders to be filed with the SEC on or before April 30, 2018, or, if our proxy statement is not filed on or before April 30, 2018, will be filed by that date by an amendment to this Form 10-K.</w:t>
      </w:r>
    </w:p>
    <w:p>
      <w:pPr>
        <w:spacing w:after="0" w:line="17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340" w:right="60"/>
        <w:spacing w:after="0" w:line="286" w:lineRule="auto"/>
        <w:rPr>
          <w:sz w:val="20"/>
          <w:szCs w:val="20"/>
          <w:color w:val="auto"/>
        </w:rPr>
      </w:pPr>
      <w:r>
        <w:rPr>
          <w:rFonts w:ascii="Arial" w:cs="Arial" w:eastAsia="Arial" w:hAnsi="Arial"/>
          <w:sz w:val="17"/>
          <w:szCs w:val="17"/>
          <w:color w:val="auto"/>
        </w:rPr>
        <w:t>The information required by Item 201(d) of Regulation S-K is set forth below. The remainder of the information required by this Item 12 is incorporated by reference from our definitive proxy statement for our 2018 Annual Meeting of Stockholders to be filed with the SEC on or before April 30, 2018, or, if our proxy statement is not filed on or before April 30, 2018, will be filed by that date by an amendment to this Form 10-K.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2017:</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60" w:type="dxa"/>
            <w:vAlign w:val="bottom"/>
            <w:gridSpan w:val="3"/>
          </w:tcPr>
          <w:p>
            <w:pPr>
              <w:ind w:left="3840"/>
              <w:spacing w:after="0"/>
              <w:rPr>
                <w:sz w:val="20"/>
                <w:szCs w:val="20"/>
                <w:color w:val="auto"/>
              </w:rPr>
            </w:pPr>
            <w:r>
              <w:rPr>
                <w:rFonts w:ascii="Arial" w:cs="Arial" w:eastAsia="Arial" w:hAnsi="Arial"/>
                <w:sz w:val="18"/>
                <w:szCs w:val="18"/>
                <w:b w:val="1"/>
                <w:bCs w:val="1"/>
                <w:color w:val="auto"/>
              </w:rPr>
              <w:t>Equity Compensation Plan Information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74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21"/>
        </w:trPr>
        <w:tc>
          <w:tcPr>
            <w:tcW w:w="574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to be issued upon</w:t>
            </w:r>
          </w:p>
        </w:tc>
        <w:tc>
          <w:tcPr>
            <w:tcW w:w="120" w:type="dxa"/>
            <w:vAlign w:val="bottom"/>
          </w:tcPr>
          <w:p>
            <w:pPr>
              <w:spacing w:after="0"/>
              <w:rPr>
                <w:sz w:val="19"/>
                <w:szCs w:val="19"/>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5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exercise price of</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5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options,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5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warrants and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r>
      <w:tr>
        <w:trPr>
          <w:trHeight w:val="27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1620" w:type="dxa"/>
            <w:vAlign w:val="bottom"/>
            <w:tcBorders>
              <w:bottom w:val="single" w:sz="8" w:color="auto"/>
            </w:tcBorders>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85"/>
              </w:rPr>
              <w:t>rights</w:t>
            </w:r>
            <w:r>
              <w:rPr>
                <w:rFonts w:ascii="Arial" w:cs="Arial" w:eastAsia="Arial" w:hAnsi="Arial"/>
                <w:sz w:val="30"/>
                <w:szCs w:val="30"/>
                <w:b w:val="1"/>
                <w:bCs w:val="1"/>
                <w:color w:val="auto"/>
                <w:w w:val="85"/>
                <w:vertAlign w:val="superscript"/>
              </w:rPr>
              <w:t>(1)</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rights</w:t>
            </w:r>
          </w:p>
        </w:tc>
        <w:tc>
          <w:tcPr>
            <w:tcW w:w="152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3"/>
              </w:rPr>
              <w:t>plans</w:t>
            </w:r>
            <w:r>
              <w:rPr>
                <w:rFonts w:ascii="Arial" w:cs="Arial" w:eastAsia="Arial" w:hAnsi="Arial"/>
                <w:sz w:val="30"/>
                <w:szCs w:val="30"/>
                <w:b w:val="1"/>
                <w:bCs w:val="1"/>
                <w:color w:val="auto"/>
                <w:w w:val="83"/>
                <w:vertAlign w:val="superscript"/>
              </w:rPr>
              <w:t>(2)</w:t>
            </w:r>
          </w:p>
        </w:tc>
        <w:tc>
          <w:tcPr>
            <w:tcW w:w="100" w:type="dxa"/>
            <w:vAlign w:val="bottom"/>
          </w:tcPr>
          <w:p>
            <w:pPr>
              <w:spacing w:after="0"/>
              <w:rPr>
                <w:sz w:val="23"/>
                <w:szCs w:val="23"/>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345,200</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1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securities that may be issued are shares of inTEST common stock, issuable upon exercise of outstanding stock options.</w:t>
      </w:r>
    </w:p>
    <w:p>
      <w:pPr>
        <w:spacing w:after="0" w:line="28" w:lineRule="exact"/>
        <w:rPr>
          <w:rFonts w:ascii="Arial" w:cs="Arial" w:eastAsia="Arial" w:hAnsi="Arial"/>
          <w:sz w:val="30"/>
          <w:szCs w:val="30"/>
          <w:color w:val="auto"/>
          <w:vertAlign w:val="superscript"/>
        </w:rPr>
      </w:pPr>
    </w:p>
    <w:p>
      <w:pPr>
        <w:ind w:left="660" w:hanging="328"/>
        <w:spacing w:after="0" w:line="186"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securities that remain available for future issuance are issuable pursuant to the 2014 Stock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2018 Annual Meeting of Stockholders to be filed with the SEC on or before April 30, 2018, or, if our proxy statement is not filed on or before April 30, 2018, will be filed by that date by an amendment to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2018 Annual Meeting of Stockholders to be filed with the SEC on or before April 30, 2018, or, if our proxy statement is not filed on or before April 30, 2018, will be filed by that date by an amendment to this Form 10-K.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760" w:hanging="42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225" w:lineRule="exact"/>
        <w:rPr>
          <w:rFonts w:ascii="Arial" w:cs="Arial" w:eastAsia="Arial" w:hAnsi="Arial"/>
          <w:sz w:val="18"/>
          <w:szCs w:val="18"/>
          <w:color w:val="auto"/>
        </w:rPr>
      </w:pPr>
    </w:p>
    <w:p>
      <w:pPr>
        <w:ind w:left="660" w:hanging="4"/>
        <w:spacing w:after="0" w:line="258" w:lineRule="auto"/>
        <w:tabs>
          <w:tab w:leader="none" w:pos="10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spacing w:after="0" w:line="1" w:lineRule="exact"/>
        <w:rPr>
          <w:rFonts w:ascii="Arial" w:cs="Arial" w:eastAsia="Arial" w:hAnsi="Arial"/>
          <w:sz w:val="18"/>
          <w:szCs w:val="18"/>
          <w:color w:val="auto"/>
        </w:rPr>
      </w:pPr>
    </w:p>
    <w:p>
      <w:pPr>
        <w:ind w:left="660" w:right="140" w:hanging="4"/>
        <w:spacing w:after="0" w:line="250"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financial statement schedule should be read in conjunction with the consolidated financial statements set forth in Part II, Item 8 of this Annual Report on Form 10-K:</w:t>
      </w:r>
    </w:p>
    <w:p>
      <w:pPr>
        <w:ind w:left="138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8"/>
          <w:szCs w:val="18"/>
          <w:color w:val="auto"/>
        </w:rPr>
      </w:pPr>
    </w:p>
    <w:p>
      <w:pPr>
        <w:ind w:left="1060" w:hanging="404"/>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210" w:lineRule="exact"/>
        <w:rPr>
          <w:rFonts w:ascii="Arial" w:cs="Arial" w:eastAsia="Arial" w:hAnsi="Arial"/>
          <w:sz w:val="18"/>
          <w:szCs w:val="18"/>
          <w:color w:val="auto"/>
        </w:rPr>
      </w:pPr>
    </w:p>
    <w:p>
      <w:pPr>
        <w:ind w:left="760" w:hanging="42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22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preceding the signature page, which Exhibit Index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40" w:type="dxa"/>
            <w:vAlign w:val="bottom"/>
            <w:gridSpan w:val="17"/>
          </w:tcPr>
          <w:p>
            <w:pPr>
              <w:spacing w:after="0"/>
              <w:rPr>
                <w:sz w:val="20"/>
                <w:szCs w:val="20"/>
                <w:color w:val="auto"/>
              </w:rPr>
            </w:pPr>
            <w:r>
              <w:rPr>
                <w:rFonts w:ascii="Arial" w:cs="Arial" w:eastAsia="Arial" w:hAnsi="Arial"/>
                <w:sz w:val="18"/>
                <w:szCs w:val="18"/>
                <w:b w:val="1"/>
                <w:bCs w:val="1"/>
                <w:color w:val="auto"/>
              </w:rPr>
              <w:t>Index to Exhibits</w:t>
            </w:r>
          </w:p>
        </w:tc>
      </w:tr>
      <w:tr>
        <w:trPr>
          <w:trHeight w:val="86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9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380" w:type="dxa"/>
            <w:vAlign w:val="bottom"/>
            <w:gridSpan w:val="28"/>
          </w:tcPr>
          <w:p>
            <w:pPr>
              <w:spacing w:after="0" w:line="194" w:lineRule="exact"/>
              <w:rPr>
                <w:sz w:val="20"/>
                <w:szCs w:val="20"/>
                <w:color w:val="auto"/>
              </w:rPr>
            </w:pPr>
            <w:r>
              <w:rPr>
                <w:rFonts w:ascii="Arial" w:cs="Arial" w:eastAsia="Arial" w:hAnsi="Arial"/>
                <w:sz w:val="18"/>
                <w:szCs w:val="18"/>
                <w:b w:val="1"/>
                <w:bCs w:val="1"/>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w w:val="93"/>
              </w:rPr>
            </w:pPr>
            <w:hyperlink r:id="rId34">
              <w:r>
                <w:rPr>
                  <w:rFonts w:ascii="Arial" w:cs="Arial" w:eastAsia="Arial" w:hAnsi="Arial"/>
                  <w:sz w:val="18"/>
                  <w:szCs w:val="18"/>
                  <w:color w:val="0000EE"/>
                  <w:w w:val="93"/>
                </w:rPr>
                <w:t>Stock Purchase Agreement among Ambrell Holdings, LLC, Ambrell Corporation, Graycliff Private Equity Partners III LP, Hudson River Co-</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Investment Fund II LP and inTEST Corporation dated as of May 24, 2017 (1)</w:t>
              </w:r>
            </w:hyperlink>
          </w:p>
        </w:tc>
        <w:tc>
          <w:tcPr>
            <w:tcW w:w="60" w:type="dxa"/>
            <w:vAlign w:val="bottom"/>
          </w:tcPr>
          <w:p>
            <w:pPr>
              <w:spacing w:after="0"/>
              <w:rPr>
                <w:sz w:val="17"/>
                <w:szCs w:val="17"/>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Certificate of Incorporation. (2)</w:t>
              </w:r>
            </w:hyperlink>
          </w:p>
        </w:tc>
        <w:tc>
          <w:tcPr>
            <w:tcW w:w="4660" w:type="dxa"/>
            <w:vAlign w:val="bottom"/>
            <w:gridSpan w:val="14"/>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36">
              <w:r>
                <w:rPr>
                  <w:rFonts w:ascii="Arial" w:cs="Arial" w:eastAsia="Arial" w:hAnsi="Arial"/>
                  <w:sz w:val="18"/>
                  <w:szCs w:val="18"/>
                  <w:color w:val="0000EE"/>
                  <w:w w:val="88"/>
                </w:rPr>
                <w:t>Bylaws as amended on June 23, 2014. (3)</w:t>
              </w:r>
            </w:hyperlink>
          </w:p>
        </w:tc>
        <w:tc>
          <w:tcPr>
            <w:tcW w:w="7240" w:type="dxa"/>
            <w:vAlign w:val="bottom"/>
            <w:gridSpan w:val="2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Lease Agreement between Exeter 804 East Gate, LLC and the Company dated May 10, 2010. (4)</w:t>
              </w:r>
            </w:hyperlink>
          </w:p>
        </w:tc>
        <w:tc>
          <w:tcPr>
            <w:tcW w:w="3240" w:type="dxa"/>
            <w:vAlign w:val="bottom"/>
            <w:gridSpan w:val="13"/>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w w:val="93"/>
              </w:rPr>
            </w:pPr>
            <w:hyperlink r:id="rId38">
              <w:r>
                <w:rPr>
                  <w:rFonts w:ascii="Arial" w:cs="Arial" w:eastAsia="Arial" w:hAnsi="Arial"/>
                  <w:sz w:val="18"/>
                  <w:szCs w:val="18"/>
                  <w:color w:val="0000EE"/>
                  <w:w w:val="93"/>
                </w:rPr>
                <w:t>Lease Agreement between AMB-SGP Seattle/Boston, LLC and Temptronic Corporation (a subsidiary of the Company), dated October 25,</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8">
              <w:r>
                <w:rPr>
                  <w:rFonts w:ascii="Arial" w:cs="Arial" w:eastAsia="Arial" w:hAnsi="Arial"/>
                  <w:sz w:val="18"/>
                  <w:szCs w:val="18"/>
                  <w:color w:val="0000EE"/>
                  <w:w w:val="88"/>
                </w:rPr>
                <w:t>2010. (5)</w:t>
              </w:r>
            </w:hyperlink>
          </w:p>
        </w:tc>
        <w:tc>
          <w:tcPr>
            <w:tcW w:w="9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Lease Agreement between Columbia California Warm Springs Industrial, LLC and inTEST Silicon Valley Corporation dated January 9, 2012.</w:t>
              </w:r>
            </w:hyperlink>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(6)</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First Amendment to Lease Agreement between Columbia California Warm Springs Industrial, LLC and inTEST Silicon Valley Corporation</w:t>
              </w:r>
            </w:hyperlink>
          </w:p>
        </w:tc>
        <w:tc>
          <w:tcPr>
            <w:tcW w:w="18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dated November 18, 2016. (7)</w:t>
              </w:r>
            </w:hyperlink>
          </w:p>
        </w:tc>
        <w:tc>
          <w:tcPr>
            <w:tcW w:w="8080" w:type="dxa"/>
            <w:vAlign w:val="bottom"/>
            <w:gridSpan w:val="23"/>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w w:val="96"/>
              </w:rPr>
            </w:pPr>
            <w:hyperlink r:id="rId41">
              <w:r>
                <w:rPr>
                  <w:rFonts w:ascii="Arial" w:cs="Arial" w:eastAsia="Arial" w:hAnsi="Arial"/>
                  <w:sz w:val="18"/>
                  <w:szCs w:val="18"/>
                  <w:color w:val="0000EE"/>
                  <w:w w:val="96"/>
                </w:rPr>
                <w:t>Guaranty Agreements between Columbia California Warm Springs Industrial, LLC and inTEST Corporation dated January 9, 2012. (6)</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Lease Agreement between Maguire Family Properties, Inc. and Ambrell Corporation dated December 19, 2017 (8)</w:t>
              </w:r>
            </w:hyperlink>
          </w:p>
        </w:tc>
        <w:tc>
          <w:tcPr>
            <w:tcW w:w="500" w:type="dxa"/>
            <w:vAlign w:val="bottom"/>
            <w:gridSpan w:val="4"/>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Guaranty of Lease between Maguire Family Properties, Inc. and Ambrell Corporation dated December 19, 2017 (8)</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r:id="rId44">
              <w:r>
                <w:rPr>
                  <w:rFonts w:ascii="Arial" w:cs="Arial" w:eastAsia="Arial" w:hAnsi="Arial"/>
                  <w:sz w:val="18"/>
                  <w:szCs w:val="18"/>
                  <w:color w:val="0000EE"/>
                  <w:w w:val="94"/>
                </w:rPr>
                <w:t>Form of Indemnification Agreement (9)(*)</w:t>
              </w:r>
            </w:hyperlink>
          </w:p>
        </w:tc>
        <w:tc>
          <w:tcPr>
            <w:tcW w:w="5240" w:type="dxa"/>
            <w:vAlign w:val="bottom"/>
            <w:tcBorders>
              <w:top w:val="single" w:sz="8" w:color="0000EE"/>
            </w:tcBorders>
            <w:gridSpan w:val="11"/>
          </w:tcPr>
          <w:p>
            <w:pPr>
              <w:spacing w:after="0"/>
              <w:rPr>
                <w:sz w:val="17"/>
                <w:szCs w:val="17"/>
                <w:color w:val="auto"/>
              </w:rPr>
            </w:pPr>
          </w:p>
        </w:tc>
        <w:tc>
          <w:tcPr>
            <w:tcW w:w="1920" w:type="dxa"/>
            <w:vAlign w:val="bottom"/>
            <w:gridSpan w:val="8"/>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inTEST Corporation 2014 Stock Plan (*)</w:t>
              </w:r>
            </w:hyperlink>
          </w:p>
        </w:tc>
        <w:tc>
          <w:tcPr>
            <w:tcW w:w="7280" w:type="dxa"/>
            <w:vAlign w:val="bottom"/>
            <w:gridSpan w:val="21"/>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inTEST Corporation 2007 Stock Plan. (*)</w:t>
              </w:r>
            </w:hyperlink>
          </w:p>
        </w:tc>
        <w:tc>
          <w:tcPr>
            <w:tcW w:w="7240" w:type="dxa"/>
            <w:vAlign w:val="bottom"/>
            <w:gridSpan w:val="2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Form of Restricted Stock Award Agreement. (10)(*)</w:t>
              </w:r>
            </w:hyperlink>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Borders>
              <w:right w:val="single" w:sz="8" w:color="0000EE"/>
            </w:tcBorders>
            <w:gridSpan w:val="9"/>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46">
              <w:r>
                <w:rPr>
                  <w:rFonts w:ascii="Arial" w:cs="Arial" w:eastAsia="Arial" w:hAnsi="Arial"/>
                  <w:sz w:val="18"/>
                  <w:szCs w:val="18"/>
                  <w:color w:val="0000EE"/>
                  <w:w w:val="93"/>
                </w:rPr>
                <w:t>Form of Non-Qualified Stock Option Agreement. (10)(*)</w:t>
              </w:r>
            </w:hyperlink>
          </w:p>
        </w:tc>
        <w:tc>
          <w:tcPr>
            <w:tcW w:w="6120" w:type="dxa"/>
            <w:vAlign w:val="bottom"/>
            <w:gridSpan w:val="1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Form of Incentive Stock Option Agreement. (10)(*)</w:t>
              </w:r>
            </w:hyperlink>
          </w:p>
        </w:tc>
        <w:tc>
          <w:tcPr>
            <w:tcW w:w="6480" w:type="dxa"/>
            <w:vAlign w:val="bottom"/>
            <w:gridSpan w:val="18"/>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Change of Control Agreement dated August 27, 2007 between the Company and Robert E. Matthiessen. (11)(*)</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6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Change of Control Agreement dated August 27, 2007 between the Company and Hugh T. Regan, Jr. (11)(*)</w:t>
              </w:r>
            </w:hyperlink>
          </w:p>
        </w:tc>
        <w:tc>
          <w:tcPr>
            <w:tcW w:w="2200" w:type="dxa"/>
            <w:vAlign w:val="bottom"/>
            <w:gridSpan w:val="1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Borders>
              <w:top w:val="single" w:sz="8" w:color="0000EE"/>
            </w:tcBorders>
            <w:gridSpan w:val="16"/>
          </w:tcPr>
          <w:p>
            <w:pPr>
              <w:spacing w:after="0" w:line="196" w:lineRule="exact"/>
              <w:rPr>
                <w:rFonts w:ascii="Arial" w:cs="Arial" w:eastAsia="Arial" w:hAnsi="Arial"/>
                <w:sz w:val="18"/>
                <w:szCs w:val="18"/>
                <w:color w:val="0000EE"/>
                <w:w w:val="98"/>
              </w:rPr>
            </w:pPr>
            <w:hyperlink r:id="rId50">
              <w:r>
                <w:rPr>
                  <w:rFonts w:ascii="Arial" w:cs="Arial" w:eastAsia="Arial" w:hAnsi="Arial"/>
                  <w:sz w:val="18"/>
                  <w:szCs w:val="18"/>
                  <w:color w:val="0000EE"/>
                  <w:w w:val="98"/>
                </w:rPr>
                <w:t>Change of Control Agreement dated May 5, 2008 between the Company and James Pelrin. (12)(*)</w:t>
              </w:r>
            </w:hyperlink>
          </w:p>
        </w:tc>
        <w:tc>
          <w:tcPr>
            <w:tcW w:w="2500" w:type="dxa"/>
            <w:vAlign w:val="bottom"/>
            <w:gridSpan w:val="1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1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Amendment to Change of Control Agreement dated December 31, 2008 between the Company and Robert E. Matthiessen. (13)(*)</w:t>
              </w:r>
            </w:hyperlink>
          </w:p>
        </w:tc>
        <w:tc>
          <w:tcPr>
            <w:tcW w:w="840" w:type="dxa"/>
            <w:vAlign w:val="bottom"/>
            <w:gridSpan w:val="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Amendment to Change of Control Agreement dated December 31, 2008 between the Company and Hugh T. Regan, Jr. (13)(*)</w:t>
              </w:r>
            </w:hyperlink>
          </w:p>
        </w:tc>
        <w:tc>
          <w:tcPr>
            <w:tcW w:w="1140" w:type="dxa"/>
            <w:vAlign w:val="bottom"/>
            <w:gridSpan w:val="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Amendment to Change of Control Agreement dated December 31, 2008 between the Company and James Pelrin. (13)(*)</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Compensatory Arrangements of Executive Officers and Directors. (*)(14)</w:t>
              </w:r>
            </w:hyperlink>
          </w:p>
        </w:tc>
        <w:tc>
          <w:tcPr>
            <w:tcW w:w="3380" w:type="dxa"/>
            <w:vAlign w:val="bottom"/>
            <w:tcBorders>
              <w:top w:val="single" w:sz="8" w:color="0000EE"/>
            </w:tcBorders>
            <w:gridSpan w:val="8"/>
          </w:tcPr>
          <w:p>
            <w:pPr>
              <w:spacing w:after="0"/>
              <w:rPr>
                <w:sz w:val="17"/>
                <w:szCs w:val="17"/>
                <w:color w:val="auto"/>
              </w:rPr>
            </w:pPr>
          </w:p>
        </w:tc>
        <w:tc>
          <w:tcPr>
            <w:tcW w:w="1540" w:type="dxa"/>
            <w:vAlign w:val="bottom"/>
            <w:gridSpan w:val="7"/>
          </w:tcPr>
          <w:p>
            <w:pPr>
              <w:spacing w:after="0"/>
              <w:rPr>
                <w:sz w:val="17"/>
                <w:szCs w:val="17"/>
                <w:color w:val="auto"/>
              </w:rPr>
            </w:pPr>
          </w:p>
        </w:tc>
      </w:tr>
    </w:tbl>
    <w:p>
      <w:pPr>
        <w:spacing w:after="0" w:line="13" w:lineRule="exact"/>
        <w:rPr>
          <w:sz w:val="20"/>
          <w:szCs w:val="20"/>
          <w:color w:val="auto"/>
        </w:rPr>
      </w:pPr>
    </w:p>
    <w:p>
      <w:pPr>
        <w:ind w:left="1040" w:hanging="1032"/>
        <w:spacing w:after="0"/>
        <w:tabs>
          <w:tab w:leader="none" w:pos="1040" w:val="left"/>
        </w:tabs>
        <w:numPr>
          <w:ilvl w:val="0"/>
          <w:numId w:val="12"/>
        </w:numPr>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Code of Ethics. (15)</w:t>
        </w:r>
      </w:hyperlink>
    </w:p>
    <w:p>
      <w:pPr>
        <w:spacing w:after="0" w:line="23" w:lineRule="exact"/>
        <w:rPr>
          <w:sz w:val="20"/>
          <w:szCs w:val="20"/>
          <w:color w:val="auto"/>
        </w:rPr>
      </w:pPr>
    </w:p>
    <w:p>
      <w:pPr>
        <w:ind w:left="1040" w:hanging="1032"/>
        <w:spacing w:after="0"/>
        <w:tabs>
          <w:tab w:leader="none" w:pos="1040" w:val="left"/>
        </w:tabs>
        <w:numPr>
          <w:ilvl w:val="0"/>
          <w:numId w:val="13"/>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Subsidiaries of the Company.</w:t>
        </w:r>
      </w:hyperlink>
    </w:p>
    <w:p>
      <w:pPr>
        <w:spacing w:after="0" w:line="9" w:lineRule="exact"/>
        <w:rPr>
          <w:sz w:val="20"/>
          <w:szCs w:val="20"/>
          <w:color w:val="auto"/>
        </w:rPr>
      </w:pPr>
    </w:p>
    <w:p>
      <w:pPr>
        <w:ind w:left="1040" w:hanging="1032"/>
        <w:spacing w:after="0"/>
        <w:tabs>
          <w:tab w:leader="none" w:pos="1040" w:val="left"/>
        </w:tabs>
        <w:numPr>
          <w:ilvl w:val="0"/>
          <w:numId w:val="14"/>
        </w:numPr>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Consent of RSM US LLP.</w:t>
        </w:r>
      </w:hyperlink>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line="185" w:lineRule="exact"/>
              <w:rPr>
                <w:sz w:val="20"/>
                <w:szCs w:val="20"/>
                <w:color w:val="auto"/>
              </w:rPr>
            </w:pPr>
            <w:r>
              <w:rPr>
                <w:rFonts w:ascii="Arial" w:cs="Arial" w:eastAsia="Arial" w:hAnsi="Arial"/>
                <w:sz w:val="18"/>
                <w:szCs w:val="18"/>
                <w:color w:val="auto"/>
              </w:rPr>
              <w:t>31.1</w:t>
            </w:r>
          </w:p>
        </w:tc>
        <w:tc>
          <w:tcPr>
            <w:tcW w:w="10380" w:type="dxa"/>
            <w:vAlign w:val="bottom"/>
            <w:gridSpan w:val="5"/>
          </w:tcPr>
          <w:p>
            <w:pPr>
              <w:spacing w:after="0" w:line="185" w:lineRule="exact"/>
              <w:rPr>
                <w:rFonts w:ascii="Arial" w:cs="Arial" w:eastAsia="Arial" w:hAnsi="Arial"/>
                <w:sz w:val="18"/>
                <w:szCs w:val="18"/>
                <w:color w:val="0000EE"/>
              </w:rPr>
            </w:pPr>
            <w:hyperlink w:anchor="page83">
              <w:r>
                <w:rPr>
                  <w:rFonts w:ascii="Arial" w:cs="Arial" w:eastAsia="Arial" w:hAnsi="Arial"/>
                  <w:sz w:val="18"/>
                  <w:szCs w:val="18"/>
                  <w:color w:val="0000EE"/>
                </w:rPr>
                <w:t>Certification of Chief Executive Officer pursuant to Rule 13a-14(a).</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17"/>
                <w:szCs w:val="17"/>
                <w:color w:val="auto"/>
              </w:rPr>
            </w:pPr>
          </w:p>
        </w:tc>
        <w:tc>
          <w:tcPr>
            <w:tcW w:w="5480" w:type="dxa"/>
            <w:vAlign w:val="bottom"/>
            <w:gridSpan w:val="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2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Certification of Chief Executive Officer pursuant to Section 906 of the Sarbanes-Oxley Act of 2002.</w:t>
              </w:r>
            </w:hyperlink>
          </w:p>
        </w:tc>
        <w:tc>
          <w:tcPr>
            <w:tcW w:w="314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80" w:type="dxa"/>
            <w:vAlign w:val="bottom"/>
            <w:gridSpan w:val="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Certification of Chief Financial Officer pursuant to Section 906 of the Sarbanes-Oxley Act of 2002.</w:t>
              </w:r>
            </w:hyperlink>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71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Taxonomy Instance Document</w:t>
            </w:r>
          </w:p>
        </w:tc>
        <w:tc>
          <w:tcPr>
            <w:tcW w:w="3200" w:type="dxa"/>
            <w:vAlign w:val="bottom"/>
            <w:gridSpan w:val="2"/>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40" w:type="dxa"/>
            <w:vAlign w:val="bottom"/>
          </w:tcPr>
          <w:p>
            <w:pPr>
              <w:spacing w:after="0"/>
              <w:rPr>
                <w:sz w:val="24"/>
                <w:szCs w:val="24"/>
                <w:color w:val="auto"/>
              </w:rPr>
            </w:pPr>
          </w:p>
        </w:tc>
        <w:tc>
          <w:tcPr>
            <w:tcW w:w="4900" w:type="dxa"/>
            <w:vAlign w:val="bottom"/>
            <w:gridSpan w:val="2"/>
          </w:tcPr>
          <w:p>
            <w:pPr>
              <w:ind w:left="4480"/>
              <w:spacing w:after="0"/>
              <w:rPr>
                <w:sz w:val="20"/>
                <w:szCs w:val="20"/>
                <w:color w:val="auto"/>
              </w:rPr>
            </w:pPr>
            <w:r>
              <w:rPr>
                <w:rFonts w:ascii="Arial" w:cs="Arial" w:eastAsia="Arial" w:hAnsi="Arial"/>
                <w:sz w:val="18"/>
                <w:szCs w:val="18"/>
                <w:color w:val="auto"/>
                <w:w w:val="95"/>
              </w:rPr>
              <w:t>- 30 -</w:t>
            </w: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27" w:lineRule="exact"/>
        <w:rPr>
          <w:sz w:val="20"/>
          <w:szCs w:val="20"/>
          <w:color w:val="auto"/>
        </w:rPr>
      </w:pPr>
    </w:p>
    <w:p>
      <w:pPr>
        <w:ind w:left="620" w:right="260" w:hanging="612"/>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24, 2017, File No. 001-36117, filed May 24, 2017, and incorporated herein by reference.</w:t>
      </w:r>
    </w:p>
    <w:p>
      <w:pPr>
        <w:spacing w:after="0" w:line="1" w:lineRule="exact"/>
        <w:rPr>
          <w:rFonts w:ascii="Arial" w:cs="Arial" w:eastAsia="Arial" w:hAnsi="Arial"/>
          <w:sz w:val="18"/>
          <w:szCs w:val="18"/>
          <w:color w:val="auto"/>
        </w:rPr>
      </w:pPr>
    </w:p>
    <w:p>
      <w:pPr>
        <w:ind w:left="620" w:right="34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ind w:left="6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23, 2014, File No. 001-36117, filed June 25, 2014, and incorporated herein by reference.</w:t>
      </w:r>
    </w:p>
    <w:p>
      <w:pPr>
        <w:ind w:left="6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10, 2010, File No. 000-22529, filed May 13, 2010, and incorporated herein by reference.</w:t>
      </w:r>
    </w:p>
    <w:p>
      <w:pPr>
        <w:ind w:left="620" w:right="40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27, 2010, File No. 000-22529, filed October 29, 2010, and incorporated herein by reference.</w:t>
      </w:r>
    </w:p>
    <w:p>
      <w:pPr>
        <w:ind w:left="620" w:right="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2012, File No. 000-22529, filed May 15, 2012, and incorporated herein by reference.</w:t>
      </w:r>
    </w:p>
    <w:p>
      <w:pPr>
        <w:ind w:left="620" w:right="2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November 18, 2016, File No. 001-36117, filed November 22, 2016, and incorporated herein by reference.</w:t>
      </w:r>
    </w:p>
    <w:p>
      <w:pPr>
        <w:ind w:left="620" w:right="2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19, 2017, File No. 001-36117, filed December 22, 2017, and incorporated herein by reference.</w:t>
      </w:r>
    </w:p>
    <w:p>
      <w:pPr>
        <w:ind w:left="620" w:right="48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 2017, File No. 001-36117, filed October 6, 2017, and incorporated herein by reference.</w:t>
      </w:r>
    </w:p>
    <w:p>
      <w:pPr>
        <w:ind w:left="620" w:right="2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2016, File No. 001-36117, filed May 13, 2016, and incorporated herein by reference.</w:t>
      </w:r>
    </w:p>
    <w:p>
      <w:pPr>
        <w:ind w:left="620" w:right="8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ind w:left="620" w:right="24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ind w:left="620" w:right="24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ind w:left="620" w:right="8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exhibit were previously filed on the Company's Current Report on Form 8-K dated March 12, 2018, File No. 001-36117, filed March 15, 2018, and incorporated herein by reference.</w:t>
      </w:r>
    </w:p>
    <w:p>
      <w:pPr>
        <w:ind w:left="620" w:right="240" w:hanging="612"/>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2016, File No. 001-36117, filed August 12, 2016, and incorporated herein by reference.</w:t>
      </w:r>
    </w:p>
    <w:p>
      <w:pPr>
        <w:spacing w:after="0" w:line="1"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10" w:lineRule="exact"/>
        <w:rPr>
          <w:rFonts w:ascii="Arial" w:cs="Arial" w:eastAsia="Arial" w:hAnsi="Arial"/>
          <w:sz w:val="18"/>
          <w:szCs w:val="18"/>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sz w:val="20"/>
                <w:szCs w:val="20"/>
                <w:color w:val="auto"/>
              </w:rPr>
            </w:pPr>
            <w:r>
              <w:rPr>
                <w:rFonts w:ascii="Arial" w:cs="Arial" w:eastAsia="Arial" w:hAnsi="Arial"/>
                <w:sz w:val="18"/>
                <w:szCs w:val="18"/>
                <w:color w:val="auto"/>
              </w:rPr>
              <w:t>By:/s/ James Pelrin</w:t>
            </w:r>
          </w:p>
        </w:tc>
        <w:tc>
          <w:tcPr>
            <w:tcW w:w="1160" w:type="dxa"/>
            <w:vAlign w:val="bottom"/>
          </w:tcPr>
          <w:p>
            <w:pPr>
              <w:spacing w:after="0"/>
              <w:rPr>
                <w:sz w:val="20"/>
                <w:szCs w:val="20"/>
                <w:color w:val="auto"/>
              </w:rPr>
            </w:pPr>
            <w:r>
              <w:rPr>
                <w:rFonts w:ascii="Arial" w:cs="Arial" w:eastAsia="Arial" w:hAnsi="Arial"/>
                <w:sz w:val="18"/>
                <w:szCs w:val="18"/>
                <w:color w:val="auto"/>
                <w:w w:val="91"/>
              </w:rPr>
              <w:t>March 28, 2018</w:t>
            </w:r>
          </w:p>
        </w:tc>
      </w:tr>
      <w:tr>
        <w:trPr>
          <w:trHeight w:val="222"/>
        </w:trPr>
        <w:tc>
          <w:tcPr>
            <w:tcW w:w="28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Pelrin</w:t>
            </w:r>
          </w:p>
        </w:tc>
        <w:tc>
          <w:tcPr>
            <w:tcW w:w="48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1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James Pelrin</w:t>
            </w:r>
          </w:p>
        </w:tc>
        <w:tc>
          <w:tcPr>
            <w:tcW w:w="2960" w:type="dxa"/>
            <w:vAlign w:val="bottom"/>
            <w:gridSpan w:val="6"/>
          </w:tcPr>
          <w:p>
            <w:pPr>
              <w:spacing w:after="0"/>
              <w:rPr>
                <w:sz w:val="17"/>
                <w:szCs w:val="17"/>
                <w:color w:val="auto"/>
              </w:rPr>
            </w:pPr>
          </w:p>
        </w:tc>
        <w:tc>
          <w:tcPr>
            <w:tcW w:w="218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28, 2018</w:t>
            </w:r>
          </w:p>
        </w:tc>
        <w:tc>
          <w:tcPr>
            <w:tcW w:w="3980" w:type="dxa"/>
            <w:vAlign w:val="bottom"/>
          </w:tcPr>
          <w:p>
            <w:pPr>
              <w:spacing w:after="0"/>
              <w:rPr>
                <w:sz w:val="17"/>
                <w:szCs w:val="17"/>
                <w:color w:val="auto"/>
              </w:rPr>
            </w:pPr>
          </w:p>
        </w:tc>
      </w:tr>
      <w:tr>
        <w:trPr>
          <w:trHeight w:val="222"/>
        </w:trPr>
        <w:tc>
          <w:tcPr>
            <w:tcW w:w="4100" w:type="dxa"/>
            <w:vAlign w:val="bottom"/>
            <w:gridSpan w:val="7"/>
          </w:tcPr>
          <w:p>
            <w:pPr>
              <w:spacing w:after="0"/>
              <w:rPr>
                <w:sz w:val="20"/>
                <w:szCs w:val="20"/>
                <w:color w:val="auto"/>
              </w:rPr>
            </w:pPr>
            <w:r>
              <w:rPr>
                <w:rFonts w:ascii="Arial" w:cs="Arial" w:eastAsia="Arial" w:hAnsi="Arial"/>
                <w:sz w:val="18"/>
                <w:szCs w:val="18"/>
                <w:color w:val="auto"/>
              </w:rPr>
              <w:t>James Pelrin, President,</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16"/>
        </w:trPr>
        <w:tc>
          <w:tcPr>
            <w:tcW w:w="4100" w:type="dxa"/>
            <w:vAlign w:val="bottom"/>
            <w:gridSpan w:val="7"/>
          </w:tcPr>
          <w:p>
            <w:pPr>
              <w:spacing w:after="0"/>
              <w:rPr>
                <w:sz w:val="20"/>
                <w:szCs w:val="20"/>
                <w:color w:val="auto"/>
              </w:rPr>
            </w:pPr>
            <w:r>
              <w:rPr>
                <w:rFonts w:ascii="Arial" w:cs="Arial" w:eastAsia="Arial" w:hAnsi="Arial"/>
                <w:sz w:val="18"/>
                <w:szCs w:val="18"/>
                <w:color w:val="auto"/>
              </w:rPr>
              <w:t>Chief Executive Officer and Director</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4100" w:type="dxa"/>
            <w:vAlign w:val="bottom"/>
            <w:gridSpan w:val="7"/>
          </w:tcPr>
          <w:p>
            <w:pPr>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608"/>
        </w:trPr>
        <w:tc>
          <w:tcPr>
            <w:tcW w:w="4100" w:type="dxa"/>
            <w:vAlign w:val="bottom"/>
            <w:gridSpan w:val="7"/>
          </w:tcPr>
          <w:p>
            <w:pPr>
              <w:spacing w:after="0"/>
              <w:rPr>
                <w:sz w:val="20"/>
                <w:szCs w:val="20"/>
                <w:color w:val="auto"/>
              </w:rPr>
            </w:pPr>
            <w:r>
              <w:rPr>
                <w:rFonts w:ascii="Arial" w:cs="Arial" w:eastAsia="Arial" w:hAnsi="Arial"/>
                <w:sz w:val="18"/>
                <w:szCs w:val="18"/>
                <w:color w:val="auto"/>
              </w:rPr>
              <w:t>/s/ Hugh T. Regan, Jr.</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28, 2018</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2"/>
        </w:trPr>
        <w:tc>
          <w:tcPr>
            <w:tcW w:w="4100" w:type="dxa"/>
            <w:vAlign w:val="bottom"/>
            <w:gridSpan w:val="7"/>
          </w:tcPr>
          <w:p>
            <w:pPr>
              <w:spacing w:after="0"/>
              <w:rPr>
                <w:sz w:val="20"/>
                <w:szCs w:val="20"/>
                <w:color w:val="auto"/>
              </w:rPr>
            </w:pPr>
            <w:r>
              <w:rPr>
                <w:rFonts w:ascii="Arial" w:cs="Arial" w:eastAsia="Arial" w:hAnsi="Arial"/>
                <w:sz w:val="18"/>
                <w:szCs w:val="18"/>
                <w:color w:val="auto"/>
              </w:rPr>
              <w:t>Hugh T. Regan, Jr., Treasurer, Chief</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16"/>
        </w:trPr>
        <w:tc>
          <w:tcPr>
            <w:tcW w:w="4100" w:type="dxa"/>
            <w:vAlign w:val="bottom"/>
            <w:gridSpan w:val="7"/>
          </w:tcPr>
          <w:p>
            <w:pPr>
              <w:spacing w:after="0"/>
              <w:rPr>
                <w:sz w:val="20"/>
                <w:szCs w:val="20"/>
                <w:color w:val="auto"/>
              </w:rPr>
            </w:pPr>
            <w:r>
              <w:rPr>
                <w:rFonts w:ascii="Arial" w:cs="Arial" w:eastAsia="Arial" w:hAnsi="Arial"/>
                <w:sz w:val="18"/>
                <w:szCs w:val="18"/>
                <w:color w:val="auto"/>
              </w:rPr>
              <w:t>Financial Officer and Secretary</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4100" w:type="dxa"/>
            <w:vAlign w:val="bottom"/>
            <w:gridSpan w:val="7"/>
          </w:tcPr>
          <w:p>
            <w:pPr>
              <w:spacing w:after="0"/>
              <w:rPr>
                <w:sz w:val="20"/>
                <w:szCs w:val="20"/>
                <w:color w:val="auto"/>
              </w:rPr>
            </w:pPr>
            <w:r>
              <w:rPr>
                <w:rFonts w:ascii="Arial" w:cs="Arial" w:eastAsia="Arial" w:hAnsi="Arial"/>
                <w:sz w:val="18"/>
                <w:szCs w:val="18"/>
                <w:color w:val="auto"/>
              </w:rPr>
              <w:t>(Principal Financial Officer)</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608"/>
        </w:trPr>
        <w:tc>
          <w:tcPr>
            <w:tcW w:w="4100" w:type="dxa"/>
            <w:vAlign w:val="bottom"/>
            <w:gridSpan w:val="7"/>
          </w:tcPr>
          <w:p>
            <w:pPr>
              <w:spacing w:after="0"/>
              <w:rPr>
                <w:sz w:val="20"/>
                <w:szCs w:val="20"/>
                <w:color w:val="auto"/>
              </w:rPr>
            </w:pPr>
            <w:r>
              <w:rPr>
                <w:rFonts w:ascii="Arial" w:cs="Arial" w:eastAsia="Arial" w:hAnsi="Arial"/>
                <w:sz w:val="18"/>
                <w:szCs w:val="18"/>
                <w:color w:val="auto"/>
              </w:rPr>
              <w:t>/s/ Robert E. Matthiessen</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28, 2018</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7"/>
        </w:trPr>
        <w:tc>
          <w:tcPr>
            <w:tcW w:w="4100" w:type="dxa"/>
            <w:vAlign w:val="bottom"/>
            <w:gridSpan w:val="7"/>
          </w:tcPr>
          <w:p>
            <w:pPr>
              <w:spacing w:after="0"/>
              <w:rPr>
                <w:sz w:val="20"/>
                <w:szCs w:val="20"/>
                <w:color w:val="auto"/>
              </w:rPr>
            </w:pPr>
            <w:r>
              <w:rPr>
                <w:rFonts w:ascii="Arial" w:cs="Arial" w:eastAsia="Arial" w:hAnsi="Arial"/>
                <w:sz w:val="18"/>
                <w:szCs w:val="18"/>
                <w:color w:val="auto"/>
              </w:rPr>
              <w:t>Robert E. Matthiessen, Chairman</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608"/>
        </w:trPr>
        <w:tc>
          <w:tcPr>
            <w:tcW w:w="4100" w:type="dxa"/>
            <w:vAlign w:val="bottom"/>
            <w:gridSpan w:val="7"/>
          </w:tcPr>
          <w:p>
            <w:pPr>
              <w:spacing w:after="0"/>
              <w:rPr>
                <w:sz w:val="20"/>
                <w:szCs w:val="20"/>
                <w:color w:val="auto"/>
              </w:rPr>
            </w:pPr>
            <w:r>
              <w:rPr>
                <w:rFonts w:ascii="Arial" w:cs="Arial" w:eastAsia="Arial" w:hAnsi="Arial"/>
                <w:sz w:val="18"/>
                <w:szCs w:val="18"/>
                <w:color w:val="auto"/>
              </w:rPr>
              <w:t>/s/ Steven J. Abrams</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28, 2018</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7"/>
        </w:trPr>
        <w:tc>
          <w:tcPr>
            <w:tcW w:w="4100" w:type="dxa"/>
            <w:vAlign w:val="bottom"/>
            <w:gridSpan w:val="7"/>
          </w:tcPr>
          <w:p>
            <w:pPr>
              <w:spacing w:after="0"/>
              <w:rPr>
                <w:sz w:val="20"/>
                <w:szCs w:val="20"/>
                <w:color w:val="auto"/>
              </w:rPr>
            </w:pPr>
            <w:r>
              <w:rPr>
                <w:rFonts w:ascii="Arial" w:cs="Arial" w:eastAsia="Arial" w:hAnsi="Arial"/>
                <w:sz w:val="18"/>
                <w:szCs w:val="18"/>
                <w:color w:val="auto"/>
              </w:rPr>
              <w:t>Steven J. Abrams, Esq., Director</w:t>
            </w: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608"/>
        </w:trPr>
        <w:tc>
          <w:tcPr>
            <w:tcW w:w="4100" w:type="dxa"/>
            <w:vAlign w:val="bottom"/>
            <w:gridSpan w:val="7"/>
          </w:tcPr>
          <w:p>
            <w:pPr>
              <w:spacing w:after="0"/>
              <w:rPr>
                <w:sz w:val="20"/>
                <w:szCs w:val="20"/>
                <w:color w:val="auto"/>
              </w:rPr>
            </w:pPr>
            <w:r>
              <w:rPr>
                <w:rFonts w:ascii="Arial" w:cs="Arial" w:eastAsia="Arial" w:hAnsi="Arial"/>
                <w:sz w:val="18"/>
                <w:szCs w:val="18"/>
                <w:color w:val="auto"/>
              </w:rPr>
              <w:t>/s/ Joseph W. Dews IV</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28, 2018</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37"/>
        </w:trPr>
        <w:tc>
          <w:tcPr>
            <w:tcW w:w="4100" w:type="dxa"/>
            <w:vAlign w:val="bottom"/>
            <w:gridSpan w:val="7"/>
          </w:tcPr>
          <w:p>
            <w:pPr>
              <w:spacing w:after="0"/>
              <w:rPr>
                <w:sz w:val="20"/>
                <w:szCs w:val="20"/>
                <w:color w:val="auto"/>
              </w:rPr>
            </w:pPr>
            <w:r>
              <w:rPr>
                <w:rFonts w:ascii="Arial" w:cs="Arial" w:eastAsia="Arial" w:hAnsi="Arial"/>
                <w:sz w:val="18"/>
                <w:szCs w:val="18"/>
                <w:color w:val="auto"/>
              </w:rPr>
              <w:t>Joseph W. Dews IV, Director</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608"/>
        </w:trPr>
        <w:tc>
          <w:tcPr>
            <w:tcW w:w="4100" w:type="dxa"/>
            <w:vAlign w:val="bottom"/>
            <w:gridSpan w:val="7"/>
          </w:tcPr>
          <w:p>
            <w:pPr>
              <w:spacing w:after="0"/>
              <w:rPr>
                <w:sz w:val="20"/>
                <w:szCs w:val="20"/>
                <w:color w:val="auto"/>
              </w:rPr>
            </w:pPr>
            <w:r>
              <w:rPr>
                <w:rFonts w:ascii="Arial" w:cs="Arial" w:eastAsia="Arial" w:hAnsi="Arial"/>
                <w:sz w:val="18"/>
                <w:szCs w:val="18"/>
                <w:color w:val="auto"/>
              </w:rPr>
              <w:t>/s/ William Kraut</w:t>
            </w:r>
          </w:p>
        </w:tc>
        <w:tc>
          <w:tcPr>
            <w:tcW w:w="2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March 28, 2018</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37"/>
        </w:trPr>
        <w:tc>
          <w:tcPr>
            <w:tcW w:w="4100" w:type="dxa"/>
            <w:vAlign w:val="bottom"/>
            <w:gridSpan w:val="7"/>
          </w:tcPr>
          <w:p>
            <w:pPr>
              <w:spacing w:after="0"/>
              <w:rPr>
                <w:sz w:val="20"/>
                <w:szCs w:val="20"/>
                <w:color w:val="auto"/>
              </w:rPr>
            </w:pPr>
            <w:r>
              <w:rPr>
                <w:rFonts w:ascii="Arial" w:cs="Arial" w:eastAsia="Arial" w:hAnsi="Arial"/>
                <w:sz w:val="18"/>
                <w:szCs w:val="18"/>
                <w:color w:val="auto"/>
              </w:rPr>
              <w:t>William Kraut, Director</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59"/>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- 32 -</w:t>
            </w:r>
          </w:p>
        </w:tc>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7"/>
          </w:tcPr>
          <w:p>
            <w:pPr>
              <w:jc w:val="center"/>
              <w:ind w:right="1660"/>
              <w:spacing w:after="0"/>
              <w:rPr>
                <w:sz w:val="20"/>
                <w:szCs w:val="20"/>
                <w:color w:val="auto"/>
              </w:rPr>
            </w:pPr>
            <w:r>
              <w:rPr>
                <w:rFonts w:ascii="Arial" w:cs="Arial" w:eastAsia="Arial" w:hAnsi="Arial"/>
                <w:sz w:val="18"/>
                <w:szCs w:val="18"/>
                <w:b w:val="1"/>
                <w:bCs w:val="1"/>
                <w:color w:val="auto"/>
                <w:w w:val="99"/>
              </w:rPr>
              <w:t>inTEST CORPORATION</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9220" w:type="dxa"/>
            <w:vAlign w:val="bottom"/>
            <w:gridSpan w:val="9"/>
          </w:tcPr>
          <w:p>
            <w:pPr>
              <w:jc w:val="center"/>
              <w:ind w:left="1770"/>
              <w:spacing w:after="0"/>
              <w:rPr>
                <w:sz w:val="20"/>
                <w:szCs w:val="20"/>
                <w:color w:val="auto"/>
              </w:rPr>
            </w:pPr>
            <w:r>
              <w:rPr>
                <w:rFonts w:ascii="Arial" w:cs="Arial" w:eastAsia="Arial" w:hAnsi="Arial"/>
                <w:sz w:val="18"/>
                <w:szCs w:val="18"/>
                <w:b w:val="1"/>
                <w:bCs w:val="1"/>
                <w:color w:val="auto"/>
              </w:rPr>
              <w:t>INDEX TO CONSOLIDATED FINANCIAL STATEMENTS AND</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7"/>
          </w:tcPr>
          <w:p>
            <w:pPr>
              <w:jc w:val="center"/>
              <w:ind w:right="1640"/>
              <w:spacing w:after="0"/>
              <w:rPr>
                <w:sz w:val="20"/>
                <w:szCs w:val="20"/>
                <w:color w:val="auto"/>
              </w:rPr>
            </w:pPr>
            <w:r>
              <w:rPr>
                <w:rFonts w:ascii="Arial" w:cs="Arial" w:eastAsia="Arial" w:hAnsi="Arial"/>
                <w:sz w:val="18"/>
                <w:szCs w:val="18"/>
                <w:b w:val="1"/>
                <w:bCs w:val="1"/>
                <w:color w:val="auto"/>
              </w:rPr>
              <w:t>FINANCIAL STATEMENT SCHEDULE</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3"/>
              </w:rPr>
              <w:t>Page</w:t>
            </w:r>
          </w:p>
        </w:tc>
      </w:tr>
      <w:tr>
        <w:trPr>
          <w:trHeight w:val="412"/>
        </w:trPr>
        <w:tc>
          <w:tcPr>
            <w:tcW w:w="9400" w:type="dxa"/>
            <w:vAlign w:val="bottom"/>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116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 - 1</w:t>
            </w:r>
          </w:p>
        </w:tc>
        <w:tc>
          <w:tcPr>
            <w:tcW w:w="500" w:type="dxa"/>
            <w:vAlign w:val="bottom"/>
          </w:tcPr>
          <w:p>
            <w:pPr>
              <w:spacing w:after="0"/>
              <w:rPr>
                <w:sz w:val="24"/>
                <w:szCs w:val="24"/>
                <w:color w:val="auto"/>
              </w:rPr>
            </w:pPr>
          </w:p>
        </w:tc>
      </w:tr>
      <w:tr>
        <w:trPr>
          <w:trHeight w:val="453"/>
        </w:trPr>
        <w:tc>
          <w:tcPr>
            <w:tcW w:w="58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3600" w:type="dxa"/>
            <w:vAlign w:val="bottom"/>
            <w:gridSpan w:val="5"/>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46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Balance Sheets as of December 31, 2017 and 2016</w:t>
              </w:r>
            </w:hyperlink>
          </w:p>
        </w:tc>
        <w:tc>
          <w:tcPr>
            <w:tcW w:w="458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 - 2</w:t>
            </w:r>
          </w:p>
        </w:tc>
      </w:tr>
      <w:tr>
        <w:trPr>
          <w:trHeight w:val="412"/>
        </w:trPr>
        <w:tc>
          <w:tcPr>
            <w:tcW w:w="180" w:type="dxa"/>
            <w:vAlign w:val="bottom"/>
          </w:tcPr>
          <w:p>
            <w:pPr>
              <w:spacing w:after="0"/>
              <w:rPr>
                <w:sz w:val="24"/>
                <w:szCs w:val="24"/>
                <w:color w:val="auto"/>
              </w:rPr>
            </w:pPr>
          </w:p>
        </w:tc>
        <w:tc>
          <w:tcPr>
            <w:tcW w:w="64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Statements of Operations for the years ended December 31, 2017 and 2016</w:t>
              </w:r>
            </w:hyperlink>
          </w:p>
        </w:tc>
        <w:tc>
          <w:tcPr>
            <w:tcW w:w="2820" w:type="dxa"/>
            <w:vAlign w:val="bottom"/>
            <w:gridSpan w:val="4"/>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 - 3</w:t>
            </w:r>
          </w:p>
        </w:tc>
      </w:tr>
      <w:tr>
        <w:trPr>
          <w:trHeight w:val="412"/>
        </w:trPr>
        <w:tc>
          <w:tcPr>
            <w:tcW w:w="180" w:type="dxa"/>
            <w:vAlign w:val="bottom"/>
          </w:tcPr>
          <w:p>
            <w:pPr>
              <w:spacing w:after="0"/>
              <w:rPr>
                <w:sz w:val="24"/>
                <w:szCs w:val="24"/>
                <w:color w:val="auto"/>
              </w:rPr>
            </w:pPr>
          </w:p>
        </w:tc>
        <w:tc>
          <w:tcPr>
            <w:tcW w:w="74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Statements of Comprehensive Earnings for the years ended December 31, 2017 and 2016</w:t>
              </w:r>
            </w:hyperlink>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 - 4</w:t>
            </w:r>
          </w:p>
        </w:tc>
      </w:tr>
      <w:tr>
        <w:trPr>
          <w:trHeight w:val="412"/>
        </w:trPr>
        <w:tc>
          <w:tcPr>
            <w:tcW w:w="1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Statements of Stockholders' Equity for the years ended December 31, 2017 and 2016</w:t>
              </w:r>
            </w:hyperlink>
          </w:p>
        </w:tc>
        <w:tc>
          <w:tcPr>
            <w:tcW w:w="1160" w:type="dxa"/>
            <w:vAlign w:val="bottom"/>
          </w:tcPr>
          <w:p>
            <w:pPr>
              <w:spacing w:after="0"/>
              <w:rPr>
                <w:sz w:val="24"/>
                <w:szCs w:val="2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 - 5</w:t>
            </w:r>
          </w:p>
        </w:tc>
      </w:tr>
      <w:tr>
        <w:trPr>
          <w:trHeight w:val="412"/>
        </w:trPr>
        <w:tc>
          <w:tcPr>
            <w:tcW w:w="180" w:type="dxa"/>
            <w:vAlign w:val="bottom"/>
          </w:tcPr>
          <w:p>
            <w:pPr>
              <w:spacing w:after="0"/>
              <w:rPr>
                <w:sz w:val="24"/>
                <w:szCs w:val="24"/>
                <w:color w:val="auto"/>
              </w:rPr>
            </w:pPr>
          </w:p>
        </w:tc>
        <w:tc>
          <w:tcPr>
            <w:tcW w:w="7100" w:type="dxa"/>
            <w:vAlign w:val="bottom"/>
            <w:tcBorders>
              <w:top w:val="single" w:sz="8" w:color="0000EE"/>
            </w:tcBorders>
            <w:gridSpan w:val="7"/>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Consolidated Statements of Cash Flows for the years ended December 31, 2017 and 2016</w:t>
              </w:r>
            </w:hyperlink>
          </w:p>
        </w:tc>
        <w:tc>
          <w:tcPr>
            <w:tcW w:w="212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F -6</w:t>
            </w:r>
          </w:p>
        </w:tc>
      </w:tr>
      <w:tr>
        <w:trPr>
          <w:trHeight w:val="412"/>
        </w:trPr>
        <w:tc>
          <w:tcPr>
            <w:tcW w:w="180" w:type="dxa"/>
            <w:vAlign w:val="bottom"/>
          </w:tcPr>
          <w:p>
            <w:pPr>
              <w:spacing w:after="0"/>
              <w:rPr>
                <w:sz w:val="24"/>
                <w:szCs w:val="24"/>
                <w:color w:val="auto"/>
              </w:rPr>
            </w:pPr>
          </w:p>
        </w:tc>
        <w:tc>
          <w:tcPr>
            <w:tcW w:w="314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gridSpan w:val="5"/>
          </w:tcPr>
          <w:p>
            <w:pPr>
              <w:spacing w:after="0"/>
              <w:rPr>
                <w:sz w:val="24"/>
                <w:szCs w:val="24"/>
                <w:color w:val="auto"/>
              </w:rPr>
            </w:pPr>
          </w:p>
        </w:tc>
        <w:tc>
          <w:tcPr>
            <w:tcW w:w="2780" w:type="dxa"/>
            <w:vAlign w:val="bottom"/>
            <w:gridSpan w:val="3"/>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 - 7</w:t>
            </w:r>
          </w:p>
        </w:tc>
      </w:tr>
      <w:tr>
        <w:trPr>
          <w:trHeight w:val="453"/>
        </w:trPr>
        <w:tc>
          <w:tcPr>
            <w:tcW w:w="9400" w:type="dxa"/>
            <w:vAlign w:val="bottom"/>
            <w:gridSpan w:val="10"/>
          </w:tcPr>
          <w:p>
            <w:pPr>
              <w:spacing w:after="0"/>
              <w:rPr>
                <w:sz w:val="20"/>
                <w:szCs w:val="20"/>
                <w:color w:val="auto"/>
              </w:rPr>
            </w:pPr>
            <w:r>
              <w:rPr>
                <w:rFonts w:ascii="Arial" w:cs="Arial" w:eastAsia="Arial" w:hAnsi="Arial"/>
                <w:sz w:val="18"/>
                <w:szCs w:val="18"/>
                <w:color w:val="auto"/>
              </w:rPr>
              <w:t>FINANCIAL STATEMENT SCHEDULE</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922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Schedule II - Valuation and Qualifying Accounts</w:t>
              </w:r>
            </w:hyperlink>
          </w:p>
        </w:tc>
        <w:tc>
          <w:tcPr>
            <w:tcW w:w="202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F - 25</w:t>
            </w:r>
          </w:p>
        </w:tc>
      </w:tr>
      <w:tr>
        <w:trPr>
          <w:trHeight w:val="453"/>
        </w:trPr>
        <w:tc>
          <w:tcPr>
            <w:tcW w:w="180" w:type="dxa"/>
            <w:vAlign w:val="bottom"/>
          </w:tcPr>
          <w:p>
            <w:pPr>
              <w:spacing w:after="0"/>
              <w:rPr>
                <w:sz w:val="24"/>
                <w:szCs w:val="24"/>
                <w:color w:val="auto"/>
              </w:rPr>
            </w:pPr>
          </w:p>
        </w:tc>
        <w:tc>
          <w:tcPr>
            <w:tcW w:w="3500" w:type="dxa"/>
            <w:vAlign w:val="bottom"/>
            <w:tcBorders>
              <w:top w:val="single" w:sz="8" w:color="0000EE"/>
            </w:tcBorders>
            <w:gridSpan w:val="2"/>
          </w:tcPr>
          <w:p>
            <w:pPr>
              <w:spacing w:after="0"/>
              <w:rPr>
                <w:sz w:val="24"/>
                <w:szCs w:val="24"/>
                <w:color w:val="auto"/>
              </w:rPr>
            </w:pPr>
          </w:p>
        </w:tc>
        <w:tc>
          <w:tcPr>
            <w:tcW w:w="2900" w:type="dxa"/>
            <w:vAlign w:val="bottom"/>
            <w:gridSpan w:val="3"/>
          </w:tcPr>
          <w:p>
            <w:pPr>
              <w:jc w:val="center"/>
              <w:ind w:left="1070"/>
              <w:spacing w:after="0"/>
              <w:rPr>
                <w:sz w:val="20"/>
                <w:szCs w:val="20"/>
                <w:color w:val="auto"/>
              </w:rPr>
            </w:pPr>
            <w:r>
              <w:rPr>
                <w:rFonts w:ascii="Arial" w:cs="Arial" w:eastAsia="Arial" w:hAnsi="Arial"/>
                <w:sz w:val="18"/>
                <w:szCs w:val="18"/>
                <w:color w:val="auto"/>
                <w:w w:val="90"/>
              </w:rPr>
              <w:t>- 33 -</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inTEST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audited the accompanying consolidated balance sheets of inTEST Corporation and subsidiaries (the Company) as of December 31, 2017 and 2016, the related consolidated statements of operations, comprehensive earnings, stockholders' equity and cash flows for the years then ended, and the related notes to the consolidated financial statements and schedule (collectively, the financial statements). In our opinion, the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13,290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$213 and $146, respectively</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Gross property and equipment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(4,314)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Net property and equipment</w:t>
            </w: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62,493</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9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wages and benefits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rent</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sales commissions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Earnout payable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14,419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transition tax payable, net of current portion</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liability, net of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23,205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 (Notes 10 and 12)</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$0.01 par value; 20,000,000 shares authorized; 10,427,435 and 10,394,018 shares issued,</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Addtional paid-in capital</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25,860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12,646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Treasury stock, at cost; 33,077 and 33,077 shares, respectively</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39,288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gridSpan w:val="2"/>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62,493</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66,801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Selling expense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General and administrative expense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11,694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liability</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31,079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10,284,572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10,313,747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10,339,313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10,332,920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Years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2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w:t>
            </w:r>
          </w:p>
        </w:tc>
        <w:tc>
          <w:tcPr>
            <w:tcW w:w="1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500" w:type="dxa"/>
            <w:vAlign w:val="bottom"/>
            <w:tcBorders>
              <w:bottom w:val="single" w:sz="8" w:color="auto"/>
            </w:tcBorders>
            <w:gridSpan w:val="4"/>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Retained</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10,549,423</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26,286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deferred compensation related to</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Issuance of unvested shares of restricted stock</w:t>
            </w:r>
          </w:p>
        </w:tc>
        <w:tc>
          <w:tcPr>
            <w:tcW w:w="900" w:type="dxa"/>
            <w:vAlign w:val="bottom"/>
          </w:tcPr>
          <w:p>
            <w:pPr>
              <w:jc w:val="right"/>
              <w:spacing w:after="0"/>
              <w:rPr>
                <w:sz w:val="20"/>
                <w:szCs w:val="20"/>
                <w:color w:val="auto"/>
              </w:rPr>
            </w:pPr>
            <w:r>
              <w:rPr>
                <w:rFonts w:ascii="Arial" w:cs="Arial" w:eastAsia="Arial" w:hAnsi="Arial"/>
                <w:sz w:val="18"/>
                <w:szCs w:val="18"/>
                <w:color w:val="auto"/>
              </w:rPr>
              <w:t>86,400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common stock</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(241,805)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10,394,018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deferred compensation related to</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Issuance of unvested shares of restricted stock</w:t>
            </w:r>
          </w:p>
        </w:tc>
        <w:tc>
          <w:tcPr>
            <w:tcW w:w="900" w:type="dxa"/>
            <w:vAlign w:val="bottom"/>
          </w:tcPr>
          <w:p>
            <w:pPr>
              <w:jc w:val="right"/>
              <w:spacing w:after="0"/>
              <w:rPr>
                <w:sz w:val="20"/>
                <w:szCs w:val="20"/>
                <w:color w:val="auto"/>
              </w:rPr>
            </w:pPr>
            <w:r>
              <w:rPr>
                <w:rFonts w:ascii="Arial" w:cs="Arial" w:eastAsia="Arial" w:hAnsi="Arial"/>
                <w:sz w:val="18"/>
                <w:szCs w:val="18"/>
                <w:color w:val="auto"/>
              </w:rPr>
              <w:t>66,000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unvested shares of restricted stock</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Balance, December 31, 2017</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10,427,435</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25,860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12,646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Years Ended December 31,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11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 to earnout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Adjustment to contingent consideration liability</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excess and obsolete inventory</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Foreign exchange (gain) loss</w:t>
            </w: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Proceeds from sale of demonstration equipment, net of gain</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(benefit) expense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accounts receivable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Restricted certificates of deposit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wages and benefits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Accrued rent</w:t>
            </w: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professional fees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Accrued sales commissions</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Customer deposits and deferred revenue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Domestic and foreign income taxes payable</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Federal transition tax payable</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(21,962)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(22,671)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rates on cash</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532"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all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(15,321)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2,901</w:t>
            </w:r>
          </w:p>
        </w:tc>
        <w:tc>
          <w:tcPr>
            <w:tcW w:w="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25,710</w:t>
            </w:r>
          </w:p>
        </w:tc>
      </w:tr>
      <w:tr>
        <w:trPr>
          <w:trHeight w:val="210"/>
        </w:trPr>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28,611</w:t>
            </w:r>
          </w:p>
        </w:tc>
        <w:tc>
          <w:tcPr>
            <w:tcW w:w="20" w:type="dxa"/>
            <w:vAlign w:val="bottom"/>
          </w:tcPr>
          <w:p>
            <w:pPr>
              <w:spacing w:after="0"/>
              <w:rPr>
                <w:sz w:val="18"/>
                <w:szCs w:val="18"/>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480"/>
          </w:cols>
          <w:pgMar w:left="240" w:top="118" w:right="239" w:bottom="532"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Domestic and foreign income taxes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3,467</w:t>
            </w:r>
          </w:p>
        </w:tc>
        <w:tc>
          <w:tcPr>
            <w:tcW w:w="140" w:type="dxa"/>
            <w:vAlign w:val="bottom"/>
          </w:tcPr>
          <w:p>
            <w:pPr>
              <w:spacing w:after="0"/>
              <w:rPr>
                <w:sz w:val="18"/>
                <w:szCs w:val="18"/>
                <w:color w:val="auto"/>
              </w:rPr>
            </w:pP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Details of acquisition:</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assets acquired, net of cash</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22,652</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Liabilities assumed</w:t>
            </w:r>
          </w:p>
        </w:tc>
        <w:tc>
          <w:tcPr>
            <w:tcW w:w="5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(8,599)</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resulting from acquisition</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12,032</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5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(4,123)</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21,962</w:t>
            </w:r>
          </w:p>
        </w:tc>
        <w:tc>
          <w:tcPr>
            <w:tcW w:w="7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Issuance of unvested shares of restricted stock</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Forfeiture of unvested shares of restricted stock</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32"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We are an independent designer, manufacturer and marketer of thermal management products and semiconductor automated test equipment (“ATE”) interface solutions. Our products are used by semiconductor manufacturers to perform development, qualifying and final testing of integrated circuits (“ICs”) and wafers, and for other electronic testing across a range of industries including the automotive, defense/aerospace, energy, industrial and telecommunications markets. We also offer induction heating products for joining and forming metals in a variety of industrial markets, including automotive, aerospace, machinery, wire &amp; fasteners, medical, semiconductor, food &amp; beverage, and packaging.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78"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During 2016, we reorganized our business from three product segments, Thermal Products, Mechanical Products and Electrical Products, into two product segments, Thermal Products ("Thermal") and Electromechanical Semiconductor Products ("EMS"). Accordingly, effective January 1, 2017, we have two reportable segments, which are also our reporting units. Prior period information has been reclassified to be comparable to the presentation for 2017.</w:t>
      </w:r>
    </w:p>
    <w:p>
      <w:pPr>
        <w:spacing w:after="0" w:line="187" w:lineRule="exact"/>
        <w:rPr>
          <w:sz w:val="20"/>
          <w:szCs w:val="20"/>
          <w:color w:val="auto"/>
        </w:rPr>
      </w:pPr>
    </w:p>
    <w:p>
      <w:pPr>
        <w:ind w:left="660" w:right="140"/>
        <w:spacing w:after="0" w:line="272" w:lineRule="auto"/>
        <w:rPr>
          <w:sz w:val="20"/>
          <w:szCs w:val="20"/>
          <w:color w:val="auto"/>
        </w:rPr>
      </w:pPr>
      <w:r>
        <w:rPr>
          <w:rFonts w:ascii="Arial" w:cs="Arial" w:eastAsia="Arial" w:hAnsi="Arial"/>
          <w:sz w:val="17"/>
          <w:szCs w:val="17"/>
          <w:color w:val="auto"/>
        </w:rPr>
        <w:t>On May 24, 2017, we completed the acquisition of Ambrell Corporation ("Ambrell").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 This acquisition is discussed further in Note 3.</w:t>
      </w:r>
    </w:p>
    <w:p>
      <w:pPr>
        <w:spacing w:after="0" w:line="178"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The ATE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sz w:val="20"/>
          <w:szCs w:val="20"/>
          <w:color w:val="auto"/>
        </w:rPr>
      </w:pPr>
    </w:p>
    <w:p>
      <w:pPr>
        <w:spacing w:after="0" w:line="20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Basis of Presentation and Use of Estimates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and deferred tax assets and liabilities including related valuation allowances, are particularly impacted by estimates.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660" w:right="320"/>
        <w:spacing w:after="0" w:line="312" w:lineRule="auto"/>
        <w:rPr>
          <w:sz w:val="20"/>
          <w:szCs w:val="20"/>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market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We recorded bad debt expense of $68 for the year ended December 31, 2017. There was no bad debt expense recorded for the year ended December 31, 2016. Cash flows from accounts receivable are recorded in operating cash flows.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660" w:right="100"/>
        <w:spacing w:after="0" w:line="290" w:lineRule="auto"/>
        <w:rPr>
          <w:sz w:val="20"/>
          <w:szCs w:val="20"/>
          <w:color w:val="auto"/>
        </w:rPr>
      </w:pPr>
      <w:r>
        <w:rPr>
          <w:rFonts w:ascii="Arial" w:cs="Arial" w:eastAsia="Arial" w:hAnsi="Arial"/>
          <w:sz w:val="16"/>
          <w:szCs w:val="16"/>
          <w:color w:val="auto"/>
        </w:rPr>
        <w:t>Our financial instruments include accounts receivable, accounts payable and our liability for contingent consideration. Our accounts receivable and accounts payable are carried at cost which approximates fair value, due to the short maturities of the accounts. Our liability for contingent consideration is accounted for in accordance with the guidance in Accounting Standards Codification ("ASC") 820 (Fair Value Measurement). ASC 820 establishes a fair value hierarchy for instruments measured at fair value that distinguishes between assumptions based on market data (observable inputs) and our own assumptions (unobservable inputs). Our contingent consideration liability is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4 for further disclosures related to the fair value of our liability for contingent consideration.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$251 and $226 for the years ended December 31, 2017 and 2016, respectively.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Machinery and equipment are stated at cost, except for machinery and equipment acquired in a business combination, which are stated at fair value at the time of acquisition.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$618 and $370 for the years ended December 31, 2017 and 2016,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660" w:right="120"/>
        <w:spacing w:after="0" w:line="290" w:lineRule="auto"/>
        <w:rPr>
          <w:sz w:val="20"/>
          <w:szCs w:val="20"/>
          <w:color w:val="auto"/>
        </w:rPr>
      </w:pPr>
      <w:r>
        <w:rPr>
          <w:rFonts w:ascii="Arial" w:cs="Arial" w:eastAsia="Arial" w:hAnsi="Arial"/>
          <w:sz w:val="16"/>
          <w:szCs w:val="16"/>
          <w:color w:val="auto"/>
        </w:rPr>
        <w:t>We account for goodwill and intangible assets in accordance with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plans in Note 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92"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In addition, in our Thermal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generally provide product warranties and record estimated warranty expense at the time of sale based upon historical claims experience.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Warranty expense is included in selling expense in the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660" w:right="120"/>
        <w:spacing w:after="0" w:line="276" w:lineRule="auto"/>
        <w:rPr>
          <w:sz w:val="20"/>
          <w:szCs w:val="20"/>
          <w:color w:val="auto"/>
        </w:rPr>
      </w:pPr>
      <w:r>
        <w:rPr>
          <w:rFonts w:ascii="Arial" w:cs="Arial" w:eastAsia="Arial" w:hAnsi="Arial"/>
          <w:sz w:val="17"/>
          <w:szCs w:val="17"/>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2017 and 2016, foreign currency transaction gains (losses) were $146 and $(16),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65"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On December 22, 2017, the President of the United States signed into law the Tax Cuts and Jobs Act (the “Tax Act”). This legislation makes significant changes in the U.S. tax laws including reducing the corporate tax rate to 21% starting in 2018 and creating a territorial tax system with a one-time mandatory transition tax payable on previously unremitted earnings of foreign subsidiaries, among other things.</w:t>
      </w:r>
    </w:p>
    <w:p>
      <w:pPr>
        <w:spacing w:after="0" w:line="16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In December 2017, the Securities and Exchange Commission staff issued Staff Accounting Bulletin No. 118 (“SAB 118”), which provides guidance on accounting for enactment effects of the Tax Act. SAB 118 provides a measurement period of up to one year from the Tax Act’s enactment date for companies to complete their accounting. In accordance with SAB 118,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its financial statements, it should continue to account for the provisions of the tax laws that were in effect immediately before enactment of the Tax Act. As of December 31, 2017, we have reported provisional amounts for the income tax effects of the Tax Act to the extent a reasonable estimate could be made, and will continue to refine our estimates throughout the measurement period or until the accounting is complete. See Note 11 for additional information regarding income taxes.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3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10,284,572</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Unvested shares of restricted stock and employee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54,741</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560" w:type="dxa"/>
            <w:vAlign w:val="bottom"/>
          </w:tcPr>
          <w:p>
            <w:pPr>
              <w:jc w:val="right"/>
              <w:spacing w:after="0"/>
              <w:rPr>
                <w:sz w:val="20"/>
                <w:szCs w:val="20"/>
                <w:color w:val="auto"/>
              </w:rPr>
            </w:pPr>
            <w:r>
              <w:rPr>
                <w:rFonts w:ascii="Arial" w:cs="Arial" w:eastAsia="Arial" w:hAnsi="Arial"/>
                <w:sz w:val="18"/>
                <w:szCs w:val="18"/>
                <w:color w:val="auto"/>
              </w:rPr>
              <w:t>10,339,313</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10,332,920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potentially dilutive securities excluded from calculation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77,047</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In March 2016, the Financial Accounting Standards Board (the "FASB") issued amendments to the current guidance on accounting for stock-based compensation issued to employees which is contained in ASC Topic 718 (Compensation - Stock Compensation). The amendments simplify several aspects of the accounting for share-based payment transactions, including the income tax consequences, classification of awards as either equity or liabilities, and classification on the statement of cash flows. The amendments were effective for us as of January 1, 2017. The implementation of these amendments did not have a material impact on our consolidated financial statements.</w:t>
      </w:r>
    </w:p>
    <w:p>
      <w:pPr>
        <w:spacing w:after="0" w:line="173"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were effective for us as of January 1, 2017. The implementation of these amendments did not have a material impact on our consolidated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In May 2017, the FASB issued amendments to the guidance on accounting for a change to the terms or conditions (modification) of a share-based payment award. The amendments provide that an entity should account for the effects of a modification unless the fair value and vesting conditions of the modified award and the classification of the modified award (equity or liability instrument) are the same as the original award immediately before the modification. The amendments are effective for us as of January 1, 2018. Early adoption is permitted. The amendments are to be applied prospectively to an award modified on or after the adoption date. We do not expect the implementation of these amendments to have a material impact on our consolidated financial statements.</w:t>
      </w:r>
    </w:p>
    <w:p>
      <w:pPr>
        <w:spacing w:after="0" w:line="193"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these amendments to have a material impact on our consolidated financial statements.</w:t>
      </w:r>
    </w:p>
    <w:p>
      <w:pPr>
        <w:spacing w:after="0" w:line="193"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are effective for us as of January 1, 2018, with early application permitted. We do not expect the implementation of these amendments to have a material impact on our consolidated financial statements.</w:t>
      </w:r>
    </w:p>
    <w:p>
      <w:pPr>
        <w:spacing w:after="0" w:line="18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are effective for us as of January 1, 2018, and are to be applied retrospectively. Early application is permitted. We do not expect the implementation of these amendments to have a material impact on our consolidated financial statements.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In February 2016, the FASB issued amendments to the current guidance on accounting for lease transactions, which is presented in ASC Topic 842 (Leases). Subsequent to February 2016, the FASB has issued additional clarifying guidance on certain aspects of this new guidance.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During the fourth quarter of 2017, we performed a preliminary assessment of the impact that the implementation of this guidance will have on our consolidated financial statements. Our assessment is ongoing. We currently expect that the implementation of this new guidance will have a significant impact on our consolidated balance sheet as a result of recording right-of-use assets and lease liabilities for all of our multi-year leases. Under current guidance, none of these leases has any related asset or liability recorded on our balance sheet. We do not currently expect that the implementation of this new guidance will have a significant impact on our pattern of expense recognition for any of our multi-year leases. However, we are still in the process of completing our assessment and our conclusions about the impact that this new guidance will have on our consolidated financial statements may change as we complete our assessment over the next several quarters.</w:t>
      </w:r>
    </w:p>
    <w:p>
      <w:pPr>
        <w:spacing w:after="0" w:line="169"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In May 2014, the FASB issued new guidance on the recognition of revenue from contracts with customers. Subsequent to May 2014, the FASB has issued additional clarifying guidance on certain aspects of this new guidance. This new guidance is presented in ASC Topic 606 (Revenue from Contracts with Customers) and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as of January 1, 2018. We will implement this new guidance on January 1, 2018 with a cumulative adjustment to retained earnings as opposed to retrospectively adjusting prior periods. During the fourth quarter of 2017, we completed our review of all our revenue streams to identify any differences in timing, measurement or presentation of revenue recognition. This review included the types of revenue arrangements currently in place including a review of individual customer contracts related to each of our major revenue streams. Based on the results of our assessment, we have concluded that the implementation of this new guidance will not have a significant impact on the timing or amount of revenue we recognize in any given period in comparison to the amount recognized under current guidance. We have also determined that we will not have a cumulative adjustment to retained earnings to record as of the implementation date. In addition, based on our assessment, we determined that we did not need to implement any major changes to existing accounting systems or internal controls.</w:t>
      </w:r>
    </w:p>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left="660" w:right="220"/>
        <w:spacing w:after="0" w:line="302" w:lineRule="auto"/>
        <w:rPr>
          <w:sz w:val="20"/>
          <w:szCs w:val="20"/>
          <w:color w:val="auto"/>
        </w:rPr>
      </w:pPr>
      <w:r>
        <w:rPr>
          <w:rFonts w:ascii="Arial" w:cs="Arial" w:eastAsia="Arial" w:hAnsi="Arial"/>
          <w:sz w:val="16"/>
          <w:szCs w:val="16"/>
          <w:color w:val="auto"/>
        </w:rPr>
        <w:t>On May 24, 2017, we completed our acquisition of Ambrell, a manufacturer of precision induction heating systems. Ambrell's systems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w:t>
      </w:r>
    </w:p>
    <w:p>
      <w:pPr>
        <w:spacing w:after="0" w:line="154"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color w:val="auto"/>
        </w:rPr>
        <w:t>The purchase price for Ambrell was $22,000 in cash paid at closing, subject to a customary post-closing working capital adjustment. Additional consideration in the form of earnouts may be paid based upon a multiple of adjusted EBITDA for 2017 and 2018, as further discussed below. The acquisition was completed by acquiring all of the outstanding capital stock of Ambrell. Total acquisition costs incurred to complete this transaction were $935. Acquisition costs were expensed as incurred and included in general and administrative expense.</w:t>
      </w:r>
    </w:p>
    <w:p>
      <w:pPr>
        <w:spacing w:after="0" w:line="171" w:lineRule="exact"/>
        <w:rPr>
          <w:sz w:val="20"/>
          <w:szCs w:val="20"/>
          <w:color w:val="auto"/>
        </w:rPr>
      </w:pPr>
    </w:p>
    <w:p>
      <w:pPr>
        <w:ind w:left="660" w:right="300"/>
        <w:spacing w:after="0" w:line="259" w:lineRule="auto"/>
        <w:rPr>
          <w:sz w:val="20"/>
          <w:szCs w:val="20"/>
          <w:color w:val="auto"/>
        </w:rPr>
      </w:pPr>
      <w:r>
        <w:rPr>
          <w:rFonts w:ascii="Arial" w:cs="Arial" w:eastAsia="Arial" w:hAnsi="Arial"/>
          <w:sz w:val="18"/>
          <w:szCs w:val="18"/>
          <w:color w:val="auto"/>
        </w:rPr>
        <w:t>The acquisition of Ambrell has been accounted for as a business combination using purchase accounting, and, accordingly, the results of Ambrell have been included in our consolidated results of operations from the date of acquisition. The allocation of the Ambrell purchase price was based on fair values as of May 24, 2017. The determination of fair value reflects the assistance of third-party valuation specialists, as well as our own estimates and assumptions.</w:t>
      </w:r>
    </w:p>
    <w:p>
      <w:pPr>
        <w:spacing w:after="0" w:line="187" w:lineRule="exact"/>
        <w:rPr>
          <w:sz w:val="20"/>
          <w:szCs w:val="20"/>
          <w:color w:val="auto"/>
        </w:rPr>
      </w:pPr>
    </w:p>
    <w:p>
      <w:pPr>
        <w:ind w:left="660" w:right="560"/>
        <w:spacing w:after="0" w:line="308" w:lineRule="auto"/>
        <w:rPr>
          <w:sz w:val="20"/>
          <w:szCs w:val="20"/>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The total purchase price of $26,733 was comprised of:</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the capital stock of Ambrell</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40"/>
        <w:spacing w:after="0" w:line="269" w:lineRule="auto"/>
        <w:rPr>
          <w:sz w:val="20"/>
          <w:szCs w:val="20"/>
          <w:color w:val="auto"/>
        </w:rPr>
      </w:pPr>
      <w:r>
        <w:rPr>
          <w:rFonts w:ascii="Arial" w:cs="Arial" w:eastAsia="Arial" w:hAnsi="Arial"/>
          <w:sz w:val="17"/>
          <w:szCs w:val="17"/>
          <w:color w:val="auto"/>
        </w:rPr>
        <w:t>As noted above, the consideration paid for the acquisition of Ambrell includes contingent consideration in the form of earnouts based on the future adjusted EBITDA of Ambrell. Adjusted EBITDA is earnings (or loss) from operations before interest expense, benefit or provision for income taxes, depreciation and amortization, and excludes other non-recurring income and expense items as defined in the stock purchase agreement for Ambrell. The first earnout, to be paid after calendar year 2017 is completed, is an amount equal to 8x Ambrell's adjusted EBITDA for 2017 minus the $22,000 paid at closing as well as the $175 management bonus for 2017 accrued at the closing. At December 31, 2017, we have accrued $5,355 as additional acquisition consideration payable on our balance sheet representing the amount of the first earnout. The second earnout, if any, to be paid after calendar year 2018 is completed, will be an amount equal to 8x Ambrell's adjusted EBITDA for 2018 minus the sum of the $22,000 paid at closing and the earnout paid with respect to 2017. The 2017 and 2018 earnouts, in the aggregate, are capped at $18,000. To estimate the fair value of the contingent consideration at the acquisition date, an option based income approach using a Monte Carlo simulation model was utilized due to the non-linear payout structure. This resulted in an estimated fair value of $4,123, which was recorded as a contingent consideration liability as of the acquisition date.</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The total purchase price of $26,733 has been allocated as follows: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Cash</w:t>
            </w: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receivable</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advances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Deferred tax liability</w:t>
            </w: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Identifiable intangible assets acquired include customer relationships, customer backlog, technology and trademarks.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w:t>
      </w:r>
    </w:p>
    <w:p>
      <w:pPr>
        <w:spacing w:after="0" w:line="188"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The following table summarizes the estimated fair value of Ambrell's identifiable intangible assets and their estimated useful lives as of the acquisition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Useful Life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(in years)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37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9,000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Customer backlog</w:t>
            </w: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10,100</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Indefinite-lived intangible assets:</w:t>
            </w:r>
          </w:p>
        </w:tc>
        <w:tc>
          <w:tcPr>
            <w:tcW w:w="26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6,200</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7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16,300</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80" w:type="dxa"/>
            <w:vAlign w:val="bottom"/>
          </w:tcPr>
          <w:p>
            <w:pPr>
              <w:ind w:left="1200"/>
              <w:spacing w:after="0"/>
              <w:rPr>
                <w:sz w:val="20"/>
                <w:szCs w:val="20"/>
                <w:color w:val="auto"/>
              </w:rPr>
            </w:pPr>
            <w:r>
              <w:rPr>
                <w:rFonts w:ascii="Arial" w:cs="Arial" w:eastAsia="Arial" w:hAnsi="Arial"/>
                <w:sz w:val="18"/>
                <w:szCs w:val="18"/>
                <w:color w:val="auto"/>
              </w:rPr>
              <w:t>F - 13</w:t>
            </w: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620"/>
        <w:spacing w:after="0" w:line="308" w:lineRule="auto"/>
        <w:rPr>
          <w:sz w:val="20"/>
          <w:szCs w:val="20"/>
          <w:color w:val="auto"/>
        </w:rPr>
      </w:pPr>
      <w:r>
        <w:rPr>
          <w:rFonts w:ascii="Arial" w:cs="Arial" w:eastAsia="Arial" w:hAnsi="Arial"/>
          <w:sz w:val="17"/>
          <w:szCs w:val="17"/>
          <w:color w:val="auto"/>
        </w:rPr>
        <w:t>For the period from May 24, 2017 to December 31, 2017, Ambrell contributed $13,562 of net revenues and had a net loss of $6,238, which includes the impact of a $6,976 increase in the amount of our contingent consideration liability since the date of acquisition.</w:t>
      </w:r>
    </w:p>
    <w:p>
      <w:pPr>
        <w:spacing w:after="0" w:line="147"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The following unaudited pro forma information gives effect to the acquisition of Ambrell as if the acquisition occurred on January 1, 2016.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74,421</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60,410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earnings</w:t>
            </w: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1,796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r>
    </w:tbl>
    <w:p>
      <w:pPr>
        <w:spacing w:after="0" w:line="202"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$935 incurred by us as a direct result of the transaction. The pro forma results shown above include a $6,976 increase in the amount of our contingent consideration liability which we recorded during the second half of 2017.</w:t>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66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8"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Level 1 Valuations based on unadjusted quoted prices in active markets for identical assets or liabilities that we have the ability to access.</w:t>
      </w:r>
    </w:p>
    <w:p>
      <w:pPr>
        <w:spacing w:after="0" w:line="290" w:lineRule="exact"/>
        <w:rPr>
          <w:rFonts w:ascii="Arial" w:cs="Arial" w:eastAsia="Arial" w:hAnsi="Arial"/>
          <w:sz w:val="18"/>
          <w:szCs w:val="18"/>
          <w:b w:val="1"/>
          <w:bCs w:val="1"/>
          <w:color w:val="auto"/>
        </w:rPr>
      </w:pPr>
    </w:p>
    <w:p>
      <w:pPr>
        <w:ind w:left="1300" w:hanging="648"/>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7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rFonts w:ascii="Arial" w:cs="Arial" w:eastAsia="Arial" w:hAnsi="Arial"/>
          <w:sz w:val="18"/>
          <w:szCs w:val="18"/>
          <w:b w:val="1"/>
          <w:bCs w:val="1"/>
          <w:color w:val="auto"/>
        </w:rPr>
      </w:pPr>
    </w:p>
    <w:p>
      <w:pPr>
        <w:ind w:left="66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contingent consideration liability on our balance sheet is measured at fair value on a recurring basis using Level 3 inputs. Our contingent consideration liability is a result of our acquisition of Ambrell on May 24, 2017, and it represents the estimated fair value of the additional cash consideration payable that is contingent upon the achievement of certain financial results by Ambrell in 2018, as discussed more fully in Note 3. We use an option based income approach using a Monte Carlo simulation model to estimate the fair value of the contingent consideration as of the end of each quarter which involves generating various scenarios for projected adjusted EBITDA over a specified time period, calculating the associated contingent consideration payments and discounting the average payments to present value. Significant variation in the amount of the estimated fair value of contingent consideration from period to period is possible as the fair value is affected by our then current estimation of future events including future net revenues and other items that affect future projected adjusted EBITDA.</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140"/>
        <w:spacing w:after="0" w:line="302" w:lineRule="auto"/>
        <w:rPr>
          <w:sz w:val="20"/>
          <w:szCs w:val="20"/>
          <w:color w:val="auto"/>
        </w:rPr>
      </w:pPr>
      <w:r>
        <w:rPr>
          <w:rFonts w:ascii="Arial" w:cs="Arial" w:eastAsia="Arial" w:hAnsi="Arial"/>
          <w:sz w:val="16"/>
          <w:szCs w:val="16"/>
          <w:color w:val="auto"/>
        </w:rPr>
        <w:t>During the second half of 2017, we recorded a $6,976 increase in the fair value of our contingent consideration liability. These increases primarily reflect higher actual adjusted EBITDA for the year ended December 31, 2017 as a result of significantly higher than expected levels of net revenues and EBITDA in the fourth quarter of 2017 and an increase in the projected adjusted EBITDA for the year ended December 31, 2018, also as a result of current forecasts for net revenues and EBITDA in 2018 which exceed the amounts projected as of the acquisition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Amounts at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Using</w:t>
            </w:r>
          </w:p>
        </w:tc>
      </w:t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5,744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5,744</w:t>
            </w:r>
          </w:p>
        </w:tc>
      </w:tr>
      <w:tr>
        <w:trPr>
          <w:trHeight w:val="20"/>
        </w:trPr>
        <w:tc>
          <w:tcPr>
            <w:tcW w:w="5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fair value of our Level 3 contingent consideration liability for the year ended December 31, 2017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Contingent consideration liability established in connection with the acquisition of Ambrell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Transfer of contingent consideration liability to 2017 earnout payable</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amount of the carrying value of goodwill for the year ended December 31, 2017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Sigma</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Thermonics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Ambrell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Acquisition of Ambrell</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12,032</w:t>
            </w:r>
          </w:p>
        </w:tc>
      </w:tr>
      <w:tr>
        <w:trPr>
          <w:trHeight w:val="20"/>
        </w:trPr>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r>
      <w:tr>
        <w:trPr>
          <w:trHeight w:val="20"/>
        </w:trPr>
        <w:tc>
          <w:tcPr>
            <w:tcW w:w="4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amount of the carrying value of finite-lived intangible assets for the year ended December 31, 2017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5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Acquisition of Ambrell</w:t>
            </w:r>
          </w:p>
        </w:tc>
        <w:tc>
          <w:tcPr>
            <w:tcW w:w="4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10,100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Balance - December 31, 2017</w:t>
            </w:r>
          </w:p>
        </w:tc>
        <w:tc>
          <w:tcPr>
            <w:tcW w:w="5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9,304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580" w:type="dxa"/>
            <w:vAlign w:val="bottom"/>
          </w:tcPr>
          <w:p>
            <w:pPr>
              <w:ind w:left="1360"/>
              <w:spacing w:after="0"/>
              <w:rPr>
                <w:sz w:val="20"/>
                <w:szCs w:val="20"/>
                <w:color w:val="auto"/>
              </w:rPr>
            </w:pPr>
            <w:r>
              <w:rPr>
                <w:rFonts w:ascii="Arial" w:cs="Arial" w:eastAsia="Arial" w:hAnsi="Arial"/>
                <w:sz w:val="18"/>
                <w:szCs w:val="18"/>
                <w:color w:val="auto"/>
              </w:rPr>
              <w:t>F - 15</w:t>
            </w:r>
          </w:p>
        </w:tc>
        <w:tc>
          <w:tcPr>
            <w:tcW w:w="5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118" w:right="17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680" w:type="dxa"/>
            <w:vAlign w:val="bottom"/>
            <w:gridSpan w:val="6"/>
          </w:tcPr>
          <w:p>
            <w:pPr>
              <w:spacing w:after="0"/>
              <w:rPr>
                <w:sz w:val="20"/>
                <w:szCs w:val="20"/>
                <w:color w:val="auto"/>
              </w:rPr>
            </w:pPr>
            <w:r>
              <w:rPr>
                <w:rFonts w:ascii="Arial" w:cs="Arial" w:eastAsia="Arial" w:hAnsi="Arial"/>
                <w:sz w:val="18"/>
                <w:szCs w:val="18"/>
                <w:color w:val="auto"/>
                <w:w w:val="91"/>
              </w:rPr>
              <w:t>The following tables provide further detail about our intangible assets as of December 31, 2017 and 2016:</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10,480</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backlog</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12,580</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6,710</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19,290</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72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2,990</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400"/>
        <w:spacing w:after="0" w:line="264"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amortization expense for our finite-lived intangible assets was $1,161 and $229, respectively, for the years ended December 31, 2017 and 2016.</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estimated annual amortization expense for each of the next five years: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w w:val="84"/>
              </w:rPr>
              <w:t>2018</w:t>
            </w:r>
          </w:p>
        </w:tc>
        <w:tc>
          <w:tcPr>
            <w:tcW w:w="4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r>
      <w:tr>
        <w:trPr>
          <w:trHeight w:val="216"/>
        </w:trPr>
        <w:tc>
          <w:tcPr>
            <w:tcW w:w="4200" w:type="dxa"/>
            <w:vAlign w:val="bottom"/>
          </w:tcPr>
          <w:p>
            <w:pPr>
              <w:jc w:val="right"/>
              <w:ind w:right="3750"/>
              <w:spacing w:after="0"/>
              <w:rPr>
                <w:sz w:val="20"/>
                <w:szCs w:val="20"/>
                <w:color w:val="auto"/>
              </w:rPr>
            </w:pPr>
            <w:r>
              <w:rPr>
                <w:rFonts w:ascii="Arial" w:cs="Arial" w:eastAsia="Arial" w:hAnsi="Arial"/>
                <w:sz w:val="18"/>
                <w:szCs w:val="18"/>
                <w:color w:val="auto"/>
                <w:w w:val="84"/>
              </w:rPr>
              <w:t>2019</w:t>
            </w:r>
          </w:p>
        </w:tc>
        <w:tc>
          <w:tcPr>
            <w:tcW w:w="4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1,257</w:t>
            </w:r>
          </w:p>
        </w:tc>
      </w:tr>
      <w:tr>
        <w:trPr>
          <w:trHeight w:val="216"/>
        </w:trPr>
        <w:tc>
          <w:tcPr>
            <w:tcW w:w="42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w w:val="84"/>
              </w:rPr>
              <w:t>2020</w:t>
            </w:r>
          </w:p>
        </w:tc>
        <w:tc>
          <w:tcPr>
            <w:tcW w:w="4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16"/>
        </w:trPr>
        <w:tc>
          <w:tcPr>
            <w:tcW w:w="4200" w:type="dxa"/>
            <w:vAlign w:val="bottom"/>
          </w:tcPr>
          <w:p>
            <w:pPr>
              <w:jc w:val="right"/>
              <w:ind w:right="3750"/>
              <w:spacing w:after="0"/>
              <w:rPr>
                <w:sz w:val="20"/>
                <w:szCs w:val="20"/>
                <w:color w:val="auto"/>
              </w:rPr>
            </w:pPr>
            <w:r>
              <w:rPr>
                <w:rFonts w:ascii="Arial" w:cs="Arial" w:eastAsia="Arial" w:hAnsi="Arial"/>
                <w:sz w:val="18"/>
                <w:szCs w:val="18"/>
                <w:color w:val="auto"/>
                <w:w w:val="84"/>
              </w:rPr>
              <w:t>2021</w:t>
            </w:r>
          </w:p>
        </w:tc>
        <w:tc>
          <w:tcPr>
            <w:tcW w:w="4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1,227</w:t>
            </w:r>
          </w:p>
        </w:tc>
      </w:tr>
      <w:tr>
        <w:trPr>
          <w:trHeight w:val="216"/>
        </w:trPr>
        <w:tc>
          <w:tcPr>
            <w:tcW w:w="42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w w:val="84"/>
              </w:rPr>
              <w:t>2022</w:t>
            </w:r>
          </w:p>
        </w:tc>
        <w:tc>
          <w:tcPr>
            <w:tcW w:w="4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660" w:right="160"/>
        <w:spacing w:after="0" w:line="287" w:lineRule="auto"/>
        <w:rPr>
          <w:sz w:val="20"/>
          <w:szCs w:val="20"/>
          <w:color w:val="auto"/>
        </w:rPr>
      </w:pPr>
      <w:r>
        <w:rPr>
          <w:rFonts w:ascii="Arial" w:cs="Arial" w:eastAsia="Arial" w:hAnsi="Arial"/>
          <w:sz w:val="16"/>
          <w:szCs w:val="16"/>
          <w:color w:val="auto"/>
        </w:rPr>
        <w:t>During December 2017 and 2016, we assessed our goodwill and indefinite life intangible asset for impairment in accordance with the requirements of 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rates used in 2017 and 2016 for the discounted cash flows were 14.5% and 18.5%,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73"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During the goodwill impairment assessment in both 2017 and 2016, we performed a Step I test to identify potential impairment, in which the fair value of the Thermal reporting unit was compared with its book value. This assessment indicated no impairment existed as the fair value of this reporting unit was determined to exceed its carrying value.</w:t>
      </w:r>
    </w:p>
    <w:p>
      <w:pPr>
        <w:spacing w:after="0" w:line="181"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During the indefinite life intangible asset impairment assessment in both 2017 and 2016, we compared the fair value of our intangible asset with its carrying amount. This assessment indicated no impairment existed as the fair value of the intangible assets exceeded their carrying values in both 2017 and 2016.</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869"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As previously noted, our long-lived assets consist of our finite-lived intangible assets and property and equipment. During 2016, the operations of what was then reported as our Mechanical Products segment were substantially restructured. However, as this segment still experienced an operating loss for 2016, we performed an assessment of the long-lived assets of this segment for impairment during December 2016. Our assessment indicated that the property and equipment that was allocated to this segment was not impaired. During 2016, we did not review the long lived assets of our remaining operations for impairment as there were no events or changes in business circumstances that would indicate an impairment might exist. During 2017, we did not review any of our long lived assets for impairment as there were no events or changes in business circumstances that would indicate an impairment might exist.</w:t>
      </w:r>
    </w:p>
    <w:p>
      <w:pPr>
        <w:spacing w:after="0" w:line="200" w:lineRule="exact"/>
        <w:rPr>
          <w:sz w:val="20"/>
          <w:szCs w:val="20"/>
          <w:color w:val="auto"/>
        </w:rPr>
      </w:pPr>
    </w:p>
    <w:p>
      <w:pPr>
        <w:spacing w:after="0" w:line="22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During the years ended December 31, 2017 and 2016, Hakuto Co. Ltd., one of our distributors, accounted for 11% and 13% of our consolidated net revenues, respectively. These revenues were generated by our Thermal segment. During the years ended December 31, 2017 and 2016, Texas Instruments Incorporated accounted for 11% and 10% of our consolidated net revenues, respectively. While both of our operating segments sold products to this customer, these revenues were primarily generated by our EMS segment. During the years ended December 31, 2017 and 2016, no other customer accounted for 10% or more of our consolidated net revenues.</w:t>
      </w:r>
    </w:p>
    <w:p>
      <w:pPr>
        <w:spacing w:after="0" w:line="200" w:lineRule="exact"/>
        <w:rPr>
          <w:sz w:val="20"/>
          <w:szCs w:val="20"/>
          <w:color w:val="auto"/>
        </w:rPr>
      </w:pPr>
    </w:p>
    <w:p>
      <w:pPr>
        <w:spacing w:after="0" w:line="21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Inventories held at December 31 were comprised of the following:</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(8)</w:t>
            </w:r>
          </w:p>
        </w:tc>
        <w:tc>
          <w:tcPr>
            <w:tcW w:w="5860" w:type="dxa"/>
            <w:vAlign w:val="bottom"/>
            <w:gridSpan w:val="3"/>
          </w:tcPr>
          <w:p>
            <w:pPr>
              <w:ind w:left="100"/>
              <w:spacing w:after="0"/>
              <w:rPr>
                <w:sz w:val="20"/>
                <w:szCs w:val="20"/>
                <w:color w:val="auto"/>
              </w:rPr>
            </w:pPr>
            <w:r>
              <w:rPr>
                <w:rFonts w:ascii="Arial" w:cs="Arial" w:eastAsia="Arial" w:hAnsi="Arial"/>
                <w:sz w:val="18"/>
                <w:szCs w:val="18"/>
                <w:b w:val="1"/>
                <w:bCs w:val="1"/>
                <w:color w:val="auto"/>
              </w:rPr>
              <w:t>OTHER CURRENT LIABILITIES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w w:val="96"/>
              </w:rPr>
              <w:t>Other current liabilities at December 31 were comprised of the following:</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12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(9)</w:t>
            </w:r>
          </w:p>
        </w:tc>
        <w:tc>
          <w:tcPr>
            <w:tcW w:w="58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Letters of Credit</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December 31, 2017 and 2016 consisted of the following:</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Letters of Credit</w:t>
            </w:r>
          </w:p>
        </w:tc>
      </w:tr>
      <w:tr>
        <w:trPr>
          <w:trHeight w:val="234"/>
        </w:trPr>
        <w:tc>
          <w:tcPr>
            <w:tcW w:w="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56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86"/>
              </w:rPr>
              <w:t>Lease</w:t>
            </w:r>
          </w:p>
        </w:tc>
        <w:tc>
          <w:tcPr>
            <w:tcW w:w="27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Amount Outstanding</w:t>
            </w:r>
          </w:p>
        </w:tc>
      </w:tr>
      <w:tr>
        <w:trPr>
          <w:trHeight w:val="191"/>
        </w:trPr>
        <w:tc>
          <w:tcPr>
            <w:tcW w:w="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3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7"/>
              </w:rPr>
              <w:t>Original L/C</w:t>
            </w:r>
          </w:p>
        </w:tc>
        <w:tc>
          <w:tcPr>
            <w:tcW w:w="13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Expiration</w:t>
            </w:r>
          </w:p>
        </w:tc>
        <w:tc>
          <w:tcPr>
            <w:tcW w:w="13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Expiration</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6"/>
                <w:szCs w:val="16"/>
                <w:color w:val="auto"/>
              </w:rPr>
            </w:pPr>
          </w:p>
        </w:tc>
      </w:tr>
      <w:tr>
        <w:trPr>
          <w:trHeight w:val="20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 Date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56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Mt. Laurel, NJ</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3/29/2010</w:t>
            </w: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3/31/2018</w:t>
            </w:r>
          </w:p>
        </w:tc>
        <w:tc>
          <w:tcPr>
            <w:tcW w:w="1560" w:type="dxa"/>
            <w:vAlign w:val="bottom"/>
            <w:gridSpan w:val="3"/>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4/30/2021 $</w:t>
            </w:r>
          </w:p>
        </w:tc>
        <w:tc>
          <w:tcPr>
            <w:tcW w:w="11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125</w:t>
            </w:r>
          </w:p>
        </w:tc>
        <w:tc>
          <w:tcPr>
            <w:tcW w:w="3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11/08/2018</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8/31/2021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0"/>
        </w:trPr>
        <w:tc>
          <w:tcPr>
            <w:tcW w:w="5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660" w:right="7460" w:hanging="652"/>
        <w:spacing w:after="0" w:line="503" w:lineRule="auto"/>
        <w:tabs>
          <w:tab w:leader="none" w:pos="471"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u w:val="single" w:color="auto"/>
          <w:color w:val="auto"/>
        </w:rPr>
        <w:t>Operating Lease Commitments</w:t>
      </w:r>
    </w:p>
    <w:p>
      <w:pPr>
        <w:spacing w:after="0" w:line="1"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We lease our offices, warehouse facilities and certain equipment under non-cancellable operating leases which expire at various dates through 2029. Total rental expense for the years ended December 31, 2017 and 2016 was $1,600 and $1,241,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on our balance sheet. In addition to the monthly rental payments due, most of our leases for our offices and warehouse facilities require us to pay our portion of the common area maintenance, property taxes and insurance charges incurred by the landlord for the facilities which we occupy. These amounts are not included in the minimum rental commitments disclosed below as they are based on actual charges incurred in the periods to which they apply.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minimum rental commitments under the non-cancellable operating leases in effect at December 31, 2017 are as follows: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2019</w:t>
            </w: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2021</w:t>
            </w:r>
          </w:p>
        </w:tc>
        <w:tc>
          <w:tcPr>
            <w:tcW w:w="3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33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Federal and certain state income taxes. In addition, we are taxed in certain foreign countries.</w:t>
      </w:r>
    </w:p>
    <w:p>
      <w:pPr>
        <w:spacing w:after="0" w:line="22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As previously discussed in Note 2, on December 22, 2017 the President of the United States signed into law the Tax Act. The two principal elements of the Tax Act impacting our 2017 consolidated statement of operations and our balance sheet as of December 31, 2017 are the reduction in the corporate tax rate from 35% to 21% and the one-time transition tax that is imposed on the previously unremitted earnings of our foreign subsidiaries. As a result of the legislative changes enacted, we were required to revalue our deferred tax assets and liabilities to the new rate of 21% as of December 31, 2017, which resulted in our recording a current period tax benefit of $1,743 in our 2017 consolidated statement of operations and a corresponding reduction in the amount of the net deferred tax liability. Due to the complexities involved in determining the previously unremitted earnings of our foreign subsidiaries, we are still in the process of obtaining, preparing and analyzing the required information. We have recorded a provisional amount for the transition tax payable on those unremitted earnings. The provisional amount recorded, net of related foreign tax credits, is a tax of approximately $476. The rate of tax paid is 14% of the foreign earnings.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Earnings before income taxes was as follows:</w:t>
            </w: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gridSpan w:val="2"/>
          </w:tcPr>
          <w:p>
            <w:pPr>
              <w:spacing w:after="0"/>
              <w:rPr>
                <w:sz w:val="20"/>
                <w:szCs w:val="20"/>
                <w:color w:val="auto"/>
              </w:rPr>
            </w:pPr>
            <w:r>
              <w:rPr>
                <w:rFonts w:ascii="Arial" w:cs="Arial" w:eastAsia="Arial" w:hAnsi="Arial"/>
                <w:sz w:val="18"/>
                <w:szCs w:val="18"/>
                <w:color w:val="auto"/>
              </w:rPr>
              <w:t>Income tax expense (benefit) was as follows:</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Domestic -- Federal</w:t>
            </w:r>
          </w:p>
        </w:tc>
        <w:tc>
          <w:tcPr>
            <w:tcW w:w="22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4,106</w:t>
            </w:r>
          </w:p>
        </w:tc>
        <w:tc>
          <w:tcPr>
            <w:tcW w:w="18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state</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12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Federal</w:t>
            </w:r>
          </w:p>
        </w:tc>
        <w:tc>
          <w:tcPr>
            <w:tcW w:w="22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(1,886)</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Domestic -- state</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(1,630)</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798"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798" w:gutter="0" w:footer="0" w:header="0"/>
          <w:type w:val="continuous"/>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2017 and 2016:</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3"/>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Net operating loss (state and foreign)</w:t>
            </w:r>
          </w:p>
        </w:tc>
        <w:tc>
          <w:tcPr>
            <w:tcW w:w="19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444</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vacation pay and stock-based compensation</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Accrued warranty</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costs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Intangibles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Deferred tax assets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815</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Net intangible assets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(3,421)</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Unremitted earnings of foreign subsidiaries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(3,421)</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(2,606)</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20"/>
        <w:spacing w:after="0" w:line="293" w:lineRule="auto"/>
        <w:rPr>
          <w:sz w:val="20"/>
          <w:szCs w:val="20"/>
          <w:color w:val="auto"/>
        </w:rPr>
      </w:pPr>
      <w:r>
        <w:rPr>
          <w:rFonts w:ascii="Arial" w:cs="Arial" w:eastAsia="Arial" w:hAnsi="Arial"/>
          <w:sz w:val="16"/>
          <w:szCs w:val="16"/>
          <w:color w:val="auto"/>
        </w:rPr>
        <w:t>The net change in the valuation allowance for the years ended December 31, 2017 and 2016 was an increase of $370 and a decrease of $15,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2037.</w:t>
      </w:r>
    </w:p>
    <w:p>
      <w:pPr>
        <w:spacing w:after="0" w:line="16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An analysis of the effective tax rate for the years ended December 31, 2017 and 2016 and a reconciliation from the expected statutory rate of 35% (for 2017) and 34% (for 2016)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3"/>
          </w:tcPr>
          <w:p>
            <w:pPr>
              <w:jc w:val="right"/>
              <w:ind w:right="85"/>
              <w:spacing w:after="0"/>
              <w:rPr>
                <w:sz w:val="20"/>
                <w:szCs w:val="20"/>
                <w:color w:val="auto"/>
              </w:rPr>
            </w:pPr>
            <w:r>
              <w:rPr>
                <w:rFonts w:ascii="Arial" w:cs="Arial" w:eastAsia="Arial" w:hAnsi="Arial"/>
                <w:sz w:val="18"/>
                <w:szCs w:val="18"/>
                <w:b w:val="1"/>
                <w:bCs w:val="1"/>
                <w:color w:val="auto"/>
              </w:rPr>
              <w:t>Years Ended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2016</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provision at U.S. statutory rate</w:t>
            </w:r>
          </w:p>
        </w:tc>
        <w:tc>
          <w:tcPr>
            <w:tcW w:w="24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tax rate changes</w:t>
            </w: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Current year tax credits (foreign and research)</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production activities deduction</w:t>
            </w: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Foreign income tax rate differences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Nondeductible expenses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2,463</w:t>
            </w:r>
          </w:p>
        </w:tc>
        <w:tc>
          <w:tcPr>
            <w:tcW w:w="5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tax expense, net of Federal benefit</w:t>
            </w: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Federal transition tax payable</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5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Deemed dividend from foreign subsidiaries</w:t>
            </w: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5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NOL carryforwards utilized</w:t>
            </w: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Changes in valuation allowance</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80" w:type="dxa"/>
            <w:vAlign w:val="bottom"/>
            <w:tcBorders>
              <w:top w:val="single" w:sz="8" w:color="CCEEFF"/>
            </w:tcBorders>
          </w:tcPr>
          <w:p>
            <w:pPr>
              <w:spacing w:after="0"/>
              <w:rPr>
                <w:sz w:val="18"/>
                <w:szCs w:val="18"/>
                <w:color w:val="auto"/>
              </w:rPr>
            </w:pPr>
          </w:p>
        </w:tc>
        <w:tc>
          <w:tcPr>
            <w:tcW w:w="1640" w:type="dxa"/>
            <w:vAlign w:val="bottom"/>
          </w:tcPr>
          <w:p>
            <w:pPr>
              <w:spacing w:after="0"/>
              <w:rPr>
                <w:sz w:val="18"/>
                <w:szCs w:val="18"/>
                <w:color w:val="auto"/>
              </w:rPr>
            </w:pPr>
          </w:p>
        </w:tc>
      </w:tr>
      <w:tr>
        <w:trPr>
          <w:trHeight w:val="426"/>
        </w:trPr>
        <w:tc>
          <w:tcPr>
            <w:tcW w:w="6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0" w:type="dxa"/>
            <w:vAlign w:val="bottom"/>
            <w:gridSpan w:val="2"/>
          </w:tcPr>
          <w:p>
            <w:pPr>
              <w:jc w:val="right"/>
              <w:ind w:right="1350"/>
              <w:spacing w:after="0"/>
              <w:rPr>
                <w:sz w:val="20"/>
                <w:szCs w:val="20"/>
                <w:color w:val="auto"/>
              </w:rPr>
            </w:pPr>
            <w:r>
              <w:rPr>
                <w:rFonts w:ascii="Arial" w:cs="Arial" w:eastAsia="Arial" w:hAnsi="Arial"/>
                <w:sz w:val="18"/>
                <w:szCs w:val="18"/>
                <w:color w:val="auto"/>
              </w:rPr>
              <w:t>F - 19</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2017 and 2016, we did not have an accrual for uncertain tax positions.</w:t>
      </w:r>
    </w:p>
    <w:p>
      <w:pPr>
        <w:spacing w:after="0" w:line="173"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We file U.S. income tax returns and multiple state and foreign income tax returns. With few exceptions, the U.S. and state income tax returns filed for the tax years ending on December 31, 2015 and thereafter are subject to examination by the relevant taxing authorities. During the first quarter of 2017, the U.S. taxing authority completed an examination of our federal income tax return for the year ended December 31, 2014 and there were no changes to the tax return as originally filed.</w:t>
      </w:r>
    </w:p>
    <w:p>
      <w:pPr>
        <w:spacing w:after="0" w:line="200" w:lineRule="exact"/>
        <w:rPr>
          <w:sz w:val="20"/>
          <w:szCs w:val="20"/>
          <w:color w:val="auto"/>
        </w:rPr>
      </w:pPr>
    </w:p>
    <w:p>
      <w:pPr>
        <w:spacing w:after="0" w:line="2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LEGAL PROCEEDINGS</w:t>
      </w:r>
    </w:p>
    <w:p>
      <w:pPr>
        <w:spacing w:after="0" w:line="229" w:lineRule="exact"/>
        <w:rPr>
          <w:sz w:val="20"/>
          <w:szCs w:val="20"/>
          <w:color w:val="auto"/>
        </w:rPr>
      </w:pPr>
    </w:p>
    <w:p>
      <w:pPr>
        <w:jc w:val="both"/>
        <w:ind w:left="660" w:right="280"/>
        <w:spacing w:after="0" w:line="264"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200" w:lineRule="exact"/>
        <w:rPr>
          <w:sz w:val="20"/>
          <w:szCs w:val="20"/>
          <w:color w:val="auto"/>
        </w:rPr>
      </w:pP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STOCK-BASED COMPENSATION PLAN</w:t>
      </w:r>
    </w:p>
    <w:p>
      <w:pPr>
        <w:spacing w:after="0" w:line="229"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As of December 31, 2017, we have unvested restricted stock awards and stock options outstanding which were granted under the inTEST Corporation 2007 Stock Plan (the "2007 Stock Plan") and the inTEST Corporation 2014 Stock Plan (the "2014 Stock Plan"). The 2007 Stock Plan was approved at our annual meeting of stockholders held on June 13, 2007 and permits the granting of stock options or restricted stock for up to 500,000 shares of our common stock to officers, other key employees and consultants. The 2014 Stock Plan was approved at our annual meeting of stockholders held on June 25, 2014 and permits the granting of stock options, restricted stock, stock appreciation rights or restricted stock units for up to 500,000 shares of our common stock to directors, officers, other key employees and consultants. As of December 31, 2017, there were 345,200 aggregate shares available to grant under these plans.</w:t>
      </w:r>
    </w:p>
    <w:p>
      <w:pPr>
        <w:spacing w:after="0" w:line="178" w:lineRule="exact"/>
        <w:rPr>
          <w:sz w:val="20"/>
          <w:szCs w:val="20"/>
          <w:color w:val="auto"/>
        </w:rPr>
      </w:pPr>
    </w:p>
    <w:p>
      <w:pPr>
        <w:ind w:left="660" w:right="600"/>
        <w:spacing w:after="0" w:line="264" w:lineRule="auto"/>
        <w:rPr>
          <w:sz w:val="20"/>
          <w:szCs w:val="20"/>
          <w:color w:val="auto"/>
        </w:rPr>
      </w:pPr>
      <w:r>
        <w:rPr>
          <w:rFonts w:ascii="Arial" w:cs="Arial" w:eastAsia="Arial" w:hAnsi="Arial"/>
          <w:sz w:val="18"/>
          <w:szCs w:val="18"/>
          <w:color w:val="auto"/>
        </w:rPr>
        <w:t>Our unvested restricted stock awards and stock options are accounted for based on their grant date fair value. As of December 31, 2017, total compensation expense to be recognized in future periods was $455. The weighted average period over which this expense is expected to be recognized is 2.9 years.</w:t>
      </w:r>
    </w:p>
    <w:p>
      <w:pPr>
        <w:spacing w:after="0" w:line="181"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The following table summarizes the compensation expense we recorded during 2017 and 2016, related to unvested shares of restricted stock and stock options.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8"/>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Selling expense</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r>
      <w:tr>
        <w:trPr>
          <w:trHeight w:val="20"/>
        </w:trPr>
        <w:tc>
          <w:tcPr>
            <w:tcW w:w="4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r>
      <w:tr>
        <w:trPr>
          <w:trHeight w:val="20"/>
        </w:trPr>
        <w:tc>
          <w:tcPr>
            <w:tcW w:w="45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compensation expense capitalized in 2017 or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fair value for stock options granted during 2017 and 2016 was estimated at the date of grant using the Black-Scholes option pricing model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7860" w:type="dxa"/>
            <w:vAlign w:val="bottom"/>
            <w:gridSpan w:val="2"/>
          </w:tcPr>
          <w:p>
            <w:pPr>
              <w:ind w:left="4840"/>
              <w:spacing w:after="0"/>
              <w:rPr>
                <w:sz w:val="20"/>
                <w:szCs w:val="20"/>
                <w:color w:val="auto"/>
              </w:rPr>
            </w:pPr>
            <w:r>
              <w:rPr>
                <w:rFonts w:ascii="Arial" w:cs="Arial" w:eastAsia="Arial" w:hAnsi="Arial"/>
                <w:sz w:val="18"/>
                <w:szCs w:val="18"/>
                <w:color w:val="auto"/>
              </w:rPr>
              <w:t>F - 20</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 share weighted average fair value of stock options issued during 2017 and 2016 was $2.64 and $1.43,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stock options for the two years ended December 31, 2017:</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760" w:type="dxa"/>
            <w:vAlign w:val="bottom"/>
          </w:tcPr>
          <w:p>
            <w:pPr>
              <w:spacing w:after="0"/>
              <w:rPr>
                <w:sz w:val="18"/>
                <w:szCs w:val="18"/>
                <w:color w:val="auto"/>
              </w:rPr>
            </w:pPr>
          </w:p>
        </w:tc>
        <w:tc>
          <w:tcPr>
            <w:tcW w:w="1900" w:type="dxa"/>
            <w:vAlign w:val="bottom"/>
            <w:gridSpan w:val="3"/>
          </w:tcPr>
          <w:p>
            <w:pPr>
              <w:ind w:left="460"/>
              <w:spacing w:after="0"/>
              <w:rPr>
                <w:sz w:val="20"/>
                <w:szCs w:val="20"/>
                <w:color w:val="auto"/>
              </w:rPr>
            </w:pPr>
            <w:r>
              <w:rPr>
                <w:rFonts w:ascii="Arial" w:cs="Arial" w:eastAsia="Arial" w:hAnsi="Arial"/>
                <w:sz w:val="18"/>
                <w:szCs w:val="18"/>
                <w:b w:val="1"/>
                <w:bCs w:val="1"/>
                <w:color w:val="auto"/>
              </w:rPr>
              <w:t>Number</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5760" w:type="dxa"/>
            <w:vAlign w:val="bottom"/>
          </w:tcPr>
          <w:p>
            <w:pPr>
              <w:spacing w:after="0"/>
              <w:rPr>
                <w:sz w:val="20"/>
                <w:szCs w:val="20"/>
                <w:color w:val="auto"/>
              </w:rPr>
            </w:pPr>
          </w:p>
        </w:tc>
        <w:tc>
          <w:tcPr>
            <w:tcW w:w="15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2016</w:t>
            </w:r>
          </w:p>
        </w:tc>
        <w:tc>
          <w:tcPr>
            <w:tcW w:w="1900" w:type="dxa"/>
            <w:vAlign w:val="bottom"/>
            <w:gridSpan w:val="3"/>
            <w:shd w:val="clear" w:color="auto" w:fill="CCEEFF"/>
          </w:tcPr>
          <w:p>
            <w:pPr>
              <w:ind w:left="150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19,800</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ind w:left="15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56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2016 (none exercisable)</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19,800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96,000</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ind w:left="150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(39,400)</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r>
      <w:tr>
        <w:trPr>
          <w:trHeight w:val="20"/>
        </w:trPr>
        <w:tc>
          <w:tcPr>
            <w:tcW w:w="5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2017 (4,950 exercisable)</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76,400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r>
      <w:tr>
        <w:trPr>
          <w:trHeight w:val="20"/>
        </w:trPr>
        <w:tc>
          <w:tcPr>
            <w:tcW w:w="57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unvested shares for the two years ended December 31, 2017:</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76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7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2016</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63,750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86,400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4.27</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(53,125)</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2016</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97,025</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66,000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6.54</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(69,100)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(18,700)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r>
      <w:tr>
        <w:trPr>
          <w:trHeight w:val="20"/>
        </w:trPr>
        <w:tc>
          <w:tcPr>
            <w:tcW w:w="5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2017</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75,225</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0"/>
        </w:trPr>
        <w:tc>
          <w:tcPr>
            <w:tcW w:w="57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total fair value of the shares that vested during the years ended December 31, 2017 and 2016 was $493 and $208, respectively, as of the vesting dates of these shares.</w:t>
      </w:r>
    </w:p>
    <w:p>
      <w:pPr>
        <w:spacing w:after="0" w:line="200" w:lineRule="exact"/>
        <w:rPr>
          <w:sz w:val="20"/>
          <w:szCs w:val="20"/>
          <w:color w:val="auto"/>
        </w:rPr>
      </w:pP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 REPURCHASE PLAN</w:t>
      </w:r>
    </w:p>
    <w:p>
      <w:pPr>
        <w:spacing w:after="0" w:line="229"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or in privately negotiated transactions (the "2015 Repurchase Plan"). Repurchases may also be made under trading plans entered into with RW Baird &amp; Co. (each a "10b5-1 Plan"), which permit shares to be repurchased when we might otherwise be precluded from doing so under insider trading laws. The 2015 Repurchase Plan does not obligate us to repurchase any particular amount of common stock and may be suspended or discontinued at any time without prior notice. The 2015 Repurchase Plan is funded using our operating cash flow or available cash. The timing, price and amount of any shares repurchased under the 2015 Repurchase Plan is determined by our management, based on our evaluation of market conditions and other factors. To date, all purchases have been made in accordance with 10b5-1 Plans which provided for purchases to be made so long as the price did not exceed a maximum price. Recently, the price of our shares has exceeded the cap. Management is considering new parameters for future purchases and may enter into a new 10b5-1 Plan at some point under those new parameters. As of December 31, 2017, all of the Company’s 10b5-1 Plans had expired.</w:t>
      </w:r>
    </w:p>
    <w:p>
      <w:pPr>
        <w:spacing w:after="0" w:line="169"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During 2017 and 2016, we repurchased 13,883 and 241,805 shares under the 2015 Repurchase Plan, respectively. The total cost to repurchase these shares, including fees paid to our broker, was $62 and $978, respectively. As of December 31, 2017, we had repurchased a total of 297,020 shares under the 2015 Repurchase Plan at a cost of $1,195. All of the repurchased shares were retired.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EMPLOYEE BENEFIT PLANS</w:t>
      </w:r>
    </w:p>
    <w:p>
      <w:pPr>
        <w:spacing w:after="0" w:line="229" w:lineRule="exact"/>
        <w:rPr>
          <w:sz w:val="20"/>
          <w:szCs w:val="20"/>
          <w:color w:val="auto"/>
        </w:rPr>
      </w:pPr>
    </w:p>
    <w:p>
      <w:pPr>
        <w:ind w:left="660" w:right="120"/>
        <w:spacing w:after="0" w:line="276" w:lineRule="auto"/>
        <w:rPr>
          <w:sz w:val="20"/>
          <w:szCs w:val="20"/>
          <w:color w:val="auto"/>
        </w:rPr>
      </w:pPr>
      <w:r>
        <w:rPr>
          <w:rFonts w:ascii="Arial" w:cs="Arial" w:eastAsia="Arial" w:hAnsi="Arial"/>
          <w:sz w:val="17"/>
          <w:szCs w:val="17"/>
          <w:color w:val="auto"/>
        </w:rPr>
        <w:t>We have defined contribution 401(k) plans for our employees who work in the U.S. All permanent employees of inTEST Corporation,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years ended December 31, 2017 and 2016, we recorded $338 and $347 of expense for matching contributions, respectively.</w:t>
      </w:r>
    </w:p>
    <w:p>
      <w:pPr>
        <w:spacing w:after="0" w:line="173"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From the date of acquisition through December 31, 2017, we made matching contributions of $35.</w:t>
      </w:r>
    </w:p>
    <w:p>
      <w:pPr>
        <w:spacing w:after="0" w:line="200" w:lineRule="exact"/>
        <w:rPr>
          <w:sz w:val="20"/>
          <w:szCs w:val="20"/>
          <w:color w:val="auto"/>
        </w:rPr>
      </w:pP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SEGMENT INFORMATION</w:t>
      </w:r>
    </w:p>
    <w:p>
      <w:pPr>
        <w:spacing w:after="0" w:line="229" w:lineRule="exact"/>
        <w:rPr>
          <w:sz w:val="20"/>
          <w:szCs w:val="20"/>
          <w:color w:val="auto"/>
        </w:rPr>
      </w:pPr>
    </w:p>
    <w:p>
      <w:pPr>
        <w:ind w:left="660" w:right="480"/>
        <w:spacing w:after="0" w:line="312" w:lineRule="auto"/>
        <w:rPr>
          <w:sz w:val="20"/>
          <w:szCs w:val="20"/>
          <w:color w:val="auto"/>
        </w:rPr>
      </w:pPr>
      <w:r>
        <w:rPr>
          <w:rFonts w:ascii="Arial" w:cs="Arial" w:eastAsia="Arial" w:hAnsi="Arial"/>
          <w:sz w:val="16"/>
          <w:szCs w:val="16"/>
          <w:color w:val="auto"/>
        </w:rPr>
        <w:t>As discussed in Note 1, during 2016, we reorganized our business from three product segments (Thermal Products, Mechanical Products and Electrical Products) into two product segments (Thermal and EMS). Accordingly, effective January 1, 2017, we have two reportable segments, which are also our reporting units. Prior period information has been reclassified to be comparable to the presentation for 2017.</w:t>
      </w:r>
    </w:p>
    <w:p>
      <w:pPr>
        <w:spacing w:after="0" w:line="147" w:lineRule="exact"/>
        <w:rPr>
          <w:sz w:val="20"/>
          <w:szCs w:val="20"/>
          <w:color w:val="auto"/>
        </w:rPr>
      </w:pPr>
    </w:p>
    <w:p>
      <w:pPr>
        <w:ind w:left="660" w:right="360"/>
        <w:spacing w:after="0" w:line="257" w:lineRule="auto"/>
        <w:rPr>
          <w:sz w:val="20"/>
          <w:szCs w:val="20"/>
          <w:color w:val="auto"/>
        </w:rPr>
      </w:pPr>
      <w:r>
        <w:rPr>
          <w:rFonts w:ascii="Arial" w:cs="Arial" w:eastAsia="Arial" w:hAnsi="Arial"/>
          <w:sz w:val="18"/>
          <w:szCs w:val="18"/>
          <w:color w:val="auto"/>
        </w:rPr>
        <w:t>Thermal includes the operations of Temptronic, Thermonics, Sigma, inTEST Thermal Solutions GmbH (Germany), inTEST Pte, Limited (Singapore) and Ambrell, which we acquired in May 2017, as discussed in Note 3.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w:t>
      </w:r>
    </w:p>
    <w:p>
      <w:pPr>
        <w:spacing w:after="0" w:line="188" w:lineRule="exact"/>
        <w:rPr>
          <w:sz w:val="20"/>
          <w:szCs w:val="20"/>
          <w:color w:val="auto"/>
        </w:rPr>
      </w:pPr>
    </w:p>
    <w:p>
      <w:pPr>
        <w:ind w:left="660" w:right="580"/>
        <w:spacing w:after="0" w:line="308" w:lineRule="auto"/>
        <w:rPr>
          <w:sz w:val="20"/>
          <w:szCs w:val="20"/>
          <w:color w:val="auto"/>
        </w:rPr>
      </w:pPr>
      <w:r>
        <w:rPr>
          <w:rFonts w:ascii="Arial" w:cs="Arial" w:eastAsia="Arial" w:hAnsi="Arial"/>
          <w:sz w:val="17"/>
          <w:szCs w:val="17"/>
          <w:color w:val="auto"/>
        </w:rPr>
        <w:t>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47" w:lineRule="exact"/>
        <w:rPr>
          <w:sz w:val="20"/>
          <w:szCs w:val="20"/>
          <w:color w:val="auto"/>
        </w:rPr>
      </w:pPr>
    </w:p>
    <w:p>
      <w:pPr>
        <w:ind w:left="660" w:right="660"/>
        <w:spacing w:after="0" w:line="259" w:lineRule="auto"/>
        <w:rPr>
          <w:sz w:val="20"/>
          <w:szCs w:val="20"/>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ATE market, including the automotive, consumer electronics, consumer product packaging, defense/aerospace, energy, fiber optics, industrial, telecommunications and other markets.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Thermal</w:t>
            </w:r>
          </w:p>
        </w:tc>
        <w:tc>
          <w:tcPr>
            <w:tcW w:w="24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42,233</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24,033</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24,568</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16,194</w:t>
            </w:r>
          </w:p>
        </w:tc>
        <w:tc>
          <w:tcPr>
            <w:tcW w:w="1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66,801</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40,227</w:t>
            </w: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Depreciation/amortization:</w:t>
            </w:r>
          </w:p>
        </w:tc>
        <w:tc>
          <w:tcPr>
            <w:tcW w:w="14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Thermal</w:t>
            </w:r>
          </w:p>
        </w:tc>
        <w:tc>
          <w:tcPr>
            <w:tcW w:w="24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1,628</w:t>
            </w:r>
          </w:p>
        </w:tc>
        <w:tc>
          <w:tcPr>
            <w:tcW w:w="18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1,779</w:t>
            </w:r>
          </w:p>
        </w:tc>
        <w:tc>
          <w:tcPr>
            <w:tcW w:w="18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599</w:t>
            </w: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14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Thermal</w:t>
            </w:r>
          </w:p>
        </w:tc>
        <w:tc>
          <w:tcPr>
            <w:tcW w:w="24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(822)</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4,210</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6,830</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(2,397)</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1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3,611</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w:t>
            </w: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w w:val="96"/>
              </w:rPr>
              <w:t>Earnings (loss) before income tax expense (benefit):</w:t>
            </w:r>
          </w:p>
        </w:tc>
        <w:tc>
          <w:tcPr>
            <w:tcW w:w="14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4,193</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EMS</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6,869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1,021</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1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3,838</w:t>
            </w:r>
          </w:p>
        </w:tc>
        <w:tc>
          <w:tcPr>
            <w:tcW w:w="18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4,207</w:t>
            </w: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Income tax expense (benefit):</w:t>
            </w:r>
          </w:p>
        </w:tc>
        <w:tc>
          <w:tcPr>
            <w:tcW w:w="14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Thermal</w:t>
            </w:r>
          </w:p>
        </w:tc>
        <w:tc>
          <w:tcPr>
            <w:tcW w:w="24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1,665</w:t>
            </w:r>
          </w:p>
        </w:tc>
        <w:tc>
          <w:tcPr>
            <w:tcW w:w="18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1,544</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1,819</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1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2,863</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w:t>
            </w:r>
          </w:p>
        </w:tc>
        <w:tc>
          <w:tcPr>
            <w:tcW w:w="1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14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2,649</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EMS</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5,050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w:t>
            </w:r>
          </w:p>
        </w:tc>
        <w:tc>
          <w:tcPr>
            <w:tcW w:w="1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2,658</w:t>
            </w:r>
          </w:p>
        </w:tc>
        <w:tc>
          <w:tcPr>
            <w:tcW w:w="1640" w:type="dxa"/>
            <w:vAlign w:val="bottom"/>
          </w:tcPr>
          <w:p>
            <w:pPr>
              <w:spacing w:after="0"/>
              <w:rPr>
                <w:sz w:val="18"/>
                <w:szCs w:val="18"/>
                <w:color w:val="auto"/>
              </w:rPr>
            </w:pPr>
          </w:p>
        </w:tc>
      </w:tr>
      <w:tr>
        <w:trPr>
          <w:trHeight w:val="426"/>
        </w:trPr>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Arial" w:cs="Arial" w:eastAsia="Arial" w:hAnsi="Arial"/>
                <w:sz w:val="18"/>
                <w:szCs w:val="18"/>
                <w:color w:val="auto"/>
              </w:rPr>
              <w:t>F - 22</w:t>
            </w:r>
          </w:p>
        </w:tc>
        <w:tc>
          <w:tcPr>
            <w:tcW w:w="10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387"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8"/>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Thermal</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659</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r>
      <w:tr>
        <w:trPr>
          <w:trHeight w:val="20"/>
        </w:trPr>
        <w:tc>
          <w:tcPr>
            <w:tcW w:w="578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745</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r>
      <w:tr>
        <w:trPr>
          <w:trHeight w:val="20"/>
        </w:trPr>
        <w:tc>
          <w:tcPr>
            <w:tcW w:w="57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50,408</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19,893</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12,085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22,951</w:t>
            </w:r>
          </w:p>
        </w:tc>
      </w:tr>
      <w:tr>
        <w:trPr>
          <w:trHeight w:val="20"/>
        </w:trPr>
        <w:tc>
          <w:tcPr>
            <w:tcW w:w="57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62,493</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42,844</w:t>
            </w:r>
          </w:p>
        </w:tc>
      </w:tr>
      <w:tr>
        <w:trPr>
          <w:trHeight w:val="20"/>
        </w:trPr>
        <w:tc>
          <w:tcPr>
            <w:tcW w:w="57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20,205</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13,061</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46,596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27,166</w:t>
            </w:r>
          </w:p>
        </w:tc>
      </w:tr>
      <w:tr>
        <w:trPr>
          <w:trHeight w:val="20"/>
        </w:trPr>
        <w:tc>
          <w:tcPr>
            <w:tcW w:w="57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66,801</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40,227</w:t>
            </w:r>
          </w:p>
        </w:tc>
      </w:tr>
      <w:tr>
        <w:trPr>
          <w:trHeight w:val="20"/>
        </w:trPr>
        <w:tc>
          <w:tcPr>
            <w:tcW w:w="57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r>
      <w:tr>
        <w:trPr>
          <w:trHeight w:val="20"/>
        </w:trPr>
        <w:tc>
          <w:tcPr>
            <w:tcW w:w="578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944</w:t>
            </w:r>
          </w:p>
        </w:tc>
      </w:tr>
      <w:tr>
        <w:trPr>
          <w:trHeight w:val="20"/>
        </w:trPr>
        <w:tc>
          <w:tcPr>
            <w:tcW w:w="57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QUARTERLY CONSOLIDATED FINANCIAL DATA (Unaudited)</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tables present certain unaudited consolidated quarterly financial information for each of the eight quarters ended December 31, 2017.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Year-over-year quarterly comparisons of our results of operations may not be as meaningful as the sequential quarterly comparisons set forth below that tend to reflect the cyclical and seasonal activity of the semiconductor and ATE markets. Quarterly fluctuations in expenses are related directly to sales activity and volume and may also reflect the timing of operating expenses incurred throughout the year.</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3/31/17</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line="251" w:lineRule="exact"/>
              <w:rPr>
                <w:sz w:val="20"/>
                <w:szCs w:val="20"/>
                <w:color w:val="auto"/>
              </w:rPr>
            </w:pPr>
            <w:r>
              <w:rPr>
                <w:rFonts w:ascii="Arial" w:cs="Arial" w:eastAsia="Arial" w:hAnsi="Arial"/>
                <w:sz w:val="18"/>
                <w:szCs w:val="18"/>
                <w:b w:val="1"/>
                <w:bCs w:val="1"/>
                <w:color w:val="auto"/>
                <w:w w:val="93"/>
              </w:rPr>
              <w:t>9/30/17</w:t>
            </w:r>
            <w:r>
              <w:rPr>
                <w:rFonts w:ascii="Arial" w:cs="Arial" w:eastAsia="Arial" w:hAnsi="Arial"/>
                <w:sz w:val="29"/>
                <w:szCs w:val="29"/>
                <w:b w:val="1"/>
                <w:bCs w:val="1"/>
                <w:color w:val="auto"/>
                <w:w w:val="93"/>
                <w:vertAlign w:val="superscript"/>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18"/>
                <w:szCs w:val="18"/>
                <w:b w:val="1"/>
                <w:bCs w:val="1"/>
                <w:color w:val="auto"/>
                <w:w w:val="83"/>
              </w:rPr>
              <w:t>12/31/17</w:t>
            </w:r>
            <w:r>
              <w:rPr>
                <w:rFonts w:ascii="Arial" w:cs="Arial" w:eastAsia="Arial" w:hAnsi="Arial"/>
                <w:sz w:val="29"/>
                <w:szCs w:val="29"/>
                <w:b w:val="1"/>
                <w:bCs w:val="1"/>
                <w:color w:val="auto"/>
                <w:w w:val="83"/>
                <w:vertAlign w:val="superscript"/>
              </w:rPr>
              <w:t>(2)(3)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7,728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9,745</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(loss)per common share - basic</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 shares outstanding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10,264,565</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10,277,155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10,288,325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10,308,243</w:t>
            </w: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10,284,572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earnings (loss) per common share - diluted</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 shares outstanding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10,295,337</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10,334,894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10,351,009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10,308,243</w:t>
            </w: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10,339,313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3/31/16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9/30/16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12/31/16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4,067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5,405</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basic</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 shares outstanding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10,390,002</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10,295,836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10,295,447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10,273,702</w:t>
            </w: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10,313,747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diluted</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 shares outstanding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10,404,244</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10,310,692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10,318,715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10,297,439</w:t>
            </w: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10,332,920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quarter ended September 30, 2017 includes a $549 reduction in the fair value of contingent consideration, which was not taxable.</w:t>
      </w:r>
    </w:p>
    <w:p>
      <w:pPr>
        <w:spacing w:after="0" w:line="47" w:lineRule="exact"/>
        <w:rPr>
          <w:rFonts w:ascii="Arial" w:cs="Arial" w:eastAsia="Arial" w:hAnsi="Arial"/>
          <w:sz w:val="17"/>
          <w:szCs w:val="17"/>
          <w:color w:val="auto"/>
        </w:rPr>
      </w:pPr>
    </w:p>
    <w:p>
      <w:pPr>
        <w:ind w:left="980" w:right="140" w:hanging="324"/>
        <w:spacing w:after="0" w:line="25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 ended December 31, 2017 includes a $7,525 increase in the fair value of contingent consideration, which was not deductible for tax purposes.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 ended December 31, 2017 includes adjustments related to tax legislation enacted in December 2017, as discussed in Note 2 and 11.</w:t>
      </w: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(Recovery)</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Deductions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8"/>
                <w:szCs w:val="18"/>
                <w:color w:val="auto"/>
              </w:rPr>
              <w:t>F - 25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STOCK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ESTABLISHMENT</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u w:val="single" w:color="auto"/>
          <w:color w:val="auto"/>
        </w:rPr>
        <w:t>Purpose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inTEST Corporation 2014 Stock Plan (the “Plan”) is hereby established by inTEST Corporation (the “Company”). The purpose of the Plan is to promote the overall financial objectives of the Company and its stockholders by motivating those persons selected to participate in the Plan to achieve long-term growth in the equity of the Company and by retaining the association of those individuals who are instrumental in achieving this growth. The Plan provides additional incentives to officers and other key employees (“Key Employees”), consultants (“Consultants”) and members of the Board of Directors of the Company or its Affiliates, as defined herein (“Directors”), to enter into or remain in the service or employ of the Company or its Affiliates and to devote themselves to the Company’s success by granting such individuals an opportunity to acquire or increase their proprietary interest in the Company through receipt of Awards.</w:t>
      </w:r>
    </w:p>
    <w:p>
      <w:pPr>
        <w:spacing w:after="0" w:line="18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“Awards” may consist of: (i) “Options,” or rights to acquire the Company’s Common Stock, par value $.01 per share (the “Common Stock”), including “ISOs” and “NQSOs” as hereinafter defined, (ii) awards of shares of Common Stock (“Stock Awards”), (iii) awards of stock appreciation rights (“Stock Appreciation Rights,” or “SARs”) or (iv) awards of restricted stock units (“Restricted Stock Units,” or “RSUs”).</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Two-Part Plan</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Plan shall be divided into two sub-plans: the “Key Employee Plan,” which will govern benefits for Key Employees, as defined above, and the “Non-Qualified Plan,” which will govern benefits to Directors and Consultants. All provisions hereunder which refer to the “Plan” shall apply to each of the Key Employee Plan and the Non-Qualified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SUBJECT TO PLAN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Aggregate Maximum Number</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aggregate maximum number of shares of the Common Stock for which Awards may be granted under the Plan, including without limitation, the Key Employee Plan, is 500,000 shares (the “Plan Shares”), which number is subject to adjustment as provided in Section 9.6. Plan Shares shall be issued from authorized and unissued Common Stock or Common Stock held in or hereafter acquired for the treasury of the Company. If any outstanding Award granted under the Plan expires, lapses or is terminated for any reason, or if, pursuant to the terms of a Stock Award, the shares so awarded are forfeited, then the Plan Shares allocable to the unexercised portion of such Awards, or the forfeited shares under a Stock Award, as the case may be, may again be the subject of an Award granted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OF PLAN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Term of Plan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Plan shall commence on the date of approval of the Plan by the Board of Directors of the Company (“Effective Date”), but shall terminate unless the Plan is approved by the stockholders of the Company within twelve months of such date as set forth in Section 422(b)(1) of the Internal Revenue Code of 1986, as amended (the “Code”). Any Awards granted pursuant to the Plan prior to approval of the Plan by the stockholders of the Company shall be subject to such approval and, notwithstanding anything to the contrary herein or in any Award Document (as defined below), shall not be exercisable until such approval is obtained. Any Stock Awards granted pursuant to the Plan prior to approval of the Plan by the stockholders of the Company shall not vest until after such approval is obtained. No Award may be granted under the Plan on or after the date which is ten years after the Effective Date.</w:t>
      </w:r>
    </w:p>
    <w:p>
      <w:pPr>
        <w:spacing w:after="0" w:line="16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ELIGIBILITY</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Key Employee Plan</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Except as herein provided, the persons who shall be eligible to participate in the Key Employee Plan and be granted Awards shall be those Key Employees who shall be in a position, in the opinion of the Committee, as defined herein, to make contributions to the growth, management, protection and success of the Company and its Affiliates. Of those persons described in the preceding sentence, the Committee, as herein defined, may, from time to time, select persons to be granted Awards and shall determine the terms and conditions with respect thereto. In making any such selection and in determining the form of the Award, the Committee may give consideration to the person’s functions and responsibilities, the person’s contributions to the Company and its Affiliates, the value of the individual’s service to the Company and its Affiliates and such other factors deemed relevant by the Committee. The term “Affiliates” shall mean any entity in which the Company owns, directly or indirectly, 50 percent or more of the voting equity at the time of the granting of the Award.</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Non-Qualified Plan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NQSOs (as defined herein), Stock Awards, SARS and RSUs may be granted to Directors and Consultants pursuant to the Non-Qualified Plan as herein provided.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Key Employee Plan Options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Options granted under the Key Employee Plan may be either ISOs, as defined herein, or NQSOs. Each Option granted under the Key Employee Plan is intended to be an incentive stock option (“ISO”) within the meaning of Section 422(b) of the Code for federal income tax purposes, except to the extent (i) any such ISO grant would exceed the limitation of subsection 5.3(a) below, (ii) any Option is specifically designated at the time of grant of the Award (the “Grant Date”) as not being an ISO (an Option which is not an ISO, and therefore is a non-qualified option, is referred to herein as an “NQSO”), (iii) any Option is granted to a person who is not an employee of the Company or any Affiliate on the Grant Date or (iv) as may be otherwise provided in any option agreement hereunder. Under the Key Employee Plan, Options may be granted to Key Employees at such times, in such amounts, and on such terms and conditions as determined by the Committee, in accordance with the terms of the Plan, and, in the case of Options granted to any executive officer of the Company, subject to the further approval and recommendation of a majority of the Independent Directors and the Board of Directors. “Independent Director” shall have the same meaning as given to that term in Section 803A and 805(c)(1) of the NYSE MKT Company Guide, as it may from time to time be amended or superseded by any successor rule of the NYSE MKT or the primary exchange on which the Company Common Stock is listed for trading.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ind w:left="660"/>
        <w:spacing w:after="0"/>
        <w:tabs>
          <w:tab w:leader="none" w:pos="10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Non-Qualified Plan Options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Any Options granted under the Non-Qualified Plan shall be NQSOs. Such Options may be granted to Directors and Consultants at such times, in such amounts, and on such terms and conditions as determined by the Committee in accordance with the terms of the Plan.</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Terms and Conditions of Options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Options granted pursuant to the Plan shall be evidenced by written option agreements in such form as the Committee shall from time to time approve, subject to the following terms and conditions. Option agreements may also contain such other terms and conditions (including vesting schedules for the exercisability of Options) which the Committee shall from time to time provide which are not inconsistent with the terms of the Plan. Persons to whom Options are granted are hereinafter referred to as “Optionees.”</w:t>
      </w:r>
    </w:p>
    <w:p>
      <w:pPr>
        <w:spacing w:after="0" w:line="183" w:lineRule="exact"/>
        <w:rPr>
          <w:sz w:val="20"/>
          <w:szCs w:val="20"/>
          <w:color w:val="auto"/>
        </w:rPr>
      </w:pPr>
    </w:p>
    <w:p>
      <w:pPr>
        <w:ind w:left="1740" w:hanging="435"/>
        <w:spacing w:after="0"/>
        <w:tabs>
          <w:tab w:leader="none" w:pos="17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Option Shares</w:t>
      </w:r>
    </w:p>
    <w:p>
      <w:pPr>
        <w:spacing w:after="0" w:line="229" w:lineRule="exact"/>
        <w:rPr>
          <w:sz w:val="20"/>
          <w:szCs w:val="20"/>
          <w:color w:val="auto"/>
        </w:rPr>
      </w:pPr>
    </w:p>
    <w:p>
      <w:pPr>
        <w:ind w:right="320" w:firstLine="1297"/>
        <w:spacing w:after="0" w:line="279" w:lineRule="auto"/>
        <w:rPr>
          <w:sz w:val="20"/>
          <w:szCs w:val="20"/>
          <w:color w:val="auto"/>
        </w:rPr>
      </w:pPr>
      <w:r>
        <w:rPr>
          <w:rFonts w:ascii="Arial" w:cs="Arial" w:eastAsia="Arial" w:hAnsi="Arial"/>
          <w:sz w:val="17"/>
          <w:szCs w:val="17"/>
          <w:color w:val="auto"/>
        </w:rPr>
        <w:t>Each option agreement shall state the number of shares of Common Stock (“Option Shares”) to which it pertains. If the aggregate fair market value of Option Shares with respect to which ISOs are exercisable for the first time by an Optionee during any calendar year (determined as of the date the ISO is granted) and any options granted under other incentive stock option plans of the Company exceed $100,000, the portion of such options in excess of $100,000 shall be treated as options which are not ISOs in accordance with Section 422(d) of the Code.</w:t>
      </w:r>
    </w:p>
    <w:p>
      <w:pPr>
        <w:spacing w:after="0" w:line="167" w:lineRule="exact"/>
        <w:rPr>
          <w:sz w:val="20"/>
          <w:szCs w:val="20"/>
          <w:color w:val="auto"/>
        </w:rPr>
      </w:pPr>
    </w:p>
    <w:p>
      <w:pPr>
        <w:ind w:left="1740" w:hanging="435"/>
        <w:spacing w:after="0"/>
        <w:tabs>
          <w:tab w:leader="none" w:pos="17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Price</w:t>
      </w:r>
    </w:p>
    <w:p>
      <w:pPr>
        <w:spacing w:after="0" w:line="229"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Each option agreement shall state the price at which an Option Share may be purchased (the “Option Price”), which shall be not less than 100% of the “Fair Market Value” of a share of the Common Stock on the Grant Date. If the Common Stock is listed on a national securities exchange, the Fair Market Value is the closing price of the Common Stock on the relevant date (or, if such date is not a business day or a day on which quotations are reported, then on the immediately preceding date on which quotations were reported), as reported by the principal national exchange on which such shares are traded (in the case of an exchange). If the Common Stock is not listed on a national securities exchange, the Fair Market Value will be as determined by the Committee in good faith in accordance with Section 409A of the Code. If an ISO is granted to an Optionee who then owns, directly or by attribution under Section 424(d) of the Code, shares possessing more than ten percent (10%) of the total combined voting power of all classes of stock of the Company, then the Option Price shall be not less than One Hundred and Ten Percent (110%) of the Fair Market Value of an Option Share on the Grant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left="1720" w:hanging="415"/>
        <w:spacing w:after="0"/>
        <w:tabs>
          <w:tab w:leader="none" w:pos="1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Medium of Payment</w:t>
      </w:r>
    </w:p>
    <w:p>
      <w:pPr>
        <w:spacing w:after="0" w:line="229"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An Optionee shall pay for Option Shares (i) in cash, (ii) by bank check payable to the order of the Company or (iii) by such other mode of payment as the Committee may approve, including payment through a broker in accordance with procedures permitted by Regulation T of the Federal Reserve Board. Furthermore, the Committee may provide in an option agreement that payment may be made in whole or in part in shares of the Common Stock held by the Optionee for more than one year. If payment is made in whole or in part in shares of the Common Stock, then the Optionee shall deliver to the Company certificates registered in the name of such Optionee representing shares of Common Stock legally and beneficially owned by such Optionee, free of all liens, claims and encumbrances of every kind and having a Fair Market Value on the date of delivery of such notice that is not less than the Option Price of the Option Shares with respect to which such Option is to be exercised, accompanied by stock powers duly endorsed in blank by the record holder of the shares represented by such certificates. If certificates for shares of the Company’s Common Stock delivered to the Company represent a number of shares in excess (“Excess Shares”) of the number of shares required to make payment for the Option Price of the Option Shares (or the relevant portion thereof) with respect to which such Option is to be exercised by payment in shares of Common Stock, the stock certificate issued to the Optionee shall represent the total of the Option Shares in respect of which payment is so made plus such Excess Shares. Notwithstanding the foregoing, the Board of Directors, in its sole discretion, may refuse to accept shares of Common Stock in payment of the Option Price. In that event, any certificates representing shares of Common Stock which were delivered to the Company shall be returned to the Optionee with notice of the refusal of the Board of Directors to accept such shares in payment of the Option Price. The Board of Directors may impose such limitations or prohibitions on the use of shares of the Common Stock to exercise an Option as it deems appropriate, subject to the provisions of the Plan.</w:t>
      </w:r>
    </w:p>
    <w:p>
      <w:pPr>
        <w:spacing w:after="0" w:line="165" w:lineRule="exact"/>
        <w:rPr>
          <w:sz w:val="20"/>
          <w:szCs w:val="20"/>
          <w:color w:val="auto"/>
        </w:rPr>
      </w:pPr>
    </w:p>
    <w:p>
      <w:pPr>
        <w:ind w:left="1740" w:hanging="435"/>
        <w:spacing w:after="0"/>
        <w:tabs>
          <w:tab w:leader="none" w:pos="17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Initial Exercise</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Committee shall determine and set forth in the option agreement the time at which an Option may first be exercised.</w:t>
      </w:r>
    </w:p>
    <w:p>
      <w:pPr>
        <w:spacing w:after="0" w:line="221" w:lineRule="exact"/>
        <w:rPr>
          <w:sz w:val="20"/>
          <w:szCs w:val="20"/>
          <w:color w:val="auto"/>
        </w:rPr>
      </w:pPr>
    </w:p>
    <w:p>
      <w:pPr>
        <w:ind w:left="1720" w:hanging="415"/>
        <w:spacing w:after="0"/>
        <w:tabs>
          <w:tab w:leader="none" w:pos="1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Options</w:t>
      </w:r>
    </w:p>
    <w:p>
      <w:pPr>
        <w:spacing w:after="0" w:line="229" w:lineRule="exact"/>
        <w:rPr>
          <w:sz w:val="20"/>
          <w:szCs w:val="20"/>
          <w:color w:val="auto"/>
        </w:rPr>
      </w:pPr>
    </w:p>
    <w:p>
      <w:pPr>
        <w:ind w:right="220" w:firstLine="1297"/>
        <w:spacing w:after="0" w:line="286" w:lineRule="auto"/>
        <w:rPr>
          <w:sz w:val="20"/>
          <w:szCs w:val="20"/>
          <w:color w:val="auto"/>
        </w:rPr>
      </w:pPr>
      <w:r>
        <w:rPr>
          <w:rFonts w:ascii="Arial" w:cs="Arial" w:eastAsia="Arial" w:hAnsi="Arial"/>
          <w:sz w:val="17"/>
          <w:szCs w:val="17"/>
          <w:color w:val="auto"/>
        </w:rPr>
        <w:t>All Options shall expire at such time as the Committee may determine and set forth in the option agreement, which date shall not be later than the last business date immediately preceding the tenth anniversary of the Grant Date of such Option (the “Expiration Date”). No Option may be exercised later than the Expiration Date. Notwithstanding the foregoing, no Option shall be exercisable after the first to occur of the following:</w:t>
      </w:r>
    </w:p>
    <w:p>
      <w:pPr>
        <w:spacing w:after="0" w:line="166" w:lineRule="exact"/>
        <w:rPr>
          <w:sz w:val="20"/>
          <w:szCs w:val="20"/>
          <w:color w:val="auto"/>
        </w:rPr>
      </w:pPr>
    </w:p>
    <w:p>
      <w:pPr>
        <w:ind w:right="20" w:firstLine="1953"/>
        <w:spacing w:after="0" w:line="342" w:lineRule="auto"/>
        <w:tabs>
          <w:tab w:leader="none" w:pos="2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an ISO, five years from the Grant Date if, on the Grant Date the Optionee owns, directly or by attribution under Section 424(d) of the Code, shares possessing more than ten percent (10%) of the total combined voting power of all classes of stock of the Company;</w:t>
      </w:r>
    </w:p>
    <w:p>
      <w:pPr>
        <w:spacing w:after="0" w:line="123" w:lineRule="exact"/>
        <w:rPr>
          <w:rFonts w:ascii="Arial" w:cs="Arial" w:eastAsia="Arial" w:hAnsi="Arial"/>
          <w:sz w:val="16"/>
          <w:szCs w:val="16"/>
          <w:color w:val="auto"/>
        </w:rPr>
      </w:pPr>
    </w:p>
    <w:p>
      <w:pPr>
        <w:ind w:right="220" w:firstLine="1953"/>
        <w:spacing w:after="0" w:line="257" w:lineRule="auto"/>
        <w:tabs>
          <w:tab w:leader="none" w:pos="23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set by the Board of Directors of the Company to be an accelerated expiration date after a finding by the Board of Directors of the Company that a change in the financial accounting treatment for Options from that in effect on the date the Plan was adopted materially adversely affects or, in the determination of the Board of Directors, may materially adversely affect in the foreseeable future, the Company, provided the Board of Directors may take whatever other action, including acceleration of any exercise provisions, it deems necessary should it make the determination referred to hereinabove;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2" w:name="page63"/>
    <w:bookmarkEnd w:id="62"/>
    <w:p>
      <w:pPr>
        <w:ind w:left="-8" w:right="120" w:firstLine="1953"/>
        <w:spacing w:after="0" w:line="342" w:lineRule="auto"/>
        <w:tabs>
          <w:tab w:leader="none" w:pos="2432"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Expiration of one year (or such shorter period as the Committee may select and set forth in the option agreement) from the date the Optionee’s employment or service with the Company terminates for any reason other than circumstances described by Subsection (e)(v), below;</w:t>
      </w:r>
    </w:p>
    <w:p>
      <w:pPr>
        <w:spacing w:after="0" w:line="123" w:lineRule="exact"/>
        <w:rPr>
          <w:rFonts w:ascii="Arial" w:cs="Arial" w:eastAsia="Arial" w:hAnsi="Arial"/>
          <w:sz w:val="16"/>
          <w:szCs w:val="16"/>
          <w:color w:val="auto"/>
        </w:rPr>
      </w:pPr>
    </w:p>
    <w:p>
      <w:pPr>
        <w:ind w:left="-8" w:right="60" w:firstLine="1953"/>
        <w:spacing w:after="0" w:line="291" w:lineRule="auto"/>
        <w:tabs>
          <w:tab w:leader="none" w:pos="2422"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the event of a “Change in Control” (as defined in Subsection (f) below), the Committee can (A) accelerate the Expiration Date of any Option which has vested provided an Optionee who holds an Option is given written notice at least thirty (30) days before the date so fixed,</w:t>
      </w:r>
    </w:p>
    <w:p>
      <w:pPr>
        <w:ind w:left="292" w:hanging="292"/>
        <w:spacing w:after="0"/>
        <w:tabs>
          <w:tab w:leader="none" w:pos="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terminate any Option which has not then vested or (C) accelerate the vesting schedule of any Option; or</w:t>
      </w:r>
    </w:p>
    <w:p>
      <w:pPr>
        <w:spacing w:after="0" w:line="210" w:lineRule="exact"/>
        <w:rPr>
          <w:rFonts w:ascii="Arial" w:cs="Arial" w:eastAsia="Arial" w:hAnsi="Arial"/>
          <w:sz w:val="18"/>
          <w:szCs w:val="18"/>
          <w:color w:val="auto"/>
        </w:rPr>
      </w:pPr>
    </w:p>
    <w:p>
      <w:pPr>
        <w:ind w:left="-8" w:firstLine="1953"/>
        <w:spacing w:after="0" w:line="271" w:lineRule="auto"/>
        <w:tabs>
          <w:tab w:leader="none" w:pos="2372" w:val="left"/>
        </w:tabs>
        <w:numPr>
          <w:ilvl w:val="1"/>
          <w:numId w:val="33"/>
        </w:numPr>
        <w:rPr>
          <w:rFonts w:ascii="Arial" w:cs="Arial" w:eastAsia="Arial" w:hAnsi="Arial"/>
          <w:sz w:val="17"/>
          <w:szCs w:val="17"/>
          <w:color w:val="auto"/>
        </w:rPr>
      </w:pPr>
      <w:r>
        <w:rPr>
          <w:rFonts w:ascii="Arial" w:cs="Arial" w:eastAsia="Arial" w:hAnsi="Arial"/>
          <w:sz w:val="17"/>
          <w:szCs w:val="17"/>
          <w:color w:val="auto"/>
        </w:rPr>
        <w:t>In the case of an Option granted under the Key Employee Plan, a finding by the Committee, that the Optionee has been discharged from employment with the Company for Cause. For purposes of this Section, “Cause” shall mean: (A) a breach by Optionee of his employment agreement with the Company, (B) a breach of Optionee’s duty of loyalty to the Company, including without limitation any act of dishonesty, embezzlement or fraud with respect to the Company, (C) the commission by Optionee of a felony, a crime involving moral turpitude or other act causing material harm to the Company’s standing and reputation, (D) Optionee’s continued failure to perform his duties to the Company or (E) unauthorized disclosure by Optionee of trade secrets or other confidential information belonging to the Company. In the event of a finding that the Optionee has been discharged for Cause, in addition to immediate termination of the Option, the Optionee shall automatically forfeit all Option Shares for which the Company has not yet delivered the share certificates upon refund of the Option Price.</w:t>
      </w:r>
    </w:p>
    <w:p>
      <w:pPr>
        <w:spacing w:after="0" w:line="175" w:lineRule="exact"/>
        <w:rPr>
          <w:sz w:val="20"/>
          <w:szCs w:val="20"/>
          <w:color w:val="auto"/>
        </w:rPr>
      </w:pPr>
    </w:p>
    <w:p>
      <w:pPr>
        <w:ind w:left="1692" w:hanging="395"/>
        <w:spacing w:after="0"/>
        <w:tabs>
          <w:tab w:leader="none" w:pos="169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 “Change of Control” shall be deemed to have occurred upon the earliest to occur of the following events:</w:t>
      </w:r>
    </w:p>
    <w:p>
      <w:pPr>
        <w:spacing w:after="0" w:line="225" w:lineRule="exact"/>
        <w:rPr>
          <w:sz w:val="20"/>
          <w:szCs w:val="20"/>
          <w:color w:val="auto"/>
        </w:rPr>
      </w:pPr>
    </w:p>
    <w:p>
      <w:pPr>
        <w:ind w:left="-8" w:right="80" w:firstLine="1953"/>
        <w:spacing w:after="0" w:line="277" w:lineRule="auto"/>
        <w:tabs>
          <w:tab w:leader="none" w:pos="2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the stockholders of the Company (or the Board of Directors, if stockholder action is not required) approve a plan or other arrangement pursuant to which the Company will be dissolved or liquidated;</w:t>
      </w:r>
    </w:p>
    <w:p>
      <w:pPr>
        <w:spacing w:after="0" w:line="170" w:lineRule="exact"/>
        <w:rPr>
          <w:rFonts w:ascii="Arial" w:cs="Arial" w:eastAsia="Arial" w:hAnsi="Arial"/>
          <w:sz w:val="18"/>
          <w:szCs w:val="18"/>
          <w:color w:val="auto"/>
        </w:rPr>
      </w:pPr>
    </w:p>
    <w:p>
      <w:pPr>
        <w:ind w:left="-8" w:right="40" w:firstLine="1953"/>
        <w:spacing w:after="0" w:line="272" w:lineRule="auto"/>
        <w:tabs>
          <w:tab w:leader="none" w:pos="237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date the stockholders of the Company (or the Board of Directors, if stockholder action is not required) approve a definitive agreement to sell or otherwise dispose of all or substantially all of the assets of the Company to any “Unrelated Person” or “Unrelated Persons” (as defined below) acting in concert with one another. “Person” means any entity, person or group (within the meaning of Section 13(d)(3) or Section 14(d)(2) of the Exchange Act of 1934. “Unrelated Person” means any Person other than (1) the Company or any of its Affiliates or any employee benefit plan (or related trust) sponsored or maintained by the Company or any of its Affiliates or (2) any Person who, on the date of this Agreement is the beneficial owner of at least twenty percent (20%) of the outstanding Common Stock of the Company. “Affiliates” means any corporation or other business organization in which the Company owns, directly or indirectly, 50% or more of the voting stock or capital;</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63" w:name="page64"/>
    <w:bookmarkEnd w:id="63"/>
    <w:p>
      <w:pPr>
        <w:ind w:firstLine="1953"/>
        <w:spacing w:after="0" w:line="271" w:lineRule="auto"/>
        <w:tabs>
          <w:tab w:leader="none" w:pos="24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date the stockholders of the Company (or the Board of Directors, if stockholder action is not required) and the stockholders of the other constituent corporation (or its board of directors if stockholder action is not required) have approved a definitive agreement to merge or consolidate the Company with or into such other corporation, and such other corporation is an Unrelated Person, other than a merger or consolidation of the Company in which holders of shares of the Common Stock of the Company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the Company immediately before the merger or consolidation;</w:t>
      </w:r>
    </w:p>
    <w:p>
      <w:pPr>
        <w:spacing w:after="0" w:line="178" w:lineRule="exact"/>
        <w:rPr>
          <w:rFonts w:ascii="Arial" w:cs="Arial" w:eastAsia="Arial" w:hAnsi="Arial"/>
          <w:sz w:val="17"/>
          <w:szCs w:val="17"/>
          <w:color w:val="auto"/>
        </w:rPr>
      </w:pPr>
    </w:p>
    <w:p>
      <w:pPr>
        <w:ind w:right="240" w:firstLine="1953"/>
        <w:spacing w:after="0" w:line="277" w:lineRule="auto"/>
        <w:tabs>
          <w:tab w:leader="none" w:pos="24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any Unrelated Person will have become the beneficial owner of, or will have obtained voting control over, more than forty percent (40%) of the outstanding shares of the Common Stock of the Company; or</w:t>
      </w:r>
    </w:p>
    <w:p>
      <w:pPr>
        <w:spacing w:after="0" w:line="170" w:lineRule="exact"/>
        <w:rPr>
          <w:rFonts w:ascii="Arial" w:cs="Arial" w:eastAsia="Arial" w:hAnsi="Arial"/>
          <w:sz w:val="18"/>
          <w:szCs w:val="18"/>
          <w:color w:val="auto"/>
        </w:rPr>
      </w:pPr>
    </w:p>
    <w:p>
      <w:pPr>
        <w:ind w:left="2380" w:hanging="427"/>
        <w:spacing w:after="0"/>
        <w:tabs>
          <w:tab w:leader="none" w:pos="2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individuals who, as of the date of this Agreement, constitute the Board of Directors of the Company (the</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Incumbent Directors</w:t>
      </w:r>
      <w:r>
        <w:rPr>
          <w:rFonts w:ascii="Arial" w:cs="Arial" w:eastAsia="Arial" w:hAnsi="Arial"/>
          <w:sz w:val="17"/>
          <w:szCs w:val="17"/>
          <w:color w:val="auto"/>
        </w:rPr>
        <w:t>”) cease for any reason to constitute a majority of the members of the Board; provided that any individual who becomes a director after the date of this Agreement whose election or nomination for election by the Company’s shareholders was approved by a majority of the Incumbent Directors (other than an election or nomination of an individual whose initial assumption of office is in connection with an actual or threatened “election contest” relating to the election of the directors of the Company (as such terms are used in Rule 14a-11 under the Exchange Act), “tender offer” (as such term is used in Section 14(d) of the Exchange Act) or a proposed merger) will be deemed to be an Incumbent Director.</w:t>
      </w:r>
    </w:p>
    <w:p>
      <w:pPr>
        <w:spacing w:after="0" w:line="175" w:lineRule="exact"/>
        <w:rPr>
          <w:sz w:val="20"/>
          <w:szCs w:val="20"/>
          <w:color w:val="auto"/>
        </w:rPr>
      </w:pPr>
    </w:p>
    <w:p>
      <w:pPr>
        <w:ind w:left="1740" w:hanging="435"/>
        <w:spacing w:after="0"/>
        <w:tabs>
          <w:tab w:leader="none" w:pos="17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w:t>
      </w:r>
    </w:p>
    <w:p>
      <w:pPr>
        <w:spacing w:after="0" w:line="229"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No ISO granted under the Plan may be transferred, except by will or by the laws of descent and distribution. During the lifetime of the person to whom an ISO is granted, such Option may be exercised only by such person. No NQSO under the Plan may be transferred, except by will or by the laws of descent and distribution or pursuant to a qualified domestic relations order as defined by the Code or Title I of the Employee Retirement Income Security Act, or the rules thereunder.</w:t>
      </w:r>
    </w:p>
    <w:p>
      <w:pPr>
        <w:spacing w:after="0" w:line="183" w:lineRule="exact"/>
        <w:rPr>
          <w:sz w:val="20"/>
          <w:szCs w:val="20"/>
          <w:color w:val="auto"/>
        </w:rPr>
      </w:pPr>
    </w:p>
    <w:p>
      <w:pPr>
        <w:ind w:left="1740" w:hanging="435"/>
        <w:spacing w:after="0"/>
        <w:tabs>
          <w:tab w:leader="none" w:pos="17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p>
    <w:p>
      <w:pPr>
        <w:spacing w:after="0" w:line="229"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The option agreements shall contain such other provisions including, without limitation, additional restrictions upon the exercise of the Option or additional limitations upon the term of the Option, as the Committee shall deem advisable.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4" w:name="page65"/>
    <w:bookmarkEnd w:id="64"/>
    <w:p>
      <w:pPr>
        <w:ind w:left="660"/>
        <w:spacing w:after="0"/>
        <w:tabs>
          <w:tab w:leader="none" w:pos="10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Exercise</w:t>
      </w:r>
    </w:p>
    <w:p>
      <w:pPr>
        <w:spacing w:after="0" w:line="225" w:lineRule="exact"/>
        <w:rPr>
          <w:sz w:val="20"/>
          <w:szCs w:val="20"/>
          <w:color w:val="auto"/>
        </w:rPr>
      </w:pPr>
    </w:p>
    <w:p>
      <w:pPr>
        <w:ind w:left="1740" w:hanging="435"/>
        <w:spacing w:after="0"/>
        <w:tabs>
          <w:tab w:leader="none" w:pos="17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No Option shall be deemed to have been exercised prior to the receipt by the Company of written notice of such exercise and of payment in full of the Option Price for the Option Shares to be purchased. Each such notice shall (i) specify the number of Option Shares to be purchased, (ii) satisfy the securities law requirements set forth in this Section 5.4, and (iii) in the case of an ISO, state that the Optionee acknowledges that the Options Shares may not be sold within one year of exercise or two years from the Grant Date and that the Option must be exercised within three months following termination of employment or, in the case of termination of employment because of death or disability, one year from the date of death or disability, in order to maintain the ISO status of the Option.</w:t>
      </w:r>
    </w:p>
    <w:p>
      <w:pPr>
        <w:spacing w:after="0" w:line="189" w:lineRule="exact"/>
        <w:rPr>
          <w:sz w:val="20"/>
          <w:szCs w:val="20"/>
          <w:color w:val="auto"/>
        </w:rPr>
      </w:pPr>
    </w:p>
    <w:p>
      <w:pPr>
        <w:ind w:left="1740" w:hanging="435"/>
        <w:spacing w:after="0"/>
        <w:tabs>
          <w:tab w:leader="none" w:pos="17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p>
    <w:p>
      <w:pPr>
        <w:spacing w:after="0" w:line="22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Each exercise notice shall (unless the Option Shares are covered by a then current registration statement or a Notification under Regulation A under the Securities Act of 1933, as amended (the “Securities Act”)), contain the Optionee’s acknowledgment in form and substance satisfactory to the Company that (i) such Option Shares are being purchased for investment and not for distribution or resale (other than a distribution or resale which, in the opinion of counsel satisfactory to the Company, may be made without violating the registration provisions of the Securities Act); (ii) the Optionee has been advised and understands that (A) the Option Shares have not been registered under the Securities Act and are “restricted securities” within the meaning of Rule 144 under the Securities Act and are subject to restrictions on transfer and (B) the Company is under no obligation to register the Option Shares under the Securities Act or to take any action which would make available to the Optionee any exemption from such registration, (iii) such Option Shares may not be transferred without compliance with all applicable federal and state securities laws, and (iv) an appropriate legend referring to the foregoing restrictions on transfer and any other restrictions imposed in an option agreement may be endorsed on the certificates. Notwithstanding the above, should the Company be advised by counsel that the issuance of Option Shares upon the exercise of an Option should be delayed pending (A) registration under federal or state securities laws, (B) the receipt of an opinion that an appropriate exemption therefrom is available, (C) the listing or inclusion of the Option Shares on any securities exchange or in an automated quotation system or (D) the consent or approval of any governmental regulatory body whose consent or approval is necessary in connection with the issuance of such Option Shares, the Company may defer the exercise of any Option granted hereunder until either such event in A, B, C or D has occurred.</w:t>
      </w:r>
    </w:p>
    <w:p>
      <w:pPr>
        <w:spacing w:after="0" w:line="181" w:lineRule="exact"/>
        <w:rPr>
          <w:sz w:val="20"/>
          <w:szCs w:val="20"/>
          <w:color w:val="auto"/>
        </w:rPr>
      </w:pPr>
    </w:p>
    <w:p>
      <w:pPr>
        <w:ind w:left="1720" w:hanging="415"/>
        <w:spacing w:after="0"/>
        <w:tabs>
          <w:tab w:leader="none" w:pos="17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Disqualifying Disposition</w:t>
      </w:r>
    </w:p>
    <w:p>
      <w:pPr>
        <w:spacing w:after="0" w:line="22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An Optionee shall notify the Committee if any Option Shares received upon the exercise of an ISO are sold within one year of exercise or two years from the Grant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AWARDS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Grants of Stock Awards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Stock Awards will consist of shares of Common Stock (“Restricted Shares”) transferred to recipients (“Recipient”), either without payment therefor or with such payment as may be required by the Committee, as additional compensation for such Recipient’s service to the Company. Stock Awards shall be subject to such terms and conditions as the Committee determines appropriate as evidenced in a written document (an “Award Document”), including, without limitation, restrictions on the sale or other disposition of such Restricted Shares and rights of the Company to reacquire such Restricted Shares upon termination of the Recipient’s employment or service within specified periods.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5" w:name="page66"/>
    <w:bookmarkEnd w:id="65"/>
    <w:p>
      <w:pPr>
        <w:ind w:left="660"/>
        <w:spacing w:after="0"/>
        <w:tabs>
          <w:tab w:leader="none" w:pos="10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Transferability; Legends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Restricted Shares may be transferred only if (i) the Restricted Shares are covered by a then current registration statement or a Notification under Regulation A under the Securities Act, or such transfer complies with the requirements of Rule 144 of the Exchange Act; and (ii) such transfer does not violate any restriction imposed on the Stock Award. Restricted Shares may bear a legend referring to (x) the restrictions on transferability of such Restricted Shares, or (y) if the Recipient is subject to Section 16 of the Exchange Act at the time the Restricted Shares are issued, the liability which may arise under Section 16 upon disposition of the Restricted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APPRECIATION RIGHTS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Stock Appreciation Rights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 Stock Appreciation Right, or “SAR,” is an Award entitling the Recipient, upon exercise, to receive an amount in cash or Common Stock, or a combination thereof (such form to be determined by the Committee), determined solely by reference to appreciation, from and after the date of grant, in the Fair Market Value of a share of Common Stock. The date as of which such appreciation or other measure is determined shall be the exercise date of the SAR Award.</w:t>
      </w:r>
    </w:p>
    <w:p>
      <w:pPr>
        <w:spacing w:after="0" w:line="18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Grants</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SARs may be granted in tandem with, or independently of, Options granted under the Plan. When SARs are expressly granted in tandem with Options, then (i) the SARs will be exercisable only at such time or times, and to the extent, that the related Option is exercisable, and will be exercisable in accordance with the procedure required for exercise of the related Option; (ii) the SARs will terminate and no longer be exercisable upon the termination or exercise of the related Option, except that a SAR granted with respect to fewer than the full number of shares covered by an Option will not be terminated until and only to the extent that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 A SAR not expressly granted in tandem with an Option will become exercisable at such time or times, and on such conditions, as the Committee may specify in the SAR Award.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Terms and Conditions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Committee shall determine all terms and conditions of a SAR Award, including, but not limited to (i) the number of shares subject to such SAR Award or a formula for determining such, (ii) the terms and conditions on the grant, vesting (including any time- or performance-based vesting criteria), issuance and/or forfeiture of the shares, and (iii) such further terms and conditions as may be determined from time to time by the Committee, in each case not inconsistent with this Plan. The exercise price of a Stock Appreciation Right shall not be less than 100 percent of the Fair Market Value of the Stock on the date of grant. To the extent that an award of Stock Appreciation Rights is subject to Section 409A, it may contain such additional terms and conditions as the Committee shall determine in its sole discretion in order for such Award to comply with the requirements of Section 409A.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ind w:left="660"/>
        <w:spacing w:after="0"/>
        <w:tabs>
          <w:tab w:leader="none" w:pos="10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u w:val="single" w:color="auto"/>
          <w:color w:val="auto"/>
        </w:rPr>
        <w:t>Vesting of SAR Awards</w:t>
      </w:r>
    </w:p>
    <w:p>
      <w:pPr>
        <w:spacing w:after="0" w:line="229"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At the time of the grant of a SAR Award, the Committee shall establish a vesting date or vesting dates with respect to such SAR Award, provided that SARs awarded in tandem with Options shall be subject to the same vesting date or vesting dates established by the Committee pursuant to Section 4(g) for such related Options and shall be exercisable only to the extent that such related Option shall then be exercisable. The Committee may establish vesting dates based upon the passage of time and/or the satisfaction of performance criteria or other conditions as deemed appropriate by the Committee.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u w:val="single" w:color="auto"/>
          <w:color w:val="auto"/>
        </w:rPr>
        <w:t>RSU Grants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Committee may grant Awards in the form of Restricted Stock Units. A Restricted Stock Unit or RSU is a bookkeeping entry representing the equivalent of one share of Common Stock for each Restricted Stock Unit awarded to the Recipient and represents an unfunded and unsecured obligation of the Company. The Committee shall determine the restrictions and conditions applicable to each Restricted Stock Unit at the time of grant. Conditions may be based on continuing employment (or other service relationship) and/or achievement of pre-established performance goals and objectives. The terms and conditions of each RSU shall be determined by the Committee, and such terms and conditions may differ among individual Awards. At the end of the vesting period, the Restricted Stock Units, to the extent vested, shall be settled in the form of shares of Common Stock. To the extent that an award of Restricted Stock Units is subject to Section 409A, it may contain such additional terms and conditions as the Committee shall determine in its sole discretion in order for such Award to comply with the requirements of Section 409A.</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Terms and Conditions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Committee shall determine all terms and conditions of any such Restricted Stock Unit, including, but not limited to (i) the number of shares subject to such Restricted Stock Unit or a formula for determining such, (ii) the purchase price of the shares, if any, and the means of payment for the shares,</w:t>
      </w:r>
    </w:p>
    <w:p>
      <w:pPr>
        <w:ind w:right="20" w:firstLine="8"/>
        <w:spacing w:after="0" w:line="252"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performance criteria, if any, and level of achievement of such performance criteria that shall determine the number of shares granted, issued, retainable and/or vested, (iv) the terms and conditions on the grant, issuance and/or forfeiture of the shares, and (v) such further terms and conditions as may be determined from time to time by the Committee, in each case not inconsistent with this Plan. A Participant may not vote the shares represented by a Restricted Stock Unit. A Restricted Stock Unit may be settled in cash or Common Stock, or a combination, as determined by the Committee, with the amount of the cash payment based on the Fair Market Value of the shares of Common Stock at the time of vesting. Any such settlements may be subject to such conditions, restrictions and contingencies as the Committee shall establish.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7" w:name="page68"/>
    <w:bookmarkEnd w:id="67"/>
    <w:p>
      <w:pPr>
        <w:ind w:left="660"/>
        <w:spacing w:after="0"/>
        <w:tabs>
          <w:tab w:leader="none" w:pos="10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Vesting of Restricted Stock Unit</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At the time of the grant of a Restricted Stock Unit, the Committee shall establish a vesting date or vesting dates with respect to the shares of Common Stock covered by such Restricted Stock Unit, which vesting dates may be based upon the passage of time and/or the satisfaction of performance criteria or other conditions as deemed appropriate by the Committee.</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u w:val="single" w:color="auto"/>
          <w:color w:val="auto"/>
        </w:rPr>
        <w:t>Rights as a Stockholder</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Recipient shall have the rights as a stockholder only as to shares of Common Stock acquired by the Recipient upon the settlement of vested Restricted Stock Units.</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u w:val="single" w:color="auto"/>
          <w:color w:val="auto"/>
        </w:rPr>
        <w:t>Termination</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Except as may otherwise be provided by the Committee either in the Award or in writing after the Award is issued, the Recipient’s right in any Restricted Stock Units that have not vested shall automatically terminate upon the Recipient’s termination of employment (or cessation of service relationship) with the Company or any Affiliate for any reason.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Committee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“Committee,” for purposes of the Non-Qualified Plan and the Key Employee Plan, will be the Compensation Committee of the Board of Directors (the “Committee”) as constituted from time to time, or the full Board of Directors acting in its discretion. The Committee shall operate and administer the Plan, including the grant of Options and Stock Awards. The Committee shall make such interpretations and construction of the Plan as it deems appropriate or necessary from time to time in its sole discretion, such interpretations and construction of the Plan to be final, binding and conclusive.</w:t>
      </w:r>
    </w:p>
    <w:p>
      <w:pPr>
        <w:spacing w:after="0" w:line="1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Meetings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Discretion of Committee</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Committee shall from time to time at its discretion grant Awards pursuant to the terms of the Key Employee Plan and the Non-Qualified Plan. The Committee shall have plenary authority to determine the Optionees or Recipients (each a “Participant”) to whom and the times at which Awards shall be granted, the number of Plan Shares to be covered by such grants and the price and other terms and conditions thereof, including a specification with respect to whether an Option is intended to be an ISO, subject, however, to the express provisions of the Key Employee Plan and compliance with Rule 16b-3(d) under the Exchange Act. In making any such determination, the Committee may take into account the nature of the Participant’s services and responsibilities, the Participant’s present and potential contribution to the Company’s success and such other factors as it may deem relevant. The interpretation and construction by the Committee of any provision of the Plan or of any Award granted under it shall be final, binding and conclusive.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8" w:name="page69"/>
    <w:bookmarkEnd w:id="68"/>
    <w:p>
      <w:pPr>
        <w:ind w:left="660"/>
        <w:spacing w:after="0"/>
        <w:tabs>
          <w:tab w:leader="none" w:pos="10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u w:val="single" w:color="auto"/>
          <w:color w:val="auto"/>
        </w:rPr>
        <w:t>No Liability</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 member of the Board of Directors or the Committee shall be personally liable for any action or determination with respect to the Plan or any Award thereunder, or for any act or omission of any other member of the Board of Directors or the Committee, including but not limited to the exercise of any power and discretion given to him under the Plan, except those resulting from (i) any breach of such person’s duty of loyalty to the Company or its stockholders, (ii) acts or omissions not in good faith or involving intentional misconduct or a knowing violation of law or (iii) any transaction from which such person derived an improper personal benefit.</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u w:val="single" w:color="auto"/>
          <w:color w:val="auto"/>
        </w:rPr>
        <w:t>Indemnification</w:t>
      </w:r>
    </w:p>
    <w:p>
      <w:pPr>
        <w:spacing w:after="0" w:line="229" w:lineRule="exact"/>
        <w:rPr>
          <w:sz w:val="20"/>
          <w:szCs w:val="20"/>
          <w:color w:val="auto"/>
        </w:rPr>
      </w:pPr>
    </w:p>
    <w:p>
      <w:pPr>
        <w:ind w:right="100" w:firstLine="648"/>
        <w:spacing w:after="0" w:line="267" w:lineRule="auto"/>
        <w:rPr>
          <w:sz w:val="20"/>
          <w:szCs w:val="20"/>
          <w:color w:val="auto"/>
        </w:rPr>
      </w:pPr>
      <w:r>
        <w:rPr>
          <w:rFonts w:ascii="Arial" w:cs="Arial" w:eastAsia="Arial" w:hAnsi="Arial"/>
          <w:sz w:val="17"/>
          <w:szCs w:val="17"/>
          <w:color w:val="auto"/>
        </w:rPr>
        <w:t>In addition to such other rights of indemnification as he or she may have as a member of the Board of Directors or the Committee, and with respect to the administration of the Plan and the granting of Awards hereunder, each member of the Board of Directors and of the Committee shall be entitled to be indemnified by the Company to the fullest extent permitted by applicable law, for all expenses (including but not limited to reasonable attorneys’ fees and expenses), judgments, fines and amounts paid in settlement reasonably incurred by him in connection with or arising out of any action, suit or proceeding with respect to the administration of the Plan or the granting of Awards hereunder (each a “Proceeding”) in which he or she may be involved by reason of his being or having been a member of the Board of Directors or the Committee, whether or not he or she continues to be a member of the Board of Directors or the Committee at the time of the incurring of such expenses; provided however, that such indemnity shall not include any expenses incurred by such member of the Board of Directors or Committee in respect of any matter in which any settlement is effected in an amount in excess of the amount approved by the Company on the advice of its legal counsel; and provided further that no right of indemnification under the provisions set forth herein shall be available to or accessible by any such member of the Committee unless within ten (10) days after institution of any such action, suit or proceeding he or she shall have offered the Company in writing the opportunity to handle and defend such action, suit or proceeding at its own expense. The foregoing right of indemnification shall inure to the benefit of the heirs, executors or administrators of each such member of the Board of Directors or the Committee and shall be in addition to all other rights to which such member of the Board of Directors or the Committee would be entitled to as a matter of law, contract or otherwise. Expenses (including attorneys’ fees) incurred by a member of the Board of Directors or the Committee in defending any Proceeding may be paid by the Company in advance of the final disposition of such Proceeding upon receipt of an undertaking by or such person to repay all amounts advanced if it should be ultimately be determined that such person is not entitled to be indemnified under this Article or otherwise, except that no such advance payment will be required if it is determined by the Board of Directors that there is a substantial probability that such person will not be able to repay the advance payments.</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u w:val="single" w:color="auto"/>
          <w:color w:val="auto"/>
        </w:rPr>
        <w:t>Adjustments on Changes in Common Stock</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aggregate number of shares of Common Stock as to which Awards may be granted under the Non-Qualified Plan and the Key Employee Plan, the number of Option Shares covered by each outstanding Option, the Option Price per Option Share specified in each outstanding Option and such other per-share factors affecting Awards under this Plan shall be appropriately adjusted in the event of a stock dividend, stock split or other increase or decrease in the number of issued and outstanding shares of Common Stock resulting from a subdivision or consolidation of the Common Stock or other capital adjustment (not including the amendment of the Company’s certificate of incorporation to authorize a greater number of shares of capital stock or the issuance of Common Stock on the conversion of other securities of the Company which are convertible into Common Stock) effected without receipt of consideration by the Company. The Board of Directors shall have the authority to determine the adjustments to be made under this Section and any such determination by the Board of Directors shall be final, binding and conclusive, provided that no adjustment shall be made which will cause an ISO to lose its status as such.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Amendment of the Plan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Board of Directors at any time, and from time to time, may terminate, suspend, amend or otherwise modify the Plan in such manner as it may deem advisable. Notwithstanding the foregoing, no amendment of the Key Employee Plan which would change the eligibility of employees or the class of employees eligible to receive an Award or increase the maximum number of shares as to which Awards may be granted will be effective unless such action is approved by the stockholders of the Company to the extent stockholder approval is necessary for the Plan to satisfy the requirements of Section 422 of the Code, Rule 16b-3, any applicable securities exchange listing requirements, or other applicable requirements.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Amendment of Awards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Committee shall have the right to amend Awards hereunder issued to a Recipient, subject to the Recipient’s consent if such amendment is not favorable to the Recipient, except that the consent of the Recipient shall not be required for any amendment made in the event of a Change of Control. Notwithstanding the foregoing, the Committee shall not take any of the following actions without the approval of a majority of the shares present in person or represented by proxy at a duly convened meeting and entitled to vote thereon: (i) reduce the exercise price of an outstanding Award, (ii) exchange an Award that has an exercise price that is greater than the Fair Market Value of a share for cash or shares or (iii) cancel an Award in exchange for a replacement Award.</w:t>
      </w:r>
    </w:p>
    <w:p>
      <w:pPr>
        <w:spacing w:after="0" w:line="15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Continued Employment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grant of an Award pursuant to the Plan shall not be construed to imply or to constitute evidence of any agreement, express or implied, on the part of the Company to continue the employment of the Participant or the service as a member of the Board of Directors, as a consultant or in any other capacity, as the case may be, with the Company or any of its Affiliates.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ind w:left="660"/>
        <w:spacing w:after="0"/>
        <w:tabs>
          <w:tab w:leader="none" w:pos="11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u w:val="single" w:color="auto"/>
          <w:color w:val="auto"/>
        </w:rPr>
        <w:t>Withholding of Taxes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Whenever the Company proposes or is required to issue or transfer any shares of Common Stock pursuant to an Award hereunder, the Company shall have the right to (a) require the recipient or transferee to remit to the Company an amount sufficient to satisfy any federal, state and/or local withholding tax requirements prior to the delivery or transfer of any certificate or certificates for such Shares, or (b) take whatever action it deems necessary to protect its interests, including withholding a portion of such shares.</w:t>
      </w:r>
    </w:p>
    <w:p>
      <w:pPr>
        <w:sectPr>
          <w:pgSz w:w="11900" w:h="16838" w:orient="portrait"/>
          <w:cols w:equalWidth="0" w:num="1">
            <w:col w:w="11420"/>
          </w:cols>
          <w:pgMar w:left="240" w:top="580"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Adopted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BOD: 3/04/14</w:t>
      </w:r>
    </w:p>
    <w:p>
      <w:pPr>
        <w:spacing w:after="0" w:line="3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SH:</w:t>
        <w:tab/>
        <w:t>6/25/14</w:t>
      </w:r>
    </w:p>
    <w:p>
      <w:pPr>
        <w:spacing w:after="0" w:line="200" w:lineRule="exact"/>
        <w:rPr>
          <w:sz w:val="20"/>
          <w:szCs w:val="20"/>
          <w:color w:val="auto"/>
        </w:rPr>
      </w:pPr>
    </w:p>
    <w:p>
      <w:pPr>
        <w:sectPr>
          <w:pgSz w:w="11900" w:h="16838" w:orient="portrait"/>
          <w:cols w:equalWidth="0" w:num="2">
            <w:col w:w="620" w:space="360"/>
            <w:col w:w="10440"/>
          </w:cols>
          <w:pgMar w:left="240" w:top="580" w:right="2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ESTABLISHMENT</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1.1. Purpose. </w:t>
      </w:r>
      <w:r>
        <w:rPr>
          <w:rFonts w:ascii="Arial" w:cs="Arial" w:eastAsia="Arial" w:hAnsi="Arial"/>
          <w:sz w:val="17"/>
          <w:szCs w:val="17"/>
          <w:color w:val="auto"/>
        </w:rPr>
        <w:t>The inTEST Corporation 2007 Stock Plan (the "Plan") is hereby established by inTEST Corporation (the "Company"). The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is to promote the overall financial objectives of the Company and its stockholders by motivating those persons selected to participate in the Plan to achieve long-term growth in the equity of the Company and by retaining the association of those individuals who are instrumental in achieving this growth. The Plan provides additional incentives to officers and other key employees ("Key Employees"), consultants ("Consultants") and members of the Board of Directors of the Company or its Affiliates, as defined herein ("Directors"), to enter into or remain in the service or employ of the Company or its Affiliates and to devote themselves to the Company's success by granting such individuals an opportunity to acquire or increase their proprietary interest in the Company through receipt of (i) rights (the "Options") to acquire the Company's Common Stock, par value $.01 per share (the "Common Stock"), and (ii) awards of shares of the Common Stock ("Stock Awards").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Two-Part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divided into two sub-plans: the "Key Employee Plan," which will govern benefits for Key Employees,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and the "Non-Qualified Plan," which will govern benefits to Directors and Consultants. All provisions hereunder which refer to the "Plan" shall apply to each of the Key Employee Plan and the Non-Qualified Plan.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SUBJECT TO PLAN</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Aggregate Maximum Number</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maximum number of shares of the Common Stock for which Options or Stock Awards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granted under the Plan, including without limitation, the Key Employee Plan, is 500,000 shares (the "Plan Shares"), which number is subject to adjustment as provided in Section 7.6. Plan Shares shall be issued from authorized and unissued Common Stock or Common Stock held in or hereafter acquired for the treasury of the Company. If any outstanding Option granted under the Plan expires, lapses or is terminated for any reason, or if pursuant to the terms of a Stock Award the shares so awarded are forfeited, the Plan Shares allocable to the unexercised portion of such Option, or such forfeited shares of a Stock Award may again be the subject of an Option or Stock Award granted pursuant to the Plan.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OF PLAN</w:t>
      </w:r>
    </w:p>
    <w:p>
      <w:pPr>
        <w:spacing w:after="0" w:line="2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commence on the date of approval of the Plan by the Board of Directors of the Company ("Effective Date"), but</w:t>
      </w:r>
      <w:r>
        <w:rPr>
          <w:rFonts w:ascii="Arial" w:cs="Arial" w:eastAsia="Arial" w:hAnsi="Arial"/>
          <w:sz w:val="18"/>
          <w:szCs w:val="18"/>
          <w:b w:val="1"/>
          <w:bCs w:val="1"/>
          <w:color w:val="auto"/>
        </w:rPr>
        <w:t xml:space="preserve"> </w:t>
      </w:r>
      <w:r>
        <w:rPr>
          <w:rFonts w:ascii="Arial" w:cs="Arial" w:eastAsia="Arial" w:hAnsi="Arial"/>
          <w:sz w:val="18"/>
          <w:szCs w:val="18"/>
          <w:color w:val="auto"/>
        </w:rPr>
        <w:t>shall terminate unless the Plan is approved by the stockholders of the Company within twelve months of such date as set forth in Section 422(b)(1) of the Internal Revenue Code of 1986, as amended (the "Code"). Any Options granted pursuant to the Plan prior to approval of the Plan by the stockholders of the Company shall be subject to such approval and, notwithstanding anything to the contrary herein or in any Option Document (as defined below), shall not be exercisable until such approval is obtained. Any Stock Awards granted pursuant to the Plan prior to approval of the Plan by the stockholders of the Company shall not vest until after such approval is obtained. No Option or Stock Awards may be granted under the Plan on or after the date which is ten years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left="5180"/>
        <w:spacing w:after="0"/>
        <w:rPr>
          <w:sz w:val="20"/>
          <w:szCs w:val="20"/>
          <w:color w:val="auto"/>
        </w:rPr>
      </w:pPr>
      <w:r>
        <w:rPr>
          <w:rFonts w:ascii="Arial" w:cs="Arial" w:eastAsia="Arial" w:hAnsi="Arial"/>
          <w:sz w:val="18"/>
          <w:szCs w:val="18"/>
          <w:b w:val="1"/>
          <w:bCs w:val="1"/>
          <w:u w:val="single" w:color="auto"/>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ELIGIBILITY</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305"/>
        <w:spacing w:after="0" w:line="291" w:lineRule="auto"/>
        <w:tabs>
          <w:tab w:leader="none" w:pos="1785"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Key Employee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herein provided, the persons who shall be eligible to participate in the Key Employee Plan and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awards of Options or Stock Awards ("Benefits") shall be those Key Employees who shall be in a position, in the opinion of the Committee, as defined herein, to make contributions to the growth, management, protection and success of the Company and its Affiliates. Of those persons described in the preceding sentence, the Administrator, as herein defined, may, from time to time, select persons to be granted Benefits and shall determine the terms and conditions with respect thereto. In making any such selection and in determining the form of the benefit, the Administrator may give consideration to the person's functions and responsibilities, the person's contributions to the Company and its Affiliates, the value of the individual's service to the Company and its Affiliates and such other factors deemed relevant by the Administrator. The term "Affiliates" shall mean any corporation in which the Company owns, directly or indirectly, 50 percent or more of the voting stock or capital at the time of the granting of the Option or Stock Award.</w:t>
      </w:r>
    </w:p>
    <w:p>
      <w:pPr>
        <w:spacing w:after="0" w:line="160" w:lineRule="exact"/>
        <w:rPr>
          <w:rFonts w:ascii="Arial" w:cs="Arial" w:eastAsia="Arial" w:hAnsi="Arial"/>
          <w:sz w:val="16"/>
          <w:szCs w:val="16"/>
          <w:b w:val="1"/>
          <w:bCs w:val="1"/>
          <w:color w:val="auto"/>
        </w:rPr>
      </w:pPr>
    </w:p>
    <w:p>
      <w:pPr>
        <w:ind w:firstLine="1305"/>
        <w:spacing w:after="0" w:line="282" w:lineRule="auto"/>
        <w:tabs>
          <w:tab w:leader="none" w:pos="1741"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Non-Qualified Plan</w:t>
      </w:r>
      <w:r>
        <w:rPr>
          <w:rFonts w:ascii="Arial" w:cs="Arial" w:eastAsia="Arial" w:hAnsi="Arial"/>
          <w:sz w:val="18"/>
          <w:szCs w:val="18"/>
          <w:b w:val="1"/>
          <w:bCs w:val="1"/>
          <w:color w:val="auto"/>
        </w:rPr>
        <w:t xml:space="preserve">. </w:t>
      </w:r>
      <w:r>
        <w:rPr>
          <w:rFonts w:ascii="Arial" w:cs="Arial" w:eastAsia="Arial" w:hAnsi="Arial"/>
          <w:sz w:val="18"/>
          <w:szCs w:val="18"/>
          <w:color w:val="auto"/>
        </w:rPr>
        <w:t>NQSOs, as defined herein, and Stock Awards may be granted to Directors and Consultants pursuant to the Non-Qualified Plan as herein provided.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Key Employee Plan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granted under the Key Employee Plan may be either ISOs, as defined herein, or NQSOs. Each Option</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under the Key Employee Plan is intended to be an incentive stock option ("ISO") within the meaning of Section 422(b) of the Code for federal income tax purposes, except to the extent (i) any such ISO grant would exceed the limitation of subsection 5.3(a) below, (ii) any Option is specifically designated at the time of grant (the "Grant Date") as not being an ISO (an Option which is not an ISO, and therefore is a non-qualified option, is referred to herein as an "NQSO"), or (iii) any Option is granted to a person who is not an employee of the Company or any Affiliate on the Grant Date. Under the Key Employee Plan, Options may be granted to Key Employees at such times, in such amounts, and on such terms and conditions as determined by the Administrator, in accordance with the terms of the Plan, and, in the case of Options granted to any executive officer of the Company, subject to the further approval and recommendation of a majority of the Independent Directors and the Board of Directors. "Independent Director" shall have the same meaning as given to that term in Rule 4200 of NASDAQ's listing standards, as it may from time to time be amended.</w:t>
      </w:r>
    </w:p>
    <w:p>
      <w:pPr>
        <w:spacing w:after="0" w:line="174"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Non-Qualified Plan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granted under the Non-Qualified Plan shall be NQSOs. Such Options may be granted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Consultants at such times, in such amounts, and on such terms and conditions as determined by the Administrator in accordance with the terms of the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u w:val="single" w:color="auto"/>
          <w:color w:val="auto"/>
        </w:rPr>
        <w:t>Terms and Conditions of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granted pursuant to the Plan shall be evidenced by written documents ("Option Documents") in</w:t>
      </w:r>
      <w:r>
        <w:rPr>
          <w:rFonts w:ascii="Arial" w:cs="Arial" w:eastAsia="Arial" w:hAnsi="Arial"/>
          <w:sz w:val="17"/>
          <w:szCs w:val="17"/>
          <w:b w:val="1"/>
          <w:bCs w:val="1"/>
          <w:color w:val="auto"/>
        </w:rPr>
        <w:t xml:space="preserve"> </w:t>
      </w:r>
      <w:r>
        <w:rPr>
          <w:rFonts w:ascii="Arial" w:cs="Arial" w:eastAsia="Arial" w:hAnsi="Arial"/>
          <w:sz w:val="17"/>
          <w:szCs w:val="17"/>
          <w:color w:val="auto"/>
        </w:rPr>
        <w:t>such form as the Administrator shall from time to time approve, subject to the following terms and conditions. Option Documents may also contain such other terms and conditions (including vesting schedules for the exercisability of Options) which the Administrator shall from time to time provide which are not inconsistent with the terms of the Plan. Persons to whom Options are granted are hereinafter referred to as "Optionees."</w:t>
      </w:r>
    </w:p>
    <w:p>
      <w:pPr>
        <w:spacing w:after="0" w:line="165" w:lineRule="exact"/>
        <w:rPr>
          <w:sz w:val="20"/>
          <w:szCs w:val="20"/>
          <w:color w:val="auto"/>
        </w:rPr>
      </w:pPr>
    </w:p>
    <w:p>
      <w:pPr>
        <w:jc w:val="both"/>
        <w:ind w:firstLine="1305"/>
        <w:spacing w:after="0" w:line="303" w:lineRule="auto"/>
        <w:tabs>
          <w:tab w:leader="none" w:pos="1745"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Option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Option Document shall state the number of shares of Common Stock ("Option Shares") to which it</w:t>
      </w:r>
      <w:r>
        <w:rPr>
          <w:rFonts w:ascii="Arial" w:cs="Arial" w:eastAsia="Arial" w:hAnsi="Arial"/>
          <w:sz w:val="16"/>
          <w:szCs w:val="16"/>
          <w:b w:val="1"/>
          <w:bCs w:val="1"/>
          <w:color w:val="auto"/>
        </w:rPr>
        <w:t xml:space="preserve"> </w:t>
      </w:r>
      <w:r>
        <w:rPr>
          <w:rFonts w:ascii="Arial" w:cs="Arial" w:eastAsia="Arial" w:hAnsi="Arial"/>
          <w:sz w:val="16"/>
          <w:szCs w:val="16"/>
          <w:color w:val="auto"/>
        </w:rPr>
        <w:t>pertains. If the aggregate fair market value of Option Shares with respect to which ISOs are exercisable for the first time by an Optionee during any calendar year (determined as of the date the ISO is granted) and any options granted under other incentive stock option plans of the Company exceed $100,000, the portion of such options in excess of $100,000 shall be treated as options which are not ISOs in accordance with Section 422(d) of the Code.</w:t>
      </w:r>
    </w:p>
    <w:p>
      <w:pPr>
        <w:spacing w:after="0" w:line="151" w:lineRule="exact"/>
        <w:rPr>
          <w:rFonts w:ascii="Arial" w:cs="Arial" w:eastAsia="Arial" w:hAnsi="Arial"/>
          <w:sz w:val="16"/>
          <w:szCs w:val="16"/>
          <w:b w:val="1"/>
          <w:bCs w:val="1"/>
          <w:color w:val="auto"/>
        </w:rPr>
      </w:pPr>
    </w:p>
    <w:p>
      <w:pPr>
        <w:jc w:val="both"/>
        <w:ind w:firstLine="1305"/>
        <w:spacing w:after="0" w:line="254" w:lineRule="auto"/>
        <w:tabs>
          <w:tab w:leader="none" w:pos="178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Option Document shall state the price at which an Option Share may be purchased (the "Option Price"),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not less than 100% of the "Fair Market Value" of a share of the Common Stock on the Grant Date. If the Common Stock is listed on a national securities exchange, the Fair Market Value is the closing price of the Common Stock on the relevant date (or, if such date is not a business day or a day on which quotations are reported, then on the immediately preceding date on which quotations were reported), as reported by the principal national exchange on which such shares are traded (in the case of an exchange). If the Common Stock is not listed on a national securities exchange, the Fair Market Value will be as determined by the Administrator in good faith in accordance with Section 409A of the Code. If an ISO is granted to an Optionee who then owns, directly or by attribution under Section 424(d) of the Code, shares possessing more than ten percent (10%) of the total combined voting power of all classes of stock of the Company, then the Option Price shall be not less than One Hundred and Ten Percent (110%) of the Fair Market Value of an Option Share on the Grant Date.</w:t>
      </w:r>
    </w:p>
    <w:p>
      <w:pPr>
        <w:spacing w:after="0" w:line="189" w:lineRule="exact"/>
        <w:rPr>
          <w:rFonts w:ascii="Arial" w:cs="Arial" w:eastAsia="Arial" w:hAnsi="Arial"/>
          <w:sz w:val="18"/>
          <w:szCs w:val="18"/>
          <w:b w:val="1"/>
          <w:bCs w:val="1"/>
          <w:color w:val="auto"/>
        </w:rPr>
      </w:pPr>
    </w:p>
    <w:p>
      <w:pPr>
        <w:jc w:val="both"/>
        <w:ind w:firstLine="1305"/>
        <w:spacing w:after="0" w:line="286" w:lineRule="auto"/>
        <w:tabs>
          <w:tab w:leader="none" w:pos="17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Medium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Optionee shall pay for Options Shares (i) in cash, (ii) by bank check payable to the order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(iii) by such other mode of payment as the Administrator may approve, including payment through a broker in accordance with procedures permitted by Regulation T of the Federal Reserve Board. Furthermore, the Administrator may provide in an Option Document that payment may be made in whole or in part in shares of the Common Stock held by the Optionee for more than one year. If payment is made in whole or in part in shares of the Common Stock, then the Optionee shall deliver to the Company certificates registered in the name of such Optionee representing shares of Common Stock legally and beneficially owned by such Optionee, free of all liens, claims and encumbrances of every kind and having a Fair Market Value on the date of delivery of such notice that is not less than the Option Price of the Option Shares with respect to which such Option is to be exercised, accompanied by stock powers duly endorsed in blank by the record holder of the shares represented by such certificates. If certificates for shares of the Company's Common Stock delivered to the Company represent a number of shares in excess ("Excess Shares") of the number of shares required to make payment for the Option Price of the Option Shares (or the relevant portion thereof) with respect to which such Option is to be exercised by payment in shares of Common Stock, the stock certificate issued to the Optionee shall represent the total of the Option Shares in respect of which payment is so made plus such Excess Shares. Notwithstanding the foregoing, the Board of Directors, in its sole discretion, may refuse to accept shares of Common Stock in payment of the Option Price. In that event, any certificates representing shares of Common Stock which were delivered to the Company shall be returned to the Optionee with notice of the refusal of the Board of Directors to accept such shares in payment of the Option Price. The Board of Directors may impose such limitations or prohibitions on the use of shares of the Common Stock to exercise an Option as it deems appropriate, subject to the provisions of the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ind w:left="1300"/>
        <w:spacing w:after="0"/>
        <w:tabs>
          <w:tab w:leader="none" w:pos="176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6"/>
          <w:szCs w:val="16"/>
          <w:b w:val="1"/>
          <w:bCs w:val="1"/>
          <w:u w:val="single" w:color="auto"/>
          <w:color w:val="auto"/>
        </w:rPr>
        <w:t>Initial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determine and set forth in the Option Document the time at which an Option may first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207" w:lineRule="exact"/>
        <w:rPr>
          <w:sz w:val="20"/>
          <w:szCs w:val="20"/>
          <w:color w:val="auto"/>
        </w:rPr>
      </w:pPr>
    </w:p>
    <w:p>
      <w:pPr>
        <w:jc w:val="both"/>
        <w:ind w:firstLine="1305"/>
        <w:spacing w:after="0" w:line="261" w:lineRule="auto"/>
        <w:tabs>
          <w:tab w:leader="none" w:pos="1829"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 Options shall expire at such time as the Administrator may determine and set forth in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which date shall not be later than the last business date immediately preceding the tenth anniversary of the Grant Date of such Option (the "Expiration Date"). No Option may be exercised later than the Expiration Date. Notwithstanding the foregoing, no Option shall be exercisable after the first to occur of the following:</w:t>
      </w:r>
    </w:p>
    <w:p>
      <w:pPr>
        <w:spacing w:after="0" w:line="184" w:lineRule="exact"/>
        <w:rPr>
          <w:rFonts w:ascii="Arial" w:cs="Arial" w:eastAsia="Arial" w:hAnsi="Arial"/>
          <w:sz w:val="18"/>
          <w:szCs w:val="18"/>
          <w:b w:val="1"/>
          <w:bCs w:val="1"/>
          <w:color w:val="auto"/>
        </w:rPr>
      </w:pPr>
    </w:p>
    <w:p>
      <w:pPr>
        <w:ind w:firstLine="1953"/>
        <w:spacing w:after="0" w:line="342" w:lineRule="auto"/>
        <w:tabs>
          <w:tab w:leader="none" w:pos="2474"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case of an ISO, five years from the Grant Date if, on the Grant Date the Optionee owns, directly or by attribution under Section 424(d) of the Code, shares possessing more than ten percent (10%) of the total combined voting power of all classes of stock of the Company;</w:t>
      </w:r>
    </w:p>
    <w:p>
      <w:pPr>
        <w:spacing w:after="0" w:line="123" w:lineRule="exact"/>
        <w:rPr>
          <w:rFonts w:ascii="Arial" w:cs="Arial" w:eastAsia="Arial" w:hAnsi="Arial"/>
          <w:sz w:val="16"/>
          <w:szCs w:val="16"/>
          <w:color w:val="auto"/>
        </w:rPr>
      </w:pPr>
    </w:p>
    <w:p>
      <w:pPr>
        <w:jc w:val="both"/>
        <w:ind w:firstLine="1953"/>
        <w:spacing w:after="0" w:line="257" w:lineRule="auto"/>
        <w:tabs>
          <w:tab w:leader="none" w:pos="24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date set by the Board of Directors of the Company to be an accelerated expiration date after a finding by the Board of Directors of the Company that a change in the financial accounting treatment for Options from that in effect on the date the Plan was adopted materially adversely affects or, in the determination of the Board of Directors, may materially adversely affect in the foreseeable future, the Company, provided the Board of Directors may take whatever other action, including acceleration of any exercise provisions, it deems necessary should it make the determination referred to hereinabove;</w:t>
      </w:r>
    </w:p>
    <w:p>
      <w:pPr>
        <w:spacing w:after="0" w:line="188" w:lineRule="exact"/>
        <w:rPr>
          <w:rFonts w:ascii="Arial" w:cs="Arial" w:eastAsia="Arial" w:hAnsi="Arial"/>
          <w:sz w:val="18"/>
          <w:szCs w:val="18"/>
          <w:color w:val="auto"/>
        </w:rPr>
      </w:pPr>
    </w:p>
    <w:p>
      <w:pPr>
        <w:ind w:firstLine="1953"/>
        <w:spacing w:after="0" w:line="342" w:lineRule="auto"/>
        <w:tabs>
          <w:tab w:leader="none" w:pos="242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Expiration of one year (or such shorter period as the Administrator may select and set forth in the Option Document) from the date the Optionee's employment or service with the Company terminates for any reason other than circumstances described by Subsection (e)(v), below;</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5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of a "Change in Control" (as defined in Subsection (f) below), the Administrator can (A) accelerate the Expiration Date of any Option which has vested provided an Optionee who holds an Option is given written notice at least thirty (30) days before the date so fixed, (B) terminate any Option which has not then vested or (C) accelerate the vesting schedule of any Option; or</w:t>
      </w:r>
    </w:p>
    <w:p>
      <w:pPr>
        <w:spacing w:after="0" w:line="181" w:lineRule="exact"/>
        <w:rPr>
          <w:rFonts w:ascii="Arial" w:cs="Arial" w:eastAsia="Arial" w:hAnsi="Arial"/>
          <w:sz w:val="18"/>
          <w:szCs w:val="18"/>
          <w:color w:val="auto"/>
        </w:rPr>
      </w:pPr>
    </w:p>
    <w:p>
      <w:pPr>
        <w:jc w:val="both"/>
        <w:ind w:firstLine="1953"/>
        <w:spacing w:after="0" w:line="271" w:lineRule="auto"/>
        <w:tabs>
          <w:tab w:leader="none" w:pos="2465"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 the case of an Option granted under the Key Employee Plan, a finding by the Committee, that the Optionee has been discharged from employment with the Company for Cause. For purposes of this Section, "Cause" shall mean: (A) a breach by Optionee of his employment agreement with the Company, (B) a breach of Optionee's duty of loyalty to the Company, including without limitation any act of dishonesty, embezzlement or fraud with respect to the Company, (C) the commission by Optionee of a felony, a crime involving moral turpitude or other act causing material harm to the Company's standing and reputation, (D) Optionee's continued failure to perform his duties to the Company or (E) unauthorized disclosure by Optionee of trade secrets or other confidential information belonging to the Company. In the event of a finding that the Optionee has been discharged for Cause, in addition to immediate termination of the Option, the Optionee shall automatically forfeit all Option Shares for which the Company has not yet delivered the share certificates upon refund of the Option Price.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ind w:left="1700" w:hanging="395"/>
        <w:spacing w:after="0"/>
        <w:tabs>
          <w:tab w:leader="none" w:pos="17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of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 "Change of Control" shall be deemed to have occurred upon the earliest to occur of the following events:</w:t>
      </w:r>
    </w:p>
    <w:p>
      <w:pPr>
        <w:spacing w:after="0" w:line="240" w:lineRule="exact"/>
        <w:rPr>
          <w:rFonts w:ascii="Arial" w:cs="Arial" w:eastAsia="Arial" w:hAnsi="Arial"/>
          <w:sz w:val="17"/>
          <w:szCs w:val="17"/>
          <w:b w:val="1"/>
          <w:bCs w:val="1"/>
          <w:color w:val="auto"/>
        </w:rPr>
      </w:pPr>
    </w:p>
    <w:p>
      <w:pPr>
        <w:ind w:firstLine="1953"/>
        <w:spacing w:after="0" w:line="277" w:lineRule="auto"/>
        <w:tabs>
          <w:tab w:leader="none" w:pos="23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date the stockholders of the Company (or the Board of Directors, if stockholder action is not required) approve a plan or other arrangement pursuant to which the Company will be dissolved or liquidated;</w:t>
      </w:r>
    </w:p>
    <w:p>
      <w:pPr>
        <w:spacing w:after="0" w:line="170" w:lineRule="exact"/>
        <w:rPr>
          <w:rFonts w:ascii="Arial" w:cs="Arial" w:eastAsia="Arial" w:hAnsi="Arial"/>
          <w:sz w:val="18"/>
          <w:szCs w:val="18"/>
          <w:color w:val="auto"/>
        </w:rPr>
      </w:pPr>
    </w:p>
    <w:p>
      <w:pPr>
        <w:jc w:val="both"/>
        <w:ind w:firstLine="1953"/>
        <w:spacing w:after="0" w:line="272" w:lineRule="auto"/>
        <w:tabs>
          <w:tab w:leader="none" w:pos="251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date the stockholders of the Company (or the Board of Directors, if stockholder action is not required) approve a definitive agreement to sell or otherwise dispose of all or substantially all of the assets of the Company to any “Unrelated Person” or “Unrelated Persons” (as defined below) acting in concert with one another. “Person” means any entity, person or group (within the meaning of Section 13(d)(3) or Section 14(d)(2) of the Exchange Act of 1934. “Unrelated Person” means any Person other than (1) the Company or any of its Affiliates or any employee benefit plan (or related trust) sponsored or maintained by the Company or any of its Affiliates or (2) any Person who, on the date of this Agreement is the beneficial owner of at least twenty percent (20%) of the outstanding Common Stock of the Company. “Affiliates” means any corporation or other business organization in which the Company owns, directly or indirectly, 50% or more of the voting stock or capital;</w:t>
      </w:r>
    </w:p>
    <w:p>
      <w:pPr>
        <w:spacing w:after="0" w:line="177" w:lineRule="exact"/>
        <w:rPr>
          <w:rFonts w:ascii="Arial" w:cs="Arial" w:eastAsia="Arial" w:hAnsi="Arial"/>
          <w:sz w:val="17"/>
          <w:szCs w:val="17"/>
          <w:color w:val="auto"/>
        </w:rPr>
      </w:pPr>
    </w:p>
    <w:p>
      <w:pPr>
        <w:jc w:val="both"/>
        <w:ind w:firstLine="1953"/>
        <w:spacing w:after="0" w:line="271" w:lineRule="auto"/>
        <w:tabs>
          <w:tab w:leader="none" w:pos="2525"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date the stockholders of the Company (or the Board of Directors, if stockholder action is not required) and the stockholders of the other constituent corporation (or its board of directors if stockholder action is not required) have approved a definitive agreement to merge or consolidate the Company with or into such other corporation, and such other corporation is an Unrelated Person, other than a merger or consolidation of the Company in which holders of shares of the Common Stock of the Company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the Company immediately before the merger or consolidation;</w:t>
      </w:r>
    </w:p>
    <w:p>
      <w:pPr>
        <w:spacing w:after="0" w:line="178" w:lineRule="exact"/>
        <w:rPr>
          <w:rFonts w:ascii="Arial" w:cs="Arial" w:eastAsia="Arial" w:hAnsi="Arial"/>
          <w:sz w:val="17"/>
          <w:szCs w:val="17"/>
          <w:color w:val="auto"/>
        </w:rPr>
      </w:pPr>
    </w:p>
    <w:p>
      <w:pPr>
        <w:ind w:right="20" w:firstLine="1953"/>
        <w:spacing w:after="0" w:line="277" w:lineRule="auto"/>
        <w:tabs>
          <w:tab w:leader="none" w:pos="24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date any Unrelated Person will have become the beneficial owner of, or will have obtained voting control over, more than forty percent (40%) of the outstanding shares of the Common Stock of the Company; or</w:t>
      </w:r>
    </w:p>
    <w:p>
      <w:pPr>
        <w:spacing w:after="0" w:line="170" w:lineRule="exact"/>
        <w:rPr>
          <w:rFonts w:ascii="Arial" w:cs="Arial" w:eastAsia="Arial" w:hAnsi="Arial"/>
          <w:sz w:val="18"/>
          <w:szCs w:val="18"/>
          <w:color w:val="auto"/>
        </w:rPr>
      </w:pPr>
    </w:p>
    <w:p>
      <w:pPr>
        <w:jc w:val="both"/>
        <w:ind w:firstLine="1953"/>
        <w:spacing w:after="0" w:line="273" w:lineRule="auto"/>
        <w:tabs>
          <w:tab w:leader="none" w:pos="2551"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date individuals who, as of the date of this Agreement, constitute the Board of Directors of the Company (the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cease for any reason to constitute a majority of the members of the Board; provided that any individual who becomes a director after the date of this Agreement whose election or nomination for election by the Company’s shareholders was approved by a majority of the Incumbent Directors (other than an election or nomination of an individual whose initial assumption of office is in connection with an actual or threatened “election contest” relating to the election of the directors of the Company (as such terms are used in Rule 14a-11 under the Exchange Act), “tender offer” (as such term is used in Section 14(d) of the Exchange Act) or a proposed merger) will be deemed to be an Incumbent Director.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jc w:val="both"/>
        <w:ind w:firstLine="1305"/>
        <w:spacing w:after="0" w:line="261" w:lineRule="auto"/>
        <w:tabs>
          <w:tab w:leader="none" w:pos="177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No ISO granted under the Plan may be transferred, except by will or by the laws of descent and distribution.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lifetime of the person to whom an ISO is granted, such Option may be exercised only by such person. No NQSO under the Plan may be transferred, except by will or by the laws of descent and distribution or pursuant to a qualified domestic relations order as defined by the Code or Title I of the Employee Retirement Income Security Act, or the rules thereunder.</w:t>
      </w:r>
    </w:p>
    <w:p>
      <w:pPr>
        <w:spacing w:after="0" w:line="180" w:lineRule="exact"/>
        <w:rPr>
          <w:rFonts w:ascii="Arial" w:cs="Arial" w:eastAsia="Arial" w:hAnsi="Arial"/>
          <w:sz w:val="18"/>
          <w:szCs w:val="18"/>
          <w:b w:val="1"/>
          <w:bCs w:val="1"/>
          <w:color w:val="auto"/>
        </w:rPr>
      </w:pPr>
    </w:p>
    <w:p>
      <w:pPr>
        <w:ind w:firstLine="1305"/>
        <w:spacing w:after="0" w:line="282" w:lineRule="auto"/>
        <w:tabs>
          <w:tab w:leader="none" w:pos="176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Documents shall contain such other provisions including, without limitation, additional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exercise of the Option or additional limitations upon the term of the Option, as the Administrator shall deem advisable.</w:t>
      </w:r>
    </w:p>
    <w:p>
      <w:pPr>
        <w:spacing w:after="0" w:line="161" w:lineRule="exact"/>
        <w:rPr>
          <w:rFonts w:ascii="Arial" w:cs="Arial" w:eastAsia="Arial" w:hAnsi="Arial"/>
          <w:sz w:val="18"/>
          <w:szCs w:val="18"/>
          <w:b w:val="1"/>
          <w:bCs w:val="1"/>
          <w:color w:val="auto"/>
        </w:rPr>
      </w:pPr>
    </w:p>
    <w:p>
      <w:pPr>
        <w:jc w:val="both"/>
        <w:ind w:firstLine="1305"/>
        <w:spacing w:after="0" w:line="256" w:lineRule="auto"/>
        <w:tabs>
          <w:tab w:leader="none" w:pos="1759"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shall have the right to amend Option Documents issued to an Optionee, subject to the Optionee's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if such amendment is not favorable to the Optionee, except that the consent of the Optionee shall not be required for any amendment made in the event of a Change of Control. Notwithstanding the foregoing, the Administrator shall not take any of the following actions without the approval of a majority of the shares present in person or represented by proxy at a duly convened meeting and entitled to vote thereon: (i) reduce the exercise price of an outstanding Option, (ii) exchange an option that has an exercise price that is greater than the Fair Market Value of a share for cash or shares, or (iii) cancel an Option in exchange for a replacement Option.</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u w:val="single" w:color="auto"/>
          <w:color w:val="auto"/>
        </w:rPr>
        <w:t>Exercise</w:t>
      </w:r>
      <w:r>
        <w:rPr>
          <w:rFonts w:ascii="Arial" w:cs="Arial" w:eastAsia="Arial" w:hAnsi="Arial"/>
          <w:sz w:val="15"/>
          <w:szCs w:val="15"/>
          <w:b w:val="1"/>
          <w:bCs w:val="1"/>
          <w:color w:val="auto"/>
        </w:rPr>
        <w:t>.</w:t>
      </w:r>
    </w:p>
    <w:p>
      <w:pPr>
        <w:spacing w:after="0" w:line="225" w:lineRule="exact"/>
        <w:rPr>
          <w:sz w:val="20"/>
          <w:szCs w:val="20"/>
          <w:color w:val="auto"/>
        </w:rPr>
      </w:pPr>
    </w:p>
    <w:p>
      <w:pPr>
        <w:jc w:val="both"/>
        <w:ind w:firstLine="1305"/>
        <w:spacing w:after="0" w:line="293" w:lineRule="auto"/>
        <w:tabs>
          <w:tab w:leader="none" w:pos="1745"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No Option shall be deemed to have been exercised prior to the receipt by the Company of written notice of such exercise and</w:t>
      </w:r>
      <w:r>
        <w:rPr>
          <w:rFonts w:ascii="Arial" w:cs="Arial" w:eastAsia="Arial" w:hAnsi="Arial"/>
          <w:sz w:val="16"/>
          <w:szCs w:val="16"/>
          <w:b w:val="1"/>
          <w:bCs w:val="1"/>
          <w:color w:val="auto"/>
        </w:rPr>
        <w:t xml:space="preserve"> </w:t>
      </w:r>
      <w:r>
        <w:rPr>
          <w:rFonts w:ascii="Arial" w:cs="Arial" w:eastAsia="Arial" w:hAnsi="Arial"/>
          <w:sz w:val="16"/>
          <w:szCs w:val="16"/>
          <w:color w:val="auto"/>
        </w:rPr>
        <w:t>of payment in full of the Option Price for the Option Shares to be purchased. Each such notice shall (i) specify the number of Option Shares to be purchased,</w:t>
      </w:r>
    </w:p>
    <w:p>
      <w:pPr>
        <w:spacing w:after="0" w:line="1" w:lineRule="exact"/>
        <w:rPr>
          <w:rFonts w:ascii="Arial" w:cs="Arial" w:eastAsia="Arial" w:hAnsi="Arial"/>
          <w:sz w:val="16"/>
          <w:szCs w:val="16"/>
          <w:b w:val="1"/>
          <w:bCs w:val="1"/>
          <w:color w:val="auto"/>
        </w:rPr>
      </w:pPr>
    </w:p>
    <w:p>
      <w:pPr>
        <w:jc w:val="both"/>
        <w:ind w:firstLine="8"/>
        <w:spacing w:after="0" w:line="254" w:lineRule="auto"/>
        <w:tabs>
          <w:tab w:leader="none" w:pos="2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satisfy the securities law requirements set forth in this Section 5.4, and (iii) in the case of an ISO, state that the Optionee acknowledges that the Options Shares may not be sold within one year of exercise or two years from the Grant Date and that the Option must be exercised within three months following termination of employment or, in the case of termination of employment because of death or disability, one year from the date of death or disability, in order to maintain the ISO status of the Option.</w:t>
      </w:r>
    </w:p>
    <w:p>
      <w:pPr>
        <w:spacing w:after="0" w:line="185" w:lineRule="exact"/>
        <w:rPr>
          <w:rFonts w:ascii="Arial" w:cs="Arial" w:eastAsia="Arial" w:hAnsi="Arial"/>
          <w:sz w:val="18"/>
          <w:szCs w:val="18"/>
          <w:color w:val="auto"/>
        </w:rPr>
      </w:pPr>
    </w:p>
    <w:p>
      <w:pPr>
        <w:jc w:val="both"/>
        <w:ind w:firstLine="1305"/>
        <w:spacing w:after="0" w:line="285" w:lineRule="auto"/>
        <w:tabs>
          <w:tab w:leader="none" w:pos="1836"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Each exercise notice shall (unless the Option Shares are covered by a then current registration statement or a</w:t>
      </w:r>
      <w:r>
        <w:rPr>
          <w:rFonts w:ascii="Arial" w:cs="Arial" w:eastAsia="Arial" w:hAnsi="Arial"/>
          <w:sz w:val="16"/>
          <w:szCs w:val="16"/>
          <w:b w:val="1"/>
          <w:bCs w:val="1"/>
          <w:color w:val="auto"/>
        </w:rPr>
        <w:t xml:space="preserve"> </w:t>
      </w:r>
      <w:r>
        <w:rPr>
          <w:rFonts w:ascii="Arial" w:cs="Arial" w:eastAsia="Arial" w:hAnsi="Arial"/>
          <w:sz w:val="16"/>
          <w:szCs w:val="16"/>
          <w:color w:val="auto"/>
        </w:rPr>
        <w:t>Notification under Regulation A under the Securities Act of 1933, as amended (the "Securities Act")), contain the Optionee's acknowledgment in form and substance satisfactory to the Company that (i) such Option Shares are being purchased for investment and not for distribution or resale (other than a distribution or resale which, in the opinion of counsel satisfactory to the Company, may be made without violating the registration provisions of the Securities Act); (ii) the Optionee has been advised and understands that (A) the Option Shares have not been registered under the Securities Act and are "restricted securities" within the meaning of Rule 144 under the Securities Act and are subject to restrictions on transfer and (B) the Company is under no obligation to register the Option Shares under the Securities Act or to take any action which would make available to the Optionee any exemption from such registration,</w:t>
      </w:r>
    </w:p>
    <w:p>
      <w:pPr>
        <w:spacing w:after="0" w:line="1" w:lineRule="exact"/>
        <w:rPr>
          <w:rFonts w:ascii="Arial" w:cs="Arial" w:eastAsia="Arial" w:hAnsi="Arial"/>
          <w:sz w:val="16"/>
          <w:szCs w:val="16"/>
          <w:b w:val="1"/>
          <w:bCs w:val="1"/>
          <w:color w:val="auto"/>
        </w:rPr>
      </w:pPr>
    </w:p>
    <w:p>
      <w:pPr>
        <w:jc w:val="both"/>
        <w:ind w:firstLine="8"/>
        <w:spacing w:after="0" w:line="269" w:lineRule="auto"/>
        <w:tabs>
          <w:tab w:leader="none" w:pos="342"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Option Shares may not be transferred without compliance with all applicable federal and state securities laws, and (iv) an appropriate legend referring to the foregoing restrictions on transfer and any other restrictions imposed under the Option Documents may be endorsed on the certificates. Notwithstanding the above, should the Company be advised by counsel that the issuance of Option Shares upon the exercise of an Option should be delayed pending (A) registration under federal or state securities laws, (B) the receipt of an opinion that an appropriate exemption therefrom is available, (C) the listing or inclusion of the Option Shares on any securities exchange or in an automated quotation system or (D) the consent or approval of any governmental regulatory body whose consent or approval is necessary in connection with the issuance of such Option Shares, the Company may defer the exercise of any Option granted hereunder until either such event in A, B, C or D has occurred.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ind w:right="20" w:firstLine="1305"/>
        <w:spacing w:after="0" w:line="282" w:lineRule="auto"/>
        <w:tabs>
          <w:tab w:leader="none" w:pos="174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Disqualifying Disposition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Optionee shall notify the Administrator if any Option Shares received upon the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ISO are sold within one year of exercise or two years from the Grant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AWARDS</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Grants of Stock Awards</w:t>
      </w:r>
      <w:r>
        <w:rPr>
          <w:rFonts w:ascii="Arial" w:cs="Arial" w:eastAsia="Arial" w:hAnsi="Arial"/>
          <w:sz w:val="17"/>
          <w:szCs w:val="17"/>
          <w:b w:val="1"/>
          <w:bCs w:val="1"/>
          <w:color w:val="auto"/>
        </w:rPr>
        <w:t xml:space="preserve">. </w:t>
      </w:r>
      <w:r>
        <w:rPr>
          <w:rFonts w:ascii="Arial" w:cs="Arial" w:eastAsia="Arial" w:hAnsi="Arial"/>
          <w:sz w:val="17"/>
          <w:szCs w:val="17"/>
          <w:color w:val="auto"/>
        </w:rPr>
        <w:t>Stock Awards will consist of shares of Common Stock ("Bonus Shares") transferred to recipients ("Recipient"),</w:t>
      </w:r>
      <w:r>
        <w:rPr>
          <w:rFonts w:ascii="Arial" w:cs="Arial" w:eastAsia="Arial" w:hAnsi="Arial"/>
          <w:sz w:val="17"/>
          <w:szCs w:val="17"/>
          <w:b w:val="1"/>
          <w:bCs w:val="1"/>
          <w:color w:val="auto"/>
        </w:rPr>
        <w:t xml:space="preserve"> </w:t>
      </w:r>
      <w:r>
        <w:rPr>
          <w:rFonts w:ascii="Arial" w:cs="Arial" w:eastAsia="Arial" w:hAnsi="Arial"/>
          <w:sz w:val="17"/>
          <w:szCs w:val="17"/>
          <w:color w:val="auto"/>
        </w:rPr>
        <w:t>either without payment therefor or with such payment as may be required by the Administrator, as additional compensation for such Recipient's service to the Company. Stock Awards shall be subject to such terms and conditions as the Administrator determines appropriate as evidenced in a written document (an "Award Document"), including, without limitation, restrictions on the sale or other disposition of such Bonus Shares and rights of the Company to reacquire such Bonus Shares upon termination of the Recipient's employment or service within specified periods.</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Transferability; Legends</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Shares may be transferred only if (i) the Bonus Shares are securities covered by a then current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or a Notification under Regulation A under the Securities Act, or such transfer complies with the requirements of Rule 144 of the Exchange Act; and (ii) such transfer does not violate any restriction imposed on the Stock Award. The Bonus Shares may bear a legend referring to (x) the restrictions on transferability of such Bonus Shares, or (y) if the Recipient is subject to Section 16 of the Exchange Act at the time the Bonus Shares are issued, the liability which may arise under Section 16 upon disposition of the Bonus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for purposes of the Non-Qualified Plan and the Key Employee Plan will be 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 (the "Committee"). The Committee shall operate and administer the Plan, including the grant of Options and Stock Awards. The Committee may make such interpretations and construction of the Plan as it deems appropriate or necessary from time to time in its sole discretion, such interpretations and construction of the Plan to be final, binding and conclusive.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hold meetings at such times and places as it may determine. Acts approved at a meeting by a majority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Committee or acts approved in writing by the unanimous consent of the members of the Committee shall be the valid acts of the Committee.</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Discretion of Committee and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shall from time to time at its discretion grant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Key Employee Plan and the Board of Directors shall from time to time at its discretion grant Benefits pursuant to the terms of the Non-Qualified Plan. The Administrator, as the case may be, shall have plenary authority to determine the Optionees or Recipients (each a "Participant") to whom and the times at which Benefits shall be granted, the number of Plan Shares to be covered by such grants and the price and other terms and conditions thereof, including a specification with respect to whether an Option is intended to be an ISO, subject, however, to the express provisions of the Key Employee Plan and compliance with Rule 16b-3(d) under the Exchange Act. In making such determinations the Administrator may take into account the nature of the Participant's services and responsibilities, the Participant's present and potential contribution to the Company's success and such other factors as it may deem relevant. The interpretation and construction by the Administrator of any provision of the Plan or of any benefit granted under it shall be final, binding and conclusive.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No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member of the Board of Directors or the Committee shall be personally liable for any action or determination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or any benefit thereunder, or for any act or omission of any other member of the Board of Directors or the Committee, including but not limited to the exercise of any power and discretion given to him under the Plan, except those resulting from (i) any breach of such person's duty of loyalty to the Company or its stockholders, (ii) acts or omissions not in good faith or involving intentional misconduct or a knowing violation of law or (iii) any transaction from which such person derived an improper personal benefit.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such other rights of indemnification as he may have as a member of the Board of Directors or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 respect to the administration of the Plan and the granting of Benefits hereunder, each member of the Board of Directors and of the Committee shall be entitled to be indemnified by the Company to the fullest extent permitted by applicable law, for all expenses (including but not limited to reasonable attorneys' fees and expenses), judgments, fines and amounts paid in settlement reasonably incurred by him in connection with or arising out of any action, suit or proceeding with respect to the administration of the Plan or the granting of Benefits hereunder (each a "Proceeding") in which he may be involved by reason of his being or having been a member of the Board of Directors or the Committee, whether or not he continues to be such member of the Board of Directors or the Committee at the time of the incurring of such expenses; provided however, that such indemnity shall not include any expenses incurred by such member of the Board of Directors or Committee in respect of any matter in which any settlement is effected in an amount in excess of the amount approved by the Company on the advice of its legal counsel; and provided further that no right of indemnification under the provisions set forth herein shall be available to or accessible by any such member of the Administrator unless within ten (10) days after institution of any such action, suit or proceeding he shall have offered the Company in writing the opportunity to handle and defend such action, suit or proceeding at its own expense. The foregoing right of indemnification shall inure to the benefit of the heirs, executors or administrators of each such member of the Board of Directors or the Committee and shall be in addition to all other rights to which such member of the Board of Directors or the Committee would be entitled to as a matter of law, contract or otherwise. Expenses (including attorneys' fees) incurred by a member of the Board of Directors or the Committee in defending any Proceeding may be paid by the Company in advance of the final disposition of such Proceeding upon receipt of an undertaking by or such person to repay all amounts advanced if it should be ultimately be determined that such person is not entitled to be indemnified under this Article or otherwise, except that no such advance payment will be required if it is determined by the Board of Directors that there is a substantial probability that such person will not be able to repay the advance payments.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u w:val="single" w:color="auto"/>
          <w:color w:val="auto"/>
        </w:rPr>
        <w:t>Adjustments on Changes in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number of shares of Common Stock as to which Options or Stock Awards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granted under the Non-Qualified Plan and the Key Employee Plan, the number of Option Shares covered by each outstanding Option and the Option Price per Option Share specified in each outstanding Option shall be appropriately adjusted in the event of a stock dividend, stock split or other increase or decrease in the number of issued and outstanding shares of Common Stock resulting from a subdivision or consolidation of the Common Stock or other capital adjustment (not including the issuance of Common Stock on the conversion of other securities of the Company which are convertible into Common Stock) effected without receipt of consideration by the Company. The Board of Directors shall have the authority to determine the adjustments to be made under this Section and any such determination by the Board of Directors shall be final, binding and conclusive, provided that no adjustment shall be made which will cause an ISO to lose its status as such.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Amendment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at any time, and from time to time, may terminate, suspend, amend or otherwise modify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such manner as it may deem advisable. Notwithstanding the foregoing, no amendment of the Key Employee Plan which would change the eligibility of employees or the class of employees eligible to receive an Option or Stock Award or increase the maximum number of shares as to which Options or Stock Awards may be granted will be effective unless such action is approved by the stockholders of the Company to the extent stockholder approval is necessary for the Plan to satisfy the requirements of Section 422 of the Code, Rule 16b-3, any applicable securities exchange listing requirements, or other applicable requirements.</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Continued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an Option pursuant to the Plan shall not be construed to imply or to constitute evidence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express or implied, on the part of the Company to continue the employment of the Participant or the service as a member of the Board of Directors, as a consultant or in any other capacity, whichever the case may be with the Company or any of its Affiliates.</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b w:val="1"/>
          <w:bCs w:val="1"/>
          <w:u w:val="single" w:color="auto"/>
          <w:color w:val="auto"/>
        </w:rPr>
        <w:t>Withholding of Taxes</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Company proposes or is required to issue or transfer Option Shares or Bonus Shares,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right to (a) require the recipient or transferee to remit to the Company an amount sufficient to satisfy any federal, state and/or local withholding tax requirements prior to the delivery or transfer of any certificate or certificates for such Option Shares or Bonus Shares, or (b) take whatever action it deems necessary to protect its interests, including withholding a portion of such Option Shares or Bonus Shares.</w:t>
      </w:r>
    </w:p>
    <w:p>
      <w:pPr>
        <w:sectPr>
          <w:pgSz w:w="11900" w:h="16838" w:orient="portrait"/>
          <w:cols w:equalWidth="0" w:num="1">
            <w:col w:w="11420"/>
          </w:cols>
          <w:pgMar w:left="240" w:top="796" w:right="2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Adopted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BOD: 3/29/07</w:t>
      </w:r>
    </w:p>
    <w:p>
      <w:pPr>
        <w:spacing w:after="0" w:line="3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SH:</w:t>
        <w:tab/>
        <w:t>6/13/07</w:t>
      </w:r>
    </w:p>
    <w:p>
      <w:pPr>
        <w:spacing w:after="0" w:line="200" w:lineRule="exact"/>
        <w:rPr>
          <w:sz w:val="20"/>
          <w:szCs w:val="20"/>
          <w:color w:val="auto"/>
        </w:rPr>
      </w:pPr>
    </w:p>
    <w:p>
      <w:pPr>
        <w:sectPr>
          <w:pgSz w:w="11900" w:h="16838" w:orient="portrait"/>
          <w:cols w:equalWidth="0" w:num="2">
            <w:col w:w="620" w:space="360"/>
            <w:col w:w="10440"/>
          </w:cols>
          <w:pgMar w:left="240" w:top="796" w:right="2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96" w:right="2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COMPENSATORY ARRANGEMENTS OF EXECUTIVE OFFICERS AND DIRECTORS</w:t>
      </w:r>
    </w:p>
    <w:p>
      <w:pPr>
        <w:spacing w:after="0" w:line="200" w:lineRule="exact"/>
        <w:rPr>
          <w:sz w:val="20"/>
          <w:szCs w:val="20"/>
          <w:color w:val="auto"/>
        </w:rPr>
      </w:pPr>
    </w:p>
    <w:p>
      <w:pPr>
        <w:spacing w:after="0" w:line="24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March 12, 2018, the Compensation Committee (the "Committee") of the Board of Directors (the "Board") of inTEST Corporation (the "Company") recommended and the Board unanimously approved (i) the 2018 Executive Compensation Plan for our President and Chief Executive Officer , Mr. Pelrin, and our Secretary, Treasurer and Chief Financial Officer, Mr. Regan, and (ii) grants of restricted stock to our non-employee directors (as defined below) under the Company’s 2014 Stock Plan. The details of the 2018 Executive Compensation Plan and the restricted stock grants to non-employee directors were previously disclosed on our Current Report on Form 8-K filed on March 15, 2018, and are incorporated herein by reference.</w:t>
      </w:r>
    </w:p>
    <w:p>
      <w:pPr>
        <w:spacing w:after="0" w:line="1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each of our executive officers receives our standard benefits package. Messrs. Pelrin and Regan are also parties to Change of Control Agreements with the Company that provide for the payment of certain benefits upon the executive's termination of employment following a change of control, as defined therein.</w:t>
      </w:r>
    </w:p>
    <w:p>
      <w:pPr>
        <w:spacing w:after="0" w:line="18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Directors who are not also our officers (each a "non-employee director") currently receive an annual retainer of $25,000 (Steven J. Abrams, Esq., Joseph W. Dews IV, William Kraut and, effective January 1, 2018, Robert E. Matthiessen). The Board Chairman is paid an additional annual retainer of $40,000 (Mr. Matthiessen) and the Lead Independent Director is paid an additional annual retainer of $10,000 (Mr. Kraut). The chairmen of the committees of the Board are paid an additional annual fee as follows: the Chairman of the Audit Committee is paid an additional annual fee of $20,000 (Mr. Kraut); the Chairman of the Compensation Committee is paid an additional annual fee of $10,000 (Mr. Dews); and the Chairman of the Nominating and Corporate Governance Committee is paid an additional annual fee of $10,000 (Mr. Abrams). The members of the committees, other than the chairmen, are paid additional annual fees as follows: members of the Audit Committee are paid an additional annual fee of $10,000 (Messrs. Abrams and Dews), members of the Compensation Committee are paid an additional annual fee of $5,000 (Messrs. Kraut and Abrams), and members of the Nominating and Corporate Governance Committee are paid an additional annual fee of $5,000 (Messrs. Kraut and Dews). In addition, we reimburse non-employee directors' travel expenses and other costs associated with attending Board or committee meetings. We do not pay additional cash compensation to our executive officers for their service as directors.</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160" w:type="dxa"/>
            <w:vAlign w:val="bottom"/>
          </w:tcPr>
          <w:p>
            <w:pPr>
              <w:ind w:left="78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160" w:type="dxa"/>
            <w:vAlign w:val="bottom"/>
          </w:tcPr>
          <w:p>
            <w:pPr>
              <w:jc w:val="center"/>
              <w:ind w:left="3990"/>
              <w:spacing w:after="0"/>
              <w:rPr>
                <w:sz w:val="20"/>
                <w:szCs w:val="20"/>
                <w:color w:val="auto"/>
              </w:rPr>
            </w:pPr>
            <w:r>
              <w:rPr>
                <w:rFonts w:ascii="Arial" w:cs="Arial" w:eastAsia="Arial" w:hAnsi="Arial"/>
                <w:sz w:val="18"/>
                <w:szCs w:val="18"/>
                <w:b w:val="1"/>
                <w:bCs w:val="1"/>
                <w:color w:val="auto"/>
                <w:w w:val="90"/>
              </w:rPr>
              <w:t>Jurisdiction</w:t>
            </w: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Subsidiaries</w:t>
            </w:r>
          </w:p>
        </w:tc>
        <w:tc>
          <w:tcPr>
            <w:tcW w:w="7160" w:type="dxa"/>
            <w:vAlign w:val="bottom"/>
          </w:tcPr>
          <w:p>
            <w:pPr>
              <w:jc w:val="center"/>
              <w:ind w:left="3990"/>
              <w:spacing w:after="0"/>
              <w:rPr>
                <w:sz w:val="20"/>
                <w:szCs w:val="20"/>
                <w:color w:val="auto"/>
              </w:rPr>
            </w:pPr>
            <w:r>
              <w:rPr>
                <w:rFonts w:ascii="Arial" w:cs="Arial" w:eastAsia="Arial" w:hAnsi="Arial"/>
                <w:sz w:val="18"/>
                <w:szCs w:val="18"/>
                <w:b w:val="1"/>
                <w:bCs w:val="1"/>
                <w:color w:val="auto"/>
                <w:w w:val="92"/>
              </w:rPr>
              <w:t>of Incorporation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7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Ambrell Corporation</w:t>
            </w:r>
          </w:p>
        </w:tc>
        <w:tc>
          <w:tcPr>
            <w:tcW w:w="7160" w:type="dxa"/>
            <w:vAlign w:val="bottom"/>
            <w:shd w:val="clear" w:color="auto" w:fill="CCEEFF"/>
          </w:tcPr>
          <w:p>
            <w:pPr>
              <w:jc w:val="center"/>
              <w:ind w:left="39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inTEST Silicon Valley Corporation</w:t>
            </w:r>
          </w:p>
        </w:tc>
        <w:tc>
          <w:tcPr>
            <w:tcW w:w="7160" w:type="dxa"/>
            <w:vAlign w:val="bottom"/>
          </w:tcPr>
          <w:p>
            <w:pPr>
              <w:jc w:val="center"/>
              <w:ind w:left="39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Temptronic Corporation (a)</w:t>
            </w:r>
          </w:p>
        </w:tc>
        <w:tc>
          <w:tcPr>
            <w:tcW w:w="7160" w:type="dxa"/>
            <w:vAlign w:val="bottom"/>
            <w:shd w:val="clear" w:color="auto" w:fill="CCEEFF"/>
          </w:tcPr>
          <w:p>
            <w:pPr>
              <w:jc w:val="center"/>
              <w:ind w:left="39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Ambrell B.V.</w:t>
            </w:r>
          </w:p>
        </w:tc>
        <w:tc>
          <w:tcPr>
            <w:tcW w:w="7160" w:type="dxa"/>
            <w:vAlign w:val="bottom"/>
          </w:tcPr>
          <w:p>
            <w:pPr>
              <w:jc w:val="center"/>
              <w:ind w:left="399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Ambrell Limited</w:t>
            </w:r>
          </w:p>
        </w:tc>
        <w:tc>
          <w:tcPr>
            <w:tcW w:w="7160" w:type="dxa"/>
            <w:vAlign w:val="bottom"/>
            <w:shd w:val="clear" w:color="auto" w:fill="CCEEFF"/>
          </w:tcPr>
          <w:p>
            <w:pPr>
              <w:jc w:val="center"/>
              <w:ind w:left="399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inTEST PTE, Ltd.</w:t>
            </w:r>
          </w:p>
        </w:tc>
        <w:tc>
          <w:tcPr>
            <w:tcW w:w="7160" w:type="dxa"/>
            <w:vAlign w:val="bottom"/>
          </w:tcPr>
          <w:p>
            <w:pPr>
              <w:jc w:val="center"/>
              <w:ind w:left="3990"/>
              <w:spacing w:after="0"/>
              <w:rPr>
                <w:sz w:val="20"/>
                <w:szCs w:val="20"/>
                <w:color w:val="auto"/>
              </w:rPr>
            </w:pPr>
            <w:r>
              <w:rPr>
                <w:rFonts w:ascii="Arial" w:cs="Arial" w:eastAsia="Arial" w:hAnsi="Arial"/>
                <w:sz w:val="18"/>
                <w:szCs w:val="18"/>
                <w:color w:val="auto"/>
                <w:w w:val="87"/>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inTEST Thermal Solutions GmbH</w:t>
            </w:r>
          </w:p>
        </w:tc>
        <w:tc>
          <w:tcPr>
            <w:tcW w:w="7160" w:type="dxa"/>
            <w:vAlign w:val="bottom"/>
            <w:shd w:val="clear" w:color="auto" w:fill="CCEEFF"/>
          </w:tcPr>
          <w:p>
            <w:pPr>
              <w:jc w:val="center"/>
              <w:ind w:left="3990"/>
              <w:spacing w:after="0"/>
              <w:rPr>
                <w:sz w:val="20"/>
                <w:szCs w:val="20"/>
                <w:color w:val="auto"/>
              </w:rPr>
            </w:pPr>
            <w:r>
              <w:rPr>
                <w:rFonts w:ascii="Arial" w:cs="Arial" w:eastAsia="Arial" w:hAnsi="Arial"/>
                <w:sz w:val="18"/>
                <w:szCs w:val="18"/>
                <w:color w:val="auto"/>
                <w:w w:val="91"/>
              </w:rPr>
              <w:t>Germany</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Doing business as inTEST Thermal Solutions Corp.</w:t>
      </w:r>
    </w:p>
    <w:p>
      <w:pPr>
        <w:sectPr>
          <w:pgSz w:w="11900" w:h="16838" w:orient="portrait"/>
          <w:cols w:equalWidth="0" w:num="1">
            <w:col w:w="10940"/>
          </w:cols>
          <w:pgMar w:left="72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Registration Statements (No. 333-145176 and 333-197858) on Form S-8 and Registration Statement (No. 333-221558) on Form S-3 of inTEST Corporation of our report dated March 28, 2018, relating to the consolidated financial statements and the financial statement schedule of inTEST Corporation, appearing in this Annual Report on Form 10-K of inTEST Corporation for the year ended December 31, 2017.</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860" w:hanging="366"/>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00" w:firstLine="494"/>
        <w:spacing w:after="0" w:line="342" w:lineRule="auto"/>
        <w:tabs>
          <w:tab w:leader="none" w:pos="846"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8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94"/>
        <w:spacing w:after="0" w:line="264" w:lineRule="auto"/>
        <w:tabs>
          <w:tab w:leader="none" w:pos="8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firstLine="318"/>
        <w:spacing w:after="0" w:line="264" w:lineRule="auto"/>
        <w:tabs>
          <w:tab w:leader="none" w:pos="1249"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right="360" w:firstLine="318"/>
        <w:spacing w:after="0" w:line="264" w:lineRule="auto"/>
        <w:tabs>
          <w:tab w:leader="none" w:pos="1259"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500" w:firstLine="318"/>
        <w:spacing w:after="0" w:line="342" w:lineRule="auto"/>
        <w:tabs>
          <w:tab w:leader="none" w:pos="1249"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460" w:firstLine="318"/>
        <w:spacing w:after="0" w:line="264" w:lineRule="auto"/>
        <w:tabs>
          <w:tab w:leader="none" w:pos="1259"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94"/>
        <w:spacing w:after="0" w:line="308" w:lineRule="auto"/>
        <w:tabs>
          <w:tab w:leader="none" w:pos="8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700" w:firstLine="318"/>
        <w:spacing w:after="0" w:line="308" w:lineRule="auto"/>
        <w:tabs>
          <w:tab w:leader="none" w:pos="1239"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400" w:firstLine="318"/>
        <w:spacing w:after="0" w:line="277" w:lineRule="auto"/>
        <w:tabs>
          <w:tab w:leader="none" w:pos="124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March 28, 2018</w:t>
            </w:r>
          </w:p>
        </w:tc>
        <w:tc>
          <w:tcPr>
            <w:tcW w:w="144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 James Pelrin</w:t>
            </w:r>
          </w:p>
        </w:tc>
      </w:tr>
      <w:tr>
        <w:trPr>
          <w:trHeight w:val="195"/>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Pelrin</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860" w:hanging="366"/>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00" w:firstLine="494"/>
        <w:spacing w:after="0" w:line="342" w:lineRule="auto"/>
        <w:tabs>
          <w:tab w:leader="none" w:pos="8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8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94"/>
        <w:spacing w:after="0" w:line="264" w:lineRule="auto"/>
        <w:tabs>
          <w:tab w:leader="none" w:pos="8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firstLine="318"/>
        <w:spacing w:after="0" w:line="264" w:lineRule="auto"/>
        <w:tabs>
          <w:tab w:leader="none" w:pos="124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right="360" w:firstLine="318"/>
        <w:spacing w:after="0" w:line="264" w:lineRule="auto"/>
        <w:tabs>
          <w:tab w:leader="none" w:pos="125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500" w:firstLine="318"/>
        <w:spacing w:after="0" w:line="342" w:lineRule="auto"/>
        <w:tabs>
          <w:tab w:leader="none" w:pos="1249"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460" w:firstLine="318"/>
        <w:spacing w:after="0" w:line="264" w:lineRule="auto"/>
        <w:tabs>
          <w:tab w:leader="none" w:pos="125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94"/>
        <w:spacing w:after="0" w:line="308" w:lineRule="auto"/>
        <w:tabs>
          <w:tab w:leader="none" w:pos="8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700" w:firstLine="318"/>
        <w:spacing w:after="0" w:line="308" w:lineRule="auto"/>
        <w:tabs>
          <w:tab w:leader="none" w:pos="1239"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400" w:firstLine="318"/>
        <w:spacing w:after="0" w:line="277" w:lineRule="auto"/>
        <w:tabs>
          <w:tab w:leader="none" w:pos="124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28, 2018</w:t>
            </w:r>
          </w:p>
        </w:tc>
        <w:tc>
          <w:tcPr>
            <w:tcW w:w="1700" w:type="dxa"/>
            <w:vAlign w:val="bottom"/>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Hugh T. Regan, Jr.</w:t>
            </w:r>
          </w:p>
        </w:tc>
      </w:tr>
      <w:tr>
        <w:trPr>
          <w:trHeight w:val="195"/>
        </w:trPr>
        <w:tc>
          <w:tcPr>
            <w:tcW w:w="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540" w:type="dxa"/>
            <w:vAlign w:val="bottom"/>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8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Secretary, Treasurer and Chief Financial Officer</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connection with the Annual Report of inTEST Corporation (the "Company") on Form 10-K for the year ended December 31, 2017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28, 2018</w:t>
            </w:r>
          </w:p>
        </w:tc>
        <w:tc>
          <w:tcPr>
            <w:tcW w:w="180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Pelrin</w:t>
            </w:r>
          </w:p>
        </w:tc>
      </w:tr>
      <w:tr>
        <w:trPr>
          <w:trHeight w:val="195"/>
        </w:trPr>
        <w:tc>
          <w:tcPr>
            <w:tcW w:w="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860" w:type="dxa"/>
            <w:vAlign w:val="bottom"/>
          </w:tcPr>
          <w:p>
            <w:pPr>
              <w:spacing w:after="0" w:line="195" w:lineRule="exact"/>
              <w:rPr>
                <w:sz w:val="20"/>
                <w:szCs w:val="20"/>
                <w:color w:val="auto"/>
              </w:rPr>
            </w:pPr>
            <w:r>
              <w:rPr>
                <w:rFonts w:ascii="Arial" w:cs="Arial" w:eastAsia="Arial" w:hAnsi="Arial"/>
                <w:sz w:val="18"/>
                <w:szCs w:val="18"/>
                <w:color w:val="auto"/>
              </w:rPr>
              <w:t>James Pelrin</w:t>
            </w:r>
          </w:p>
        </w:tc>
      </w:tr>
      <w:tr>
        <w:trPr>
          <w:trHeight w:val="230"/>
        </w:trPr>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In connection with the Annual Report of inTEST Corporation (the "Company") on Form 10-K for the year ended December 31, 2017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28, 2018</w:t>
            </w:r>
          </w:p>
        </w:tc>
        <w:tc>
          <w:tcPr>
            <w:tcW w:w="180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Hugh T. Regan, Jr.</w:t>
            </w:r>
          </w:p>
        </w:tc>
      </w:tr>
      <w:tr>
        <w:trPr>
          <w:trHeight w:val="195"/>
        </w:trPr>
        <w:tc>
          <w:tcPr>
            <w:tcW w:w="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860" w:type="dxa"/>
            <w:vAlign w:val="bottom"/>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Secretary, Treasurer and 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lvl w:ilvl="1">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lvl w:ilvl="1">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lowerLetter"/>
      <w:start w:val="1"/>
    </w:lvl>
    <w:lvl w:ilvl="1">
      <w:lvlJc w:val="left"/>
      <w:lvlText w:val="(%2)"/>
      <w:numFmt w:val="lowerRoman"/>
      <w:start w:val="1"/>
    </w:lvl>
  </w:abstractNum>
  <w:abstractNum w:abstractNumId="11">
    <w:nsid w:val="3006C83E"/>
    <w:multiLevelType w:val="hybridMultilevel"/>
    <w:lvl w:ilvl="0">
      <w:lvlJc w:val="left"/>
      <w:lvlText w:val="%1"/>
      <w:numFmt w:val="decimal"/>
      <w:start w:val="14"/>
    </w:lvl>
  </w:abstractNum>
  <w:abstractNum w:abstractNumId="12">
    <w:nsid w:val="614FD4A1"/>
    <w:multiLevelType w:val="hybridMultilevel"/>
    <w:lvl w:ilvl="0">
      <w:lvlJc w:val="left"/>
      <w:lvlText w:val="%1"/>
      <w:numFmt w:val="decimal"/>
      <w:start w:val="21"/>
    </w:lvl>
  </w:abstractNum>
  <w:abstractNum w:abstractNumId="13">
    <w:nsid w:val="419AC241"/>
    <w:multiLevelType w:val="hybridMultilevel"/>
    <w:lvl w:ilvl="0">
      <w:lvlJc w:val="left"/>
      <w:lvlText w:val="%1"/>
      <w:numFmt w:val="decimal"/>
      <w:start w:val="23"/>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lvl w:ilvl="1">
      <w:lvlJc w:val="left"/>
      <w:lvlText w:val="-"/>
      <w:numFmt w:val="bullet"/>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2"/>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4"/>
    </w:lvl>
  </w:abstractNum>
  <w:abstractNum w:abstractNumId="20">
    <w:nsid w:val="5C482A97"/>
    <w:multiLevelType w:val="hybridMultilevel"/>
    <w:lvl w:ilvl="0">
      <w:lvlJc w:val="left"/>
      <w:lvlText w:val="(%1)"/>
      <w:numFmt w:val="decimal"/>
      <w:start w:val="5"/>
    </w:lvl>
  </w:abstractNum>
  <w:abstractNum w:abstractNumId="21">
    <w:nsid w:val="2463B9EA"/>
    <w:multiLevelType w:val="hybridMultilevel"/>
    <w:lvl w:ilvl="0">
      <w:lvlJc w:val="left"/>
      <w:lvlText w:val="(%1)"/>
      <w:numFmt w:val="decimal"/>
      <w:start w:val="6"/>
    </w:lvl>
  </w:abstractNum>
  <w:abstractNum w:abstractNumId="22">
    <w:nsid w:val="5E884ADC"/>
    <w:multiLevelType w:val="hybridMultilevel"/>
    <w:lvl w:ilvl="0">
      <w:lvlJc w:val="left"/>
      <w:lvlText w:val="(%1)"/>
      <w:numFmt w:val="decimal"/>
      <w:start w:val="7"/>
    </w:lvl>
  </w:abstractNum>
  <w:abstractNum w:abstractNumId="23">
    <w:nsid w:val="51EAD36B"/>
    <w:multiLevelType w:val="hybridMultilevel"/>
    <w:lvl w:ilvl="0">
      <w:lvlJc w:val="left"/>
      <w:lvlText w:val="(%1)"/>
      <w:numFmt w:val="decimal"/>
      <w:start w:val="10"/>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2"/>
    </w:lvl>
  </w:abstractNum>
  <w:abstractNum w:abstractNumId="27">
    <w:nsid w:val="3855585C"/>
    <w:multiLevelType w:val="hybridMultilevel"/>
    <w:lvl w:ilvl="0">
      <w:lvlJc w:val="left"/>
      <w:lvlText w:val="(%1)"/>
      <w:numFmt w:val="lowerLetter"/>
      <w:start w:val="3"/>
    </w:lvl>
  </w:abstractNum>
  <w:abstractNum w:abstractNumId="28">
    <w:nsid w:val="70A64E2A"/>
    <w:multiLevelType w:val="hybridMultilevel"/>
    <w:lvl w:ilvl="0">
      <w:lvlJc w:val="left"/>
      <w:lvlText w:val="(%1)"/>
      <w:numFmt w:val="lowerLetter"/>
      <w:start w:val="4"/>
    </w:lvl>
  </w:abstractNum>
  <w:abstractNum w:abstractNumId="29">
    <w:nsid w:val="6A2342EC"/>
    <w:multiLevelType w:val="hybridMultilevel"/>
    <w:lvl w:ilvl="0">
      <w:lvlJc w:val="left"/>
      <w:lvlText w:val="(%1)"/>
      <w:numFmt w:val="lowerLetter"/>
      <w:start w:val="5"/>
    </w:lvl>
  </w:abstractNum>
  <w:abstractNum w:abstractNumId="30">
    <w:nsid w:val="2A487CB0"/>
    <w:multiLevelType w:val="hybridMultilevel"/>
    <w:lvl w:ilvl="0">
      <w:lvlJc w:val="left"/>
      <w:lvlText w:val="(%1)"/>
      <w:numFmt w:val="lowerRoman"/>
      <w:start w:val="1"/>
    </w:lvl>
  </w:abstractNum>
  <w:abstractNum w:abstractNumId="31">
    <w:nsid w:val="1D4ED43B"/>
    <w:multiLevelType w:val="hybridMultilevel"/>
    <w:lvl w:ilvl="0">
      <w:lvlJc w:val="left"/>
      <w:lvlText w:val="%1"/>
      <w:numFmt w:val="upperLetter"/>
      <w:start w:val="1"/>
    </w:lvl>
    <w:lvl w:ilvl="1">
      <w:lvlJc w:val="left"/>
      <w:lvlText w:val="(%2)"/>
      <w:numFmt w:val="lowerRoman"/>
      <w:start w:val="3"/>
    </w:lvl>
  </w:abstractNum>
  <w:abstractNum w:abstractNumId="32">
    <w:nsid w:val="725A06FB"/>
    <w:multiLevelType w:val="hybridMultilevel"/>
    <w:lvl w:ilvl="0">
      <w:lvlJc w:val="left"/>
      <w:lvlText w:val="(%1)"/>
      <w:numFmt w:val="upperLetter"/>
      <w:start w:val="2"/>
    </w:lvl>
    <w:lvl w:ilvl="1">
      <w:lvlJc w:val="left"/>
      <w:lvlText w:val="(%2)"/>
      <w:numFmt w:val="lowerRoman"/>
      <w:start w:val="5"/>
    </w:lvl>
  </w:abstractNum>
  <w:abstractNum w:abstractNumId="33">
    <w:nsid w:val="2CD89A32"/>
    <w:multiLevelType w:val="hybridMultilevel"/>
    <w:lvl w:ilvl="0">
      <w:lvlJc w:val="left"/>
      <w:lvlText w:val="(%1)"/>
      <w:numFmt w:val="lowerLetter"/>
      <w:start w:val="6"/>
    </w:lvl>
  </w:abstractNum>
  <w:abstractNum w:abstractNumId="34">
    <w:nsid w:val="57E4CCAF"/>
    <w:multiLevelType w:val="hybridMultilevel"/>
    <w:lvl w:ilvl="0">
      <w:lvlJc w:val="left"/>
      <w:lvlText w:val="(%1)"/>
      <w:numFmt w:val="lowerRoman"/>
      <w:start w:val="1"/>
    </w:lvl>
  </w:abstractNum>
  <w:abstractNum w:abstractNumId="35">
    <w:nsid w:val="7A6D8D3C"/>
    <w:multiLevelType w:val="hybridMultilevel"/>
    <w:lvl w:ilvl="0">
      <w:lvlJc w:val="left"/>
      <w:lvlText w:val="(%1)"/>
      <w:numFmt w:val="lowerRoman"/>
      <w:start w:val="3"/>
    </w:lvl>
  </w:abstractNum>
  <w:abstractNum w:abstractNumId="36">
    <w:nsid w:val="4B588F54"/>
    <w:multiLevelType w:val="hybridMultilevel"/>
    <w:lvl w:ilvl="0">
      <w:lvlJc w:val="left"/>
      <w:lvlText w:val="(%1)"/>
      <w:numFmt w:val="lowerLetter"/>
      <w:start w:val="7"/>
    </w:lvl>
  </w:abstractNum>
  <w:abstractNum w:abstractNumId="37">
    <w:nsid w:val="542289EC"/>
    <w:multiLevelType w:val="hybridMultilevel"/>
    <w:lvl w:ilvl="0">
      <w:lvlJc w:val="left"/>
      <w:lvlText w:val="(%1)"/>
      <w:numFmt w:val="lowerLetter"/>
      <w:start w:val="8"/>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1)"/>
      <w:numFmt w:val="lowerLetter"/>
      <w:start w:val="3"/>
    </w:lvl>
  </w:abstractNum>
  <w:abstractNum w:abstractNumId="41">
    <w:nsid w:val="32FFF902"/>
    <w:multiLevelType w:val="hybridMultilevel"/>
    <w:lvl w:ilvl="0">
      <w:lvlJc w:val="left"/>
      <w:lvlText w:val="(%1)"/>
      <w:numFmt w:val="lowerRoman"/>
      <w:start w:val="3"/>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5"/>
    </w:lvl>
    <w:lvl w:ilvl="1">
      <w:lvlJc w:val="left"/>
      <w:lvlText w:val="(%2)"/>
      <w:numFmt w:val="lowerRoman"/>
      <w:start w:val="1"/>
    </w:lvl>
  </w:abstractNum>
  <w:abstractNum w:abstractNumId="45">
    <w:nsid w:val="3DC240FB"/>
    <w:multiLevelType w:val="hybridMultilevel"/>
    <w:lvl w:ilvl="0">
      <w:lvlJc w:val="left"/>
      <w:lvlText w:val="(%1)"/>
      <w:numFmt w:val="lowerLetter"/>
      <w:start w:val="6"/>
    </w:lvl>
    <w:lvl w:ilvl="1">
      <w:lvlJc w:val="left"/>
      <w:lvlText w:val="(%2)"/>
      <w:numFmt w:val="lowerRoman"/>
      <w:start w:val="1"/>
    </w:lvl>
  </w:abstractNum>
  <w:abstractNum w:abstractNumId="46">
    <w:nsid w:val="1BA026FA"/>
    <w:multiLevelType w:val="hybridMultilevel"/>
    <w:lvl w:ilvl="0">
      <w:lvlJc w:val="left"/>
      <w:lvlText w:val="(%1)"/>
      <w:numFmt w:val="lowerLetter"/>
      <w:start w:val="7"/>
    </w:lvl>
  </w:abstractNum>
  <w:abstractNum w:abstractNumId="47">
    <w:nsid w:val="79A1DEAA"/>
    <w:multiLevelType w:val="hybridMultilevel"/>
    <w:lvl w:ilvl="0">
      <w:lvlJc w:val="left"/>
      <w:lvlText w:val="%1"/>
      <w:numFmt w:val="lowerLetter"/>
      <w:start w:val="1"/>
    </w:lvl>
    <w:lvl w:ilvl="1">
      <w:lvlJc w:val="left"/>
      <w:lvlText w:val="(%2)"/>
      <w:numFmt w:val="lowerLetter"/>
      <w:start w:val="1"/>
    </w:lvl>
  </w:abstractNum>
  <w:abstractNum w:abstractNumId="48">
    <w:nsid w:val="75C6C33A"/>
    <w:multiLevelType w:val="hybridMultilevel"/>
    <w:lvl w:ilvl="0">
      <w:lvlJc w:val="left"/>
      <w:lvlText w:val="(%1)"/>
      <w:numFmt w:val="lowerLetter"/>
      <w:start w:val="35"/>
    </w:lvl>
    <w:lvl w:ilvl="1">
      <w:lvlJc w:val="left"/>
      <w:lvlText w:val="(%2)"/>
      <w:numFmt w:val="lowerLetter"/>
      <w:start w:val="2"/>
    </w:lvl>
  </w:abstractNum>
  <w:abstractNum w:abstractNumId="49">
    <w:nsid w:val="12E685FB"/>
    <w:multiLevelType w:val="hybridMultilevel"/>
    <w:lvl w:ilvl="0">
      <w:lvlJc w:val="left"/>
      <w:lvlText w:val="(%1)"/>
      <w:numFmt w:val="lowerLetter"/>
      <w:start w:val="61"/>
    </w:lvl>
    <w:lvl w:ilvl="1">
      <w:lvlJc w:val="left"/>
      <w:lvlText w:val="%2"/>
      <w:numFmt w:val="lowerLetter"/>
      <w:start w:val="1"/>
    </w:lvl>
  </w:abstractNum>
  <w:abstractNum w:abstractNumId="50">
    <w:nsid w:val="70C6A529"/>
    <w:multiLevelType w:val="hybridMultilevel"/>
    <w:lvl w:ilvl="0">
      <w:lvlJc w:val="left"/>
      <w:lvlText w:val="(%1)"/>
      <w:numFmt w:val="lowerLetter"/>
      <w:start w:val="3"/>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34" Type="http://schemas.openxmlformats.org/officeDocument/2006/relationships/hyperlink" Target="http://www.sec.gov/Archives/edgar/data/1036262/000103626217000037/exh2.1-8k052417.htm" TargetMode="External"/><Relationship Id="rId35" Type="http://schemas.openxmlformats.org/officeDocument/2006/relationships/hyperlink" Target="http://www.sec.gov/Archives/edgar/data/1036262/0000950116-97-000845.txt" TargetMode="External"/><Relationship Id="rId36" Type="http://schemas.openxmlformats.org/officeDocument/2006/relationships/hyperlink" Target="http://www.sec.gov/Archives/edgar/data/1036262/000103626214000031/ex3_2-8k-062314.htm" TargetMode="External"/><Relationship Id="rId37" Type="http://schemas.openxmlformats.org/officeDocument/2006/relationships/hyperlink" Target="http://www.sec.gov/Archives/edgar/data/1036262/000103626210000025/ex101-8k051010.htm" TargetMode="External"/><Relationship Id="rId38" Type="http://schemas.openxmlformats.org/officeDocument/2006/relationships/hyperlink" Target="http://www.sec.gov/Archives/edgar/data/1036262/000103626210000043/ex101-8k102710.htm" TargetMode="External"/><Relationship Id="rId39" Type="http://schemas.openxmlformats.org/officeDocument/2006/relationships/hyperlink" Target="http://www.sec.gov/Archives/edgar/data/1036262/000103626212000022/ex101-10q033112.htm" TargetMode="External"/><Relationship Id="rId40" Type="http://schemas.openxmlformats.org/officeDocument/2006/relationships/hyperlink" Target="http://www.sec.gov/Archives/edgar/data/1036262/000103626216000065/exh101-f8k111816.htm" TargetMode="External"/><Relationship Id="rId41" Type="http://schemas.openxmlformats.org/officeDocument/2006/relationships/hyperlink" Target="http://www.sec.gov/Archives/edgar/data/1036262/000103626212000022/ex102-10q033112.htm" TargetMode="External"/><Relationship Id="rId42" Type="http://schemas.openxmlformats.org/officeDocument/2006/relationships/hyperlink" Target="http://www.sec.gov/Archives/edgar/data/1036262/000143774917021126/ex_102407.htm" TargetMode="External"/><Relationship Id="rId43" Type="http://schemas.openxmlformats.org/officeDocument/2006/relationships/hyperlink" Target="http://www.sec.gov/Archives/edgar/data/1036262/000143774917021126/ex_102408.htm" TargetMode="External"/><Relationship Id="rId44" Type="http://schemas.openxmlformats.org/officeDocument/2006/relationships/hyperlink" Target="http://www.sec.gov/Archives/edgar/data/1036262/000103626217000050/ex101-8k100217.htm" TargetMode="External"/><Relationship Id="rId45" Type="http://schemas.openxmlformats.org/officeDocument/2006/relationships/hyperlink" Target="http://www.sec.gov/Archives/edgar/data/1036262/000103626216000045/ex101-10q033116.htm" TargetMode="External"/><Relationship Id="rId46" Type="http://schemas.openxmlformats.org/officeDocument/2006/relationships/hyperlink" Target="http://www.sec.gov/Archives/edgar/data/1036262/000103626216000045/ex102-10q033116.htm" TargetMode="External"/><Relationship Id="rId47" Type="http://schemas.openxmlformats.org/officeDocument/2006/relationships/hyperlink" Target="http://www.sec.gov/Archives/edgar/data/1036262/000103626216000045/ex103-10q033116.htm" TargetMode="External"/><Relationship Id="rId48" Type="http://schemas.openxmlformats.org/officeDocument/2006/relationships/hyperlink" Target="http://www.sec.gov/Archives/edgar/data/1036262/000103626208000009/e1013-10k2007.htm" TargetMode="External"/><Relationship Id="rId49" Type="http://schemas.openxmlformats.org/officeDocument/2006/relationships/hyperlink" Target="http://www.sec.gov/Archives/edgar/data/1036262/000103626208000009/e1014-10k2007.htm" TargetMode="External"/><Relationship Id="rId50" Type="http://schemas.openxmlformats.org/officeDocument/2006/relationships/hyperlink" Target="http://www.sec.gov/Archives/edgar/data/1036262/000103626208000026/ex102-10q063008.htm" TargetMode="External"/><Relationship Id="rId51" Type="http://schemas.openxmlformats.org/officeDocument/2006/relationships/hyperlink" Target="http://www.sec.gov/Archives/edgar/data/1036262/000103626209000043/ex101-10q063009.htm" TargetMode="External"/><Relationship Id="rId52" Type="http://schemas.openxmlformats.org/officeDocument/2006/relationships/hyperlink" Target="http://www.sec.gov/Archives/edgar/data/1036262/000103626209000043/ex102-10q063009.htm" TargetMode="External"/><Relationship Id="rId53" Type="http://schemas.openxmlformats.org/officeDocument/2006/relationships/hyperlink" Target="http://www.sec.gov/Archives/edgar/data/1036262/000103626209000043/ex104-10q063009.htm" TargetMode="External"/><Relationship Id="rId54" Type="http://schemas.openxmlformats.org/officeDocument/2006/relationships/hyperlink" Target="http://www.sec.gov/Archives/edgar/data/1036262/000143774918004755/ex_107875.htm" TargetMode="External"/><Relationship Id="rId55" Type="http://schemas.openxmlformats.org/officeDocument/2006/relationships/hyperlink" Target="http://www.sec.gov/Archives/edgar/data/1036262/000103626216000054/exh14-10q063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2019-12-28T23:10:42Z</dcterms:created>
  <dcterms:modified xsi:type="dcterms:W3CDTF">2019-12-28T23:10:42Z</dcterms:modified>
</cp:coreProperties>
</file>