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tt20240930_10q.htm"/>
      <w:bookmarkStart w:id="1" w:name="ksintt20240930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September 30, 2024</w:t>
      </w:r>
      <w:r>
        <w:rPr>
          <w:rFonts w:ascii="Times New Roman" w:hAnsi="Times New Roman"/>
          <w:caps w:val="false"/>
          <w:smallCaps w:val="false"/>
          <w:sz w:val="20"/>
        </w:rPr>
        <w:t xml:space="preserve"> 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to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1-36117</w:t>
      </w:r>
      <w:r>
        <w:rPr>
          <w:rFonts w:ascii="Times New Roman" w:hAnsi="Times New Roman"/>
          <w:caps w:val="false"/>
          <w:smallCaps w:val="false"/>
          <w:sz w:val="20"/>
        </w:rPr>
        <w:br/>
        <w:br/>
      </w:r>
      <w:r>
        <w:rPr>
          <w:rFonts w:ascii="Times New Roman" w:hAnsi="Times New Roman"/>
          <w:b/>
          <w:caps w:val="false"/>
          <w:smallCaps w:val="false"/>
          <w:sz w:val="20"/>
          <w:u w:val="single"/>
        </w:rPr>
        <w:t>inTEST Corporation</w:t>
      </w:r>
      <w:r>
        <w:rPr>
          <w:rFonts w:ascii="Times New Roman" w:hAnsi="Times New Roman"/>
          <w:caps w:val="false"/>
          <w:smallCaps w:val="false"/>
          <w:sz w:val="20"/>
        </w:rPr>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5600"/>
        <w:gridCol w:w="3860"/>
      </w:tblGrid>
      <w:tr>
        <w:trPr/>
        <w:tc>
          <w:tcPr>
            <w:tcW w:w="56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38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22-2370659</w:t>
            </w:r>
          </w:p>
        </w:tc>
      </w:tr>
      <w:tr>
        <w:trPr/>
        <w:tc>
          <w:tcPr>
            <w:tcW w:w="5600" w:type="dxa"/>
            <w:tcBorders/>
            <w:vAlign w:val="center"/>
          </w:tcPr>
          <w:p>
            <w:pPr>
              <w:pStyle w:val="TableContents"/>
              <w:bidi w:val="0"/>
              <w:spacing w:before="0" w:after="283"/>
              <w:jc w:val="center"/>
              <w:rPr/>
            </w:pPr>
            <w:r>
              <w:rPr/>
              <w:t>(State or other jurisdiction of incorporation or organization)</w:t>
            </w:r>
          </w:p>
        </w:tc>
        <w:tc>
          <w:tcPr>
            <w:tcW w:w="3860"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804 East Gate Drive, Suite 200</w:t>
      </w:r>
      <w:r>
        <w:rPr>
          <w:rFonts w:ascii="Times New Roman" w:hAnsi="Times New Roman"/>
          <w:caps w:val="false"/>
          <w:smallCaps w:val="false"/>
          <w:sz w:val="20"/>
        </w:rPr>
        <w:br/>
      </w:r>
      <w:r>
        <w:rPr>
          <w:rFonts w:ascii="Times New Roman" w:hAnsi="Times New Roman"/>
          <w:b/>
          <w:caps w:val="false"/>
          <w:smallCaps w:val="false"/>
          <w:sz w:val="20"/>
          <w:u w:val="single"/>
        </w:rPr>
        <w:t>Mt. Laurel, New Jersey 08054</w:t>
      </w:r>
      <w:r>
        <w:rPr>
          <w:rFonts w:ascii="Times New Roman" w:hAnsi="Times New Roman"/>
          <w:caps w:val="false"/>
          <w:smallCaps w:val="false"/>
          <w:sz w:val="20"/>
        </w:rPr>
        <w:br/>
        <w:t>(Address of principal executive offices, including zip code)</w:t>
        <w:br/>
        <w:br/>
      </w:r>
      <w:r>
        <w:rPr>
          <w:rFonts w:ascii="Times New Roman" w:hAnsi="Times New Roman"/>
          <w:b/>
          <w:caps w:val="false"/>
          <w:smallCaps w:val="false"/>
          <w:sz w:val="20"/>
          <w:u w:val="single"/>
        </w:rPr>
        <w:t>(856) 505-8800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4010"/>
        <w:gridCol w:w="1415"/>
        <w:gridCol w:w="3890"/>
      </w:tblGrid>
      <w:tr>
        <w:trPr/>
        <w:tc>
          <w:tcPr>
            <w:tcW w:w="40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89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4010" w:type="dxa"/>
            <w:tcBorders/>
            <w:vAlign w:val="center"/>
          </w:tcPr>
          <w:p>
            <w:pPr>
              <w:pStyle w:val="TableContents"/>
              <w:bidi w:val="0"/>
              <w:spacing w:before="0" w:after="283"/>
              <w:jc w:val="center"/>
              <w:rPr/>
            </w:pPr>
            <w:r>
              <w:rPr/>
              <w:t>Common Stock, par value $0.01 per share</w:t>
            </w:r>
          </w:p>
        </w:tc>
        <w:tc>
          <w:tcPr>
            <w:tcW w:w="1415" w:type="dxa"/>
            <w:tcBorders/>
            <w:vAlign w:val="center"/>
          </w:tcPr>
          <w:p>
            <w:pPr>
              <w:pStyle w:val="TableContents"/>
              <w:bidi w:val="0"/>
              <w:spacing w:before="0" w:after="283"/>
              <w:jc w:val="center"/>
              <w:rPr/>
            </w:pPr>
            <w:r>
              <w:rPr/>
              <w:t>INTT</w:t>
            </w:r>
          </w:p>
        </w:tc>
        <w:tc>
          <w:tcPr>
            <w:tcW w:w="3890" w:type="dxa"/>
            <w:tcBorders/>
            <w:vAlign w:val="center"/>
          </w:tcPr>
          <w:p>
            <w:pPr>
              <w:pStyle w:val="TableContents"/>
              <w:bidi w:val="0"/>
              <w:spacing w:before="0" w:after="283"/>
              <w:jc w:val="center"/>
              <w:rPr/>
            </w:pPr>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Yes ☒      No ☐</w:t>
        <w:br/>
        <w:b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495"/>
        <w:gridCol w:w="2495"/>
      </w:tblGrid>
      <w:tr>
        <w:trPr/>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24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br/>
        <w:br/>
        <w:t>Indicate by check mark whether the registrant is a shell company (as defined in Rule 12b-2 of the Exchange Act).</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Common Stock, $0.01 par value, outstanding as of the close of business on October 31, 2024:   12,374,575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
        <w:gridCol w:w="9035"/>
        <w:gridCol w:w="441"/>
      </w:tblGrid>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729"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90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283"/>
              <w:jc w:val="left"/>
              <w:rPr/>
            </w:pPr>
            <w:r>
              <w:rPr/>
              <w:t> </w:t>
            </w:r>
          </w:p>
        </w:tc>
        <w:tc>
          <w:tcPr>
            <w:tcW w:w="9035"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9"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w:t>
            </w:r>
          </w:p>
        </w:tc>
        <w:tc>
          <w:tcPr>
            <w:tcW w:w="9035"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Statements</w:t>
            </w:r>
          </w:p>
        </w:tc>
        <w:tc>
          <w:tcPr>
            <w:tcW w:w="44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729" w:type="dxa"/>
            <w:tcBorders/>
            <w:shd w:fill="FFFFFF" w:val="clear"/>
            <w:vAlign w:val="center"/>
          </w:tcPr>
          <w:p>
            <w:pPr>
              <w:pStyle w:val="TableContents"/>
              <w:bidi w:val="0"/>
              <w:spacing w:before="0" w:after="283"/>
              <w:jc w:val="left"/>
              <w:rPr/>
            </w:pPr>
            <w:r>
              <w:rPr/>
              <w:t> </w:t>
            </w:r>
          </w:p>
        </w:tc>
        <w:tc>
          <w:tcPr>
            <w:tcW w:w="9035"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as of September 30, 2024 (Unaudited) and December 31, 2023</w:t>
            </w:r>
          </w:p>
        </w:tc>
        <w:tc>
          <w:tcPr>
            <w:tcW w:w="44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729" w:type="dxa"/>
            <w:tcBorders/>
            <w:shd w:fill="FFFFFF" w:val="clear"/>
            <w:vAlign w:val="center"/>
          </w:tcPr>
          <w:p>
            <w:pPr>
              <w:pStyle w:val="TableContents"/>
              <w:bidi w:val="0"/>
              <w:spacing w:before="0" w:after="283"/>
              <w:jc w:val="left"/>
              <w:rPr/>
            </w:pPr>
            <w:r>
              <w:rPr/>
              <w:t> </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Operations for the three months and nine months ended September 30, 2024 and 2023</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Comprehensive Earnings for the three months and nine months ended September 30, 2024 and 2023</w:t>
            </w:r>
          </w:p>
        </w:tc>
        <w:tc>
          <w:tcPr>
            <w:tcW w:w="44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729" w:type="dxa"/>
            <w:tcBorders/>
            <w:shd w:fill="FFFFFF" w:val="clear"/>
            <w:vAlign w:val="center"/>
          </w:tcPr>
          <w:p>
            <w:pPr>
              <w:pStyle w:val="TableContents"/>
              <w:bidi w:val="0"/>
              <w:spacing w:before="0" w:after="283"/>
              <w:jc w:val="left"/>
              <w:rPr/>
            </w:pPr>
            <w:r>
              <w:rPr/>
              <w:t> </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Stockholders' Equity for the three months and nine months ended September 30, 2024 and 2023</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Cash Flows for the nine months ended September 30, 2024 and 2023</w:t>
            </w:r>
          </w:p>
        </w:tc>
        <w:tc>
          <w:tcPr>
            <w:tcW w:w="44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729" w:type="dxa"/>
            <w:tcBorders/>
            <w:shd w:fill="FFFFFF" w:val="clear"/>
            <w:vAlign w:val="center"/>
          </w:tcPr>
          <w:p>
            <w:pPr>
              <w:pStyle w:val="TableContents"/>
              <w:bidi w:val="0"/>
              <w:spacing w:before="0" w:after="283"/>
              <w:jc w:val="left"/>
              <w:rPr/>
            </w:pPr>
            <w:r>
              <w:rPr/>
              <w:t> </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2.</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Management's Discussion and Analysis of Financial Condition and Results of Operations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3.</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Quantitative and Qualitative Disclosures About Market Risk</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4.</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Controls and Procedures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441" w:type="dxa"/>
            <w:tcBorders/>
            <w:shd w:fill="FFFFFF" w:val="clear"/>
            <w:vAlign w:val="center"/>
          </w:tcPr>
          <w:p>
            <w:pPr>
              <w:pStyle w:val="TableContents"/>
              <w:bidi w:val="0"/>
              <w:spacing w:before="0" w:after="283"/>
              <w:jc w:val="left"/>
              <w:rPr/>
            </w:pPr>
            <w:r>
              <w:rPr/>
              <w:t> </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1A.</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Risk Factors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2.</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Unregistered Sales of Equity Securities and Use of Proceeds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3.</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Defaults Upon Senior Securities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4.</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Mine Safety Disclosures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5.</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Information</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729" w:type="dxa"/>
            <w:tcBorders/>
            <w:shd w:fill="CCEEFF" w:val="clear"/>
            <w:vAlign w:val="center"/>
          </w:tcPr>
          <w:p>
            <w:pPr>
              <w:pStyle w:val="TableContents"/>
              <w:bidi w:val="0"/>
              <w:spacing w:before="0" w:after="283"/>
              <w:jc w:val="left"/>
              <w:rPr/>
            </w:pPr>
            <w:r>
              <w:rPr/>
              <w:t> </w:t>
            </w:r>
          </w:p>
        </w:tc>
        <w:tc>
          <w:tcPr>
            <w:tcW w:w="9035"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729"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6.</w:t>
            </w:r>
          </w:p>
        </w:tc>
        <w:tc>
          <w:tcPr>
            <w:tcW w:w="9035"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Exhibits </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9764" w:type="dxa"/>
            <w:gridSpan w:val="2"/>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r>
      <w:tr>
        <w:trPr/>
        <w:tc>
          <w:tcPr>
            <w:tcW w:w="9764" w:type="dxa"/>
            <w:gridSpan w:val="2"/>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SIGNATURES</w:t>
            </w:r>
          </w:p>
        </w:tc>
        <w:tc>
          <w:tcPr>
            <w:tcW w:w="44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BALANCE SHEETS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2"/>
        <w:gridCol w:w="60"/>
        <w:gridCol w:w="177"/>
        <w:gridCol w:w="972"/>
        <w:gridCol w:w="80"/>
        <w:gridCol w:w="60"/>
        <w:gridCol w:w="167"/>
        <w:gridCol w:w="934"/>
        <w:gridCol w:w="83"/>
      </w:tblGrid>
      <w:tr>
        <w:trPr/>
        <w:tc>
          <w:tcPr>
            <w:tcW w:w="7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3" w:type="dxa"/>
            <w:tcBorders/>
            <w:vAlign w:val="center"/>
          </w:tcPr>
          <w:p>
            <w:pPr>
              <w:pStyle w:val="TableContents"/>
              <w:bidi w:val="0"/>
              <w:spacing w:before="0" w:after="283"/>
              <w:jc w:val="left"/>
              <w:rPr/>
            </w:pPr>
            <w:r>
              <w:rPr/>
              <w:t> </w:t>
            </w:r>
          </w:p>
        </w:tc>
      </w:tr>
      <w:tr>
        <w:trPr/>
        <w:tc>
          <w:tcPr>
            <w:tcW w:w="7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3" w:type="dxa"/>
            <w:tcBorders/>
            <w:vAlign w:val="center"/>
          </w:tcPr>
          <w:p>
            <w:pPr>
              <w:pStyle w:val="TableContents"/>
              <w:bidi w:val="0"/>
              <w:spacing w:before="0" w:after="283"/>
              <w:jc w:val="left"/>
              <w:rPr/>
            </w:pPr>
            <w:r>
              <w:rPr/>
              <w:t> </w:t>
            </w:r>
          </w:p>
        </w:tc>
      </w:tr>
      <w:tr>
        <w:trPr/>
        <w:tc>
          <w:tcPr>
            <w:tcW w:w="7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 of allowance for credit losses of $419 and $474, respectively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18,175</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20,089</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85,778</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7,118</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10,719</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property and equipment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certificates of deposit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Term Note and other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benefits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4,156</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 and deferred revenue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sales commissions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 payable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24,299</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Note and other 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38,548</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5,000,000 shares authorized; no shares issued or outstanding</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20,000,000 shares authorized; 12,453,957 and 12,241,925 shares issued, respectively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54,450</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42,196</w:t>
            </w:r>
          </w:p>
        </w:tc>
        <w:tc>
          <w:tcPr>
            <w:tcW w:w="83" w:type="dxa"/>
            <w:tcBorders/>
            <w:shd w:fill="FFFFFF" w:val="clear"/>
            <w:vAlign w:val="center"/>
          </w:tcPr>
          <w:p>
            <w:pPr>
              <w:pStyle w:val="TableContents"/>
              <w:bidi w:val="0"/>
              <w:spacing w:before="0" w:after="283"/>
              <w:jc w:val="left"/>
              <w:rPr/>
            </w:pPr>
            <w:r>
              <w:rPr/>
              <w:t> </w:t>
            </w:r>
          </w:p>
        </w:tc>
      </w:tr>
      <w:tr>
        <w:trPr/>
        <w:tc>
          <w:tcPr>
            <w:tcW w:w="76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earnings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79,382 and 75,758 shares, respectively</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7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96,281</w:t>
            </w:r>
          </w:p>
        </w:tc>
        <w:tc>
          <w:tcPr>
            <w:tcW w:w="83" w:type="dxa"/>
            <w:tcBorders/>
            <w:shd w:fill="CCEEFF" w:val="clear"/>
            <w:vAlign w:val="center"/>
          </w:tcPr>
          <w:p>
            <w:pPr>
              <w:pStyle w:val="TableContents"/>
              <w:bidi w:val="0"/>
              <w:spacing w:before="0" w:after="283"/>
              <w:jc w:val="left"/>
              <w:rPr/>
            </w:pPr>
            <w:r>
              <w:rPr/>
              <w:t> </w:t>
            </w:r>
          </w:p>
        </w:tc>
      </w:tr>
      <w:tr>
        <w:trPr/>
        <w:tc>
          <w:tcPr>
            <w:tcW w:w="767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OPERATIONS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5"/>
        <w:gridCol w:w="60"/>
        <w:gridCol w:w="125"/>
        <w:gridCol w:w="950"/>
        <w:gridCol w:w="80"/>
        <w:gridCol w:w="60"/>
        <w:gridCol w:w="125"/>
        <w:gridCol w:w="950"/>
        <w:gridCol w:w="80"/>
        <w:gridCol w:w="60"/>
        <w:gridCol w:w="125"/>
        <w:gridCol w:w="950"/>
        <w:gridCol w:w="80"/>
        <w:gridCol w:w="60"/>
        <w:gridCol w:w="125"/>
        <w:gridCol w:w="950"/>
        <w:gridCol w:w="80"/>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September 30,</w:t>
            </w:r>
          </w:p>
        </w:tc>
        <w:tc>
          <w:tcPr>
            <w:tcW w:w="8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50,889</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44,529</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13,411</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5,689</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16,099</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35,199</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9,482</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12,189,761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11,886,005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12,150,240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11,294,306</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0.68</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and common share equivalents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12,251,712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12,212,317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12,246,763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11,665,850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 xml:space="preserve">CONSOLIDATED STATEMENTS OF COMPREHENSIVE EARNINGS </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579" w:type="dxa"/>
        <w:jc w:val="left"/>
        <w:tblInd w:w="0" w:type="dxa"/>
        <w:tblLayout w:type="fixed"/>
        <w:tblCellMar>
          <w:top w:w="0" w:type="dxa"/>
          <w:left w:w="0" w:type="dxa"/>
          <w:bottom w:w="0" w:type="dxa"/>
          <w:right w:w="0" w:type="dxa"/>
        </w:tblCellMar>
      </w:tblPr>
      <w:tblGrid>
        <w:gridCol w:w="3845"/>
        <w:gridCol w:w="60"/>
        <w:gridCol w:w="164"/>
        <w:gridCol w:w="638"/>
        <w:gridCol w:w="105"/>
        <w:gridCol w:w="78"/>
        <w:gridCol w:w="164"/>
        <w:gridCol w:w="638"/>
        <w:gridCol w:w="80"/>
        <w:gridCol w:w="60"/>
        <w:gridCol w:w="153"/>
        <w:gridCol w:w="595"/>
        <w:gridCol w:w="98"/>
        <w:gridCol w:w="73"/>
        <w:gridCol w:w="153"/>
        <w:gridCol w:w="595"/>
        <w:gridCol w:w="8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September 30,</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interest rate swap agreement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br/>
        <w:t>(In thousands, except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8"/>
        <w:gridCol w:w="60"/>
        <w:gridCol w:w="60"/>
        <w:gridCol w:w="950"/>
        <w:gridCol w:w="80"/>
        <w:gridCol w:w="60"/>
        <w:gridCol w:w="188"/>
        <w:gridCol w:w="507"/>
        <w:gridCol w:w="80"/>
        <w:gridCol w:w="60"/>
        <w:gridCol w:w="160"/>
        <w:gridCol w:w="760"/>
        <w:gridCol w:w="80"/>
        <w:gridCol w:w="60"/>
        <w:gridCol w:w="139"/>
        <w:gridCol w:w="661"/>
        <w:gridCol w:w="60"/>
        <w:gridCol w:w="60"/>
        <w:gridCol w:w="321"/>
        <w:gridCol w:w="1022"/>
        <w:gridCol w:w="80"/>
        <w:gridCol w:w="60"/>
        <w:gridCol w:w="195"/>
        <w:gridCol w:w="620"/>
        <w:gridCol w:w="80"/>
        <w:gridCol w:w="60"/>
        <w:gridCol w:w="171"/>
        <w:gridCol w:w="960"/>
        <w:gridCol w:w="83"/>
      </w:tblGrid>
      <w:tr>
        <w:trPr/>
        <w:tc>
          <w:tcPr>
            <w:tcW w:w="2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3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2024</w:t>
            </w:r>
          </w:p>
        </w:tc>
        <w:tc>
          <w:tcPr>
            <w:tcW w:w="83" w:type="dxa"/>
            <w:tcBorders/>
            <w:vAlign w:val="center"/>
          </w:tcPr>
          <w:p>
            <w:pPr>
              <w:pStyle w:val="TableContents"/>
              <w:bidi w:val="0"/>
              <w:spacing w:before="0" w:after="283"/>
              <w:jc w:val="left"/>
              <w:rPr/>
            </w:pPr>
            <w:r>
              <w:rPr/>
              <w:t> </w:t>
            </w:r>
          </w:p>
        </w:tc>
      </w:tr>
      <w:tr>
        <w:trPr/>
        <w:tc>
          <w:tcPr>
            <w:tcW w:w="2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2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3" w:type="dxa"/>
            <w:tcBorders/>
            <w:vAlign w:val="center"/>
          </w:tcPr>
          <w:p>
            <w:pPr>
              <w:pStyle w:val="TableContents"/>
              <w:bidi w:val="0"/>
              <w:spacing w:before="0" w:after="283"/>
              <w:jc w:val="left"/>
              <w:rPr/>
            </w:pPr>
            <w:r>
              <w:rPr/>
              <w:t> </w:t>
            </w:r>
          </w:p>
        </w:tc>
      </w:tr>
      <w:tr>
        <w:trPr/>
        <w:tc>
          <w:tcPr>
            <w:tcW w:w="2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3" w:type="dxa"/>
            <w:tcBorders/>
            <w:vAlign w:val="center"/>
          </w:tcPr>
          <w:p>
            <w:pPr>
              <w:pStyle w:val="TableContents"/>
              <w:bidi w:val="0"/>
              <w:spacing w:before="0" w:after="283"/>
              <w:jc w:val="left"/>
              <w:rPr/>
            </w:pPr>
            <w:r>
              <w:rPr/>
              <w:t> </w:t>
            </w:r>
          </w:p>
        </w:tc>
      </w:tr>
      <w:tr>
        <w:trPr/>
        <w:tc>
          <w:tcPr>
            <w:tcW w:w="2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3" w:type="dxa"/>
            <w:tcBorders/>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12,241,925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96,281</w:t>
            </w:r>
          </w:p>
        </w:tc>
        <w:tc>
          <w:tcPr>
            <w:tcW w:w="83" w:type="dxa"/>
            <w:tcBorders/>
            <w:shd w:fill="CCEEFF" w:val="clear"/>
            <w:vAlign w:val="center"/>
          </w:tcPr>
          <w:p>
            <w:pPr>
              <w:pStyle w:val="TableContents"/>
              <w:bidi w:val="0"/>
              <w:spacing w:before="0" w:after="283"/>
              <w:jc w:val="left"/>
              <w:rPr/>
            </w:pPr>
            <w:r>
              <w:rPr/>
              <w:t> </w:t>
            </w:r>
          </w:p>
        </w:tc>
      </w:tr>
      <w:tr>
        <w:trPr/>
        <w:tc>
          <w:tcPr>
            <w:tcW w:w="2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252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3"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in connection with acquisition of Alfamation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to satisfy tax liability at vesting of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99,317</w:t>
            </w:r>
          </w:p>
        </w:tc>
        <w:tc>
          <w:tcPr>
            <w:tcW w:w="83" w:type="dxa"/>
            <w:tcBorders/>
            <w:shd w:fill="CCEEFF" w:val="clear"/>
            <w:vAlign w:val="center"/>
          </w:tcPr>
          <w:p>
            <w:pPr>
              <w:pStyle w:val="TableContents"/>
              <w:bidi w:val="0"/>
              <w:spacing w:before="0" w:after="283"/>
              <w:jc w:val="left"/>
              <w:rPr/>
            </w:pPr>
            <w:r>
              <w:rPr/>
              <w:t> </w:t>
            </w:r>
          </w:p>
        </w:tc>
      </w:tr>
      <w:tr>
        <w:trPr/>
        <w:tc>
          <w:tcPr>
            <w:tcW w:w="2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252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3"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252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252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12,591,662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99,502</w:t>
            </w:r>
          </w:p>
        </w:tc>
        <w:tc>
          <w:tcPr>
            <w:tcW w:w="83" w:type="dxa"/>
            <w:tcBorders/>
            <w:shd w:fill="FFFFFF" w:val="clear"/>
            <w:vAlign w:val="center"/>
          </w:tcPr>
          <w:p>
            <w:pPr>
              <w:pStyle w:val="TableContents"/>
              <w:bidi w:val="0"/>
              <w:spacing w:before="0" w:after="283"/>
              <w:jc w:val="left"/>
              <w:rPr/>
            </w:pPr>
            <w:r>
              <w:rPr/>
              <w:t> </w:t>
            </w:r>
          </w:p>
        </w:tc>
      </w:tr>
      <w:tr>
        <w:trPr/>
        <w:tc>
          <w:tcPr>
            <w:tcW w:w="2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252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3" w:type="dxa"/>
            <w:tcBorders/>
            <w:shd w:fill="CCEEFF" w:val="clear"/>
            <w:vAlign w:val="center"/>
          </w:tcPr>
          <w:p>
            <w:pPr>
              <w:pStyle w:val="TableContents"/>
              <w:bidi w:val="0"/>
              <w:spacing w:before="0" w:after="283"/>
              <w:ind w:left="180" w:right="0" w:hanging="0"/>
              <w:jc w:val="left"/>
              <w:rPr/>
            </w:pPr>
            <w:r>
              <w:rPr/>
              <w:t> </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shd w:fill="FFFFFF" w:val="clear"/>
            <w:vAlign w:val="center"/>
          </w:tcPr>
          <w:p>
            <w:pPr>
              <w:pStyle w:val="TableContents"/>
              <w:bidi w:val="0"/>
              <w:spacing w:before="0" w:after="283"/>
              <w:ind w:left="180" w:right="0" w:hanging="0"/>
              <w:jc w:val="left"/>
              <w:rPr/>
            </w:pPr>
            <w:r>
              <w:rPr/>
              <w:t> </w:t>
            </w:r>
          </w:p>
        </w:tc>
      </w:tr>
      <w:tr>
        <w:trPr/>
        <w:tc>
          <w:tcPr>
            <w:tcW w:w="252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83"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52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2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12,453,957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100,376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(Continued)</w:t>
      </w:r>
      <w:r>
        <w:rPr>
          <w:rFonts w:ascii="Times New Roman" w:hAnsi="Times New Roman"/>
          <w:caps w:val="false"/>
          <w:smallCaps w:val="false"/>
          <w:sz w:val="20"/>
        </w:rPr>
        <w:br/>
        <w:t>(In thousands, except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950"/>
        <w:gridCol w:w="80"/>
        <w:gridCol w:w="60"/>
        <w:gridCol w:w="188"/>
        <w:gridCol w:w="507"/>
        <w:gridCol w:w="60"/>
        <w:gridCol w:w="60"/>
        <w:gridCol w:w="160"/>
        <w:gridCol w:w="760"/>
        <w:gridCol w:w="80"/>
        <w:gridCol w:w="60"/>
        <w:gridCol w:w="139"/>
        <w:gridCol w:w="661"/>
        <w:gridCol w:w="60"/>
        <w:gridCol w:w="60"/>
        <w:gridCol w:w="321"/>
        <w:gridCol w:w="1019"/>
        <w:gridCol w:w="80"/>
        <w:gridCol w:w="60"/>
        <w:gridCol w:w="195"/>
        <w:gridCol w:w="620"/>
        <w:gridCol w:w="80"/>
        <w:gridCol w:w="60"/>
        <w:gridCol w:w="195"/>
        <w:gridCol w:w="928"/>
        <w:gridCol w:w="82"/>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 2023</w:t>
            </w:r>
          </w:p>
        </w:tc>
        <w:tc>
          <w:tcPr>
            <w:tcW w:w="82"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2"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2"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2"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11,063,271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64,956</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by employees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68,498</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by employees to satisfy tax liability at vesting of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pursuant to At-the-Market Offering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19,244</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12,185,220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92,064</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additional shares of restricted stock related to performance-based awards which vested in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2"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2"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by employees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12,237,070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93,924</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CASH FLOWS</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562" w:type="dxa"/>
        <w:jc w:val="left"/>
        <w:tblInd w:w="0" w:type="dxa"/>
        <w:tblLayout w:type="fixed"/>
        <w:tblCellMar>
          <w:top w:w="0" w:type="dxa"/>
          <w:left w:w="0" w:type="dxa"/>
          <w:bottom w:w="0" w:type="dxa"/>
          <w:right w:w="0" w:type="dxa"/>
        </w:tblCellMar>
      </w:tblPr>
      <w:tblGrid>
        <w:gridCol w:w="6755"/>
        <w:gridCol w:w="60"/>
        <w:gridCol w:w="128"/>
        <w:gridCol w:w="665"/>
        <w:gridCol w:w="81"/>
        <w:gridCol w:w="61"/>
        <w:gridCol w:w="128"/>
        <w:gridCol w:w="604"/>
        <w:gridCol w:w="80"/>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3"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2"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32" w:type="dxa"/>
            <w:gridSpan w:val="2"/>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7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3,515</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7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7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7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7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on shares sold under Employee Stock Purchase Plan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7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67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rental equipment, net of gain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67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contingent consideration liability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80" w:type="dxa"/>
            <w:tcBorders/>
            <w:shd w:fill="FFFF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80" w:type="dxa"/>
            <w:tcBorders/>
            <w:shd w:fill="FFFF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benefits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 and deferred revenue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sales commissions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CCEE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FFFFFF" w:val="clear"/>
            <w:vAlign w:val="center"/>
          </w:tcPr>
          <w:p>
            <w:pPr>
              <w:pStyle w:val="TableContents"/>
              <w:bidi w:val="0"/>
              <w:spacing w:before="0" w:after="283"/>
              <w:ind w:left="72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6755"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675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11,521</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public offering of common stock</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19,244</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short-term borrowings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borrowings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(3,075</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options exercised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sold under Employee Stock Purchase Plan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employee tax liabilities in connection with treasury stock transaction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16,578</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rates on cash</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all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41,685</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for:</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acquisition: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assets acquired, net of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7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resulting from acquisition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paid for acquisition</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290"/>
        <w:gridCol w:w="246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(1)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NATURE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 w:hAnsi="Times New Roman"/>
          <w:caps w:val="false"/>
          <w:smallCaps w:val="false"/>
          <w:sz w:val="20"/>
        </w:rPr>
      </w:pPr>
      <w:r>
        <w:rPr>
          <w:rFonts w:ascii="Times New Roman" w:hAnsi="Times New Roman"/>
          <w:caps w:val="false"/>
          <w:smallCaps w:val="false"/>
          <w:sz w:val="20"/>
        </w:rPr>
        <w:t>On March 12, 2024 we completed the acquisition of Alfamation S.p.A., an Italian joint-stock company (“Alfamation”), for an aggregate base purchase price of approximately EUR 20,000 comprised of: (i) EUR 18,000, or $19,674, in cash; and (ii) 187,432 shares of our common stock, valued at $2,086 based on the closing price of our stock on the date of acquisition. The cash portion of the purchase price was subject to customary working capital adjustments. These adjustments were finalized in June 2024 and resulted in recording an additional EUR 129, or $141, in purchase price for assets delivered at closing in excess of agreed upon thresholds. The liabilities assumed in connection with the acquisition included debt of approximately EUR 10,315, or $11,274. The acquisition is discussed further in Note 3. The debt assumed is discussed further in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entity is comprised of inTEST Corporation and our wholly-owned subsidiaries. We manufacture our products in the U.S., Italy, Canada and the Netherlands. Marketing and support activities are conducted worldwide from our facilities in the U.S., Italy, Canada, Germany, Singapore, the Netherlands, China and the U.K. We operate our business worldwide and sell our products both domestically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Electronic Test segment sells many of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Inc. and its affiliates (“Acculogic”) in December 2021, and Alfamation in March 2024, our Electronic Test segment also sells its products to customers in markets outside the semi market including the automotive, defense/aerospace, industrial and life sciences and specialty consumer electronics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May 11, 2023, we entered into an At-the-Market Issuance Sales Agreement (the "Sales Agreement") pursuant to which we issued and sold 921,797 shares of our common stock having an aggregate offering price of $20,000 between May 11, 2023 and May 31, 2023. We received net proceeds from the sale of these shares of $19,244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 </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Basis of Presentation and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2023 (the “2023 Form 10-K”) filed on March 27, 2024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Restatement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previously restated our consolidated financial statements as of and for the three and nine months ended September 30, 2023. The restated financial information was filed on March 27, 2024 in our Amendment No. 1 to our Quarterly Report on Form 10-Q for the period ended September 30,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Reclassification</w:t>
      </w:r>
      <w:r>
        <w:rPr>
          <w:rFonts w:ascii="Times New Roman" w:hAnsi="Times New Roman"/>
          <w:caps w:val="false"/>
          <w:smallCaps w:val="false"/>
          <w:sz w:val="20"/>
        </w:rPr>
        <w:br/>
        <w:br/>
        <w:t>Certain prior period amounts have been reclassified to be comparable with the current period's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Subsequent Events</w:t>
      </w:r>
      <w:r>
        <w:rPr>
          <w:rFonts w:ascii="Times New Roman" w:hAnsi="Times New Roman"/>
          <w:caps w:val="false"/>
          <w:smallCaps w:val="false"/>
          <w:sz w:val="20"/>
        </w:rPr>
        <w:br/>
        <w:br/>
        <w:t>We have made an assessment of our operations and determined that there were no material subsequent events requiring adjustment to, or disclosure in, our consolidated financial statements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Business Combinations</w:t>
      </w:r>
      <w:r>
        <w:rPr>
          <w:rFonts w:ascii="Times New Roman" w:hAnsi="Times New Roman"/>
          <w:caps w:val="false"/>
          <w:smallCaps w:val="false"/>
          <w:sz w:val="20"/>
        </w:rPr>
        <w:br/>
        <w:b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At September 30, 2024 and December 31, 2023, we had no amounts classified as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Trade 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 are recorded at the invoiced amount and do not bear interest. We grant credit to customers and generally require no collateral. To minimize our risk, we perform ongoing credit evaluations of our customers' financial condition. As discussed below under “Effect of Recently Adopted Amendments to Authoritative Accounting Guidance”, effective January 1, 2023, we follow the guidance in Accounting Standards Codification (“ASC”) Topic 326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For the nine months ended September 30, 2024, we utilized $56 of the allowance for credit losses to offset the write-off of receivables in our Electronic Test segment. There were no other significant changes in the amount of the allowance for credit losses during this time period. There was no bad debt expense recorded for the nine months ended September 30, 2024. During the nine months ended September 30, 2023, we recorded a bad debt recovery of $79. This amount had been fully written off prior to our acquisition of Acculogic and was no longer in our accounts receivable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financial instruments include cash and cash equivalents, restricted cash,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Notes 4 and 10.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liabilities for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Goodwill, Intangible and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three reportable segments which are also our reporting units: Electronic Test, Environmental Technologies and Process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Revenue Recognition</w:t>
      </w:r>
      <w:r>
        <w:rPr>
          <w:rFonts w:ascii="Times New Roman" w:hAnsi="Times New Roman"/>
          <w:caps w:val="false"/>
          <w:smallCaps w:val="false"/>
          <w:sz w:val="20"/>
        </w:rPr>
        <w:br/>
        <w:b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Periodically, certain customers may request bill-and-hold arrangements. In such cases, revenue is not recognized until after control has transferred which is generally when the customer has requested such transaction and has been notified that the product (i) has been completed according to customer specifications, (ii) has passed our quality control inspections, (iii) has been separated from our inventory and is ready for physical transfer to the customer, and (iv) we cannot use the product or redirect the product to another customer.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Nature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in targeted markets including automotive, defense/aerospace, industrial, life sciences, security and semiconductor. Our Environmental Technologies segment sells thermal management products including ThermoStreams, ThermoChambers, process chillers, refrigerators and freezers, which we sell under our Temptronic, Sigma, Thermonics and North Sciences product lines. Our Process Technologies segment sells precision induction heating systems through our subsidiary, Ambrell Corporation (“Ambrell”), including EKOHEAT® and EASYHEAT™ products. This segment also sells industrial-grade circuit board mounted video digital cameras and related devices, systems and software through our Videology Imaging Corporation (“Videology”), subsidiary. Our Electronic Test segment sells semiconductor ATE interface solutions through our inTEST EMS (“EMS”) subsidiary, including manipulators, docking hardware and electrical interface products. This segment also sells robotics-based electronic production test equipment under the Acculogic tradename and, as a result of the acquisition of Alfamation on March 12, 2024, which is discussed further in Note 3, this segment now sells test and measurement solutions for the automotive, life sciences and specialty consumer electronics markets. We provide post-warranty service and support for the equipment we sell. We sell our products to various markets including the automotive, defense/aerospace, industrial, life sciences, security and semiconductor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equipment under short-term leasing agreements with original lease terms of six months or less. Our lease agreements do not contain purchase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Occasionally we procure and sell materials/components on behalf of and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Types of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above, we follow the guidance in ASC Topic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b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Costs to Obtain a Contract with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See Notes 6 and 14 for further information about our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See Note 9 for further disclosures regarding our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Interest Rate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interest rate risk on our floating-rate debt. We have entered into an interest rate swap agreement to effectively convert our floating-rate debt to a fixed-rate basis for a portion of our floating rate debt, as discussed further in Notes 4 and 10.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earnings (loss) within stockholders’ equity and are amortized to interest expense over the term of the related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Contingent Liability for Repayment of State and Local Grant Funds Received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September 30, 2024, $123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$263 at September 30, 2024. At September 30, 2024, we were in compliance with the employment targets as specified in the grant agreement with the city of Rochester.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Stock-Based Compensation</w:t>
      </w:r>
      <w:r>
        <w:rPr>
          <w:rFonts w:ascii="Times New Roman" w:hAnsi="Times New Roman"/>
          <w:caps w:val="false"/>
          <w:smallCaps w:val="false"/>
          <w:sz w:val="20"/>
        </w:rPr>
        <w:br/>
        <w:b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Income Taxes</w:t>
      </w:r>
      <w:r>
        <w:rPr>
          <w:rFonts w:ascii="Times New Roman" w:hAnsi="Times New Roman"/>
          <w:caps w:val="false"/>
          <w:smallCaps w:val="false"/>
          <w:sz w:val="20"/>
        </w:rPr>
        <w:br/>
        <w:b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Earnings (Loss) Per Common Share</w:t>
      </w:r>
      <w:r>
        <w:rPr>
          <w:rFonts w:ascii="Times New Roman" w:hAnsi="Times New Roman"/>
          <w:caps w:val="false"/>
          <w:smallCaps w:val="false"/>
          <w:sz w:val="20"/>
        </w:rPr>
        <w:br/>
        <w:b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60"/>
        <w:gridCol w:w="950"/>
        <w:gridCol w:w="60"/>
        <w:gridCol w:w="60"/>
        <w:gridCol w:w="60"/>
        <w:gridCol w:w="950"/>
        <w:gridCol w:w="60"/>
        <w:gridCol w:w="60"/>
        <w:gridCol w:w="60"/>
        <w:gridCol w:w="950"/>
        <w:gridCol w:w="60"/>
        <w:gridCol w:w="60"/>
        <w:gridCol w:w="60"/>
        <w:gridCol w:w="950"/>
        <w:gridCol w:w="75"/>
      </w:tblGrid>
      <w:tr>
        <w:trPr/>
        <w:tc>
          <w:tcPr>
            <w:tcW w:w="5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75" w:type="dxa"/>
            <w:tcBorders/>
            <w:vAlign w:val="center"/>
          </w:tcPr>
          <w:p>
            <w:pPr>
              <w:pStyle w:val="TableContents"/>
              <w:bidi w:val="0"/>
              <w:spacing w:before="0" w:after="283"/>
              <w:jc w:val="left"/>
              <w:rPr/>
            </w:pPr>
            <w:r>
              <w:rPr/>
              <w:t> </w:t>
            </w:r>
          </w:p>
        </w:tc>
      </w:tr>
      <w:tr>
        <w:trPr/>
        <w:tc>
          <w:tcPr>
            <w:tcW w:w="5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ind w:left="180" w:right="0" w:hanging="0"/>
              <w:jc w:val="left"/>
              <w:rPr/>
            </w:pPr>
            <w:r>
              <w:rPr/>
              <w:t> </w:t>
            </w:r>
          </w:p>
        </w:tc>
      </w:tr>
      <w:tr>
        <w:trPr/>
        <w:tc>
          <w:tcPr>
            <w:tcW w:w="56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12,189,761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11,886,005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12,150,240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11,294,306</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56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180" w:right="0" w:hanging="0"/>
              <w:jc w:val="left"/>
              <w:rPr/>
            </w:pPr>
            <w:r>
              <w:rPr/>
              <w:t> </w:t>
            </w:r>
          </w:p>
        </w:tc>
      </w:tr>
      <w:tr>
        <w:trPr/>
        <w:tc>
          <w:tcPr>
            <w:tcW w:w="56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of restricted stock and employee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371,544</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56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and common share equivalents outstanding -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12,251,712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12,212,317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12,246,763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11,665,850</w:t>
            </w:r>
          </w:p>
        </w:tc>
        <w:tc>
          <w:tcPr>
            <w:tcW w:w="75"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56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number of potentially dilutive securities excluded from calculation because their effect was anti-dilutive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Effect of Recently Issued Amendments to Authoritative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November 2023, the FASB issued amendments to the guidance for disclosures about reportable segments which require disclosures of significant expenses by segment and interim disclosure of items that were previously required on an annual basis. The amendments are to be applied on a retrospective basis and are effective for fiscal years beginning after December 15, 2023 and interim periods within fiscal years beginning after December 15, 2024. We are evaluating the impact of the amendments on disclosures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amendments to the guidance for disclosures about income tax which provide for additional disclosures primarily related to the income tax rate reconciliations and income taxes paid.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are evaluating the impact of the amendments on disclosures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13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March 12, 2024 we completed the acquisition of Alfamation S.p.A., an Italian joint-stock company (“Alfamation”). Alfamation is a leading global provider of state-of-the-art test and measurement solutions for the automotive, life sciences and specialty consumer electronics markets. Alfamation is included in our Electronic Test operating segment. The acquisition of Alfamation deepens our presence in the automotive/EV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with our mission to provide innovative, engineered solutions that address the high-value challenges of our customers. The aggregate purchase price was approximately EUR 20,000 comprised of: (i) EUR 18,000, or $19,674, in cash; and (ii) 187,432 shares of our common stock, valued at $2,086 based on the closing price of our stock on the date of acquisition. The cash portion of the purchase price was subject to customary working capital adjustments. These adjustments were finalized in June 2024 and resulted in recording an additional EUR 129, or $141, in purchase price for assets delivered at closing in excess of agreed upon thresholds. The liabilities assumed in connection with the acquisition included debt of approximately EUR 10,315, or $11,274. The debt assumed is discussed further in Note 10. Total acquisition costs incurred to complete this transaction were $1,139. Acquisition costs were expensed as incurred and included in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acquisition, we have entered into a lease agreement (the “Lease Agreement”) with the former owner of Alfamation who will continue to serve as the managing director of Alfamation under our ownership. The Lease Agreement commenced on March 12, 2024 and will last for six years. It will be automatically renewed for the same period of time unless terminated by either party. Under the terms of the Lease Agreement, Alfamation will lease warehouse and office space totaling about 51,817 square feet. Alfamation will pay a yearly lease payment of EUR 260 broken up into two equal payments. At the date of the signing of the Lease Agreement, the yearly lease payment equated to approximately $284.</w:t>
        <w:br/>
        <w:br/>
        <w:t>The acquisition of Alfamation has been accounted for as a business combination using purchase accounting, and, accordingly, the results of Alfamation have been included in our consolidated results of operations from the date of acquisition. The allocation of the purchase price for Alfamation is not yet complete. The preliminary allocation of the Alfamation purchase price was based on estimated fair values as of March 12, 2024. We are currently working with third-party valuation specialists to assist us with our purchase accounting. The information that needs to be gathered from multiple sources, including the records and personnel at Alfamation, is not yet fully assembled. As a result, the values reflected below are preliminary and we expect that they may change. Adjustments to these preliminary amounts will be included in the final allocation of the purchase price for Alfamation, which we expect to finalize in the fourth quarter of 2024. These adjustments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total purchase price of $21,901 has been allocated as follows:</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995"/>
        <w:gridCol w:w="60"/>
        <w:gridCol w:w="125"/>
        <w:gridCol w:w="650"/>
        <w:gridCol w:w="95"/>
      </w:tblGrid>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acquired and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11,775</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p>
        </w:tc>
        <w:tc>
          <w:tcPr>
            <w:tcW w:w="95" w:type="dxa"/>
            <w:tcBorders/>
            <w:shd w:fill="FFFFFF" w:val="clear"/>
            <w:vAlign w:val="center"/>
          </w:tcPr>
          <w:p>
            <w:pPr>
              <w:pStyle w:val="TableContents"/>
              <w:bidi w:val="0"/>
              <w:spacing w:before="0" w:after="283"/>
              <w:ind w:left="180" w:right="0" w:hanging="0"/>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w:t>
            </w:r>
          </w:p>
        </w:tc>
        <w:tc>
          <w:tcPr>
            <w:tcW w:w="95" w:type="dxa"/>
            <w:tcBorders/>
            <w:shd w:fill="CCEEFF" w:val="clear"/>
            <w:vAlign w:val="center"/>
          </w:tcPr>
          <w:p>
            <w:pPr>
              <w:pStyle w:val="TableContents"/>
              <w:bidi w:val="0"/>
              <w:spacing w:before="0" w:after="283"/>
              <w:ind w:left="180" w:right="0" w:hanging="0"/>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w:t>
            </w:r>
          </w:p>
        </w:tc>
        <w:tc>
          <w:tcPr>
            <w:tcW w:w="9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w:t>
            </w:r>
          </w:p>
        </w:tc>
        <w:tc>
          <w:tcPr>
            <w:tcW w:w="95"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w:t>
            </w:r>
          </w:p>
        </w:tc>
        <w:tc>
          <w:tcPr>
            <w:tcW w:w="9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and long-term)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(11,274</w:t>
            </w:r>
          </w:p>
        </w:tc>
        <w:tc>
          <w:tcPr>
            <w:tcW w:w="95"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estimated fair value of Alfamation’s identifiable intangible assets and their estimated useful lives as of the acquisition date:</w:t>
      </w:r>
    </w:p>
    <w:p>
      <w:pPr>
        <w:pStyle w:val="TextBody"/>
        <w:bidi w:val="0"/>
        <w:spacing w:before="0" w:after="0"/>
        <w:ind w:left="0" w:right="0" w:hanging="0"/>
        <w:jc w:val="left"/>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2825"/>
        <w:gridCol w:w="60"/>
        <w:gridCol w:w="125"/>
        <w:gridCol w:w="590"/>
        <w:gridCol w:w="60"/>
        <w:gridCol w:w="60"/>
        <w:gridCol w:w="127"/>
        <w:gridCol w:w="807"/>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Useful Life</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years)</w:t>
            </w:r>
          </w:p>
        </w:tc>
        <w:tc>
          <w:tcPr>
            <w:tcW w:w="75" w:type="dxa"/>
            <w:tcBorders/>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75" w:type="dxa"/>
            <w:tcBorders/>
            <w:shd w:fill="FFFFFF" w:val="clear"/>
            <w:vAlign w:val="center"/>
          </w:tcPr>
          <w:p>
            <w:pPr>
              <w:pStyle w:val="TableContents"/>
              <w:bidi w:val="0"/>
              <w:spacing w:before="0" w:after="283"/>
              <w:ind w:left="180" w:right="0" w:hanging="0"/>
              <w:jc w:val="left"/>
              <w:rPr/>
            </w:pPr>
            <w:r>
              <w:rPr/>
              <w:t> </w:t>
            </w:r>
          </w:p>
        </w:tc>
      </w:tr>
      <w:tr>
        <w:trPr/>
        <w:tc>
          <w:tcPr>
            <w:tcW w:w="28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backlog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180" w:right="0" w:hanging="0"/>
              <w:jc w:val="left"/>
              <w:rPr/>
            </w:pPr>
            <w:r>
              <w:rPr/>
              <w:t> </w:t>
            </w:r>
          </w:p>
        </w:tc>
      </w:tr>
      <w:tr>
        <w:trPr/>
        <w:tc>
          <w:tcPr>
            <w:tcW w:w="28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For the period from March 13, 2024 to September 30, 2024, Alfamation contributed $16,479 of revenue and had a net loss of $292.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 w:hAnsi="Times New Roman"/>
          <w:caps w:val="false"/>
          <w:smallCaps w:val="false"/>
          <w:sz w:val="20"/>
        </w:rPr>
      </w:pPr>
      <w:r>
        <w:rPr>
          <w:rFonts w:ascii="Times New Roman" w:hAnsi="Times New Roman"/>
          <w:caps w:val="false"/>
          <w:smallCaps w:val="false"/>
          <w:sz w:val="20"/>
        </w:rPr>
        <w:t>The following unaudited pro forma information gives effect to the acquisition of Alfamation as if the acquisition occurred on January 1, 2023.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5317" w:type="dxa"/>
        <w:jc w:val="left"/>
        <w:tblInd w:w="0" w:type="dxa"/>
        <w:tblLayout w:type="fixed"/>
        <w:tblCellMar>
          <w:top w:w="0" w:type="dxa"/>
          <w:left w:w="0" w:type="dxa"/>
          <w:bottom w:w="0" w:type="dxa"/>
          <w:right w:w="0" w:type="dxa"/>
        </w:tblCellMar>
      </w:tblPr>
      <w:tblGrid>
        <w:gridCol w:w="2150"/>
        <w:gridCol w:w="60"/>
        <w:gridCol w:w="244"/>
        <w:gridCol w:w="1155"/>
        <w:gridCol w:w="117"/>
        <w:gridCol w:w="117"/>
        <w:gridCol w:w="244"/>
        <w:gridCol w:w="1155"/>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37,955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150"/>
        <w:gridCol w:w="60"/>
        <w:gridCol w:w="220"/>
        <w:gridCol w:w="1039"/>
        <w:gridCol w:w="105"/>
        <w:gridCol w:w="105"/>
        <w:gridCol w:w="220"/>
        <w:gridCol w:w="1224"/>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99,015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118,185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10,696</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pro forma results shown above do not reflect the impact on general and administrative expense of investment advisory costs, legal costs and other costs of $1,139 incurred by us as a direct result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MEASUREMENTS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1 Valuations based on unadjusted quoted prices in active markets for identical assets or liabilities that we have the ability to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3 Valuations based on inputs that are unobservable and significant to the overall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interest rate swap agreement we entered into in connection with our Term Note, as discussed further in Notes 2 and 10, is measured at fair value on a recurring basis using Level 2 inputs. The contingent consideration liability on our balance sheet is measured at fair value on a recurring basis using Level 3 inputs.</w:t>
        <w:br/>
        <w:br/>
        <w:t>Our contingent consideration liability is a result of our acquisition of Acculogic on December 21, 2021, and represents the estimated fair value of the additional cash consideration payable that is contingent upon sales to Electric Vehicle (“EV”) or battery customers. We may pay the seller up to an additional CAD $5,000 in the five-year period from 2022 through 2026. The additional payments will be based on a percent of net invoices for which payments have been received on systems sold to EV or battery customers in excess of CAD $2,500 per year in each of the five years. The maximum payment is capped at CAD $5,000, which equates to approximately $3,697 at September 30, 2024. There were no payments due to the seller for the years ended December 31, 2022 or 2023. To estimate the fair value of the contingent consideration at the acquisition date, an option-based income approach using a Monte Carlo simulation model was utilized due to the non-linear payout structure. As of the acquisition date, this resulted in an estimated fair value of $1,430.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are recorded as operating expenses in our consolidated statement of operations in the quarter in which they occur. During the nine months ended September 30, 2024 we reduced the contingent consideration liability by $50. At September 30, 2024, the contingent consideration had a total estimated fair value of $1,020. The current portion of our contingent consideration liability was $197 and $0 at September 30, 2024 and December 31, 2023, respectively, and was included in Other Current Liabilities on our consolidated balance sheets. The non-current portion of the liability is included in Other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fair value hierarchy table presents information about 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860"/>
        <w:gridCol w:w="60"/>
        <w:gridCol w:w="182"/>
        <w:gridCol w:w="798"/>
        <w:gridCol w:w="80"/>
        <w:gridCol w:w="60"/>
        <w:gridCol w:w="395"/>
        <w:gridCol w:w="254"/>
        <w:gridCol w:w="101"/>
        <w:gridCol w:w="101"/>
        <w:gridCol w:w="211"/>
        <w:gridCol w:w="565"/>
        <w:gridCol w:w="101"/>
        <w:gridCol w:w="101"/>
        <w:gridCol w:w="211"/>
        <w:gridCol w:w="920"/>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 Using</w:t>
            </w:r>
          </w:p>
        </w:tc>
        <w:tc>
          <w:tcPr>
            <w:tcW w:w="9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95" w:type="dxa"/>
            <w:tcBorders/>
            <w:vAlign w:val="center"/>
          </w:tcPr>
          <w:p>
            <w:pPr>
              <w:pStyle w:val="TableContents"/>
              <w:bidi w:val="0"/>
              <w:spacing w:before="0" w:after="283"/>
              <w:ind w:left="0" w:right="0" w:hanging="0"/>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September 30, 2024</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liability – Acculogic</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860"/>
        <w:gridCol w:w="60"/>
        <w:gridCol w:w="182"/>
        <w:gridCol w:w="798"/>
        <w:gridCol w:w="80"/>
        <w:gridCol w:w="60"/>
        <w:gridCol w:w="395"/>
        <w:gridCol w:w="254"/>
        <w:gridCol w:w="101"/>
        <w:gridCol w:w="101"/>
        <w:gridCol w:w="211"/>
        <w:gridCol w:w="565"/>
        <w:gridCol w:w="101"/>
        <w:gridCol w:w="101"/>
        <w:gridCol w:w="211"/>
        <w:gridCol w:w="920"/>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 Using</w:t>
            </w:r>
          </w:p>
        </w:tc>
        <w:tc>
          <w:tcPr>
            <w:tcW w:w="9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95" w:type="dxa"/>
            <w:tcBorders/>
            <w:vAlign w:val="center"/>
          </w:tcPr>
          <w:p>
            <w:pPr>
              <w:pStyle w:val="TableContents"/>
              <w:bidi w:val="0"/>
              <w:spacing w:before="0" w:after="283"/>
              <w:ind w:left="0" w:right="0" w:hanging="0"/>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2023</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liability – Acculogic</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Changes in the fair value of our Level 3 contingent consideration liabilities for the nine months ended September 30, 2024 were as follows:</w:t>
      </w:r>
    </w:p>
    <w:p>
      <w:pPr>
        <w:pStyle w:val="TextBody"/>
        <w:bidi w:val="0"/>
        <w:spacing w:before="0" w:after="0"/>
        <w:ind w:left="0" w:right="0" w:hanging="0"/>
        <w:jc w:val="left"/>
        <w:rPr>
          <w:caps w:val="false"/>
          <w:smallCaps w:val="false"/>
        </w:rPr>
      </w:pPr>
      <w:r>
        <w:rPr>
          <w:caps w:val="false"/>
          <w:smallCaps w:val="false"/>
        </w:rPr>
        <w:t> </w:t>
      </w:r>
    </w:p>
    <w:tbl>
      <w:tblPr>
        <w:tblW w:w="5954" w:type="dxa"/>
        <w:jc w:val="left"/>
        <w:tblInd w:w="0" w:type="dxa"/>
        <w:tblLayout w:type="fixed"/>
        <w:tblCellMar>
          <w:top w:w="0" w:type="dxa"/>
          <w:left w:w="0" w:type="dxa"/>
          <w:bottom w:w="0" w:type="dxa"/>
          <w:right w:w="0" w:type="dxa"/>
        </w:tblCellMar>
      </w:tblPr>
      <w:tblGrid>
        <w:gridCol w:w="4115"/>
        <w:gridCol w:w="60"/>
        <w:gridCol w:w="344"/>
        <w:gridCol w:w="1340"/>
        <w:gridCol w:w="9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2024</w:t>
            </w:r>
          </w:p>
        </w:tc>
        <w:tc>
          <w:tcPr>
            <w:tcW w:w="95" w:type="dxa"/>
            <w:tcBorders/>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 in estimated fair value</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(5) </w:t>
            </w:r>
          </w:p>
        </w:tc>
        <w:tc>
          <w:tcPr>
            <w:tcW w:w="3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three operating segments which are also our reporting units: Electronic Test, Environmental Technologies and Process Technologies. Goodwill and intangible assets on our balance sheets are the result of our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Goodwill</w:t>
      </w:r>
      <w:r>
        <w:rPr>
          <w:rFonts w:ascii="Times New Roman" w:hAnsi="Times New Roman"/>
          <w:caps w:val="false"/>
          <w:smallCaps w:val="false"/>
          <w:sz w:val="20"/>
        </w:rPr>
        <w:br/>
        <w:br/>
        <w:t>Changes in the amount of the carrying value of goodwill for the nine months ended September 30, 2024 are as follows:</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4115"/>
        <w:gridCol w:w="60"/>
        <w:gridCol w:w="125"/>
        <w:gridCol w:w="590"/>
        <w:gridCol w:w="7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Goodwill was comprised of the following at September 30, 2024 and December 31, 2023:</w:t>
      </w:r>
    </w:p>
    <w:p>
      <w:pPr>
        <w:pStyle w:val="TextBody"/>
        <w:bidi w:val="0"/>
        <w:spacing w:before="0" w:after="0"/>
        <w:ind w:left="0" w:right="0" w:hanging="0"/>
        <w:jc w:val="left"/>
        <w:rPr>
          <w:caps w:val="false"/>
          <w:smallCaps w:val="false"/>
        </w:rPr>
      </w:pPr>
      <w:r>
        <w:rPr>
          <w:caps w:val="false"/>
          <w:smallCaps w:val="false"/>
        </w:rPr>
        <w:t> </w:t>
      </w:r>
    </w:p>
    <w:tbl>
      <w:tblPr>
        <w:tblW w:w="5053" w:type="dxa"/>
        <w:jc w:val="left"/>
        <w:tblInd w:w="0" w:type="dxa"/>
        <w:tblLayout w:type="fixed"/>
        <w:tblCellMar>
          <w:top w:w="0" w:type="dxa"/>
          <w:left w:w="0" w:type="dxa"/>
          <w:bottom w:w="0" w:type="dxa"/>
          <w:right w:w="0" w:type="dxa"/>
        </w:tblCellMar>
      </w:tblPr>
      <w:tblGrid>
        <w:gridCol w:w="2405"/>
        <w:gridCol w:w="60"/>
        <w:gridCol w:w="212"/>
        <w:gridCol w:w="1007"/>
        <w:gridCol w:w="60"/>
        <w:gridCol w:w="60"/>
        <w:gridCol w:w="204"/>
        <w:gridCol w:w="970"/>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ind w:left="0" w:right="0" w:hanging="0"/>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Intangible Assets</w:t>
      </w:r>
      <w:r>
        <w:rPr>
          <w:rFonts w:ascii="Times New Roman" w:hAnsi="Times New Roman"/>
          <w:caps w:val="false"/>
          <w:smallCaps w:val="false"/>
          <w:sz w:val="20"/>
        </w:rPr>
        <w:br/>
        <w:br/>
        <w:t>Changes in the amount of the carrying value of indefinite-lived intangible assets for the nine months ended September 30, 2024 are as follows:</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4115"/>
        <w:gridCol w:w="60"/>
        <w:gridCol w:w="125"/>
        <w:gridCol w:w="590"/>
        <w:gridCol w:w="7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Changes in the amount of the carrying value of finite-lived intangible assets for the nine months ended September 30, 2024 are as follows: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4115"/>
        <w:gridCol w:w="60"/>
        <w:gridCol w:w="125"/>
        <w:gridCol w:w="590"/>
        <w:gridCol w:w="9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11,476</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(2,436</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September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were allocated to our reporting segments at September 30, 2024 and December 31, 2023 as follows:</w:t>
      </w:r>
    </w:p>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390"/>
        <w:gridCol w:w="60"/>
        <w:gridCol w:w="212"/>
        <w:gridCol w:w="1007"/>
        <w:gridCol w:w="60"/>
        <w:gridCol w:w="60"/>
        <w:gridCol w:w="204"/>
        <w:gridCol w:w="97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provide further detail about our intangible assets as of September 30, 2024 and December 31, 2023:</w:t>
      </w:r>
    </w:p>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2810"/>
        <w:gridCol w:w="60"/>
        <w:gridCol w:w="142"/>
        <w:gridCol w:w="673"/>
        <w:gridCol w:w="60"/>
        <w:gridCol w:w="60"/>
        <w:gridCol w:w="204"/>
        <w:gridCol w:w="970"/>
        <w:gridCol w:w="60"/>
        <w:gridCol w:w="60"/>
        <w:gridCol w:w="142"/>
        <w:gridCol w:w="673"/>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2024 </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12,847</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2810"/>
        <w:gridCol w:w="60"/>
        <w:gridCol w:w="142"/>
        <w:gridCol w:w="673"/>
        <w:gridCol w:w="60"/>
        <w:gridCol w:w="60"/>
        <w:gridCol w:w="204"/>
        <w:gridCol w:w="970"/>
        <w:gridCol w:w="60"/>
        <w:gridCol w:w="60"/>
        <w:gridCol w:w="142"/>
        <w:gridCol w:w="673"/>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2023 </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br/>
              <w:t>Carrying</w:t>
              <w:br/>
              <w:t>Amount</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estimated annual amortization expense for each of the next five years:</w:t>
      </w:r>
    </w:p>
    <w:p>
      <w:pPr>
        <w:pStyle w:val="TextBody"/>
        <w:bidi w:val="0"/>
        <w:spacing w:before="0" w:after="0"/>
        <w:ind w:left="0" w:right="0" w:hanging="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1415"/>
        <w:gridCol w:w="60"/>
        <w:gridCol w:w="125"/>
        <w:gridCol w:w="485"/>
        <w:gridCol w:w="60"/>
      </w:tblGrid>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290"/>
        <w:gridCol w:w="470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(6) </w:t>
            </w:r>
          </w:p>
        </w:tc>
        <w:tc>
          <w:tcPr>
            <w:tcW w:w="47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FROM CONTRACTS WITH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 w:hAnsi="Times New Roman"/>
          <w:caps w:val="false"/>
          <w:smallCaps w:val="false"/>
          <w:sz w:val="20"/>
        </w:rPr>
      </w:pPr>
      <w:r>
        <w:rPr>
          <w:rFonts w:ascii="Times New Roman" w:hAnsi="Times New Roman"/>
          <w:caps w:val="false"/>
          <w:smallCaps w:val="false"/>
          <w:sz w:val="20"/>
        </w:rPr>
        <w:t>The following tables provide additional information about our revenue from contracts with customers, including revenue by customer and product type and revenue by market. See also Note 14 for information about revenue by operating segment and geographic region.</w:t>
      </w:r>
    </w:p>
    <w:p>
      <w:pPr>
        <w:pStyle w:val="TextBody"/>
        <w:bidi w:val="0"/>
        <w:spacing w:before="0" w:after="0"/>
        <w:ind w:left="720" w:right="0" w:hanging="0"/>
        <w:jc w:val="left"/>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3380"/>
        <w:gridCol w:w="60"/>
        <w:gridCol w:w="144"/>
        <w:gridCol w:w="681"/>
        <w:gridCol w:w="69"/>
        <w:gridCol w:w="69"/>
        <w:gridCol w:w="144"/>
        <w:gridCol w:w="681"/>
        <w:gridCol w:w="60"/>
        <w:gridCol w:w="60"/>
        <w:gridCol w:w="134"/>
        <w:gridCol w:w="635"/>
        <w:gridCol w:w="64"/>
        <w:gridCol w:w="64"/>
        <w:gridCol w:w="134"/>
        <w:gridCol w:w="635"/>
        <w:gridCol w:w="6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customer type: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user</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74,713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64,720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OEM/Integrator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30,698</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product type: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Thermal test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Thermal process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Video imaging</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Flying probe and in-circuit testers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Alfamation products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Service/other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8,076</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market: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36,501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 (including Electric Vehicles)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Defense/aerospace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9,145</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(7) </w:t>
            </w:r>
          </w:p>
        </w:tc>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2024, one customer accounted for 13% of our consolidated revenue. This revenue was primarily generated by our Electronic Test segment. No other customers accounted for 10% or more of our consolidated revenue during the nine months ended September 30, 2024. During the nine months ended September 30, 2023, one customer accounted for 15% of our consolidated revenue. This revenue was primarily generated by our Electronic Test segment. No other customers accounted for 10% or more of our consolidated revenue during the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290"/>
        <w:gridCol w:w="137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(8) </w:t>
            </w:r>
          </w:p>
        </w:tc>
        <w:tc>
          <w:tcPr>
            <w:tcW w:w="1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Inventories held at September 30, 2024 and December 31, 2023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174" w:type="dxa"/>
        <w:jc w:val="left"/>
        <w:tblInd w:w="0" w:type="dxa"/>
        <w:tblLayout w:type="fixed"/>
        <w:tblCellMar>
          <w:top w:w="0" w:type="dxa"/>
          <w:left w:w="0" w:type="dxa"/>
          <w:bottom w:w="0" w:type="dxa"/>
          <w:right w:w="0" w:type="dxa"/>
        </w:tblCellMar>
      </w:tblPr>
      <w:tblGrid>
        <w:gridCol w:w="2450"/>
        <w:gridCol w:w="60"/>
        <w:gridCol w:w="220"/>
        <w:gridCol w:w="1045"/>
        <w:gridCol w:w="60"/>
        <w:gridCol w:w="60"/>
        <w:gridCol w:w="211"/>
        <w:gridCol w:w="1008"/>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consigned to others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20" w:right="0" w:hanging="0"/>
        <w:jc w:val="left"/>
        <w:rPr>
          <w:rFonts w:ascii="Times New Roman" w:hAnsi="Times New Roman"/>
          <w:caps w:val="false"/>
          <w:smallCaps w:val="false"/>
          <w:sz w:val="20"/>
        </w:rPr>
      </w:pPr>
      <w:r>
        <w:rPr>
          <w:rFonts w:ascii="Times New Roman" w:hAnsi="Times New Roman"/>
          <w:caps w:val="false"/>
          <w:smallCaps w:val="false"/>
          <w:sz w:val="20"/>
        </w:rPr>
        <w:t>Total charges incurred for excess and obsolete inventory for the three months and nine months ended September 30, 2024 and 2023 were as follows:</w:t>
      </w:r>
    </w:p>
    <w:p>
      <w:pPr>
        <w:pStyle w:val="TextBody"/>
        <w:bidi w:val="0"/>
        <w:spacing w:before="0" w:after="0"/>
        <w:ind w:left="0" w:right="0" w:hanging="0"/>
        <w:jc w:val="left"/>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3155"/>
        <w:gridCol w:w="60"/>
        <w:gridCol w:w="215"/>
        <w:gridCol w:w="576"/>
        <w:gridCol w:w="103"/>
        <w:gridCol w:w="103"/>
        <w:gridCol w:w="215"/>
        <w:gridCol w:w="576"/>
        <w:gridCol w:w="60"/>
        <w:gridCol w:w="60"/>
        <w:gridCol w:w="200"/>
        <w:gridCol w:w="537"/>
        <w:gridCol w:w="96"/>
        <w:gridCol w:w="96"/>
        <w:gridCol w:w="200"/>
        <w:gridCol w:w="537"/>
        <w:gridCol w:w="6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and obsolete inventory charges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(9)</w:t>
            </w:r>
            <w:r>
              <w:rPr>
                <w:rFonts w:ascii="Times New Roman;Times;serif" w:hAnsi="Times New Roman;Times;serif"/>
                <w:caps w:val="false"/>
                <w:smallCaps w:val="false"/>
                <w:sz w:val="20"/>
              </w:rPr>
              <w:t> </w:t>
            </w:r>
          </w:p>
        </w:tc>
        <w:tc>
          <w:tcPr>
            <w:tcW w:w="7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discussed in Note 2, we account for our leases in accordance with the guidance in ASC Topic 842. We lease our offices, warehouse facilities and certain equipment under non-cancellable operating leases that expire at various dates through 2032. Total operating lease and short-term lease costs for the three and nine months ended September 30, 2024 and 2023, respectively, were as follows: </w:t>
      </w:r>
    </w:p>
    <w:p>
      <w:pPr>
        <w:pStyle w:val="TextBody"/>
        <w:bidi w:val="0"/>
        <w:spacing w:before="0" w:after="0"/>
        <w:ind w:left="0" w:right="0" w:hanging="0"/>
        <w:jc w:val="left"/>
        <w:rPr>
          <w:caps w:val="false"/>
          <w:smallCaps w:val="false"/>
        </w:rPr>
      </w:pPr>
      <w:r>
        <w:rPr>
          <w:caps w:val="false"/>
          <w:smallCaps w:val="false"/>
        </w:rPr>
        <w:t> </w:t>
      </w:r>
    </w:p>
    <w:tbl>
      <w:tblPr>
        <w:tblW w:w="5394" w:type="dxa"/>
        <w:jc w:val="left"/>
        <w:tblInd w:w="0" w:type="dxa"/>
        <w:tblLayout w:type="fixed"/>
        <w:tblCellMar>
          <w:top w:w="0" w:type="dxa"/>
          <w:left w:w="0" w:type="dxa"/>
          <w:bottom w:w="0" w:type="dxa"/>
          <w:right w:w="0" w:type="dxa"/>
        </w:tblCellMar>
      </w:tblPr>
      <w:tblGrid>
        <w:gridCol w:w="1700"/>
        <w:gridCol w:w="60"/>
        <w:gridCol w:w="215"/>
        <w:gridCol w:w="576"/>
        <w:gridCol w:w="103"/>
        <w:gridCol w:w="103"/>
        <w:gridCol w:w="215"/>
        <w:gridCol w:w="576"/>
        <w:gridCol w:w="60"/>
        <w:gridCol w:w="60"/>
        <w:gridCol w:w="155"/>
        <w:gridCol w:w="604"/>
        <w:gridCol w:w="74"/>
        <w:gridCol w:w="74"/>
        <w:gridCol w:w="155"/>
        <w:gridCol w:w="604"/>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additional information about our leases as of September 30, 2024:</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4025"/>
        <w:gridCol w:w="60"/>
        <w:gridCol w:w="60"/>
        <w:gridCol w:w="230"/>
        <w:gridCol w:w="275"/>
        <w:gridCol w:w="275"/>
        <w:gridCol w:w="75"/>
      </w:tblGrid>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Range of remaining lease terms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pPr>
            <w:r>
              <w:rPr/>
              <w:t> </w:t>
            </w:r>
            <w:r>
              <w:rPr>
                <w:rFonts w:ascii="Times New Roman;Times;serif" w:hAnsi="Times New Roman;Times;serif"/>
                <w:sz w:val="20"/>
              </w:rPr>
              <w:t>.1</w:t>
            </w:r>
          </w:p>
        </w:tc>
        <w:tc>
          <w:tcPr>
            <w:tcW w:w="27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to</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7.4</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center"/>
              <w:rPr/>
            </w:pPr>
            <w:r>
              <w:rPr/>
              <w:t> </w:t>
            </w:r>
          </w:p>
        </w:tc>
        <w:tc>
          <w:tcPr>
            <w:tcW w:w="2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center"/>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Maturities of lease liabilities as of September 30, 2024 were as follows:</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1745"/>
        <w:gridCol w:w="60"/>
        <w:gridCol w:w="125"/>
        <w:gridCol w:w="590"/>
        <w:gridCol w:w="80"/>
      </w:tblGrid>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13,808</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Information</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amortization of ROU assets was $356 and $1,041 for the three months and nine months ended September 30, 2024, respectively, and $390 and $1,172 for the three months and nine months ended September 30,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2024 we acquired several auto leases in connection with our acquisition of Alfamation. The acquisition is discussed further in Note 3. We also entered into the Lease Agreement, described in Note 3, for the facility where Alfamation has its principal operations. This facility is owned by the seller. The leased premises include warehouse and office space totaling approximately 51,817 square feet. The yearly lease payment is EUR 260. The impact of the acquisition of these leases was a non-cash increase in our ROU assets and operating lease liabilities of approximately $1,706 at the date of the acquisition.</w:t>
        <w:br/>
        <w:br/>
        <w:t>During the nine months ended September 30, 2024 we also extended several building leases for certain of our facilities located in the U.S., the Netherlands and Singapore. At the effective dates of these extensions, we recorded non-cash increases in our ROU assets and operating lease liabilities totaling approximately $5,623.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2023, 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two auto leases, one with a 36-month term and one with a 48-month term, for employees of our Process Technologies segment both of whom are based in Europe. At the effective date of these leases, we recorded non-cash increases in our ROU assets and operating lease liabilities totaling approximately $71.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00" w:type="dxa"/>
        <w:jc w:val="left"/>
        <w:tblInd w:w="0" w:type="dxa"/>
        <w:tblLayout w:type="fixed"/>
        <w:tblCellMar>
          <w:top w:w="0" w:type="dxa"/>
          <w:left w:w="0" w:type="dxa"/>
          <w:bottom w:w="0" w:type="dxa"/>
          <w:right w:w="0" w:type="dxa"/>
        </w:tblCellMar>
      </w:tblPr>
      <w:tblGrid>
        <w:gridCol w:w="395"/>
        <w:gridCol w:w="60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(10) </w:t>
            </w:r>
          </w:p>
        </w:tc>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DEBT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Letters of Credit</w:t>
      </w:r>
      <w:r>
        <w:rPr>
          <w:rFonts w:ascii="Times New Roman" w:hAnsi="Times New Roman"/>
          <w:caps w:val="false"/>
          <w:smallCaps w:val="false"/>
          <w:sz w:val="20"/>
        </w:rPr>
        <w:br/>
        <w:b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September 30, 2024 and December 31, 2023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1265"/>
        <w:gridCol w:w="60"/>
        <w:gridCol w:w="1130"/>
        <w:gridCol w:w="60"/>
        <w:gridCol w:w="980"/>
        <w:gridCol w:w="60"/>
        <w:gridCol w:w="950"/>
        <w:gridCol w:w="60"/>
        <w:gridCol w:w="211"/>
        <w:gridCol w:w="570"/>
        <w:gridCol w:w="100"/>
        <w:gridCol w:w="100"/>
        <w:gridCol w:w="211"/>
        <w:gridCol w:w="578"/>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L/C</w:t>
            </w:r>
          </w:p>
        </w:tc>
        <w:tc>
          <w:tcPr>
            <w:tcW w:w="60" w:type="dxa"/>
            <w:tcBorders/>
            <w:vAlign w:val="center"/>
          </w:tcPr>
          <w:p>
            <w:pPr>
              <w:pStyle w:val="TableContents"/>
              <w:bidi w:val="0"/>
              <w:spacing w:before="0" w:after="283"/>
              <w:ind w:left="0" w:right="0" w:hanging="0"/>
              <w:jc w:val="center"/>
              <w:rPr/>
            </w:pPr>
            <w:r>
              <w:rPr/>
              <w:t> </w:t>
            </w:r>
          </w:p>
        </w:tc>
        <w:tc>
          <w:tcPr>
            <w:tcW w:w="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w:t>
            </w:r>
          </w:p>
        </w:tc>
        <w:tc>
          <w:tcPr>
            <w:tcW w:w="60" w:type="dxa"/>
            <w:tcBorders/>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Letters of Credit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Outstanding</w:t>
            </w:r>
          </w:p>
        </w:tc>
        <w:tc>
          <w:tcPr>
            <w:tcW w:w="75" w:type="dxa"/>
            <w:tcBorders/>
            <w:vAlign w:val="center"/>
          </w:tcPr>
          <w:p>
            <w:pPr>
              <w:pStyle w:val="TableContents"/>
              <w:bidi w:val="0"/>
              <w:spacing w:before="0" w:after="283"/>
              <w:jc w:val="left"/>
              <w:rPr/>
            </w:pPr>
            <w:r>
              <w:rPr/>
              <w:t> </w:t>
            </w:r>
          </w:p>
        </w:tc>
      </w:tr>
      <w:tr>
        <w:trPr/>
        <w:tc>
          <w:tcPr>
            <w:tcW w:w="1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Facility</w:t>
            </w:r>
          </w:p>
        </w:tc>
        <w:tc>
          <w:tcPr>
            <w:tcW w:w="60" w:type="dxa"/>
            <w:tcBorders/>
            <w:vAlign w:val="center"/>
          </w:tcPr>
          <w:p>
            <w:pPr>
              <w:pStyle w:val="TableContents"/>
              <w:bidi w:val="0"/>
              <w:spacing w:before="0" w:after="283"/>
              <w:ind w:left="0" w:right="0" w:hanging="0"/>
              <w:jc w:val="center"/>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Original L/C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 Date</w:t>
            </w:r>
          </w:p>
        </w:tc>
        <w:tc>
          <w:tcPr>
            <w:tcW w:w="60" w:type="dxa"/>
            <w:tcBorders/>
            <w:vAlign w:val="center"/>
          </w:tcPr>
          <w:p>
            <w:pPr>
              <w:pStyle w:val="TableContents"/>
              <w:bidi w:val="0"/>
              <w:spacing w:before="0" w:after="283"/>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center"/>
              <w:rPr/>
            </w:pPr>
            <w:r>
              <w:rPr/>
              <w:t> </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Mt. Laurel, NJ</w:t>
            </w:r>
          </w:p>
        </w:tc>
        <w:tc>
          <w:tcPr>
            <w:tcW w:w="60" w:type="dxa"/>
            <w:tcBorders/>
            <w:shd w:fill="CCEEFF" w:val="clear"/>
            <w:vAlign w:val="center"/>
          </w:tcPr>
          <w:p>
            <w:pPr>
              <w:pStyle w:val="TableContents"/>
              <w:bidi w:val="0"/>
              <w:spacing w:before="0" w:after="283"/>
              <w:ind w:left="0" w:right="0" w:hanging="0"/>
              <w:jc w:val="righ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3/29/2010</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4/30/2025</w:t>
            </w:r>
          </w:p>
        </w:tc>
        <w:tc>
          <w:tcPr>
            <w:tcW w:w="60" w:type="dxa"/>
            <w:tcBorders/>
            <w:shd w:fill="CCEEFF" w:val="clear"/>
            <w:vAlign w:val="center"/>
          </w:tcPr>
          <w:p>
            <w:pPr>
              <w:pStyle w:val="TableContents"/>
              <w:bidi w:val="0"/>
              <w:spacing w:before="0" w:after="283"/>
              <w:ind w:left="0" w:right="0" w:hanging="0"/>
              <w:jc w:val="right"/>
              <w:rPr/>
            </w:pPr>
            <w:r>
              <w:rPr/>
              <w:t> </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4/30/2031</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Mansfield, MA</w:t>
            </w:r>
          </w:p>
        </w:tc>
        <w:tc>
          <w:tcPr>
            <w:tcW w:w="60" w:type="dxa"/>
            <w:tcBorders/>
            <w:shd w:fill="FFFFFF" w:val="clear"/>
            <w:vAlign w:val="center"/>
          </w:tcPr>
          <w:p>
            <w:pPr>
              <w:pStyle w:val="TableContents"/>
              <w:bidi w:val="0"/>
              <w:spacing w:before="0" w:after="283"/>
              <w:ind w:left="0" w:right="0" w:hanging="0"/>
              <w:jc w:val="right"/>
              <w:rPr/>
            </w:pPr>
            <w:r>
              <w:rPr/>
              <w:t> </w:t>
            </w:r>
          </w:p>
        </w:tc>
        <w:tc>
          <w:tcPr>
            <w:tcW w:w="11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10/27/2010</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ind w:left="0" w:right="0" w:hanging="0"/>
              <w:jc w:val="right"/>
              <w:rPr/>
            </w:pPr>
            <w:r>
              <w:rPr/>
              <w:t> </w:t>
            </w:r>
          </w:p>
        </w:tc>
        <w:tc>
          <w:tcPr>
            <w:tcW w:w="95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2/9/2032</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 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Since December 30, 2021, we have further amended the Loan Agreement on several occasions. The latest amendment occurred on May 2, 2024, when we entered into a Fourth Amendment to the Amended and Restated Loan and Security Agreement (the “Amended Loan Agreement”). Under the Amended Loan Agreement, the maximum loan amount that we may borrow under the Term Note was raised to $50,500. The available funding at September 30, 2024 under the Term Note was $30,000. In addition, the period during which we may request advances under the Term Note was extended until May 2, 2026, and the Term Note and revolving credit facility maturity date was extended from September 19, 2027 to May 2, 2031.</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September 30, 2024, we had not borrowed any amounts under the $10 million Revolving Facility. Our borrowings under the Term Note are discussed below and occurred prior to entering into the Amended Loan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that are owned as of the Closing Date or acquired thereafter. At September 30, 2024, we were in compliance with all of the covenants included in the Credit Facility including the debt covenants of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September 30, 2024, it was approximately 7.0%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annual maturities for the balance of the Term Note:</w:t>
      </w:r>
    </w:p>
    <w:p>
      <w:pPr>
        <w:pStyle w:val="TextBody"/>
        <w:bidi w:val="0"/>
        <w:spacing w:before="0" w:after="0"/>
        <w:ind w:left="0" w:right="0" w:hanging="0"/>
        <w:jc w:val="left"/>
        <w:rPr>
          <w:caps w:val="false"/>
          <w:smallCaps w:val="false"/>
        </w:rPr>
      </w:pPr>
      <w:r>
        <w:rPr>
          <w:caps w:val="false"/>
          <w:smallCaps w:val="false"/>
        </w:rPr>
        <w:t> </w:t>
      </w:r>
    </w:p>
    <w:tbl>
      <w:tblPr>
        <w:tblW w:w="2175" w:type="dxa"/>
        <w:jc w:val="left"/>
        <w:tblInd w:w="0" w:type="dxa"/>
        <w:tblLayout w:type="fixed"/>
        <w:tblCellMar>
          <w:top w:w="0" w:type="dxa"/>
          <w:left w:w="0" w:type="dxa"/>
          <w:bottom w:w="0" w:type="dxa"/>
          <w:right w:w="0" w:type="dxa"/>
        </w:tblCellMar>
      </w:tblPr>
      <w:tblGrid>
        <w:gridCol w:w="1430"/>
        <w:gridCol w:w="60"/>
        <w:gridCol w:w="125"/>
        <w:gridCol w:w="485"/>
        <w:gridCol w:w="75"/>
      </w:tblGrid>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Alfamation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acquisition of Alfamation, as discussed further in Note 3, we assumed debt which totaled $11,274 as of the acquisition date. At September 30, 2024, Alfamation’s total debt was valued at $7,124. This debt is comprised of both fixed and variable rate bank issued term loans as well as $1,914 of short-term variable rate financing backed by Alfamation’s accounts receivable. This debt is spread across a number of different institutions with monthly, quarterly or half-yearly repayment schedules. The average interest rate being paid at September 30, 2024 was 1.2% for fixed rate debt and 4.7% for variable rate debt. The average rate for total debt at September 30, 2024 was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maturities of this debt for each of the next five years:</w:t>
      </w:r>
    </w:p>
    <w:p>
      <w:pPr>
        <w:pStyle w:val="TextBody"/>
        <w:bidi w:val="0"/>
        <w:spacing w:before="0" w:after="0"/>
        <w:ind w:left="0" w:right="0" w:hanging="0"/>
        <w:jc w:val="left"/>
        <w:rPr>
          <w:caps w:val="false"/>
          <w:smallCaps w:val="false"/>
        </w:rPr>
      </w:pPr>
      <w:r>
        <w:rPr>
          <w:caps w:val="false"/>
          <w:smallCaps w:val="false"/>
        </w:rPr>
        <w:t> </w:t>
      </w:r>
    </w:p>
    <w:tbl>
      <w:tblPr>
        <w:tblW w:w="2175" w:type="dxa"/>
        <w:jc w:val="left"/>
        <w:tblInd w:w="0" w:type="dxa"/>
        <w:tblLayout w:type="fixed"/>
        <w:tblCellMar>
          <w:top w:w="0" w:type="dxa"/>
          <w:left w:w="0" w:type="dxa"/>
          <w:bottom w:w="0" w:type="dxa"/>
          <w:right w:w="0" w:type="dxa"/>
        </w:tblCellMar>
      </w:tblPr>
      <w:tblGrid>
        <w:gridCol w:w="1430"/>
        <w:gridCol w:w="60"/>
        <w:gridCol w:w="125"/>
        <w:gridCol w:w="485"/>
        <w:gridCol w:w="75"/>
      </w:tblGrid>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2,671</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for the nine months ended September 30, 2024 and 2023 related to our various debt arrangements was $612 and $526,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395"/>
        <w:gridCol w:w="360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(11)</w:t>
            </w:r>
            <w:r>
              <w:rPr>
                <w:rFonts w:ascii="Times New Roman;Times;serif" w:hAnsi="Times New Roman;Times;serif"/>
                <w:caps w:val="false"/>
                <w:smallCaps w:val="false"/>
                <w:sz w:val="20"/>
              </w:rPr>
              <w:t> </w:t>
            </w:r>
          </w:p>
        </w:tc>
        <w:tc>
          <w:tcPr>
            <w:tcW w:w="3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of September 30, 2024, we had unvested restricted stock awards and stock options granted under stock-based compensation plans that are described more fully in Note 13 to the consolidated financial statements in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unvested restricted stock awards and stock options are accounted for based on their grant date fair value. As of September 30, 2024, total compensation expense to be recognized in future periods was $3,560. The weighted average period over which this expense is expected to be recognized was 2.3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compensation expense we recorded during the three and nine months ended September 30, 2024 and 2023 related to unvested shares of restricted stock and stock options:</w:t>
      </w:r>
    </w:p>
    <w:p>
      <w:pPr>
        <w:pStyle w:val="TextBody"/>
        <w:bidi w:val="0"/>
        <w:spacing w:before="0" w:after="0"/>
        <w:ind w:left="0" w:right="0" w:hanging="0"/>
        <w:jc w:val="left"/>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3860"/>
        <w:gridCol w:w="60"/>
        <w:gridCol w:w="215"/>
        <w:gridCol w:w="576"/>
        <w:gridCol w:w="103"/>
        <w:gridCol w:w="103"/>
        <w:gridCol w:w="215"/>
        <w:gridCol w:w="576"/>
        <w:gridCol w:w="80"/>
        <w:gridCol w:w="60"/>
        <w:gridCol w:w="155"/>
        <w:gridCol w:w="604"/>
        <w:gridCol w:w="74"/>
        <w:gridCol w:w="74"/>
        <w:gridCol w:w="155"/>
        <w:gridCol w:w="604"/>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There was no compensation expense capitalized in the three and nine months ended September 30, 2024 or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Stock Options</w:t>
      </w:r>
      <w:r>
        <w:rPr>
          <w:rFonts w:ascii="Times New Roman" w:hAnsi="Times New Roman"/>
          <w:caps w:val="false"/>
          <w:smallCaps w:val="false"/>
          <w:sz w:val="20"/>
        </w:rPr>
        <w:br/>
        <w:b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br/>
        <w:br/>
        <w:t>The fair value for stock options granted during the nine months ended September 30, 2024 and 2023 was estimated at the date of grant using the Black-Scholes option pricing model with the following weighted average assumptions: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4520"/>
        <w:gridCol w:w="60"/>
        <w:gridCol w:w="60"/>
        <w:gridCol w:w="380"/>
        <w:gridCol w:w="185"/>
        <w:gridCol w:w="60"/>
        <w:gridCol w:w="60"/>
        <w:gridCol w:w="380"/>
        <w:gridCol w:w="18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common stock market price volatility factor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expected life of stock options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per share weighted average fair value of stock options issued during the nine months ended September 30, 2024 and 2023 was $6.55 and $9.43,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activity related to stock options for the nine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5195"/>
        <w:gridCol w:w="60"/>
        <w:gridCol w:w="63"/>
        <w:gridCol w:w="736"/>
        <w:gridCol w:w="80"/>
        <w:gridCol w:w="60"/>
        <w:gridCol w:w="256"/>
        <w:gridCol w:w="993"/>
        <w:gridCol w:w="60"/>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tc>
        <w:tc>
          <w:tcPr>
            <w:tcW w:w="6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January 1, 2024 (171,735 exercisable)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6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6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September 30, 2024 (262,310 exercisable)</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Restricted Stock Awards</w:t>
      </w:r>
      <w:r>
        <w:rPr>
          <w:rFonts w:ascii="Times New Roman" w:hAnsi="Times New Roman"/>
          <w:caps w:val="false"/>
          <w:smallCaps w:val="false"/>
          <w:sz w:val="20"/>
        </w:rPr>
        <w:br/>
        <w:b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March 10, 2021, we issued restricted stock awards totaling 18,000 shares to members of senior management within our operating segments. During the first quarter of 2023, 6,000 of these shares were forfeited when the individual to whom they had been granted resigned from his position with us. The remaining 12,000 shares vested on the third anniversary of the grant date at vesting percentages of 75% for 6,000 of the shares and 100% for the remaining 6,000 shares. The final vesting percentages were based on the achievement of certain performance metrics related to the operating results of the business units for which these members of management are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1, 2021, we issued restricted stock awards totaling 5,000 shares to a member of senior management. These shares will vest on January 1, 2025 at a vesting percentage that could range from 0% to 150% of the number of shares awarded on October 1, 2021. The final vesting percentage will be based on the achievement of certain performance metrics related to our consolidated operating results. At December 31, 2023, we reduced the estimate of the final vesting percentage to 50%. At September 30, 2024, this estimate has been further reduced to 0% based on our current assessment of the probable achievement against the relevant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March 9, 2022, our CEO and CFO received restricted stock awards totaling 20,493 shares valued at $200 as of the date of grant. These shares vest on the third anniversary of the grant date at a vesting percentage that could range from 0% to 150% of the number of shares awarded on March 9, 2022.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December 31, 2023, we reduced the estimate of the final vesting percentage to 50%. At September 30, 2024, this estimate has been further reduced to 0% based on our current assessment of the probable achievement against the relevant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March 8, 2023, our CEO, CFO and the Division Presidents of two of our operating segments received restricted stock awards totaling 18,888 shares valued at $303 as of the date of grant. These shares vest on the third anniversary of the grant date at a vesting percentage that could range from 0% to 150% of the number of shares awarded on March 8, 2023. The final vesting percentage will be based on the achievement of certain performance metrics related to revenue for the year ending December 31, 2025 as determined by the Compensation Committee of our Board of Directors. At September 30, 2024, we have estimated that these shares will vest at 100% of the original amount based on our assessment of the probable achievement against the relevant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May 8, 2023 the newly appointed president of our Environmental Technologies segment received performance-based restricted stock awards totaling 5,081 shares valued at $108 as of the date of grant. These shares vest on the third anniversary of the grant date at a vesting percentage that could range from 0% to 150% of the number of shares of restricted stock awarded on May 8, 2023. The final vesting percentage will be based on the achievement of certain performance metrics including revenue and income from operations for specified time periods. As of September 30, 2024, we have estimated that these shares will vest at 100% of the original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January 16, 2024 the newly appointed president of our Process Technologies segment received performance-based restricted stock awards totaling 8,231 shares valued at $100 as of the date of grant.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As of September 30, 2024, we have estimated that these shares will vest at 100% of the original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March 6, 2024, our CEO, CFO and the Division Presidents of our three operating segments received restricted stock awards totaling 33,539 shares valued at $380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September 30, 2024, we have estimated that these shares will vest at 100% of the original amount based on our assessment of the probable achievement against the relevant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activity related to unvested restricted stock awards for the nine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4055"/>
        <w:gridCol w:w="60"/>
        <w:gridCol w:w="63"/>
        <w:gridCol w:w="736"/>
        <w:gridCol w:w="80"/>
        <w:gridCol w:w="60"/>
        <w:gridCol w:w="197"/>
        <w:gridCol w:w="767"/>
        <w:gridCol w:w="6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outstanding, January 1, 2024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outstanding, September 30, 2024</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total fair value of the restricted stock awards that vested during the nine months ended September 30, 2024 and 2023 was $761 and $1,688, respectively, as of the vesting dates of these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395"/>
        <w:gridCol w:w="357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(12)</w:t>
            </w:r>
            <w:r>
              <w:rPr>
                <w:rFonts w:ascii="Times New Roman;Times;serif" w:hAnsi="Times New Roman;Times;serif"/>
                <w:caps w:val="false"/>
                <w:smallCaps w:val="false"/>
                <w:sz w:val="20"/>
              </w:rPr>
              <w:t> </w:t>
            </w:r>
          </w:p>
        </w:tc>
        <w:tc>
          <w:tcPr>
            <w:tcW w:w="35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EMPLOYEE STOCK PURCHASE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September 30, 2024, employees purchased 12,973 shares of our common stock through the ESPP at a cost of $111. The closing market price of our common stock on the dates of purchase were $13.25, $9.88 and $7.30, respectively. The prices paid by employees were $11.26, $8.40 and 6.20, respectively, which represented a 15% discount. The total amount of the discount of $20 was recorded as compensation expense in our consolidated statements of operations. During the nine months ended September 30, 2023, employees purchased 6,925 shares of our common stock through the ESPP at a cost of $118. The closing market price of our common stock on the dates of purchase were $20.74, $26.26 and $15.17, respectively. The prices paid by employees were $17.63, $22.32 and $12.89, respectively, which represented a 15% discount. The total amount of the discount of $21 was recorded as compensation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From the effective date of the ESPP through September 30, 2024, a total of 55,905 shares of stock have been purchased by employees through the ESPP at a cost of $525. We have recorded a total of $93 of compensation expense in our consolidated statements of operations related to these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395"/>
        <w:gridCol w:w="273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(13)</w:t>
            </w:r>
            <w:r>
              <w:rPr>
                <w:rFonts w:ascii="Times New Roman;Times;serif" w:hAnsi="Times New Roman;Times;serif"/>
                <w:caps w:val="false"/>
                <w:smallCaps w:val="false"/>
                <w:sz w:val="20"/>
              </w:rPr>
              <w:t> </w:t>
            </w:r>
          </w:p>
        </w:tc>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defined contribution 401(k) plans for our employees who work in the U.S. These plans include the inTEST Corporation Incentive Savings Plan (the “inTEST Plan”) and the Ambrell Corporation Savings &amp; Profit Sharing Plan (the "Ambrell Plan"). During the quarter ended September 30, 2023, the Ambrell Plan, which is discussed further below, was merged into the inTEST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of September 30, 2024, all permanent employees of Acculogic Ltd, Ambrell, inTEST Corporation, inTEST EMS LLC, Temptronic Corporation and Videology, who are at least 18 years of age, are eligible to participate in the inTEST Plan. We match employee contributions dollar for dollar up to 10% of the employee's annual compensation, with a maximum limit of $5. Employer contributions vest ratably over four years. Matching contributions are discretionary. Prior to the merger with the inTEST Plan, all permanent employees of Ambrell were immediately eligible to participate in the Ambrell Plan upon employment and were eligible for employer matching contributions after completing six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2024, we recorded expense for matching contributions to both plans of $97 and $705, respectively. For the three and nine months ended September 30, 2023, we recorded expense for matching contributions to both plans of $100 and $671, respectively.</w:t>
        <w:br/>
        <w:br/>
        <w:t>Employees of Alfamation in Italy are entitled to Trattamento di Fine Rapporto (“TFR”),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September 30, 2024, the amount recorded in Other Liabilities for TFR was $1,473.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395"/>
        <w:gridCol w:w="2465"/>
      </w:tblGrid>
      <w:tr>
        <w:trPr/>
        <w:tc>
          <w:tcPr>
            <w:tcW w:w="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(14)</w:t>
            </w:r>
            <w:r>
              <w:rPr>
                <w:rFonts w:ascii="Times New Roman;Times;serif" w:hAnsi="Times New Roman;Times;serif"/>
                <w:caps w:val="false"/>
                <w:smallCaps w:val="false"/>
                <w:sz w:val="20"/>
              </w:rPr>
              <w:t>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have three operating segments which are also our reportable segments and reporting units: Electronic Test (which includes our semiconductor test equipment, flying probe and in-circuit testers and the operations of Alfamation which we acquired on March 12, 2024 as discussed further in Note 3),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290"/>
        <w:gridCol w:w="60"/>
        <w:gridCol w:w="142"/>
        <w:gridCol w:w="672"/>
        <w:gridCol w:w="91"/>
        <w:gridCol w:w="68"/>
        <w:gridCol w:w="142"/>
        <w:gridCol w:w="672"/>
        <w:gridCol w:w="80"/>
        <w:gridCol w:w="60"/>
        <w:gridCol w:w="132"/>
        <w:gridCol w:w="627"/>
        <w:gridCol w:w="85"/>
        <w:gridCol w:w="63"/>
        <w:gridCol w:w="132"/>
        <w:gridCol w:w="627"/>
        <w:gridCol w:w="8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8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5"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5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32,911</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23,178</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39,329</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8,487</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7,362</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18,328</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intangible amortization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023" w:type="dxa"/>
        <w:jc w:val="left"/>
        <w:tblInd w:w="0" w:type="dxa"/>
        <w:tblLayout w:type="fixed"/>
        <w:tblCellMar>
          <w:top w:w="0" w:type="dxa"/>
          <w:left w:w="0" w:type="dxa"/>
          <w:bottom w:w="0" w:type="dxa"/>
          <w:right w:w="0" w:type="dxa"/>
        </w:tblCellMar>
      </w:tblPr>
      <w:tblGrid>
        <w:gridCol w:w="2390"/>
        <w:gridCol w:w="60"/>
        <w:gridCol w:w="185"/>
        <w:gridCol w:w="1034"/>
        <w:gridCol w:w="60"/>
        <w:gridCol w:w="60"/>
        <w:gridCol w:w="178"/>
        <w:gridCol w:w="996"/>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Identifiable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32,505</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16,772</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56,842</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28,710</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about our geographic areas of operation. Revenue is based on the location to which the goods are shipped.</w:t>
      </w:r>
    </w:p>
    <w:p>
      <w:pPr>
        <w:pStyle w:val="TextBody"/>
        <w:bidi w:val="0"/>
        <w:spacing w:before="0" w:after="0"/>
        <w:ind w:left="0" w:right="0" w:hanging="0"/>
        <w:jc w:val="left"/>
        <w:rPr>
          <w:caps w:val="false"/>
          <w:smallCaps w:val="false"/>
        </w:rPr>
      </w:pPr>
      <w:r>
        <w:rPr>
          <w:caps w:val="false"/>
          <w:smallCaps w:val="false"/>
        </w:rPr>
        <w:t> </w:t>
      </w:r>
    </w:p>
    <w:tbl>
      <w:tblPr>
        <w:tblW w:w="4479" w:type="dxa"/>
        <w:jc w:val="left"/>
        <w:tblInd w:w="0" w:type="dxa"/>
        <w:tblLayout w:type="fixed"/>
        <w:tblCellMar>
          <w:top w:w="0" w:type="dxa"/>
          <w:left w:w="0" w:type="dxa"/>
          <w:bottom w:w="0" w:type="dxa"/>
          <w:right w:w="0" w:type="dxa"/>
        </w:tblCellMar>
      </w:tblPr>
      <w:tblGrid>
        <w:gridCol w:w="785"/>
        <w:gridCol w:w="60"/>
        <w:gridCol w:w="144"/>
        <w:gridCol w:w="681"/>
        <w:gridCol w:w="69"/>
        <w:gridCol w:w="69"/>
        <w:gridCol w:w="144"/>
        <w:gridCol w:w="681"/>
        <w:gridCol w:w="60"/>
        <w:gridCol w:w="60"/>
        <w:gridCol w:w="134"/>
        <w:gridCol w:w="635"/>
        <w:gridCol w:w="64"/>
        <w:gridCol w:w="64"/>
        <w:gridCol w:w="134"/>
        <w:gridCol w:w="635"/>
        <w:gridCol w:w="6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br/>
              <w:t xml:space="preserve">September 30, </w:t>
            </w:r>
          </w:p>
        </w:tc>
        <w:tc>
          <w:tcPr>
            <w:tcW w:w="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31,274</w:t>
            </w:r>
          </w:p>
        </w:tc>
        <w:tc>
          <w:tcPr>
            <w:tcW w:w="6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64,144</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08" w:type="dxa"/>
        <w:jc w:val="left"/>
        <w:tblInd w:w="0" w:type="dxa"/>
        <w:tblLayout w:type="fixed"/>
        <w:tblCellMar>
          <w:top w:w="0" w:type="dxa"/>
          <w:left w:w="0" w:type="dxa"/>
          <w:bottom w:w="0" w:type="dxa"/>
          <w:right w:w="0" w:type="dxa"/>
        </w:tblCellMar>
      </w:tblPr>
      <w:tblGrid>
        <w:gridCol w:w="2075"/>
        <w:gridCol w:w="60"/>
        <w:gridCol w:w="249"/>
        <w:gridCol w:w="970"/>
        <w:gridCol w:w="60"/>
        <w:gridCol w:w="60"/>
        <w:gridCol w:w="240"/>
        <w:gridCol w:w="934"/>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
        <w:gridCol w:w="9566"/>
      </w:tblGrid>
      <w:tr>
        <w:trPr/>
        <w:tc>
          <w:tcPr>
            <w:tcW w:w="63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2. </w:t>
            </w:r>
          </w:p>
        </w:tc>
        <w:tc>
          <w:tcPr>
            <w:tcW w:w="956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As discussed in the section titled “Restatement” in Note 2 to the unaudited consolidated financial statements included in this Quarterly Report on Form 10-Q, the financial information as of September 30, 2023 and for the three and nine months ended September 30, 2023 included herein was previously restated. The restated financial information was filed on March 27, 2024 in our Amendment No. 1 to our Quarterly Report on Form 10-Q for the period ended September 30, 2023. The following discussion and analysis of our financial condition and results of operations incorporates the restated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 Factors and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to historical information, this Quarterly Report on Form 10-Q for the period ended September 30, 2024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“expect,” “may,” “could,” “will,” “plans,” “depending,”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These statements involve risks and uncertainties and are based upon various assumptions. Such risks and uncertainties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on our 5-Point Strategy;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grow our presence in the automotive/electric vehicle (“EV”), life sciences, security, industrial and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future acquisitions or dispositions and the successful integration of any acquired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our strategy to diversify our business by entering markets outside the semiconductor automated test equipment (“ATE”)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indications of a change in the market cycles in the semiconductor (“semi”) market, or other markets we serve;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and trends in the semi market, including changes in the demand for semiconductors;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convert backlog to sales and to ship product in a timely manner;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loss of any one or more of our largest customers, or a reduction in orders by a major customer;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materials used to manufacture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interruptions in our supply chain caused by external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sufficiency of cash balances, lines of credit and net cash from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borrow funds or raise capital to finance potential acquisitions or for working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rate of, and timing of, capital expenditures by our customers;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of product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market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effectively remediate the material weaknesses in our internal control over financial reporting that we have identified or our failure to develop and maintain a proper and effective system of disclosure controls and internal control over financial reporting;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and retention of key personnel or our ability to hire personnel at anticipated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conditions both domestically and globally;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 factors included in Part II, Item 1A., “Risk Factors” in this Report and in Part I, Item 1A., "Risk Factors" in our Annual Report on Form 10-K for the year ended December 31, 2023 (the “2023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Overview</w:t>
      </w:r>
      <w:r>
        <w:rPr>
          <w:rFonts w:ascii="Times New Roman" w:hAnsi="Times New Roman"/>
          <w:caps w:val="false"/>
          <w:smallCaps w:val="false"/>
          <w:sz w:val="20"/>
        </w:rPr>
        <w:b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MD&amp;A should be read in conjunction with the accompanying consolidated financial statements. In addition, please refer to the discussion of our business and markets contained in Part 1, Item 1., of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and the operations of Alfamation S.p.A., (“Alfamation”) which we acquired on March 12, 2024 as discussed further below and in Note 3 to our consolidated financial statements in this Report), Environmental Technologies (which includes our thermal test, process and storage products) and Process Technologies (which includes our induction heating and video imaging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1, Item 1., “Markets” of our 2023 Form 10-K, we are focused on specific target markets which include automotive, defense/aerospace, industrial, life sciences, 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I, Item 1., “Overview and Strategy” of our 2023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Note 3 to our consolidated financial statements in this Report, on March 12, 2024 we entered into a stock purchase agreement to acquire all of the outstanding capital shares of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is included in our Electronic Test operating segment. The aggregate purchase price was approximately EUR 20 million comprised of EUR 18 million in cash, or $19.7 million, and 187,432 shares of our common stock valued at $2.1 million based on the closing price of our stock on the date of acquisition. The cash portion of the purchase price is subject to customary working capital adjustments. This resulted in an additional payment of EUR 129,000, or $141,000 for assets delivered at closing in excess of agreed upon thresholds. This equates to a total purchase price of approximately $21.9 million. The liabilities assumed in connection with the acquisition included debt of approximately EUR 10.3 million, or $11.3 million. The debt assumed is discussed further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acquisition, on March 12, 2024 we entered into a lease agreement (the “Lease Agreement”) with the former owner of Alfamation who will continue to serve as the managing director of Alfamation under our ownership. The Lease Agreement will last for six years and will be automatically renewed for the same period of time unless terminated by either party. Under the terms of the Lease Agreement, Alfamation will lease warehouse and office space totaling about 51,817 square feet. Alfamation will pay a yearly lease payment of EUR 260,000 broken up into two equal payments. At the date of the signing of the Lease Agreement, the yearly lease payment equated to approximately $284,000.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Revenue</w:t>
      </w:r>
      <w:r>
        <w:rPr>
          <w:rFonts w:ascii="Times New Roman" w:hAnsi="Times New Roman"/>
          <w:caps w:val="false"/>
          <w:smallCaps w:val="false"/>
          <w:sz w:val="20"/>
        </w:rPr>
        <w:br/>
        <w:br/>
        <w:t>The following table sets forth, for the periods indicated, a breakdown of revenue by market (in thousands).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85"/>
        <w:gridCol w:w="185"/>
        <w:gridCol w:w="60"/>
        <w:gridCol w:w="125"/>
        <w:gridCol w:w="590"/>
        <w:gridCol w:w="60"/>
        <w:gridCol w:w="60"/>
        <w:gridCol w:w="60"/>
        <w:gridCol w:w="485"/>
        <w:gridCol w:w="185"/>
        <w:gridCol w:w="60"/>
        <w:gridCol w:w="125"/>
        <w:gridCol w:w="545"/>
        <w:gridCol w:w="80"/>
        <w:gridCol w:w="60"/>
        <w:gridCol w:w="60"/>
        <w:gridCol w:w="44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85" w:type="dxa"/>
            <w:gridSpan w:val="38"/>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5"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650"/>
        <w:gridCol w:w="80"/>
        <w:gridCol w:w="60"/>
        <w:gridCol w:w="60"/>
        <w:gridCol w:w="485"/>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10" w:type="dxa"/>
            <w:gridSpan w:val="2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Consolidated revenue for the three months ended September 30, 2024 was $30.3 million compared to $30.9 million for the same period in 2023 and $34.0 million for the three months ended June 30, 2024. Consolidated revenue for the nine months ended September 30, 2024 was $94.1 million compared to $95.4 million for the same period in 2023. Alfamation, which we acquired on March 12, 2024 as discussed under “Acquisition” in the Overview section above, contributed $5.4 million of revenue in the third quarter of 2024, $9.7 million of revenue in the second quarter of 2024 and $16.5 million of revenue from the date of acquisition through September 30, 2024. This revenue is primarily from the auto/EV market, and, to a lesser extent, the life sciences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Compared with the same period in 2023, our consolidated revenue for the third quarter of 2024 decreased $669,000. The $5.4 million in revenue contributed by Alfamation in combination with a $1.1 million increase in revenue from the industrial market and a $1.3 million increase in revenue for other markets helped to offset a $7.1 million decline in revenue from the semi market as that market remains in a period of reduced demand. Compared with the same period in 2023, our consolidated revenue for the nine months ended September 30, 2024 decreased $1.3 million, reflecting an $18.5 million decline from the semi market which was partially offset by the revenue contributed by Alfamation and, to a lesser extent, a $2.8 million increase from the industrial market. As discussed in the Overview section above, the semi market is highly cyclical resulting in significant swings in demand when period to period comparisons are to different points in a given cycle. The current period of weakened demand began to impact us in the second half of 2023 resulting in significantly reduced revenue levels from our customers in this market. There are indications from certain of our back-end semi customers that demand seems to be stabilizing in that market. We have not yet seen any similar indications from our front-end semi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Orders and Backlog</w:t>
      </w:r>
      <w:r>
        <w:rPr>
          <w:rFonts w:ascii="Times New Roman" w:hAnsi="Times New Roman"/>
          <w:caps w:val="false"/>
          <w:smallCaps w:val="false"/>
          <w:sz w:val="20"/>
        </w:rPr>
        <w:br/>
        <w:b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Securities and Exchange Commission (the “SEC”), a quantitative reconciliation for each is not required or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a breakdown of the orders received by market (in thousands).</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85"/>
        <w:gridCol w:w="185"/>
        <w:gridCol w:w="60"/>
        <w:gridCol w:w="125"/>
        <w:gridCol w:w="590"/>
        <w:gridCol w:w="60"/>
        <w:gridCol w:w="60"/>
        <w:gridCol w:w="60"/>
        <w:gridCol w:w="485"/>
        <w:gridCol w:w="185"/>
        <w:gridCol w:w="60"/>
        <w:gridCol w:w="125"/>
        <w:gridCol w:w="545"/>
        <w:gridCol w:w="80"/>
        <w:gridCol w:w="60"/>
        <w:gridCol w:w="60"/>
        <w:gridCol w:w="59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35" w:type="dxa"/>
            <w:gridSpan w:val="38"/>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5"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025"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650"/>
        <w:gridCol w:w="80"/>
        <w:gridCol w:w="60"/>
        <w:gridCol w:w="60"/>
        <w:gridCol w:w="44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65" w:type="dxa"/>
            <w:gridSpan w:val="2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5"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Consolidated orders for the three months ended September 30, 2024 were $28.1 million compared to $26.9 million for the same period in 2023 and $26.2 million for the three months ended June 30, 2024. Consolidated orders for the nine months ended September 30, 2024 were $77.0 million compared to $89.1 million for the same period in 2023. Alfamation contributed $3.9 million of orders in the third quarter of 2024, $3.2 million of orders in the second quarter of 2024 and $8.8 million of orders from the date of acquisition through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both the three and nine months ended September 2024 as compared to the same periods in 2023, the orders contributed by Alfamation helped to offset the aforementioned decline in demand from the semi market. During these same periods, we have also experienced increased demand from our customers in the defense/aerospace market and other markets we serve which also helped to offset the decline from the semi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September 30, 2024, our backlog of unfilled orders for all products was approximately $45.5 million compared with approximately $40.5 million at September 30, 2023 and $47.7 million at June 30, 2024.  Our backlog at September 30, 2024 and June 30, 2024 included $14.7 million and $16.3 million, respectively, of backlog for Alfamation.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Israel-Hamas War, War in Ukraine and Global Supply Chain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early October 2023, Hamas attacked Israel and Israel formally declared war in response to the attack. The conflict with Hamas and others in the region is ongoing, and it is unclear when it might end. Ambrell 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Acculogic purchases certain material from a key sole-source supplier in Belarus, which is bordered by Russia to the east and northeast and Ukraine to the south. At present, we are still receiving shipments from this supplier, and we estimate that we have a three-to-four-month supply of these parts that we are maintaining. We are currently in the process of qualifying an alternate supplier for these parts. We received prototype sample parts from the alternate supplier which we are now evaluating. We expect to complete this evaluation by the first quarter of 2025. We are also looking for additional alternate suppliers for these parts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Please refer to Part I, Item 1A., “Risk Factors” of our 2023 Form 10-K for further discussion of the risks associated with our business operations, including risks associated with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Three Months Ended September 30, 2024 Compared to Three Months Ended September 30, 2023</w:t>
      </w:r>
      <w:r>
        <w:rPr>
          <w:rFonts w:ascii="Times New Roman" w:hAnsi="Times New Roman"/>
          <w:caps w:val="false"/>
          <w:smallCaps w:val="false"/>
          <w:sz w:val="20"/>
        </w:rPr>
        <w:br/>
        <w:br/>
      </w:r>
      <w:r>
        <w:rPr>
          <w:rFonts w:ascii="Times New Roman" w:hAnsi="Times New Roman"/>
          <w:i/>
          <w:caps w:val="false"/>
          <w:smallCaps w:val="false"/>
          <w:sz w:val="20"/>
        </w:rPr>
        <w:t>Revenue.</w:t>
      </w:r>
      <w:r>
        <w:rPr>
          <w:rFonts w:ascii="Times New Roman" w:hAnsi="Times New Roman"/>
          <w:caps w:val="false"/>
          <w:smallCaps w:val="false"/>
          <w:sz w:val="20"/>
        </w:rPr>
        <w:t xml:space="preserve"> Revenue was $30.3 million for the three months ended September 30, 2024 as compared to $30.9 million for the same period in 2023, a decrease of $669,000 or 2%. Revenue for the third quarter of 2024 included $5.4 million attributable to Alfamation which we acquired on March 12, 2024, as discussed under “Acquisition” in the Overview section above. The decline in revenue primarily reflects the aforementioned weak demand from semi market customers, as discussed under “Revenue” in the Overview section above, which was partially offset by the revenue from Alfamation as well as increased revenue from customers in the industrial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Gross Margin.</w:t>
      </w:r>
      <w:r>
        <w:rPr>
          <w:rFonts w:ascii="Times New Roman" w:hAnsi="Times New Roman"/>
          <w:caps w:val="false"/>
          <w:smallCaps w:val="false"/>
          <w:sz w:val="20"/>
        </w:rPr>
        <w:t xml:space="preserve"> Our consolidated gross margin was 46% of revenue for the three months ended September 30, 2024 as compared to 47% of revenue for the same period in 2023. The decrease in our gross margin primarily reflects higher fixed operating costs and increased direct labor as a result of the costs attributable to Alfamation. The fixed operating costs for the balance of our business were relatively unchanged. The increase in fixed operating costs and direct labor attributable to Alfamation was partially offset by lower average component material costs, reflecting changes in product mix.</w:t>
        <w:br/>
        <w:br/>
      </w:r>
      <w:r>
        <w:rPr>
          <w:rFonts w:ascii="Times New Roman" w:hAnsi="Times New Roman"/>
          <w:i/>
          <w:caps w:val="false"/>
          <w:smallCaps w:val="false"/>
          <w:sz w:val="20"/>
        </w:rPr>
        <w:t>Selling Expense.</w:t>
      </w:r>
      <w:r>
        <w:rPr>
          <w:rFonts w:ascii="Times New Roman" w:hAnsi="Times New Roman"/>
          <w:caps w:val="false"/>
          <w:smallCaps w:val="false"/>
          <w:sz w:val="20"/>
        </w:rPr>
        <w:t xml:space="preserve"> Selling expense was relatively unchanged at $4.3 million in each of the three months ended September 30, 2024 and 2023. The increase in selling costs attributable to Alfamation was offset by lower commission expense and reduced spending in the balance of our business on third-party services, freight and advertising.</w:t>
        <w:br/>
        <w:br/>
      </w:r>
      <w:r>
        <w:rPr>
          <w:rFonts w:ascii="Times New Roman" w:hAnsi="Times New Roman"/>
          <w:i/>
          <w:caps w:val="false"/>
          <w:smallCaps w:val="false"/>
          <w:sz w:val="20"/>
        </w:rPr>
        <w:t>Engineering and Product Development Expense.</w:t>
      </w:r>
      <w:r>
        <w:rPr>
          <w:rFonts w:ascii="Times New Roman" w:hAnsi="Times New Roman"/>
          <w:caps w:val="false"/>
          <w:smallCaps w:val="false"/>
          <w:sz w:val="20"/>
        </w:rPr>
        <w:t xml:space="preserve"> Engineering and product development expense was $2.2 million for the three months ended September 30, 2024 compared to $1.8 million for the same period in 2023, an increase of $380,000 or 21%. The increase primarily reflects the additional costs attributable to Alfamation. The costs for the balance of our business were relatively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xml:space="preserve"> General and administrative expense was $7.1 million for the three months ended September 30, 2024 compared to $5.9 million for the same period in 2023 an increase of $1.2 million, or 20%. Alfamation accounted for approximately $1.7 million of our general and administrative expense during the third quarter of 2024, which included $459,000 of amortization of acquired intangible assets. In addition, during the third quarter of 2023, we recorded a $358,000 decrease in contingent consideration related to our acquisition of Acculogic which we completed in December 2021. There was no similar adjustment in the third quarter of 2024. The remainder of the change in general and administrative expense in the balance of our business primarily reflects a reduction in costs associated with corporate development activities in the third quarter of 2024 as compared to the same period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For the three months ended September 30, 2024, we recorded income tax expense of $74,000 compared to income tax expense of $446,000 for the same period in 2023. Our effective tax rate was 13% for the three months ended September 30, 2024 compared to 16% for the same period in 2023. On a quarterly basis, we record income tax expense or benefit based on the expected annualized effective tax rate for the various taxing jurisdictions in which we operate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Nine Months Ended September 30, 2024 Compared to Nine Months Ended September 30, 2023</w:t>
      </w:r>
      <w:r>
        <w:rPr>
          <w:rFonts w:ascii="Times New Roman" w:hAnsi="Times New Roman"/>
          <w:caps w:val="false"/>
          <w:smallCaps w:val="false"/>
          <w:sz w:val="20"/>
        </w:rPr>
        <w:br/>
        <w:br/>
      </w:r>
      <w:r>
        <w:rPr>
          <w:rFonts w:ascii="Times New Roman" w:hAnsi="Times New Roman"/>
          <w:i/>
          <w:caps w:val="false"/>
          <w:smallCaps w:val="false"/>
          <w:sz w:val="20"/>
        </w:rPr>
        <w:t>Revenue.</w:t>
      </w:r>
      <w:r>
        <w:rPr>
          <w:rFonts w:ascii="Times New Roman" w:hAnsi="Times New Roman"/>
          <w:caps w:val="false"/>
          <w:smallCaps w:val="false"/>
          <w:sz w:val="20"/>
        </w:rPr>
        <w:t xml:space="preserve"> Revenue was $94.1 million for the nine months ended September 30, 2024 compared to $95.4 million for the same period in 2023, a decrease of $1.3 million, or 1%. Alfamation contributed $16.5 million of revenue from the date of acquisition through September 30, 2024. The decline in revenue primarily reflects the aforementioned weak demand from semi market customers, as discussed under “Revenue” in the Overview section, which was partially offset by the revenue from Alfamation as well as increased revenue from customers in the industrial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Gross Margin.</w:t>
      </w:r>
      <w:r>
        <w:rPr>
          <w:rFonts w:ascii="Times New Roman" w:hAnsi="Times New Roman"/>
          <w:caps w:val="false"/>
          <w:smallCaps w:val="false"/>
          <w:sz w:val="20"/>
        </w:rPr>
        <w:t xml:space="preserve"> Our consolidated gross margin was 44% of revenue for the nine months ended September 30, 2024 as compared to 47% of revenue for the same period in 2023. The decrease in our gross margin primarily reflects higher fixed operating costs and increased direct labor as a result of the costs attributable to Alfamation. The fixed operating costs for the balance of our business were relatively unchanged in total. Increases in salary and benefits expense were offset by reductions in facility related costs, plant and packing supplies and freight costs. The increase in fixed operating costs and direct labor attributable to Alfamation was partially offset by lower average component material costs, reflecting changes in product mix.</w:t>
        <w:br/>
        <w:br/>
      </w:r>
      <w:r>
        <w:rPr>
          <w:rFonts w:ascii="Times New Roman" w:hAnsi="Times New Roman"/>
          <w:i/>
          <w:caps w:val="false"/>
          <w:smallCaps w:val="false"/>
          <w:sz w:val="20"/>
        </w:rPr>
        <w:t>Selling Expense.</w:t>
      </w:r>
      <w:r>
        <w:rPr>
          <w:rFonts w:ascii="Times New Roman" w:hAnsi="Times New Roman"/>
          <w:caps w:val="false"/>
          <w:smallCaps w:val="false"/>
          <w:sz w:val="20"/>
        </w:rPr>
        <w:t xml:space="preserve"> Selling expense was $13.0 million for the nine months ended September 30, 2024 compared to $13.4 million for the same period in 2023, a decrease of $435,000, or 3%. The decrease primarily reflects lower commissions on the lower revenue level and reduced costs for third-party services. This decrease was partially offset by increased travel costs and costs attributable to Alfamation.</w:t>
        <w:br/>
        <w:br/>
      </w:r>
      <w:r>
        <w:rPr>
          <w:rFonts w:ascii="Times New Roman" w:hAnsi="Times New Roman"/>
          <w:i/>
          <w:caps w:val="false"/>
          <w:smallCaps w:val="false"/>
          <w:sz w:val="20"/>
        </w:rPr>
        <w:t>Engineering and Product Development Expense.</w:t>
      </w:r>
      <w:r>
        <w:rPr>
          <w:rFonts w:ascii="Times New Roman" w:hAnsi="Times New Roman"/>
          <w:caps w:val="false"/>
          <w:smallCaps w:val="false"/>
          <w:sz w:val="20"/>
        </w:rPr>
        <w:t xml:space="preserve"> Engineering and product development expense was $6.4 million for the nine months ended September 30, 2024 compared to $5.7 million for the same period in 2023, an increase of $693,000 or 12%. The increase primarily reflects the additional costs attributable to Alfamation. The costs for the balance of our business were relatively unchanged in total. Increases in salary and benefits expense and the use of third-party resources was offset by declines in spending on materials used in product development and lower legal fees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xml:space="preserve"> General and administrative expense was $20.2 million for the nine months ended September 30, 2024 compared to $16.1 million for the same period in 2023, an increase of $4.1 million or 26%. Alfamation accounted for approximately $3.8 million of our general and administrative expense during the first nine months of 2024, which included $962,000 of amortization of acquired intangible assets. In addition, during the first nine months of 2023, we recorded a $358,000 decrease in contingent consideration related to our acquisition of Acculogic which we completed in December 2021. This compares to recording a $50,000 reduction in contingent consideration during comparable period in 2024. In the balance of our business, increased fees for professionals that assist us with various compliance related matters and higher salaries and benefits expense were partially offset by reduced accruals for profit-based bonuses and reduced costs related to our stock-based compensation awards as the probable achievement estimates for certain performance-based awards were adjusted down during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For the nine months ended September 30, 2024, we recorded income tax expense of $265,000 compared to income tax expense of $1.6 million for the same period in 2023. Our effective tax rate was 16% for the nine months ended September 30, 2024 compared to 17% for the same period in 2023. On a quarterly basis, we record income tax expense or benefit based on the expected annualized effective tax rate for the various taxing jurisdictions in which we operate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Liquidity and Capital Resources</w:t>
      </w:r>
      <w:r>
        <w:rPr>
          <w:rFonts w:ascii="Times New Roman" w:hAnsi="Times New Roman"/>
          <w:caps w:val="false"/>
          <w:smallCaps w:val="false"/>
          <w:sz w:val="20"/>
        </w:rPr>
        <w:br/>
        <w:br/>
        <w:t>As discussed more fully in the Overview section above,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Proceeds from Sale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in Note 10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September 20, 2022, we further amended the Loan Agreement by entering into a Third Amendment to Amended and Restated Loan and Security Agreement (the Loan Agreement as amended by the Third Amendment, the “Third Amended Loan Agreement”) and the Third Amended and Restated Delayed Draw Term Note 1A. Under the Third Amended Loan Agreement, the maximum loan amount that we may borrow under the Term Note increased from $25 million to $50.5 million, which raises the available funding at September, 2024 to $30 million. On May 2, 2024 we further amended our Third Amended Loan Agreement by entering into a Fourth Amendment to the Amended and Restated Loan and Security Agreement (the “Amended Loan Agreement”). Under the Amended Loan Agreement, the period during which we may request advances under the Term Note is extended until May 2, 2026, and the Term Note and revolving credit facility maturity date is extended from September 19, 2027 to May 2, 2031. At September 30, 2024,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September 30, 2024, we were in compliance with all of the covenants included in the Credit Facility including the debt covenants of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September 30, 2024, it was approximately 7.0% based on current leverage.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Alfamation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acquisition of Alfamation, as discussed further in Note 3, we assumed debt which totaled $11.3 million as of the acquisition date. The debt acquired is comprised of both fixed and variable rate bank issued term loans as well as short-term variable rate financing backed by Alfamation’s accounts receivable. This debt is spread across a number of different institutions with monthly, quarterly or half-yearly repayment schedules.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September 30, 2024, Alfamation’s debt was valued at $7.1 million, including $1.9 million that is backed by Alfamation’s accounts receivable. The reduction since the acquisition date represents repayments of short-term instruments and principal payments on long-term debt, net of new borrowings that are backed by Alfamation’s accounts receivable, The average interest rate being paid at September 30, 2024 was 1.2% for fixed rate debt and 4.7% for variable rate debt. The average rate for total debt at September 30, 2024 was 3.9%. </w:t>
        <w:br/>
        <w:t> </w:t>
        <w:br/>
        <w:t>Total interest expense for the nine months ended September 30, 2024 and 2023 related to our various debt arrangements was $612,000 and $526,000, respectively.</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i/>
          <w:caps w:val="false"/>
          <w:smallCaps w:val="false"/>
          <w:sz w:val="20"/>
          <w:u w:val="single"/>
        </w:rPr>
        <w:t xml:space="preserve">Liquidity </w:t>
      </w:r>
      <w:r>
        <w:rPr>
          <w:rFonts w:ascii="Times New Roman" w:hAnsi="Times New Roman"/>
          <w:caps w:val="false"/>
          <w:smallCaps w:val="false"/>
          <w:sz w:val="20"/>
        </w:rPr>
        <w:br/>
        <w:br/>
        <w:t>Our cash and cash equivalents and working capital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0" w:type="dxa"/>
          <w:right w:w="0" w:type="dxa"/>
        </w:tblCellMar>
      </w:tblPr>
      <w:tblGrid>
        <w:gridCol w:w="2165"/>
        <w:gridCol w:w="60"/>
        <w:gridCol w:w="212"/>
        <w:gridCol w:w="1007"/>
        <w:gridCol w:w="60"/>
        <w:gridCol w:w="60"/>
        <w:gridCol w:w="204"/>
        <w:gridCol w:w="970"/>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of September 30, 2024, $8.2 million, or 46%,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and extended in September 2022 and May 2024 as discussed above and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For the nine months ended September 30, 2024, we recorded net earnings of $1.4 million and net cash provided by operations was $1.2 million. During this same period, we had non-cash charges of $4.5 million for depreciation and amortization which included $1.0 million of amortization related to our ROU assets and our operating lease liabilities declined $1.2 million. During the nine months ended September 30, 2024, we recorded $1.5 million for amortization of deferred compensation expense related to stock-based awards. Excluding the impact of the acquired assets, during the first nine months of 2024, accounts receivable increased $3.7 million and accounts payable decreased $1.0 million while inventories were relatively unchanged. During this same period, domestic and foreign income taxes payable declined $817,000, prepaid expenses and other current assets decreased $569,000, and accrued wages and benefits declined $533,000. All of these fluctuations represent normal variations due to varying timing of payments, receipt of cash from customers and normal accruals that are standard in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During the nine months ended September 30, 2024, we paid $18.7 million in net cash for the acquisition of Alfamation which is discussed in more detail in Note 3 to our consolidated financial statements in this Report. Purchases of property and equipment were $1.2 million during this period, representing capital expenditures in the normal course of business. We have no significant commitments for capital expenditures for the balance of 2024;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During the nine months ended September 30, 2024, we repaid $5.5 million of long-term debt, $1.9 million of short-term debt and we used $1.0 million to repurchase stock. There were no other significant amounts used by or received from financing activities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See the Notes to our consolidated financial statements in this Report for information concerning the implementation and impact of 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Critical Accounting Estimates</w:t>
      </w:r>
      <w:r>
        <w:rPr>
          <w:rFonts w:ascii="Times New Roman" w:hAnsi="Times New Roman"/>
          <w:caps w:val="false"/>
          <w:smallCaps w:val="false"/>
          <w:sz w:val="20"/>
        </w:rPr>
        <w:br/>
        <w:b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2024, there have been no significant changes to the accounting estimates that we have deemed critical. Our critical accounting estimates are more fully described in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There were no off-balance sheet arrangements during the three months ended September 30, 2024 that have or are reasonably likely to have, a current or future effect on our financial condition, changes in financial condition, revenue or expenses, results of operations, liquidity, capital expenditures or capital resources that is material to our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605"/>
        <w:gridCol w:w="6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disclosure is not required for a smaller reporting company. </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50"/>
        <w:gridCol w:w="296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9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caps w:val="false"/>
          <w:smallCaps w:val="false"/>
          <w:sz w:val="20"/>
        </w:rPr>
        <w:br/>
        <w:b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CEO/CFO Conclusions about the Effectiveness of the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not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Chief Executive Officer and Chief Financial Officer concluded that our disclosure controls and procedures were not effective as of September 30, 2024 because of the material weakness in our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in a timely basis. The identified material weakness contributed to the restatements of our financial statements for the three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Management has determined that we had a material weakness in our internal control over financial reporting because we did not appropriately design and implement controls over the identification and the application of appropriate U.S. GAAP for transactions related to the procurement and sale of discontinued material/components purchased on behalf of customers where the associated materials/components were still physically located with us and the materials/components are expected to be applied to future product orders for these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previously identified material weakness contributed to material misstatements in our consolidated financial statements for the three and nine months ended September 30, 2023, which have been corrected and restated in our Amendment No. 1 to our Quarterly Report on Form 10-Q for the period ended September 30, 2023. Accordingly, management has concluded that this control deficiency constitutes a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in the course of implementing the remediation plan described below, we identified a material weakness in our internal control over financial reporting during the period ending June 30, 2024 associated with our recently acquired Alfamation subsidiary. This related to revenue recognition for Alfamation shipments at or near period-end with shipment terms where title does not transfer until delivery at our customers’ 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Remediation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previously reported, over the course of the first half of the year, management began developing a remediation plan to address the previously identified material weakness discussed above. During the quarter ended September 30, 2024, we began implementing remediation steps as part of our plan to improve our internal control over financial reporting and to remediate the previously identified material weakness by adopting more rigorous period-end review processes for financial reporting and implementing additional transaction level controls. In addition, we have taken steps that we believe remediate the cause of the newly identified material weakness associated with our recently acquired Alfamation subsidiary as of September 30, 2024, and management is strengthening the internal accounting functions, where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Management has expanded and will continue to enhance our system of identifying transactions and evaluating and implementing the accounting standards that apply to our financial statements, including through enhanced analyses by our personnel and third-party professionals with whom we consult regarding complex accounting applications. We intend to continue to take steps to remediate the material weaknesses described above and further continue re-assessing the design of controls, the testing of controls and modifying processes designed to improve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will not be able to fully remediate the material weaknesses until these steps have been completed and have been operating effectively for a sufficient period of time. The implementation of our remediation will be ongoing and will require validation and testing of the design and operating effectiveness of internal controls over a sustained period of financial reporting cycles. We may also conclude that additional measures may be required to remediate the material weaknesses in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described above, we are in the process of implementing changes to our internal control over financial reporting to remediate the material weaknesses described herein. Other that these changes,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1. </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a party to legal proceedings occurring in the ordinary course of business. We are not currently involved in any 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2023 Form 10-K filed with the SEC on March 27, 2024. There have been no material changes from the risk factors set forth in our 2023 Form 10-K.</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50"/>
        <w:gridCol w:w="501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2. </w:t>
            </w:r>
          </w:p>
        </w:tc>
        <w:tc>
          <w:tcPr>
            <w:tcW w:w="50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with respect to purchases made by or on behalf of the Company or any “affiliated purchaser” as defined in Rule 10b-18(a)(3) under the Exchange Act, of our common stock during the three months ended September 30, 2024, including those made pursuant to publicly announced plans or programs and those not made pursuant to publicly announced plans or programs.</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28" w:type="dxa"/>
          <w:right w:w="0" w:type="dxa"/>
        </w:tblCellMar>
      </w:tblPr>
      <w:tblGrid>
        <w:gridCol w:w="1295"/>
        <w:gridCol w:w="60"/>
        <w:gridCol w:w="71"/>
        <w:gridCol w:w="834"/>
        <w:gridCol w:w="185"/>
        <w:gridCol w:w="80"/>
        <w:gridCol w:w="223"/>
        <w:gridCol w:w="681"/>
        <w:gridCol w:w="60"/>
        <w:gridCol w:w="60"/>
        <w:gridCol w:w="91"/>
        <w:gridCol w:w="1068"/>
        <w:gridCol w:w="60"/>
        <w:gridCol w:w="60"/>
        <w:gridCol w:w="147"/>
        <w:gridCol w:w="998"/>
        <w:gridCol w:w="60"/>
      </w:tblGrid>
      <w:tr>
        <w:trPr/>
        <w:tc>
          <w:tcPr>
            <w:tcW w:w="12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185"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Part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Announced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 Programs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May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Plans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w:t>
            </w:r>
          </w:p>
        </w:tc>
        <w:tc>
          <w:tcPr>
            <w:tcW w:w="60" w:type="dxa"/>
            <w:tcBorders/>
            <w:tcMar>
              <w:bottom w:w="0" w:type="dxa"/>
            </w:tcMar>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ind w:left="0" w:right="0" w:hanging="0"/>
              <w:jc w:val="left"/>
              <w:rPr/>
            </w:pPr>
            <w:r>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10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9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ind w:left="0" w:right="0" w:hanging="0"/>
              <w:jc w:val="left"/>
              <w:rPr/>
            </w:pPr>
            <w:r>
              <w:rPr/>
              <w:t> </w:t>
            </w:r>
          </w:p>
        </w:tc>
        <w:tc>
          <w:tcPr>
            <w:tcW w:w="8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141,117</w:t>
            </w:r>
          </w:p>
        </w:tc>
        <w:tc>
          <w:tcPr>
            <w:tcW w:w="1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10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8,961,150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2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ind w:left="0" w:right="0" w:hanging="0"/>
              <w:jc w:val="left"/>
              <w:rPr/>
            </w:pPr>
            <w:r>
              <w:rPr/>
              <w:t> </w:t>
            </w:r>
          </w:p>
        </w:tc>
        <w:tc>
          <w:tcPr>
            <w:tcW w:w="9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141,117</w:t>
            </w:r>
          </w:p>
        </w:tc>
        <w:tc>
          <w:tcPr>
            <w:tcW w:w="18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17, 2023, our Board of Directors authorized the repurchase of our common stock through open market purchases commencing November 17, 2023 and continuing through November 17, 2024, provided that the per share repurchase price shall not exceed $9.00 and the aggregate repurchases shall not exceed $10.0 million. Under the share repurchase authorization, shares of the Company’s common stock may be repurchased from time to time in open market transactions, in privately negotiated transactions or otherwise. The timing and the actual number of shares repurchased depend on a variety of factors, including legal requirements, price, and economic and market conditions. The repurchase program may be suspended or discontinued at any time until it expires on November 17,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September 30, 2024, we had repurchased 141,117 shares under the share repurchase authorization at a fair value of $1,038,850. All of the repurchased shares were retired.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325" w:type="dxa"/>
        <w:jc w:val="left"/>
        <w:tblInd w:w="0" w:type="dxa"/>
        <w:tblLayout w:type="fixed"/>
        <w:tblCellMar>
          <w:top w:w="0" w:type="dxa"/>
          <w:left w:w="0" w:type="dxa"/>
          <w:bottom w:w="0" w:type="dxa"/>
          <w:right w:w="0" w:type="dxa"/>
        </w:tblCellMar>
      </w:tblPr>
      <w:tblGrid>
        <w:gridCol w:w="650"/>
        <w:gridCol w:w="26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3. </w:t>
            </w:r>
          </w:p>
        </w:tc>
        <w:tc>
          <w:tcPr>
            <w:tcW w:w="26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50"/>
        <w:gridCol w:w="20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0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Mine Safety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5. </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During the third quarter ended September 30, 2024,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650"/>
        <w:gridCol w:w="72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6. </w:t>
            </w:r>
          </w:p>
        </w:tc>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67"/>
        <w:gridCol w:w="9478"/>
      </w:tblGrid>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478" w:type="dxa"/>
            <w:tcBorders/>
            <w:vAlign w:val="center"/>
          </w:tcPr>
          <w:p>
            <w:pPr>
              <w:pStyle w:val="TableContents"/>
              <w:bidi w:val="0"/>
              <w:spacing w:before="0" w:after="0"/>
              <w:ind w:left="0" w:right="0" w:hanging="0"/>
              <w:jc w:val="left"/>
              <w:rPr/>
            </w:pPr>
            <w:hyperlink w:anchor="ex_743031.htm">
              <w:r>
                <w:rPr>
                  <w:rStyle w:val="InternetLink"/>
                  <w:rFonts w:ascii="Times New Roman;Times;serif" w:hAnsi="Times New Roman;Times;serif"/>
                  <w:caps w:val="false"/>
                  <w:smallCaps w:val="false"/>
                  <w:sz w:val="20"/>
                </w:rPr>
                <w:t>Form of Stock Option Award Agreement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478" w:type="dxa"/>
            <w:tcBorders/>
            <w:vAlign w:val="center"/>
          </w:tcPr>
          <w:p>
            <w:pPr>
              <w:pStyle w:val="TableContents"/>
              <w:bidi w:val="0"/>
              <w:spacing w:before="0" w:after="0"/>
              <w:ind w:left="0" w:right="0" w:hanging="0"/>
              <w:jc w:val="left"/>
              <w:rPr/>
            </w:pPr>
            <w:hyperlink w:anchor="ex_743032.htm">
              <w:r>
                <w:rPr>
                  <w:rStyle w:val="InternetLink"/>
                  <w:rFonts w:ascii="Times New Roman;Times;serif" w:hAnsi="Times New Roman;Times;serif"/>
                  <w:caps w:val="false"/>
                  <w:smallCaps w:val="false"/>
                  <w:sz w:val="20"/>
                </w:rPr>
                <w:t>Form of Performance Stock Award Agreement for Employees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478" w:type="dxa"/>
            <w:tcBorders/>
            <w:vAlign w:val="center"/>
          </w:tcPr>
          <w:p>
            <w:pPr>
              <w:pStyle w:val="TableContents"/>
              <w:bidi w:val="0"/>
              <w:spacing w:before="0" w:after="0"/>
              <w:ind w:left="0" w:right="0" w:hanging="0"/>
              <w:jc w:val="left"/>
              <w:rPr/>
            </w:pPr>
            <w:hyperlink w:anchor="ex_743033.htm">
              <w:r>
                <w:rPr>
                  <w:rStyle w:val="InternetLink"/>
                  <w:rFonts w:ascii="Times New Roman;Times;serif" w:hAnsi="Times New Roman;Times;serif"/>
                  <w:caps w:val="false"/>
                  <w:smallCaps w:val="false"/>
                  <w:sz w:val="20"/>
                </w:rPr>
                <w:t>Form of Restricted Stock Award Agreement for Employees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478" w:type="dxa"/>
            <w:tcBorders/>
            <w:vAlign w:val="center"/>
          </w:tcPr>
          <w:p>
            <w:pPr>
              <w:pStyle w:val="TableContents"/>
              <w:bidi w:val="0"/>
              <w:spacing w:before="0" w:after="0"/>
              <w:ind w:left="0" w:right="0" w:hanging="0"/>
              <w:jc w:val="left"/>
              <w:rPr/>
            </w:pPr>
            <w:hyperlink w:anchor="ex_743034.htm">
              <w:r>
                <w:rPr>
                  <w:rStyle w:val="InternetLink"/>
                  <w:rFonts w:ascii="Times New Roman;Times;serif" w:hAnsi="Times New Roman;Times;serif"/>
                  <w:caps w:val="false"/>
                  <w:smallCaps w:val="false"/>
                  <w:sz w:val="20"/>
                </w:rPr>
                <w:t>Form of Restricted Stock Award Agreement for Directors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9478" w:type="dxa"/>
            <w:tcBorders/>
            <w:vAlign w:val="center"/>
          </w:tcPr>
          <w:p>
            <w:pPr>
              <w:pStyle w:val="TableContents"/>
              <w:bidi w:val="0"/>
              <w:spacing w:before="0" w:after="0"/>
              <w:ind w:left="0" w:right="0" w:hanging="0"/>
              <w:jc w:val="left"/>
              <w:rPr/>
            </w:pPr>
            <w:hyperlink w:anchor="ex_743035.htm">
              <w:r>
                <w:rPr>
                  <w:rStyle w:val="InternetLink"/>
                  <w:rFonts w:ascii="Times New Roman;Times;serif" w:hAnsi="Times New Roman;Times;serif"/>
                  <w:caps w:val="false"/>
                  <w:smallCaps w:val="false"/>
                  <w:sz w:val="20"/>
                </w:rPr>
                <w:t>Form of Restricted Stock Unit Award Agreement for Employees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9478" w:type="dxa"/>
            <w:tcBorders/>
            <w:vAlign w:val="center"/>
          </w:tcPr>
          <w:p>
            <w:pPr>
              <w:pStyle w:val="TableContents"/>
              <w:bidi w:val="0"/>
              <w:spacing w:before="0" w:after="0"/>
              <w:ind w:left="0" w:right="0" w:hanging="0"/>
              <w:jc w:val="left"/>
              <w:rPr/>
            </w:pPr>
            <w:hyperlink w:anchor="ex_743036.htm">
              <w:r>
                <w:rPr>
                  <w:rStyle w:val="InternetLink"/>
                  <w:rFonts w:ascii="Times New Roman;Times;serif" w:hAnsi="Times New Roman;Times;serif"/>
                  <w:caps w:val="false"/>
                  <w:smallCaps w:val="false"/>
                  <w:sz w:val="20"/>
                </w:rPr>
                <w:t>Form of Performance Stock Unit Award Agreement for Employees (*)</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478" w:type="dxa"/>
            <w:tcBorders/>
            <w:vAlign w:val="center"/>
          </w:tcPr>
          <w:p>
            <w:pPr>
              <w:pStyle w:val="TableContents"/>
              <w:bidi w:val="0"/>
              <w:spacing w:before="0" w:after="0"/>
              <w:ind w:left="0" w:right="0" w:hanging="0"/>
              <w:jc w:val="left"/>
              <w:rPr/>
            </w:pPr>
            <w:hyperlink w:anchor="ex_743037.htm">
              <w:r>
                <w:rPr>
                  <w:rStyle w:val="InternetLink"/>
                  <w:rFonts w:ascii="Times New Roman;Times;serif" w:hAnsi="Times New Roman;Times;serif"/>
                  <w:caps w:val="false"/>
                  <w:smallCaps w:val="false"/>
                  <w:sz w:val="20"/>
                </w:rPr>
                <w:t>Certification of Chief Executive Officer pursuant to Rule 13a-14(a).</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478" w:type="dxa"/>
            <w:tcBorders/>
            <w:vAlign w:val="center"/>
          </w:tcPr>
          <w:p>
            <w:pPr>
              <w:pStyle w:val="TableContents"/>
              <w:bidi w:val="0"/>
              <w:spacing w:before="0" w:after="0"/>
              <w:ind w:left="0" w:right="0" w:hanging="0"/>
              <w:jc w:val="left"/>
              <w:rPr/>
            </w:pPr>
            <w:hyperlink w:anchor="ex_743038.htm">
              <w:r>
                <w:rPr>
                  <w:rStyle w:val="InternetLink"/>
                  <w:rFonts w:ascii="Times New Roman;Times;serif" w:hAnsi="Times New Roman;Times;serif"/>
                  <w:caps w:val="false"/>
                  <w:smallCaps w:val="false"/>
                  <w:sz w:val="20"/>
                </w:rPr>
                <w:t>Certification of Chief Financial Officer pursuant to Rule 13a-14(a).</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478" w:type="dxa"/>
            <w:tcBorders/>
            <w:vAlign w:val="center"/>
          </w:tcPr>
          <w:p>
            <w:pPr>
              <w:pStyle w:val="TableContents"/>
              <w:bidi w:val="0"/>
              <w:spacing w:before="0" w:after="0"/>
              <w:ind w:left="0" w:right="0" w:hanging="0"/>
              <w:jc w:val="left"/>
              <w:rPr/>
            </w:pPr>
            <w:hyperlink w:anchor="ex_743039.htm">
              <w:r>
                <w:rPr>
                  <w:rStyle w:val="InternetLink"/>
                  <w:rFonts w:ascii="Times New Roman;Times;serif" w:hAnsi="Times New Roman;Times;serif"/>
                  <w:caps w:val="false"/>
                  <w:smallCaps w:val="false"/>
                  <w:sz w:val="20"/>
                </w:rPr>
                <w:t>Certification of Chief Executive Officer furnished pursuant to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478" w:type="dxa"/>
            <w:tcBorders/>
            <w:vAlign w:val="center"/>
          </w:tcPr>
          <w:p>
            <w:pPr>
              <w:pStyle w:val="TableContents"/>
              <w:bidi w:val="0"/>
              <w:spacing w:before="0" w:after="0"/>
              <w:ind w:left="0" w:right="0" w:hanging="0"/>
              <w:jc w:val="left"/>
              <w:rPr/>
            </w:pPr>
            <w:hyperlink w:anchor="ex_743040.htm">
              <w:r>
                <w:rPr>
                  <w:rStyle w:val="InternetLink"/>
                  <w:rFonts w:ascii="Times New Roman;Times;serif" w:hAnsi="Times New Roman;Times;serif"/>
                  <w:caps w:val="false"/>
                  <w:smallCaps w:val="false"/>
                  <w:sz w:val="20"/>
                </w:rPr>
                <w:t>Certification of Chief Financial Officer furnished pursuant to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Instance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478"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4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a management contract or compensatory plan, contract or arrangement in which directors or executive officers participate.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470"/>
        <w:gridCol w:w="1520"/>
        <w:gridCol w:w="4025"/>
      </w:tblGrid>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inTEST Corporation</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November 6, 2024</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Richard N. Grant, Jr.</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N. Grant, Jr.</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(Principal Executive Officer)</w:t>
            </w:r>
            <w:r>
              <w:rPr>
                <w:rFonts w:ascii="Times New Roman;Times;serif" w:hAnsi="Times New Roman;Times;serif"/>
                <w:caps w:val="false"/>
                <w:smallCaps w:val="false"/>
                <w:sz w:val="20"/>
              </w:rPr>
              <w:t> </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November 6, 2024</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Duncan Gilmour</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Duncan Gilmour</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 Treasurer and Secretary</w:t>
            </w:r>
          </w:p>
        </w:tc>
      </w:tr>
      <w:tr>
        <w:trPr/>
        <w:tc>
          <w:tcPr>
            <w:tcW w:w="4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-40-</w:t>
      </w:r>
    </w:p>
    <w:p>
      <w:pPr>
        <w:pStyle w:val="TextBody"/>
        <w:bidi w:val="0"/>
        <w:spacing w:before="0" w:after="0"/>
        <w:ind w:left="0" w:right="0" w:hanging="0"/>
        <w:jc w:val="right"/>
        <w:rPr>
          <w:rFonts w:ascii="Times New Roman;Times;serif" w:hAnsi="Times New Roman;Times;serif"/>
          <w:b/>
          <w:caps/>
          <w:sz w:val="20"/>
          <w:u w:val="single"/>
        </w:rPr>
      </w:pPr>
      <w:bookmarkStart w:id="2" w:name="ex_743031.htm"/>
      <w:bookmarkStart w:id="3" w:name="ksex_743031"/>
      <w:bookmarkEnd w:id="2"/>
      <w:bookmarkEnd w:id="3"/>
      <w:r>
        <w:rPr>
          <w:rFonts w:ascii="Times New Roman;Times;serif" w:hAnsi="Times New Roman;Times;serif"/>
          <w:b/>
          <w:caps/>
          <w:sz w:val="20"/>
          <w:u w:val="single"/>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OPTION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Stock Option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7" w:type="dxa"/>
        <w:tblLayout w:type="fixed"/>
        <w:tblCellMar>
          <w:top w:w="28" w:type="dxa"/>
          <w:left w:w="28" w:type="dxa"/>
          <w:bottom w:w="28" w:type="dxa"/>
          <w:right w:w="28" w:type="dxa"/>
        </w:tblCellMar>
      </w:tblPr>
      <w:tblGrid>
        <w:gridCol w:w="2840"/>
        <w:gridCol w:w="4415"/>
      </w:tblGrid>
      <w:tr>
        <w:trPr/>
        <w:tc>
          <w:tcPr>
            <w:tcW w:w="28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441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8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44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8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Number of Option Shares</w:t>
            </w:r>
            <w:r>
              <w:rPr>
                <w:rFonts w:ascii="Times New Roman;Times;serif" w:hAnsi="Times New Roman;Times;serif"/>
                <w:caps w:val="false"/>
                <w:smallCaps w:val="false"/>
                <w:sz w:val="20"/>
              </w:rPr>
              <w:t>:</w:t>
            </w:r>
          </w:p>
        </w:tc>
        <w:tc>
          <w:tcPr>
            <w:tcW w:w="44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8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Exercise Price Per Option Share</w:t>
            </w:r>
            <w:r>
              <w:rPr>
                <w:rFonts w:ascii="Times New Roman;Times;serif" w:hAnsi="Times New Roman;Times;serif"/>
                <w:caps w:val="false"/>
                <w:smallCaps w:val="false"/>
                <w:sz w:val="20"/>
              </w:rPr>
              <w:t>:</w:t>
            </w:r>
          </w:p>
        </w:tc>
        <w:tc>
          <w:tcPr>
            <w:tcW w:w="44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8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Expiration Date</w:t>
            </w:r>
            <w:r>
              <w:rPr>
                <w:rFonts w:ascii="Times New Roman;Times;serif" w:hAnsi="Times New Roman;Times;serif"/>
                <w:caps w:val="false"/>
                <w:smallCaps w:val="false"/>
                <w:sz w:val="20"/>
              </w:rPr>
              <w:t>:</w:t>
            </w:r>
          </w:p>
        </w:tc>
        <w:tc>
          <w:tcPr>
            <w:tcW w:w="44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[10-Year Anniversary of the Grant Date]</w:t>
            </w:r>
          </w:p>
        </w:tc>
      </w:tr>
      <w:tr>
        <w:trPr/>
        <w:tc>
          <w:tcPr>
            <w:tcW w:w="28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Tax Type</w:t>
            </w:r>
            <w:r>
              <w:rPr>
                <w:rFonts w:ascii="Times New Roman;Times;serif" w:hAnsi="Times New Roman;Times;serif"/>
                <w:caps w:val="false"/>
                <w:smallCaps w:val="false"/>
                <w:sz w:val="20"/>
              </w:rPr>
              <w:t>:</w:t>
            </w:r>
          </w:p>
        </w:tc>
        <w:tc>
          <w:tcPr>
            <w:tcW w:w="44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[Nonqualified Stock Option] [Incentive Stock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Stock Options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Grant of Options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w:t>
      </w:r>
      <w:r>
        <w:rPr>
          <w:rFonts w:ascii="Times New Roman" w:hAnsi="Times New Roman"/>
          <w:caps w:val="false"/>
          <w:smallCaps w:val="false"/>
          <w:sz w:val="20"/>
        </w:rPr>
        <w:t>. Subject to the Participant’s execution and delivery of this Agreement, the Company hereby grants to the Participant on the “Grant Date” set forth above, a Stock Option (the “</w:t>
      </w:r>
      <w:r>
        <w:rPr>
          <w:rFonts w:ascii="Times New Roman" w:hAnsi="Times New Roman"/>
          <w:caps w:val="false"/>
          <w:smallCaps w:val="false"/>
          <w:sz w:val="20"/>
          <w:u w:val="single"/>
        </w:rPr>
        <w:t>Option</w:t>
      </w:r>
      <w:r>
        <w:rPr>
          <w:rFonts w:ascii="Times New Roman" w:hAnsi="Times New Roman"/>
          <w:caps w:val="false"/>
          <w:smallCaps w:val="false"/>
          <w:sz w:val="20"/>
        </w:rPr>
        <w:t>”) to purchase up to the “Number of Option Shares” set forth above, at a price per Option Share equal to the “Exercise Price Per Option Share” set forth above, subject to the terms, conditions and restrictions of this Agreement and the Plan. Each Option represents the right to purchase one share of Common Stock on the terms and conditions set forth in this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Tax Type</w:t>
      </w:r>
      <w:r>
        <w:rPr>
          <w:rFonts w:ascii="Times New Roman" w:hAnsi="Times New Roman"/>
          <w:caps w:val="false"/>
          <w:smallCaps w:val="false"/>
          <w:sz w:val="20"/>
        </w:rPr>
        <w:t>. If the Tax Type of Option designated above is “Incentive Stock Option,” then the Option is intended to be an Incentive Stock Option within the meaning of Section 422 of the Code; provided, however, to the extent that the Option does not qualify as an Incentive Stock Option, the Option shall be treated as a Nonqualified Stock Option. If the Tax Type of Option designated above is “Nonqualified Stock Option,” then the Option is not intended to be an Incentive Stock Option within the meaning of Section 422 of the Code, regardless of whether it would so qualify.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Continued Employment Requirement</w:t>
      </w:r>
      <w:r>
        <w:rPr>
          <w:rFonts w:ascii="Times New Roman" w:hAnsi="Times New Roman"/>
          <w:caps w:val="false"/>
          <w:smallCaps w:val="false"/>
          <w:sz w:val="20"/>
        </w:rPr>
        <w:t>. Except as otherwise provided by Section 2(c), and subject to compliance with Section 2(b), the Option will vest and become “</w:t>
      </w:r>
      <w:r>
        <w:rPr>
          <w:rFonts w:ascii="Times New Roman" w:hAnsi="Times New Roman"/>
          <w:caps w:val="false"/>
          <w:smallCaps w:val="false"/>
          <w:sz w:val="20"/>
          <w:u w:val="single"/>
        </w:rPr>
        <w:t>Vested Options</w:t>
      </w:r>
      <w:r>
        <w:rPr>
          <w:rFonts w:ascii="Times New Roman" w:hAnsi="Times New Roman"/>
          <w:caps w:val="false"/>
          <w:smallCaps w:val="false"/>
          <w:sz w:val="20"/>
        </w:rPr>
        <w:t>” according to the following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the Participant becomes entitled to a fractional Option Share, such fractional Option Share shall not vest unless and until the Participant becomes entitled to such number of fractional Option Shares as shall be equal in sum to a whole Option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Options,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the Participant’s employment or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The Option will immediately vest in full and become Vested Options in the event of: (i) the Participant’s death; (ii) the Participant’s Disability; or (iii) the occurrence of a Change in Control if (A) the acquiror involved in such Change in Control does not assume or substitute the Award, (B) the Participant’s employment is terminated by the Company without Cause within two years following the Change in Control, or (C) the Participant terminates their employment for Good Reason following the Change in Control;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2(b). For purposes of this Agreement, “</w:t>
      </w:r>
      <w:r>
        <w:rPr>
          <w:rFonts w:ascii="Times New Roman" w:hAnsi="Times New Roman"/>
          <w:caps w:val="false"/>
          <w:smallCaps w:val="false"/>
          <w:sz w:val="20"/>
          <w:u w:val="single"/>
        </w:rPr>
        <w:t>Cause</w:t>
      </w:r>
      <w:r>
        <w:rPr>
          <w:rFonts w:ascii="Times New Roman" w:hAnsi="Times New Roman"/>
          <w:caps w:val="false"/>
          <w:smallCaps w:val="false"/>
          <w:sz w:val="20"/>
        </w:rPr>
        <w:t>” shall mean: (1) a breach by the Participant of their employment agreement with the Company, (2) a breach by the Participant of their duty of loyalty to the Company, including without limitation any act of dishonesty, embezzlement or fraud with respect to the Company, (3) the commission by the Participant of a felony, a crime involving moral turpitude or other act causing material harm to the Company’s standing and reputation, (4) the Participant’s continued failure to perform their duties to the Company or (5) unauthorized disclosure by the Participant of trade secrets or other confidential information belonging to the Company; and “</w:t>
      </w:r>
      <w:r>
        <w:rPr>
          <w:rFonts w:ascii="Times New Roman" w:hAnsi="Times New Roman"/>
          <w:caps w:val="false"/>
          <w:smallCaps w:val="false"/>
          <w:sz w:val="20"/>
          <w:u w:val="single"/>
        </w:rPr>
        <w:t>Good Reason</w:t>
      </w:r>
      <w:r>
        <w:rPr>
          <w:rFonts w:ascii="Times New Roman" w:hAnsi="Times New Roman"/>
          <w:caps w:val="false"/>
          <w:smallCaps w:val="false"/>
          <w:sz w:val="20"/>
        </w:rPr>
        <w:t>” shall mean a material reduction by the Company in the Participant’s pay or benefits, relocation of their position by the Company of greater than 50 miles, or any material demotion of the Participant’s position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Exercise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Right to Exercise</w:t>
      </w:r>
      <w:r>
        <w:rPr>
          <w:rFonts w:ascii="Times New Roman" w:hAnsi="Times New Roman"/>
          <w:caps w:val="false"/>
          <w:smallCaps w:val="false"/>
          <w:sz w:val="20"/>
        </w:rPr>
        <w:t>. Except as otherwise provided herein, prior to the termination of the Option (as provided in Section 4), the Option shall be exercisable for a number of shares of Common Stock not to exceed the number of Vested Options less the number of shares of Common Stock for which the Option was previously exercised. In no event shall the Option be exercisable for more shares of Common Stock than the Number of Option Shares, as adjusted pursuant to Section 11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Effect of Death, Disability, Termination and Change in Control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Death or Disability</w:t>
      </w:r>
      <w:r>
        <w:rPr>
          <w:rFonts w:ascii="Times New Roman" w:hAnsi="Times New Roman"/>
          <w:caps w:val="false"/>
          <w:smallCaps w:val="false"/>
          <w:sz w:val="20"/>
        </w:rPr>
        <w:t>. In the event of the termination of the Participant’s employment due to the Participant’s death or Disability, the Option may be exercised by the Participant (or the Participant’s guardian or legal representative) to the extent unexercised and vested no later than one year following the date of the Participant’s employment, but no later than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i/>
          <w:caps w:val="false"/>
          <w:smallCaps w:val="false"/>
          <w:sz w:val="20"/>
        </w:rPr>
        <w:t>Other Termination</w:t>
      </w:r>
      <w:r>
        <w:rPr>
          <w:rFonts w:ascii="Times New Roman" w:hAnsi="Times New Roman"/>
          <w:caps w:val="false"/>
          <w:smallCaps w:val="false"/>
          <w:sz w:val="20"/>
        </w:rPr>
        <w:t>. In the event of the termination of the Participant’s employment for reasons other than Cause or the Participant’s death or Disability, the Option may be exercised by the Participant to the extent unexercised and vested no later than three months following the date of the Participant’s termination, but no later than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i/>
          <w:caps w:val="false"/>
          <w:smallCaps w:val="false"/>
          <w:sz w:val="20"/>
        </w:rPr>
        <w:t>Change in Control</w:t>
      </w:r>
      <w:r>
        <w:rPr>
          <w:rFonts w:ascii="Times New Roman" w:hAnsi="Times New Roman"/>
          <w:caps w:val="false"/>
          <w:smallCaps w:val="false"/>
          <w:sz w:val="20"/>
        </w:rPr>
        <w:t>. If the Participant’s employment is terminated by the Company without Cause within two years following the Change in Control, or the Participant terminates their employment for Good Reason following a Change in Control, the Option may be exercised by the Participant to the extent unexercised and vested no later than one year following the date of the Participant’s employment, but no later than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Method of Exercise</w:t>
      </w:r>
      <w:r>
        <w:rPr>
          <w:rFonts w:ascii="Times New Roman" w:hAnsi="Times New Roman"/>
          <w:caps w:val="false"/>
          <w:smallCaps w:val="false"/>
          <w:sz w:val="20"/>
        </w:rPr>
        <w:t>. The Option, to the extent vested and exercisable, may be exercised in whole or in part, provided that the Option may not be exercised for less than one share of Common Stock in any single transaction. The Option shall be exercised by written notice given by the Participant to the Company on the form provided by the Company for such purpose specifying the number of shares of Common Stock that the Participant elects to purchase and the exercise price being paid for the number of shares of Common Stock that the Participant elects to purchase, accompanied by full payment of such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Payment of the exercise price for the number of shares of Common Stock for which the Option is being exercised may be made in such form as the Committee may determine in its discretion,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in cash (including a check payable to the order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if permitted by the Committee, by instructing the Company to withhold a number of shares of Common Stock that would otherwise be issued having a Fair Market Value equal to the applicable portion of the exercise price being so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if permitted by the Committee, by tendering (actually or by attestation) to the Company a number of previously acquired shares of Common Stock that have been held by the Participant for at least six months (or such shorter period, if any, determined by the Committee in consideration of applicable accounting standards) and that have a Fair Market Value equal to the applicable portion of the exercise price being so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if permitted by the Committee, by authorizing a third party to sell, on behalf of the Participant, the appropriate number of shares of Common Stock otherwise issuable to the Participant upon the exercise of the Stock Option and to remit to the Company a sufficient portion of the sale proceeds to pay the entire exercise price and any tax withholding resulting from such exercise;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Restrictions on Issuance of Shares of Common Stock</w:t>
      </w:r>
      <w:r>
        <w:rPr>
          <w:rFonts w:ascii="Times New Roman" w:hAnsi="Times New Roman"/>
          <w:caps w:val="false"/>
          <w:smallCaps w:val="false"/>
          <w:sz w:val="20"/>
        </w:rPr>
        <w:t>. If at any time the Company determines that listing, registration or qualification of the shares of Common Stock covered by the Option upon any securities exchange or under any state or federal law, or the approval of any governmental agency, is necessary or advisable as a condition to the exercise of the Option, the Option may not be exercised in whole or in part unless and until such listing, registration, qualification or approval shall have been effected or obtained free of any conditions not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Issuance of Shares of Common Stock</w:t>
      </w:r>
      <w:r>
        <w:rPr>
          <w:rFonts w:ascii="Times New Roman" w:hAnsi="Times New Roman"/>
          <w:caps w:val="false"/>
          <w:smallCaps w:val="false"/>
          <w:sz w:val="20"/>
        </w:rPr>
        <w:t>. Upon determining that compliance with the Plan and this Agreement has occurred, including compliance with Sections 3(d), 3(e) and 10, the Company shall issue certificates for the shares of Common Stock purchased; if the Participant has elected to pay the exercise price (or tax withholding required pursuant to Section 10) using shares of Stock to be received from his or her exercise of the Option, the Company shall issue certificates for the shares of Common Stock purchased, less the number of shares of Common Stock used in payment of the exercise price (and minimum tax withholding, if applicable). Under no circumstances will fractional shares of Common Stock be issued; if the Participant elects to pay the exercise price using shares of Common Stock already owned by him or her, or shares of Common Stock to be received from his or her exercise of the Option and such payment involves a fraction of a share, the remaining fraction of such share of Common Stock shall be redeemed by the Company and the Company shall pay the Participant the Fair Market Value of such fractional share of Common Stock in lieu of issuing such fractional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Termination of the Option</w:t>
      </w:r>
      <w:r>
        <w:rPr>
          <w:rFonts w:ascii="Times New Roman" w:hAnsi="Times New Roman"/>
          <w:caps w:val="false"/>
          <w:smallCaps w:val="false"/>
          <w:sz w:val="20"/>
        </w:rPr>
        <w:t>. The Option shall terminate and may no longer be exercised after the earliest of (a) the termination of the Participant’s employment with the Company and its Affiliates for Cause; (b) the close of business on the last date for exercising the Option following termination of the Participant’s employment other than for Cause as described in Section 3(b), and (c) the close of business on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Notice of Disposition of Common Shares</w:t>
      </w:r>
      <w:r>
        <w:rPr>
          <w:rFonts w:ascii="Times New Roman" w:hAnsi="Times New Roman"/>
          <w:caps w:val="false"/>
          <w:smallCaps w:val="false"/>
          <w:sz w:val="20"/>
        </w:rPr>
        <w:t>. If the Tax Type of Option designated above is “Incentive Stock Option,” then the Participant shall promptly notify the Company of the disposition of any shares of Common Stock acquired upon exercise of the Option, including a disposition by sale, exchange, gift or transfer of legal title, if such disposition occurs within two years from the Grant Date or within one year from the date of exercise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Transferability</w:t>
      </w:r>
      <w:r>
        <w:rPr>
          <w:rFonts w:ascii="Times New Roman" w:hAnsi="Times New Roman"/>
          <w:caps w:val="false"/>
          <w:smallCaps w:val="false"/>
          <w:sz w:val="20"/>
        </w:rPr>
        <w:t>. The Options and the Participant’s rights and interest in the Options may not be transferred, assigned, pledged or hypothecated in any manner (whether by operation of law or otherwise) other than by will or applicable laws of descent and distribution. Upon any attempt to transfer, assign, pledge, hypothecate or otherwise dispose of the Options or any right or interest in the Options, contrary to the provisions of the Plan or this Agreement, or upon the sale or levy or attachment or similar process upon the rights in the Options, the Options shall immediately terminate and become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No Right to Employment</w:t>
      </w:r>
      <w:r>
        <w:rPr>
          <w:rFonts w:ascii="Times New Roman" w:hAnsi="Times New Roman"/>
          <w:caps w:val="false"/>
          <w:smallCaps w:val="false"/>
          <w:sz w:val="20"/>
        </w:rPr>
        <w:t>. Neither the Award pursuant to this Agreement nor any provision of this Agreement shall be construed (a) to give the Participant any right to continued employment with the Company or any of its Affiliates or (b) as an amendment to their employment agreement, if any,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2(c), the Options granted under this Agreement not previously vested hereunder shall be forfeited as of the date the Participant’s employment by, or engagement to provide services to, the Company and all of its Affiliates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Until the shares of Common Stock from the exercise of the Options have been issued to the Participant, the Participant shall have no rights of a stockholder of the Company with respect to the shares of Common Stock underlying the Options, and in particular shall not be entitled to vote the underlying shares of Common Stock or to receive any dividends paid or made with respect to the shares of Common Stock underlying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 A Participant may satisfy any federal, state or local tax withholding obligation in such form as the Committee may determine in its discretion,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in cash (including a check payable to the order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permitted by the Committee, by instructing the Company to withhold a number of shares of Common Stock that would otherwise be issued having a Fair Market Value equal to the applicable portion of the tax withholding obligation being so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if permitted by the Committee, by tendering (actually or by attestation) to the Company a number of previously acquired shares of Common Stock that have been held by the Participant for at least six months (or such shorter period, if any, determined by the Committee in consideration of applicable accounting standards) and that have a Fair Market Value equal to the applicable portion of the tax withholding obligation being so paid;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under the stock rights exemption described in Section 1.409A-1(b)(5) of the US Treasury Regulations,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Clawback</w:t>
      </w:r>
      <w:r>
        <w:rPr>
          <w:rFonts w:ascii="Times New Roman" w:hAnsi="Times New Roman"/>
          <w:caps w:val="false"/>
          <w:smallCaps w:val="false"/>
          <w:sz w:val="20"/>
        </w:rPr>
        <w:t>. Notwithstanding any other provision of this Agreement to the contrary, any portion of the Award paid hereunder shall be subject to potential cancellation, recoupment, rescission, payback or other action in accordance with the terms of the Company’s Policy for the Recovery of Erroneously Awarded Compensation, as well as any other recoupment or similar policy, if any, that the Company may adopt from time to time (collectively, the “</w:t>
      </w:r>
      <w:r>
        <w:rPr>
          <w:rFonts w:ascii="Times New Roman" w:hAnsi="Times New Roman"/>
          <w:caps w:val="false"/>
          <w:smallCaps w:val="false"/>
          <w:sz w:val="20"/>
          <w:u w:val="single"/>
        </w:rPr>
        <w:t>Policies</w:t>
      </w:r>
      <w:r>
        <w:rPr>
          <w:rFonts w:ascii="Times New Roman" w:hAnsi="Times New Roman"/>
          <w:caps w:val="false"/>
          <w:smallCaps w:val="false"/>
          <w:sz w:val="20"/>
        </w:rPr>
        <w:t>”). The Participant agrees and consents to the Company’s application, implementation and enforcement of (a) the Policies that may apply to the Participant; and (b) any provision of applicable law relating to cancellation, rescission, payback or recoupment of compensation, and expressly agrees that the Company may take such actions as are necessary to effectuate the Policies or applicable law without further consent or action being required by the Participant. To the extent that the terms of this Agreement and any Policy conflict, then the terms of the Policy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xml:space="preserve">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Options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Stock Option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Stock Option Award Agreement]</w:t>
      </w:r>
    </w:p>
    <w:p>
      <w:pPr>
        <w:pStyle w:val="TextBody"/>
        <w:bidi w:val="0"/>
        <w:spacing w:before="0" w:after="0"/>
        <w:ind w:left="0" w:right="0" w:hanging="0"/>
        <w:jc w:val="right"/>
        <w:rPr>
          <w:rFonts w:ascii="Times New Roman;Times;serif" w:hAnsi="Times New Roman;Times;serif"/>
          <w:b/>
          <w:caps/>
          <w:sz w:val="20"/>
          <w:u w:val="single"/>
        </w:rPr>
      </w:pPr>
      <w:bookmarkStart w:id="4" w:name="ex_743032.htm"/>
      <w:bookmarkStart w:id="5" w:name="ksex_743032"/>
      <w:bookmarkEnd w:id="4"/>
      <w:bookmarkEnd w:id="5"/>
      <w:r>
        <w:rPr>
          <w:rFonts w:ascii="Times New Roman;Times;serif" w:hAnsi="Times New Roman;Times;serif"/>
          <w:b/>
          <w:caps/>
          <w:sz w:val="20"/>
          <w:u w:val="single"/>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Performance Stock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7" w:type="dxa"/>
        <w:tblLayout w:type="fixed"/>
        <w:tblCellMar>
          <w:top w:w="28" w:type="dxa"/>
          <w:left w:w="28" w:type="dxa"/>
          <w:bottom w:w="28" w:type="dxa"/>
          <w:right w:w="28" w:type="dxa"/>
        </w:tblCellMar>
      </w:tblPr>
      <w:tblGrid>
        <w:gridCol w:w="2405"/>
        <w:gridCol w:w="365"/>
      </w:tblGrid>
      <w:tr>
        <w:trPr/>
        <w:tc>
          <w:tcPr>
            <w:tcW w:w="24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3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4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4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Maximum Number of PSAs</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4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Performance Period</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4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Normal Vesting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performance-vesting Restricted Stock (“</w:t>
      </w:r>
      <w:r>
        <w:rPr>
          <w:rFonts w:ascii="Times New Roman" w:hAnsi="Times New Roman"/>
          <w:caps w:val="false"/>
          <w:smallCaps w:val="false"/>
          <w:sz w:val="20"/>
          <w:u w:val="single"/>
        </w:rPr>
        <w:t>Performance Stock</w:t>
      </w:r>
      <w:r>
        <w:rPr>
          <w:rFonts w:ascii="Times New Roman" w:hAnsi="Times New Roman"/>
          <w:caps w:val="false"/>
          <w:smallCaps w:val="false"/>
          <w:sz w:val="20"/>
        </w:rPr>
        <w:t>” or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Issuance of Shares</w:t>
      </w:r>
      <w:r>
        <w:rPr>
          <w:rFonts w:ascii="Times New Roman" w:hAnsi="Times New Roman"/>
          <w:caps w:val="false"/>
          <w:smallCaps w:val="false"/>
          <w:sz w:val="20"/>
        </w:rPr>
        <w:t>. Subject to the Participant’s execution and delivery of this Agreement and one or more instruments of transfer relating to all shares issuable pursuant to this Agreement (the “</w:t>
      </w:r>
      <w:r>
        <w:rPr>
          <w:rFonts w:ascii="Times New Roman" w:hAnsi="Times New Roman"/>
          <w:caps w:val="false"/>
          <w:smallCaps w:val="false"/>
          <w:sz w:val="20"/>
          <w:u w:val="single"/>
        </w:rPr>
        <w:t>Shares</w:t>
      </w:r>
      <w:r>
        <w:rPr>
          <w:rFonts w:ascii="Times New Roman" w:hAnsi="Times New Roman"/>
          <w:caps w:val="false"/>
          <w:smallCaps w:val="false"/>
          <w:sz w:val="20"/>
        </w:rPr>
        <w:t>”), the Participant will be issued the “Maximum Number of PSAs” set forth above, as of “Grant Date” set forth above, subject to the terms, conditions and restrictions of this Agreement and the Plan. Such Shares shall be registered in the Participant’s name, but the Company shall retain custody of any certificates issued for such Shares pending the vesting or forfeiture thereof. Upon the vesting of any such Shares, the Company shall deliver to the Participant the certificates for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Continued Employment Requirement</w:t>
      </w:r>
      <w:r>
        <w:rPr>
          <w:rFonts w:ascii="Times New Roman" w:hAnsi="Times New Roman"/>
          <w:caps w:val="false"/>
          <w:smallCaps w:val="false"/>
          <w:sz w:val="20"/>
        </w:rPr>
        <w:t>. Except as otherwise provided by Section 2(d), and subject to compliance with Section 2(b) the vesting of the PSAs is subject to the Participant’s continued employment with the Company and its Affiliates through the “Normal Vesting Date”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Shares,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the Participant’s employment or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Performance Vesting Requirement(s)</w:t>
      </w:r>
      <w:r>
        <w:rPr>
          <w:rFonts w:ascii="Times New Roman" w:hAnsi="Times New Roman"/>
          <w:caps w:val="false"/>
          <w:smallCaps w:val="false"/>
          <w:sz w:val="20"/>
        </w:rPr>
        <w:t>. In addition to the vesting requirements set forth in Section 2(a) and 2(b), the number Shares that vest will be based on the achievement of the Performance Goal(s) set forth on Schedule A hereto for the “Performance Period” set forth above. The number of Shares that vest shall be equal to the Maximum Number of PSAs multiplied by the “Aggregate Performance Payout Factor” determined pursuant to Schedule A hereto, based on the achievement of the Performance Goal(s) for the Performance Period, rounded up to the nearest number of whole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In the event of (i) the Participant’s death before the Normal Vesting Date; (ii) the Participant’s Disability before the Normal Vesting Date; or (iii) the occurrence of a Change in Control before the Normal Vesting Date, if (A) the acquiror involved in such Change in Control does not assume or substitute the Award, (B) the Participant’s employment is terminated by the Company without Cause within two years following the Change in Control, or (C) the Participant terminates their employment for Good Reason following the Change in Control, the Award will immediately vest, the Aggregate Performance Payout Factor shall be based on most recent estimated level of performance used for financial accounting purposes and the number of Shares that vest shall be the Maximum Number of PSAs multiplied by the Aggregate Performance Payout Factor; rounded up to the nearest number of whole Shares;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2(b). For purposes of this Agreement, “</w:t>
      </w:r>
      <w:r>
        <w:rPr>
          <w:rFonts w:ascii="Times New Roman" w:hAnsi="Times New Roman"/>
          <w:caps w:val="false"/>
          <w:smallCaps w:val="false"/>
          <w:sz w:val="20"/>
          <w:u w:val="single"/>
        </w:rPr>
        <w:t>Cause</w:t>
      </w:r>
      <w:r>
        <w:rPr>
          <w:rFonts w:ascii="Times New Roman" w:hAnsi="Times New Roman"/>
          <w:caps w:val="false"/>
          <w:smallCaps w:val="false"/>
          <w:sz w:val="20"/>
        </w:rPr>
        <w:t>” shall mean: (1) a breach by the Participant of their employment agreement with the Company, (2) a breach by the Participant of their duty of loyalty to the Company, including without limitation any act of dishonesty, embezzlement or fraud with respect to the Company, (3) the commission by the Participant of a felony, a crime involving moral turpitude or other act causing material harm to the Company’s standing and reputation, (4) the Participant’s continued failure to perform their duties to the Company or (5) unauthorized disclosure by the Participant of trade secrets or other confidential information belonging to the Company; and “</w:t>
      </w:r>
      <w:r>
        <w:rPr>
          <w:rFonts w:ascii="Times New Roman" w:hAnsi="Times New Roman"/>
          <w:caps w:val="false"/>
          <w:smallCaps w:val="false"/>
          <w:sz w:val="20"/>
          <w:u w:val="single"/>
        </w:rPr>
        <w:t>Good Reason</w:t>
      </w:r>
      <w:r>
        <w:rPr>
          <w:rFonts w:ascii="Times New Roman" w:hAnsi="Times New Roman"/>
          <w:caps w:val="false"/>
          <w:smallCaps w:val="false"/>
          <w:sz w:val="20"/>
        </w:rPr>
        <w:t>” shall mean a material reduction by the Company in the Participant’s pay or benefits, relocation of their position by the Company of greater than 50 miles, or any material demotion of the Participant’s position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Transferability</w:t>
      </w:r>
      <w:r>
        <w:rPr>
          <w:rFonts w:ascii="Times New Roman" w:hAnsi="Times New Roman"/>
          <w:caps w:val="false"/>
          <w:smallCaps w:val="false"/>
          <w:sz w:val="20"/>
        </w:rPr>
        <w:t>. The Shares of Common Stock issued to the Participant under this Agreement shall not be transferable by the Participant prior to the date such Shares become vested under the terms of this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Restrictive Legend</w:t>
      </w:r>
      <w:r>
        <w:rPr>
          <w:rFonts w:ascii="Times New Roman" w:hAnsi="Times New Roman"/>
          <w:caps w:val="false"/>
          <w:smallCaps w:val="false"/>
          <w:sz w:val="20"/>
        </w:rPr>
        <w:t>. Certificates for the Shares with respect to which the vesting requirements have not been met shall be inscribed with the following legend: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both"/>
              <w:rPr/>
            </w:pPr>
            <w:r>
              <w:rPr/>
              <w:t>“</w:t>
            </w:r>
            <w:r>
              <w:rPr>
                <w:rFonts w:ascii="Times New Roman;Times;serif" w:hAnsi="Times New Roman;Times;serif"/>
                <w:sz w:val="20"/>
              </w:rPr>
              <w:t>The shares of stock evidenced by this certificate are subject to the terms and restrictions of a Performance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Removal of Restrictive Legend</w:t>
      </w:r>
      <w:r>
        <w:rPr>
          <w:rFonts w:ascii="Times New Roman" w:hAnsi="Times New Roman"/>
          <w:caps w:val="false"/>
          <w:smallCaps w:val="false"/>
          <w:sz w:val="20"/>
        </w:rPr>
        <w:t>. When the vesting requirements on any Shares have been met, the Company shall cause a replacement stock certificate for those Shares, without the legend referred to in Section 4, to be issued and delivered to the Participant,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6.        </w:t>
      </w:r>
      <w:r>
        <w:rPr>
          <w:rFonts w:ascii="Times New Roman" w:hAnsi="Times New Roman"/>
          <w:caps w:val="false"/>
          <w:smallCaps w:val="false"/>
          <w:sz w:val="20"/>
        </w:rPr>
        <w:t>    </w:t>
      </w:r>
      <w:r>
        <w:rPr>
          <w:rFonts w:ascii="Times New Roman" w:hAnsi="Times New Roman"/>
          <w:b/>
          <w:caps w:val="false"/>
          <w:smallCaps w:val="false"/>
          <w:sz w:val="20"/>
        </w:rPr>
        <w:t>No Right to Employment</w:t>
      </w:r>
      <w:r>
        <w:rPr>
          <w:rFonts w:ascii="Times New Roman" w:hAnsi="Times New Roman"/>
          <w:caps w:val="false"/>
          <w:smallCaps w:val="false"/>
          <w:sz w:val="20"/>
        </w:rPr>
        <w:t>. Neither the Award of Shares pursuant to this Agreement nor any provision of this Agreement shall be construed (a) to give the Participant any right to continued employment with the Company or any of its Affiliates or (b) as an amendment to their employment agreement, if any,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2(d), Shares of Common Stock issued under this Agreement not previously vested hereunder shall be forfeited as of the date the Participant’s employment by, or engagement to provide services to, the Company and all of its Affiliates terminates. Following such a forfeiture, the Participant shall have no rights whatsoever with respect to the Shares of Common Stock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The Participant shall have voting and tender offer rights with respect to Shares of Common Stock issued to the Participant under this Agreement whether or not such Shares are vested or unvested. No cash dividends, however, shall be paid on unvested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10.     </w:t>
      </w:r>
      <w:r>
        <w:rPr>
          <w:rFonts w:ascii="Times New Roman" w:hAnsi="Times New Roman"/>
          <w:caps w:val="false"/>
          <w:smallCaps w:val="false"/>
          <w:sz w:val="20"/>
        </w:rPr>
        <w:t>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11.      </w:t>
      </w:r>
      <w:r>
        <w:rPr>
          <w:rFonts w:ascii="Times New Roman" w:hAnsi="Times New Roman"/>
          <w:caps w:val="false"/>
          <w:smallCaps w:val="false"/>
          <w:sz w:val="20"/>
        </w:rPr>
        <w:t>    </w:t>
      </w:r>
      <w:r>
        <w:rPr>
          <w:rFonts w:ascii="Times New Roman" w:hAnsi="Times New Roman"/>
          <w:b/>
          <w:caps w:val="false"/>
          <w:smallCaps w:val="false"/>
          <w:sz w:val="20"/>
        </w:rPr>
        <w:t>Clawback</w:t>
      </w:r>
      <w:r>
        <w:rPr>
          <w:rFonts w:ascii="Times New Roman" w:hAnsi="Times New Roman"/>
          <w:caps w:val="false"/>
          <w:smallCaps w:val="false"/>
          <w:sz w:val="20"/>
        </w:rPr>
        <w:t>. Notwithstanding any other provision of this Agreement to the contrary, any portion of the Award paid hereunder shall be subject to potential cancellation, recoupment, rescission, payback or other action in accordance with the terms of the Company’s Policy for the Recovery of Erroneously Awarded Compensation, as well as any other recoupment or similar policy, if any, that the Company may adopt from time to time (collectively, the “</w:t>
      </w:r>
      <w:r>
        <w:rPr>
          <w:rFonts w:ascii="Times New Roman" w:hAnsi="Times New Roman"/>
          <w:caps w:val="false"/>
          <w:smallCaps w:val="false"/>
          <w:sz w:val="20"/>
          <w:u w:val="single"/>
        </w:rPr>
        <w:t>Policies</w:t>
      </w:r>
      <w:r>
        <w:rPr>
          <w:rFonts w:ascii="Times New Roman" w:hAnsi="Times New Roman"/>
          <w:caps w:val="false"/>
          <w:smallCaps w:val="false"/>
          <w:sz w:val="20"/>
        </w:rPr>
        <w:t>”). The Participant agrees and consents to the Company’s application, implementation and enforcement of (a) the Policies that may apply to the Participant; and (b) any provision of applicable law relating to cancellation, rescission, payback or recoupment of compensation, and expressly agrees that the Company may take such actions as are necessary to effectuate the Policies or applicable law without further consent or action being required by the Participant. To the extent that the terms of this Agreement and any Policy conflict, then the terms of the Policy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Performance Stock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Performance Stock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Performance Stock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Goal 1]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 ___%</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7" w:type="dxa"/>
        <w:tblLayout w:type="fixed"/>
        <w:tblCellMar>
          <w:top w:w="28" w:type="dxa"/>
          <w:left w:w="28" w:type="dxa"/>
          <w:bottom w:w="28" w:type="dxa"/>
          <w:right w:w="28" w:type="dxa"/>
        </w:tblCellMar>
      </w:tblPr>
      <w:tblGrid>
        <w:gridCol w:w="1745"/>
        <w:gridCol w:w="890"/>
        <w:gridCol w:w="605"/>
        <w:gridCol w:w="920"/>
      </w:tblGrid>
      <w:tr>
        <w:trPr/>
        <w:tc>
          <w:tcPr>
            <w:tcW w:w="17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Threshold</w:t>
            </w:r>
          </w:p>
        </w:tc>
        <w:tc>
          <w:tcPr>
            <w:tcW w:w="6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p>
        </w:tc>
        <w:tc>
          <w:tcPr>
            <w:tcW w:w="9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Goal 1]</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Factor*</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[Performance Goal 1] is less than Threshold, the Payout Factor under the [Performance Goal 1] Component will be 0%, and if [Performance Goal 1] is greater than Maximum, the Payout Factor under the [Performance Goal 1] Component will be the Maximum %. If [Performance Goal 1] is greater than Threshold and less than Target, or greater than Target and less than Maximum, the Payout Factor under the [Performance Goal 1] Component will be determined based on linear interpolation.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 necessary definitions for the performance goal]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Goal 2]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 ___%</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7" w:type="dxa"/>
        <w:tblLayout w:type="fixed"/>
        <w:tblCellMar>
          <w:top w:w="28" w:type="dxa"/>
          <w:left w:w="28" w:type="dxa"/>
          <w:bottom w:w="28" w:type="dxa"/>
          <w:right w:w="28" w:type="dxa"/>
        </w:tblCellMar>
      </w:tblPr>
      <w:tblGrid>
        <w:gridCol w:w="1745"/>
        <w:gridCol w:w="890"/>
        <w:gridCol w:w="605"/>
        <w:gridCol w:w="920"/>
      </w:tblGrid>
      <w:tr>
        <w:trPr/>
        <w:tc>
          <w:tcPr>
            <w:tcW w:w="17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Threshold</w:t>
            </w:r>
          </w:p>
        </w:tc>
        <w:tc>
          <w:tcPr>
            <w:tcW w:w="6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p>
        </w:tc>
        <w:tc>
          <w:tcPr>
            <w:tcW w:w="9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Goal 2]</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Factor*</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[Performance Goal 2] is less than Threshold, the Payout Factor under the [Performance Goal 2] Component will be 0%, and if [Performance Goal 2] is greater than Maximum, the Payout Factor under the [Performance Goal 2] Component will be the Maximum %. If [Performance Goal 2] is greater than Threshold and less than Target, or greater than Target and less than Maximum, the Payout Factor under the [Performance Goal 2] Component will be determined based on linear interpolation.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 necessary definitions for the performance goal]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Aggregate Performance Payout Factor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provided by Section 2(d) of the Agreement, the Aggregate Performance Payout Factor is equal to the sum of (a) the Payout Factor under the [Performance Goal 1] Component multiplied by the Weight of the [Performance Goal 1] Component, and (b) the Payout Factor under the [Performance Goal 2] Component multiplied by the Weight of the [Performance Goal 2]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sz w:val="20"/>
          <w:u w:val="single"/>
        </w:rPr>
      </w:pPr>
      <w:bookmarkStart w:id="6" w:name="ex_743033.htm"/>
      <w:bookmarkStart w:id="7" w:name="ksex_743033"/>
      <w:bookmarkEnd w:id="6"/>
      <w:bookmarkEnd w:id="7"/>
      <w:r>
        <w:rPr>
          <w:rFonts w:ascii="Times New Roman;Times;serif" w:hAnsi="Times New Roman;Times;serif"/>
          <w:b/>
          <w:caps/>
          <w:sz w:val="20"/>
          <w:u w:val="single"/>
        </w:rPr>
        <w:t>Exhibit 10.3</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Restricted Stock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7" w:type="dxa"/>
        <w:tblLayout w:type="fixed"/>
        <w:tblCellMar>
          <w:top w:w="28" w:type="dxa"/>
          <w:left w:w="28" w:type="dxa"/>
          <w:bottom w:w="28" w:type="dxa"/>
          <w:right w:w="28" w:type="dxa"/>
        </w:tblCellMar>
      </w:tblPr>
      <w:tblGrid>
        <w:gridCol w:w="1490"/>
        <w:gridCol w:w="365"/>
      </w:tblGrid>
      <w:tr>
        <w:trPr/>
        <w:tc>
          <w:tcPr>
            <w:tcW w:w="14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3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Number of RSAs</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Restricted Stock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Issuance of Shares</w:t>
      </w:r>
      <w:r>
        <w:rPr>
          <w:rFonts w:ascii="Times New Roman" w:hAnsi="Times New Roman"/>
          <w:caps w:val="false"/>
          <w:smallCaps w:val="false"/>
          <w:sz w:val="20"/>
        </w:rPr>
        <w:t>. Subject to the Participant’s execution and delivery of this Agreement and one or more instruments of transfer relating to all shares issuable pursuant to this Agreement (the “</w:t>
      </w:r>
      <w:r>
        <w:rPr>
          <w:rFonts w:ascii="Times New Roman" w:hAnsi="Times New Roman"/>
          <w:caps w:val="false"/>
          <w:smallCaps w:val="false"/>
          <w:sz w:val="20"/>
          <w:u w:val="single"/>
        </w:rPr>
        <w:t>Shares</w:t>
      </w:r>
      <w:r>
        <w:rPr>
          <w:rFonts w:ascii="Times New Roman" w:hAnsi="Times New Roman"/>
          <w:caps w:val="false"/>
          <w:smallCaps w:val="false"/>
          <w:sz w:val="20"/>
        </w:rPr>
        <w:t>”), the Participant will be issued the “Number of RSAs” set forth above, as of “Grant Date” set forth above, subject to the terms, conditions and restrictions of this Agreement and the Plan. Such Shares shall be registered in the Participant’s name, but the Company shall retain custody of any certificates issued for such Shares pending the vesting or forfeiture thereof. Upon the vesting of any such Shares, the Company shall deliver to the Participant the certificates for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Continued Employment Requirement</w:t>
      </w:r>
      <w:r>
        <w:rPr>
          <w:rFonts w:ascii="Times New Roman" w:hAnsi="Times New Roman"/>
          <w:caps w:val="false"/>
          <w:smallCaps w:val="false"/>
          <w:sz w:val="20"/>
        </w:rPr>
        <w:t>. Except as otherwise provided by Section 2(c), and subject to compliance with Section 2(b), the Number of RSAs will vest according to the following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the Participant becomes entitled to a fractional Share, such fractional Share shall not vest unless and until the Participant becomes entitled to such number of fractional Shares as shall be equal in sum to a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Shares,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the Participant’s employment or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The Shares of Common Stock issued under this Agreement shall become immediately and fully vested in the event of: (i) the Participant’s death; (ii) the Participant’s Disability; or (iii) the occurrence of a Change in Control if (A) the acquiror involved in such Change in Control does not assume or substitute the Award, (B) the Participant’s employment is terminated by the Company without Cause within two years following the Change in Control, or (C) the Participant terminates their employment for Good Reason following the Change in Control;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2(b). For purposes of this Agreement, “</w:t>
      </w:r>
      <w:r>
        <w:rPr>
          <w:rFonts w:ascii="Times New Roman" w:hAnsi="Times New Roman"/>
          <w:caps w:val="false"/>
          <w:smallCaps w:val="false"/>
          <w:sz w:val="20"/>
          <w:u w:val="single"/>
        </w:rPr>
        <w:t>Cause</w:t>
      </w:r>
      <w:r>
        <w:rPr>
          <w:rFonts w:ascii="Times New Roman" w:hAnsi="Times New Roman"/>
          <w:caps w:val="false"/>
          <w:smallCaps w:val="false"/>
          <w:sz w:val="20"/>
        </w:rPr>
        <w:t>” shall mean: (1) a breach by the Participant of their employment agreement with the Company, (2) a breach by the Participant of their duty of loyalty to the Company, including without limitation any act of dishonesty, embezzlement or fraud with respect to the Company, (3) the commission by the Participant of a felony, a crime involving moral turpitude or other act causing material harm to the Company’s standing and reputation, (4) the Participant’s continued failure to perform their duties to the Company or (5) unauthorized disclosure by the Participant of trade secrets or other confidential information belonging to the Company; and “</w:t>
      </w:r>
      <w:r>
        <w:rPr>
          <w:rFonts w:ascii="Times New Roman" w:hAnsi="Times New Roman"/>
          <w:caps w:val="false"/>
          <w:smallCaps w:val="false"/>
          <w:sz w:val="20"/>
          <w:u w:val="single"/>
        </w:rPr>
        <w:t>Good Reason</w:t>
      </w:r>
      <w:r>
        <w:rPr>
          <w:rFonts w:ascii="Times New Roman" w:hAnsi="Times New Roman"/>
          <w:caps w:val="false"/>
          <w:smallCaps w:val="false"/>
          <w:sz w:val="20"/>
        </w:rPr>
        <w:t>” shall mean a material reduction by the Company in the Participant’s pay or benefits, relocation of their position by the Company of greater than 50 miles, or any material demotion of the Participant’s position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Transferability</w:t>
      </w:r>
      <w:r>
        <w:rPr>
          <w:rFonts w:ascii="Times New Roman" w:hAnsi="Times New Roman"/>
          <w:caps w:val="false"/>
          <w:smallCaps w:val="false"/>
          <w:sz w:val="20"/>
        </w:rPr>
        <w:t>. The Shares of Common Stock issued to the Participant under this Agreement shall not be transferable by the Participant prior to the date such Shares become vested under the terms of this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Restrictive Legend</w:t>
      </w:r>
      <w:r>
        <w:rPr>
          <w:rFonts w:ascii="Times New Roman" w:hAnsi="Times New Roman"/>
          <w:caps w:val="false"/>
          <w:smallCaps w:val="false"/>
          <w:sz w:val="20"/>
        </w:rPr>
        <w:t>. Certificates for the Shares with respect to which the vesting requirements have not been met shall be inscribed with the following legend: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both"/>
              <w:rPr/>
            </w:pPr>
            <w:r>
              <w:rPr/>
              <w:t>“</w:t>
            </w:r>
            <w:r>
              <w:rPr>
                <w:rFonts w:ascii="Times New Roman;Times;serif" w:hAnsi="Times New Roman;Times;serif"/>
                <w:sz w:val="20"/>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Removal of Restrictive Legend</w:t>
      </w:r>
      <w:r>
        <w:rPr>
          <w:rFonts w:ascii="Times New Roman" w:hAnsi="Times New Roman"/>
          <w:caps w:val="false"/>
          <w:smallCaps w:val="false"/>
          <w:sz w:val="20"/>
        </w:rPr>
        <w:t>. When the vesting requirements on any Shares have been met, the Company shall cause a replacement stock certificate for those Shares, without the legend referred to in Section 5, to be issued and delivered to the Participant,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No Right to Employment</w:t>
      </w:r>
      <w:r>
        <w:rPr>
          <w:rFonts w:ascii="Times New Roman" w:hAnsi="Times New Roman"/>
          <w:caps w:val="false"/>
          <w:smallCaps w:val="false"/>
          <w:sz w:val="20"/>
        </w:rPr>
        <w:t>. Neither the Award of Shares pursuant to this Agreement nor any provision of this Agreement shall be construed (a) to give the Participant any right to continued employment with the Company or any of its Affiliates or (b) as an amendment to their employment agreement, if any,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2(c), Shares of Common Stock issued under this Agreement not previously vested hereunder shall be forfeited as of the date the Participant’s employment by, or engagement to provide services to, the Company and all of its Affiliates terminates. Following such a forfeiture, the Participant shall have no rights whatsoever with respect to the Shares of Common Stock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The Participant shall have voting and tender offer rights with respect to Shares of Common Stock issued to the Participant under this Agreement whether or not such Shares are vested or unvested. No cash dividends, however, shall be paid on unvested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xml:space="preserve">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Clawback</w:t>
      </w:r>
      <w:r>
        <w:rPr>
          <w:rFonts w:ascii="Times New Roman" w:hAnsi="Times New Roman"/>
          <w:caps w:val="false"/>
          <w:smallCaps w:val="false"/>
          <w:sz w:val="20"/>
        </w:rPr>
        <w:t>. Notwithstanding any other provision of this Agreement to the contrary, any portion of the Award paid hereunder shall be subject to potential cancellation, recoupment, rescission, payback or other action in accordance with the terms of the Company’s Policy for the Recovery of Erroneously Awarded Compensation, as well as any other recoupment or similar policy, if any, that the Company may adopt from time to time (collectively, the “</w:t>
      </w:r>
      <w:r>
        <w:rPr>
          <w:rFonts w:ascii="Times New Roman" w:hAnsi="Times New Roman"/>
          <w:caps w:val="false"/>
          <w:smallCaps w:val="false"/>
          <w:sz w:val="20"/>
          <w:u w:val="single"/>
        </w:rPr>
        <w:t>Policies</w:t>
      </w:r>
      <w:r>
        <w:rPr>
          <w:rFonts w:ascii="Times New Roman" w:hAnsi="Times New Roman"/>
          <w:caps w:val="false"/>
          <w:smallCaps w:val="false"/>
          <w:sz w:val="20"/>
        </w:rPr>
        <w:t>”). The Participant agrees and consents to the Company’s application, implementation and enforcement of (a) the Policies that may apply to the Participant; and (b) any provision of applicable law relating to cancellation, rescission, payback or recoupment of compensation, and expressly agrees that the Company may take such actions as are necessary to effectuate the Policies or applicable law without further consent or action being required by the Participant. To the extent that the terms of this Agreement and any Policy conflict, then the terms of the Policy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14.     </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Restricted Stock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Restricted Stock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Restricted Stock Award Agreement]</w:t>
      </w:r>
    </w:p>
    <w:p>
      <w:pPr>
        <w:pStyle w:val="TextBody"/>
        <w:bidi w:val="0"/>
        <w:spacing w:before="0" w:after="0"/>
        <w:ind w:left="0" w:right="0" w:hanging="0"/>
        <w:jc w:val="right"/>
        <w:rPr>
          <w:rFonts w:ascii="Times New Roman;Times;serif" w:hAnsi="Times New Roman;Times;serif"/>
          <w:b/>
          <w:caps/>
          <w:sz w:val="20"/>
          <w:u w:val="single"/>
        </w:rPr>
      </w:pPr>
      <w:bookmarkStart w:id="8" w:name="ex_743034.htm"/>
      <w:bookmarkStart w:id="9" w:name="ksex_743034"/>
      <w:bookmarkEnd w:id="8"/>
      <w:bookmarkEnd w:id="9"/>
      <w:r>
        <w:rPr>
          <w:rFonts w:ascii="Times New Roman;Times;serif" w:hAnsi="Times New Roman;Times;serif"/>
          <w:b/>
          <w:caps/>
          <w:sz w:val="20"/>
          <w:u w:val="single"/>
        </w:rPr>
        <w:t>Exhibit 10.4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Restricted Stock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7" w:type="dxa"/>
        <w:tblLayout w:type="fixed"/>
        <w:tblCellMar>
          <w:top w:w="28" w:type="dxa"/>
          <w:left w:w="28" w:type="dxa"/>
          <w:bottom w:w="28" w:type="dxa"/>
          <w:right w:w="28" w:type="dxa"/>
        </w:tblCellMar>
      </w:tblPr>
      <w:tblGrid>
        <w:gridCol w:w="1490"/>
        <w:gridCol w:w="365"/>
      </w:tblGrid>
      <w:tr>
        <w:trPr/>
        <w:tc>
          <w:tcPr>
            <w:tcW w:w="14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3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Number of RSAs</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Restricted Stock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1.       </w:t>
      </w:r>
      <w:r>
        <w:rPr>
          <w:rFonts w:ascii="Times New Roman" w:hAnsi="Times New Roman"/>
          <w:caps w:val="false"/>
          <w:smallCaps w:val="false"/>
          <w:sz w:val="20"/>
        </w:rPr>
        <w:t>    </w:t>
      </w:r>
      <w:r>
        <w:rPr>
          <w:rFonts w:ascii="Times New Roman" w:hAnsi="Times New Roman"/>
          <w:b/>
          <w:caps w:val="false"/>
          <w:smallCaps w:val="false"/>
          <w:sz w:val="20"/>
        </w:rPr>
        <w:t>Issuance of Shares</w:t>
      </w:r>
      <w:r>
        <w:rPr>
          <w:rFonts w:ascii="Times New Roman" w:hAnsi="Times New Roman"/>
          <w:caps w:val="false"/>
          <w:smallCaps w:val="false"/>
          <w:sz w:val="20"/>
        </w:rPr>
        <w:t>. Subject to the Participant’s execution and delivery of this Agreement and one or more instruments of transfer relating to all shares issuable pursuant to this Agreement (the “</w:t>
      </w:r>
      <w:r>
        <w:rPr>
          <w:rFonts w:ascii="Times New Roman" w:hAnsi="Times New Roman"/>
          <w:caps w:val="false"/>
          <w:smallCaps w:val="false"/>
          <w:sz w:val="20"/>
          <w:u w:val="single"/>
        </w:rPr>
        <w:t>Shares</w:t>
      </w:r>
      <w:r>
        <w:rPr>
          <w:rFonts w:ascii="Times New Roman" w:hAnsi="Times New Roman"/>
          <w:caps w:val="false"/>
          <w:smallCaps w:val="false"/>
          <w:sz w:val="20"/>
        </w:rPr>
        <w:t>”), the Participant will be issued the “Number of RSAs” set forth above, as of “Grant Date” set forth above, subject to the terms, conditions and restrictions of this Agreement and the Plan. Such Shares shall be registered in the Participant’s name, but the Company shall retain custody of any certificates issued for such Shares pending the vesting or forfeiture thereof. Upon the vesting of any such Shares, the Company shall deliver to the Participant the certificates for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Continued Service Requirement</w:t>
      </w:r>
      <w:r>
        <w:rPr>
          <w:rFonts w:ascii="Times New Roman" w:hAnsi="Times New Roman"/>
          <w:caps w:val="false"/>
          <w:smallCaps w:val="false"/>
          <w:sz w:val="20"/>
        </w:rPr>
        <w:t>. Except as otherwise provided by Section 2(c), and subject to compliance with Section 2(b), the Number of RSAs will vest ___________________________, subject to the Participant’s continued service to the Company and its Affiliates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Shares,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continuously engaged to provide services to the Company or its Affiliates, through and including the date of vesting, and no event shall have occurred which, with due notice or lapse of time, or both, would entitle the Company or its Affiliates to terminate the Participant’s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The Shares of Common Stock issued under this Agreement shall become immediately and fully vested in the event of: (i) the Participant’s death; (ii) the Participant’s Disability; or (iii) the occurrence of a Change in Control if (A) the acquiror involved in such Change in Control does not assume or substitute the Award, or (B) the Participant’s service to the Company and its Affiliates is terminated by the Company within two years following the Change in Control;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3.        </w:t>
      </w:r>
      <w:r>
        <w:rPr>
          <w:rFonts w:ascii="Times New Roman" w:hAnsi="Times New Roman"/>
          <w:caps w:val="false"/>
          <w:smallCaps w:val="false"/>
          <w:sz w:val="20"/>
        </w:rPr>
        <w:t>    </w:t>
      </w:r>
      <w:r>
        <w:rPr>
          <w:rFonts w:ascii="Times New Roman" w:hAnsi="Times New Roman"/>
          <w:b/>
          <w:caps w:val="false"/>
          <w:smallCaps w:val="false"/>
          <w:sz w:val="20"/>
        </w:rPr>
        <w:t>Transferability</w:t>
      </w:r>
      <w:r>
        <w:rPr>
          <w:rFonts w:ascii="Times New Roman" w:hAnsi="Times New Roman"/>
          <w:caps w:val="false"/>
          <w:smallCaps w:val="false"/>
          <w:sz w:val="20"/>
        </w:rPr>
        <w:t>. The Shares of Common Stock issued to the Participant under this Agreement shall not be transferable by the Participant prior to the date such Shares become vested under the terms of this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4.        </w:t>
      </w:r>
      <w:r>
        <w:rPr>
          <w:rFonts w:ascii="Times New Roman" w:hAnsi="Times New Roman"/>
          <w:caps w:val="false"/>
          <w:smallCaps w:val="false"/>
          <w:sz w:val="20"/>
        </w:rPr>
        <w:t>    </w:t>
      </w:r>
      <w:r>
        <w:rPr>
          <w:rFonts w:ascii="Times New Roman" w:hAnsi="Times New Roman"/>
          <w:b/>
          <w:caps w:val="false"/>
          <w:smallCaps w:val="false"/>
          <w:sz w:val="20"/>
        </w:rPr>
        <w:t>Restrictive Legend</w:t>
      </w:r>
      <w:r>
        <w:rPr>
          <w:rFonts w:ascii="Times New Roman" w:hAnsi="Times New Roman"/>
          <w:caps w:val="false"/>
          <w:smallCaps w:val="false"/>
          <w:sz w:val="20"/>
        </w:rPr>
        <w:t>. Certificates for the Shares with respect to which the vesting requirements have not been met shall be inscribed with the following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hanging="0"/>
        <w:jc w:val="both"/>
        <w:rPr>
          <w:caps w:val="false"/>
          <w:smallCaps w:val="false"/>
        </w:rPr>
      </w:pPr>
      <w:r>
        <w:rPr>
          <w:caps w:val="false"/>
          <w:smallCaps w:val="false"/>
        </w:rPr>
        <w:t>“</w:t>
      </w:r>
      <w:r>
        <w:rPr>
          <w:rFonts w:ascii="Times New Roman" w:hAnsi="Times New Roman"/>
          <w:caps w:val="false"/>
          <w:smallCaps w:val="false"/>
          <w:sz w:val="20"/>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Removal of Restrictive Legend</w:t>
      </w:r>
      <w:r>
        <w:rPr>
          <w:rFonts w:ascii="Times New Roman" w:hAnsi="Times New Roman"/>
          <w:caps w:val="false"/>
          <w:smallCaps w:val="false"/>
          <w:sz w:val="20"/>
        </w:rPr>
        <w:t>. When the vesting requirements on any Shares have been met, the Company shall cause a replacement stock certificate for those Shares, without the legend referred to in Section 4, to be issued and delivered to the Participant,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No Right to Continued Board Service</w:t>
      </w:r>
      <w:r>
        <w:rPr>
          <w:rFonts w:ascii="Times New Roman" w:hAnsi="Times New Roman"/>
          <w:caps w:val="false"/>
          <w:smallCaps w:val="false"/>
          <w:sz w:val="20"/>
        </w:rPr>
        <w:t>. Neither the Award of Shares pursuant to this Agreement nor any provision of this Agreement shall be construed to give the Participant any right to continued service as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2(c), Shares of Common Stock issued under this Agreement not previously vested hereunder shall be forfeited as of the date the Participant’s engagement to provide services to the Company and all of its Affiliates terminates. Following such a forfeiture, the Participant shall have no rights whatsoever with respect to the Shares of Common Stock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8.      </w:t>
      </w:r>
      <w:r>
        <w:rPr>
          <w:rFonts w:ascii="Times New Roman" w:hAnsi="Times New Roman"/>
          <w:caps w:val="false"/>
          <w:smallCaps w:val="false"/>
          <w:sz w:val="20"/>
        </w:rPr>
        <w:t>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The Participant shall have voting and tender offer rights with respect to Shares of Common Stock issued to the Participant under this Agreement whether or not such Shares are vested or unvested. No cash dividends, however, shall be paid on unvested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Restricted Stock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Restricted Stock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xml:space="preserve">                                                            </w:t>
      </w: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Restricted Stock Award Agreement]</w:t>
      </w:r>
    </w:p>
    <w:p>
      <w:pPr>
        <w:pStyle w:val="TextBody"/>
        <w:bidi w:val="0"/>
        <w:spacing w:before="0" w:after="0"/>
        <w:ind w:left="0" w:right="0" w:hanging="0"/>
        <w:jc w:val="right"/>
        <w:rPr>
          <w:rFonts w:ascii="Times New Roman;Times;serif" w:hAnsi="Times New Roman;Times;serif"/>
          <w:b/>
          <w:caps/>
          <w:sz w:val="20"/>
          <w:u w:val="single"/>
        </w:rPr>
      </w:pPr>
      <w:bookmarkStart w:id="10" w:name="ex_743035.htm"/>
      <w:bookmarkStart w:id="11" w:name="ksex_743035"/>
      <w:bookmarkEnd w:id="10"/>
      <w:bookmarkEnd w:id="11"/>
      <w:r>
        <w:rPr>
          <w:rFonts w:ascii="Times New Roman;Times;serif" w:hAnsi="Times New Roman;Times;serif"/>
          <w:b/>
          <w:caps/>
          <w:sz w:val="20"/>
          <w:u w:val="single"/>
        </w:rPr>
        <w:t>Exhibit 10.5</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Restricted Stock Unit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7" w:type="dxa"/>
        <w:tblLayout w:type="fixed"/>
        <w:tblCellMar>
          <w:top w:w="28" w:type="dxa"/>
          <w:left w:w="28" w:type="dxa"/>
          <w:bottom w:w="28" w:type="dxa"/>
          <w:right w:w="28" w:type="dxa"/>
        </w:tblCellMar>
      </w:tblPr>
      <w:tblGrid>
        <w:gridCol w:w="1490"/>
        <w:gridCol w:w="365"/>
      </w:tblGrid>
      <w:tr>
        <w:trPr/>
        <w:tc>
          <w:tcPr>
            <w:tcW w:w="14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3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Number of RSUs</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Restricted Stock Units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Grant of Restricted Stock Units</w:t>
      </w:r>
      <w:r>
        <w:rPr>
          <w:rFonts w:ascii="Times New Roman" w:hAnsi="Times New Roman"/>
          <w:caps w:val="false"/>
          <w:smallCaps w:val="false"/>
          <w:sz w:val="20"/>
        </w:rPr>
        <w:t>. Subject to the Participant’s execution and delivery of this Agreement, the Company hereby grants to the Participant on the “Grant Date” set forth above, an Award of Restricted Stock Units (the “</w:t>
      </w:r>
      <w:r>
        <w:rPr>
          <w:rFonts w:ascii="Times New Roman" w:hAnsi="Times New Roman"/>
          <w:caps w:val="false"/>
          <w:smallCaps w:val="false"/>
          <w:sz w:val="20"/>
          <w:u w:val="single"/>
        </w:rPr>
        <w:t>RSUs</w:t>
      </w:r>
      <w:r>
        <w:rPr>
          <w:rFonts w:ascii="Times New Roman" w:hAnsi="Times New Roman"/>
          <w:caps w:val="false"/>
          <w:smallCaps w:val="false"/>
          <w:sz w:val="20"/>
        </w:rPr>
        <w:t>”) for the “Number of RSUs” set forth above, subject to the terms, conditions and restrictions of this Agreement and the Plan. Each RSU represents the right to receive one share of Common Stock on the terms and conditions set forth in this Agreement and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Dividend Equivalents</w:t>
      </w:r>
      <w:r>
        <w:rPr>
          <w:rFonts w:ascii="Times New Roman" w:hAnsi="Times New Roman"/>
          <w:caps w:val="false"/>
          <w:smallCaps w:val="false"/>
          <w:sz w:val="20"/>
        </w:rPr>
        <w:t>. No dividend equivalents shall be payable on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Continued Employment Requirement</w:t>
      </w:r>
      <w:r>
        <w:rPr>
          <w:rFonts w:ascii="Times New Roman" w:hAnsi="Times New Roman"/>
          <w:caps w:val="false"/>
          <w:smallCaps w:val="false"/>
          <w:sz w:val="20"/>
        </w:rPr>
        <w:t>. Except as otherwise provided by Section 3(c), and subject to compliance with Section 3(b), the Number of RSUs will vest and become “</w:t>
      </w:r>
      <w:r>
        <w:rPr>
          <w:rFonts w:ascii="Times New Roman" w:hAnsi="Times New Roman"/>
          <w:caps w:val="false"/>
          <w:smallCaps w:val="false"/>
          <w:sz w:val="20"/>
          <w:u w:val="single"/>
        </w:rPr>
        <w:t>Vested RSUs</w:t>
      </w:r>
      <w:r>
        <w:rPr>
          <w:rFonts w:ascii="Times New Roman" w:hAnsi="Times New Roman"/>
          <w:caps w:val="false"/>
          <w:smallCaps w:val="false"/>
          <w:sz w:val="20"/>
        </w:rPr>
        <w:t>” according to the following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the Participant becomes entitled to a fractional RSU, such fractional RSU shall not vest unless and until the Participant becomes entitled to such number of fractional RSUs as shall be equal in sum to a whole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RSUs,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the Participant’s employment or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The Award will immediately vest in full in the event of: (i) the Participant’s death; (ii) the Participant’s Disability; or (iii) the occurrence of a Change in Control if (A) the acquiror involved in such Change in Control does not assume or substitute the Award, (B) the Participant’s employment is terminated by the Company without Cause within two years following the Change in Control, or (C) the Participant terminates their employment for Good Reason following the Change in Control;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3(b). For purposes of this Agreement, “</w:t>
      </w:r>
      <w:r>
        <w:rPr>
          <w:rFonts w:ascii="Times New Roman" w:hAnsi="Times New Roman"/>
          <w:caps w:val="false"/>
          <w:smallCaps w:val="false"/>
          <w:sz w:val="20"/>
          <w:u w:val="single"/>
        </w:rPr>
        <w:t>Cause</w:t>
      </w:r>
      <w:r>
        <w:rPr>
          <w:rFonts w:ascii="Times New Roman" w:hAnsi="Times New Roman"/>
          <w:caps w:val="false"/>
          <w:smallCaps w:val="false"/>
          <w:sz w:val="20"/>
        </w:rPr>
        <w:t>” shall mean: (1) a breach by the Participant of their employment agreement with the Company, (2) a breach by the Participant of their duty of loyalty to the Company, including without limitation any act of dishonesty, embezzlement or fraud with respect to the Company, (3) the commission by the Participant of a felony, a crime involving moral turpitude or other act causing material harm to the Company’s standing and reputation, (4) the Participant’s continued failure to perform their duties to the Company or (5) unauthorized disclosure by the Participant of trade secrets or other confidential information belonging to the Company; and “</w:t>
      </w:r>
      <w:r>
        <w:rPr>
          <w:rFonts w:ascii="Times New Roman" w:hAnsi="Times New Roman"/>
          <w:caps w:val="false"/>
          <w:smallCaps w:val="false"/>
          <w:sz w:val="20"/>
          <w:u w:val="single"/>
        </w:rPr>
        <w:t>Good Reason</w:t>
      </w:r>
      <w:r>
        <w:rPr>
          <w:rFonts w:ascii="Times New Roman" w:hAnsi="Times New Roman"/>
          <w:caps w:val="false"/>
          <w:smallCaps w:val="false"/>
          <w:sz w:val="20"/>
        </w:rPr>
        <w:t>” shall mean a material reduction by the Company in the Participant’s pay or benefits, relocation of their position by the Company of greater than 50 miles, or any material demotion of the Participant’s position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Transferability</w:t>
      </w:r>
      <w:r>
        <w:rPr>
          <w:rFonts w:ascii="Times New Roman" w:hAnsi="Times New Roman"/>
          <w:caps w:val="false"/>
          <w:smallCaps w:val="false"/>
          <w:sz w:val="20"/>
        </w:rPr>
        <w:t>. The RSUs and the Participant’s rights and interest in the RSUs may not be transferred, assigned, pledged or hypothecated in any manner (whether by operation of law or otherwise) other than by will or applicable laws of descent and distribution. Upon any attempt to transfer, assign, pledge, hypothecate or otherwise dispose of the RSUs or any right or interest in the RSUs, contrary to the provisions of the Plan or this Award Agreement, or upon the sale or levy or attachment or similar process upon the rights in the RSUs, the RSUs shall immediately terminate and become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Settlement</w:t>
      </w:r>
      <w:r>
        <w:rPr>
          <w:rFonts w:ascii="Times New Roman" w:hAnsi="Times New Roman"/>
          <w:caps w:val="false"/>
          <w:smallCaps w:val="false"/>
          <w:sz w:val="20"/>
        </w:rPr>
        <w:t>. Upon vesting, each Vested RSU will convert at that time into the right to receive one Share of Common Stock, which, less the number of Shares of Common Stock (if any) withheld to satisfy tax withholding pursuant to Section 9, will be issued to the Participant within 75 days following the first to occur of (a) the applicable vesting date, (b) the date of the Participant’s death or Disability, (c) the occurrence of a Change in Control if the acquiror involved in such Change in Control does not assume or substitute the Award, (d) the Participant’s termination of employment by the Company without Cause within two years following the Change in Control, or (e) the existence of grounds for the Participant to resign for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6.      </w:t>
      </w:r>
      <w:r>
        <w:rPr>
          <w:rFonts w:ascii="Times New Roman" w:hAnsi="Times New Roman"/>
          <w:caps w:val="false"/>
          <w:smallCaps w:val="false"/>
          <w:sz w:val="20"/>
        </w:rPr>
        <w:t>    </w:t>
      </w:r>
      <w:r>
        <w:rPr>
          <w:rFonts w:ascii="Times New Roman" w:hAnsi="Times New Roman"/>
          <w:b/>
          <w:caps w:val="false"/>
          <w:smallCaps w:val="false"/>
          <w:sz w:val="20"/>
        </w:rPr>
        <w:t>No Right to Employment</w:t>
      </w:r>
      <w:r>
        <w:rPr>
          <w:rFonts w:ascii="Times New Roman" w:hAnsi="Times New Roman"/>
          <w:caps w:val="false"/>
          <w:smallCaps w:val="false"/>
          <w:sz w:val="20"/>
        </w:rPr>
        <w:t>. Neither the Award pursuant to this Agreement nor any provision of this Agreement shall be construed (a) to give the Participant any right to continued employment with the Company or any of its Affiliates or (b) as an amendment to their employment agreement, if any,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3(c), the RSUs granted under this Agreement not previously vested hereunder shall be forfeited as of the date the Participant’s employment by, or engagement to provide services to, the Company and all of its Affiliates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Until the shares of Common Stock from the settlement of the RSUs have been issued to the Participant, the Participant shall have no rights of a stockholder of the Company with respect to the shares of Common Stock underlying the RSUs, and in particular shall not be entitled to vote the underlying shares of Common Stock or to receive any dividends paid or made with respect to the shares of Common Stock underlying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under the short-term deferral exemption described in Section 1.409A-1(b)(4) of the US Treasury Regulations,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11.      </w:t>
      </w:r>
      <w:r>
        <w:rPr>
          <w:rFonts w:ascii="Times New Roman" w:hAnsi="Times New Roman"/>
          <w:caps w:val="false"/>
          <w:smallCaps w:val="false"/>
          <w:sz w:val="20"/>
        </w:rPr>
        <w:t>    </w:t>
      </w:r>
      <w:r>
        <w:rPr>
          <w:rFonts w:ascii="Times New Roman" w:hAnsi="Times New Roman"/>
          <w:b/>
          <w:caps w:val="false"/>
          <w:smallCaps w:val="false"/>
          <w:sz w:val="20"/>
        </w:rPr>
        <w:t>Clawback</w:t>
      </w:r>
      <w:r>
        <w:rPr>
          <w:rFonts w:ascii="Times New Roman" w:hAnsi="Times New Roman"/>
          <w:caps w:val="false"/>
          <w:smallCaps w:val="false"/>
          <w:sz w:val="20"/>
        </w:rPr>
        <w:t>. Notwithstanding any other provision of this Agreement to the contrary, any portion of the Award paid hereunder shall be subject to potential cancellation, recoupment, rescission, payback or other action in accordance with the terms of the Company’s Policy for the Recovery of Erroneously Awarded Compensation, as well as any other recoupment or similar policy, if any, that the Company may adopt from time to time (collectively, the “</w:t>
      </w:r>
      <w:r>
        <w:rPr>
          <w:rFonts w:ascii="Times New Roman" w:hAnsi="Times New Roman"/>
          <w:caps w:val="false"/>
          <w:smallCaps w:val="false"/>
          <w:sz w:val="20"/>
          <w:u w:val="single"/>
        </w:rPr>
        <w:t>Policies</w:t>
      </w:r>
      <w:r>
        <w:rPr>
          <w:rFonts w:ascii="Times New Roman" w:hAnsi="Times New Roman"/>
          <w:caps w:val="false"/>
          <w:smallCaps w:val="false"/>
          <w:sz w:val="20"/>
        </w:rPr>
        <w:t>”). The Participant agrees and consents to the Company’s application, implementation and enforcement of (a) the Policies that may apply to the Participant; and (b) any provision of applicable law relating to cancellation, rescission, payback or recoupment of compensation, and expressly agrees that the Company may take such actions as are necessary to effectuate the Policies or applicable law without further consent or action being required by the Participant. To the extent that the terms of this Agreement and any Policy conflict, then the terms of the Policy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12.      </w:t>
      </w:r>
      <w:r>
        <w:rPr>
          <w:rFonts w:ascii="Times New Roman" w:hAnsi="Times New Roman"/>
          <w:caps w:val="false"/>
          <w:smallCaps w:val="false"/>
          <w:sz w:val="20"/>
        </w:rPr>
        <w:t>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Restricted Stock Units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Restricted Stock Unit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Restricted Stock Unit Award Agreement]</w:t>
      </w:r>
    </w:p>
    <w:p>
      <w:pPr>
        <w:pStyle w:val="TextBody"/>
        <w:bidi w:val="0"/>
        <w:spacing w:before="0" w:after="0"/>
        <w:ind w:left="0" w:right="0" w:hanging="0"/>
        <w:jc w:val="right"/>
        <w:rPr>
          <w:rFonts w:ascii="Times New Roman;Times;serif" w:hAnsi="Times New Roman;Times;serif"/>
          <w:b/>
          <w:caps/>
          <w:sz w:val="20"/>
          <w:u w:val="single"/>
        </w:rPr>
      </w:pPr>
      <w:bookmarkStart w:id="12" w:name="ex_743036.htm"/>
      <w:bookmarkStart w:id="13" w:name="ksex_743036"/>
      <w:bookmarkEnd w:id="12"/>
      <w:bookmarkEnd w:id="13"/>
      <w:r>
        <w:rPr>
          <w:rFonts w:ascii="Times New Roman;Times;serif" w:hAnsi="Times New Roman;Times;serif"/>
          <w:b/>
          <w:caps/>
          <w:sz w:val="20"/>
          <w:u w:val="single"/>
        </w:rPr>
        <w:t>Exhibit 10.6</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Performance Stock Unit Award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effective as of the Grant Date specified below, by and between inTEST Corporation,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the Participant specified below.</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7" w:type="dxa"/>
        <w:tblLayout w:type="fixed"/>
        <w:tblCellMar>
          <w:top w:w="28" w:type="dxa"/>
          <w:left w:w="28" w:type="dxa"/>
          <w:bottom w:w="28" w:type="dxa"/>
          <w:right w:w="28" w:type="dxa"/>
        </w:tblCellMar>
      </w:tblPr>
      <w:tblGrid>
        <w:gridCol w:w="2105"/>
        <w:gridCol w:w="365"/>
      </w:tblGrid>
      <w:tr>
        <w:trPr/>
        <w:tc>
          <w:tcPr>
            <w:tcW w:w="21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Participant</w:t>
            </w:r>
            <w:r>
              <w:rPr>
                <w:rFonts w:ascii="Times New Roman;Times;serif" w:hAnsi="Times New Roman;Times;serif"/>
                <w:caps w:val="false"/>
                <w:smallCaps w:val="false"/>
                <w:sz w:val="20"/>
              </w:rPr>
              <w:t>:</w:t>
            </w:r>
          </w:p>
        </w:tc>
        <w:tc>
          <w:tcPr>
            <w:tcW w:w="3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Grant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Target Number of PSUs</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Performance Period</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r>
        <w:trPr/>
        <w:tc>
          <w:tcPr>
            <w:tcW w:w="2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Normal Vesting Date</w:t>
            </w:r>
            <w:r>
              <w:rPr>
                <w:rFonts w:ascii="Times New Roman;Times;serif" w:hAnsi="Times New Roman;Times;serif"/>
                <w:caps w:val="false"/>
                <w:smallCaps w:val="false"/>
                <w:sz w:val="20"/>
              </w:rPr>
              <w:t>:</w:t>
            </w:r>
          </w:p>
        </w:tc>
        <w:tc>
          <w:tcPr>
            <w:tcW w:w="3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Agreement is to establish a written agreement evidencing the Award of performance-vesting Restricted Stock Units (“</w:t>
      </w:r>
      <w:r>
        <w:rPr>
          <w:rFonts w:ascii="Times New Roman" w:hAnsi="Times New Roman"/>
          <w:caps w:val="false"/>
          <w:smallCaps w:val="false"/>
          <w:sz w:val="20"/>
          <w:u w:val="single"/>
        </w:rPr>
        <w:t>Performance Stock Units</w:t>
      </w:r>
      <w:r>
        <w:rPr>
          <w:rFonts w:ascii="Times New Roman" w:hAnsi="Times New Roman"/>
          <w:caps w:val="false"/>
          <w:smallCaps w:val="false"/>
          <w:sz w:val="20"/>
        </w:rPr>
        <w:t>” or the “</w:t>
      </w:r>
      <w:r>
        <w:rPr>
          <w:rFonts w:ascii="Times New Roman" w:hAnsi="Times New Roman"/>
          <w:caps w:val="false"/>
          <w:smallCaps w:val="false"/>
          <w:sz w:val="20"/>
          <w:u w:val="single"/>
        </w:rPr>
        <w:t>Award</w:t>
      </w:r>
      <w:r>
        <w:rPr>
          <w:rFonts w:ascii="Times New Roman" w:hAnsi="Times New Roman"/>
          <w:caps w:val="false"/>
          <w:smallCaps w:val="false"/>
          <w:sz w:val="20"/>
        </w:rPr>
        <w:t>”) granted pursuant to the inTEST Corporation 2023 Stock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All of the terms and conditions of the Plan are fully incorporated herein by reference. Unless the context clearly indicates otherwise, capitalized terms used but not defined herein will have the meaning given to such terms in the Plan. The grant of the Award is made in consideration of the services to be rendered by the Participant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Grant of Performance Stock Units</w:t>
      </w:r>
      <w:r>
        <w:rPr>
          <w:rFonts w:ascii="Times New Roman" w:hAnsi="Times New Roman"/>
          <w:caps w:val="false"/>
          <w:smallCaps w:val="false"/>
          <w:sz w:val="20"/>
        </w:rPr>
        <w:t>. Subject to the Participant’s execution and delivery of this Agreement, the Company hereby grants to the Participant on the “Grant Date” set forth above, an Award of Performance Stock Units (the “</w:t>
      </w:r>
      <w:r>
        <w:rPr>
          <w:rFonts w:ascii="Times New Roman" w:hAnsi="Times New Roman"/>
          <w:caps w:val="false"/>
          <w:smallCaps w:val="false"/>
          <w:sz w:val="20"/>
          <w:u w:val="single"/>
        </w:rPr>
        <w:t>PSUs</w:t>
      </w:r>
      <w:r>
        <w:rPr>
          <w:rFonts w:ascii="Times New Roman" w:hAnsi="Times New Roman"/>
          <w:caps w:val="false"/>
          <w:smallCaps w:val="false"/>
          <w:sz w:val="20"/>
        </w:rPr>
        <w:t>”) for the “Target Number of PSUs” set forth above, subject to the terms, conditions and restrictions of this Agreement and the Plan. Each PSU represents the right to receive one share of Common Stock on the terms and conditions set forth in this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Dividend Equivalents</w:t>
      </w:r>
      <w:r>
        <w:rPr>
          <w:rFonts w:ascii="Times New Roman" w:hAnsi="Times New Roman"/>
          <w:caps w:val="false"/>
          <w:smallCaps w:val="false"/>
          <w:sz w:val="20"/>
        </w:rPr>
        <w:t>. No dividend equivalents shall be payable on the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Vesting</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Continued Employment Requirement</w:t>
      </w:r>
      <w:r>
        <w:rPr>
          <w:rFonts w:ascii="Times New Roman" w:hAnsi="Times New Roman"/>
          <w:caps w:val="false"/>
          <w:smallCaps w:val="false"/>
          <w:sz w:val="20"/>
        </w:rPr>
        <w:t>. Except as otherwise provided by Section 3(d), and subject to compliance with Section 3(b) the vesting of the PSUs is subject to the Participant’s continued employment with the Company and its Affiliates through the “Normal Vesting Date”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Conditions to Vesting</w:t>
      </w:r>
      <w:r>
        <w:rPr>
          <w:rFonts w:ascii="Times New Roman" w:hAnsi="Times New Roman"/>
          <w:caps w:val="false"/>
          <w:smallCaps w:val="false"/>
          <w:sz w:val="20"/>
        </w:rPr>
        <w:t>. As a condition to the vesting of PSUs, all of the following conditions must be fully satisfied on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Participant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the Participant’s employment or engagement with the Company or its Affiliates;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Participant must not be in breach or default of any obligation to the Company or its Affiliates, whether or not contained in any agreement with the Company or its Affiliates, or imposed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Performance Vesting Requirement(s)</w:t>
      </w:r>
      <w:r>
        <w:rPr>
          <w:rFonts w:ascii="Times New Roman" w:hAnsi="Times New Roman"/>
          <w:caps w:val="false"/>
          <w:smallCaps w:val="false"/>
          <w:sz w:val="20"/>
        </w:rPr>
        <w:t>. In addition to the vesting requirements set forth in Section 3(a) and 3(b), the number of PSUs that vest (the “</w:t>
      </w:r>
      <w:r>
        <w:rPr>
          <w:rFonts w:ascii="Times New Roman" w:hAnsi="Times New Roman"/>
          <w:caps w:val="false"/>
          <w:smallCaps w:val="false"/>
          <w:sz w:val="20"/>
          <w:u w:val="single"/>
        </w:rPr>
        <w:t>Vested PSUs</w:t>
      </w:r>
      <w:r>
        <w:rPr>
          <w:rFonts w:ascii="Times New Roman" w:hAnsi="Times New Roman"/>
          <w:caps w:val="false"/>
          <w:smallCaps w:val="false"/>
          <w:sz w:val="20"/>
        </w:rPr>
        <w:t>”) will be based on the achievement of the Performance Goal(s) set forth on Schedule A hereto for the “Performance Period” set forth above. The number of Vested PSUs shall be equal to the Target Number of PSUs multiplied by the “Aggregate Performance Payout Factor” determined pursuant to Schedule A hereto, based on the achievement of the Performance Goal(s) for the Performance Period, rounded up to the nearest number of whole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Effect of Death, Disability or Change in Control</w:t>
      </w:r>
      <w:r>
        <w:rPr>
          <w:rFonts w:ascii="Times New Roman" w:hAnsi="Times New Roman"/>
          <w:caps w:val="false"/>
          <w:smallCaps w:val="false"/>
          <w:sz w:val="20"/>
        </w:rPr>
        <w:t xml:space="preserve">. In the event of (i) the Participant’s death before the Normal Vesting Date; (ii) the Participant’s Disability before the Normal Vesting Date; or (iii) the occurrence of a Change in Control before the Normal Vesting Date, if (A) the acquiror involved in such Change in Control does not assume or substitute the Award, (B) the Participant’s employment is terminated by the Company without Cause within two years following the Change in Control, or (C) the Participant terminates their employment for Good Reason following the Change in Control, the Award will immediately vest, the Aggregate Performance Payout Factor shall be shall be based on most recent estimated level of performance used for financial accounting purposes and the number of Vested PSUs shall be the Target Number of PSUs multiplied by the Aggregate Performance Payout Factor; </w:t>
      </w:r>
      <w:r>
        <w:rPr>
          <w:rFonts w:ascii="Times New Roman" w:hAnsi="Times New Roman"/>
          <w:i/>
          <w:caps w:val="false"/>
          <w:smallCaps w:val="false"/>
          <w:sz w:val="20"/>
        </w:rPr>
        <w:t>provided, however</w:t>
      </w:r>
      <w:r>
        <w:rPr>
          <w:rFonts w:ascii="Times New Roman" w:hAnsi="Times New Roman"/>
          <w:caps w:val="false"/>
          <w:smallCaps w:val="false"/>
          <w:sz w:val="20"/>
        </w:rPr>
        <w:t>, that the Participant satisfies the requirements of Section 3(b). For purposes of this Agreement, “</w:t>
      </w:r>
      <w:r>
        <w:rPr>
          <w:rFonts w:ascii="Times New Roman" w:hAnsi="Times New Roman"/>
          <w:caps w:val="false"/>
          <w:smallCaps w:val="false"/>
          <w:sz w:val="20"/>
          <w:u w:val="single"/>
        </w:rPr>
        <w:t>Cause</w:t>
      </w:r>
      <w:r>
        <w:rPr>
          <w:rFonts w:ascii="Times New Roman" w:hAnsi="Times New Roman"/>
          <w:caps w:val="false"/>
          <w:smallCaps w:val="false"/>
          <w:sz w:val="20"/>
        </w:rPr>
        <w:t>” shall mean: (1) a breach by the Participant of their employment agreement with the Company, (2) a breach by the Participant of their duty of loyalty to the Company, including without limitation any act of dishonesty, embezzlement or fraud with respect to the Company, (3) the commission by the Participant of a felony, a crime involving moral turpitude or other act causing material harm to the Company’s standing and reputation, (4) the Participant’s continued failure to perform their duties to the Company or (5) unauthorized disclosure by the Participant of trade secrets or other confidential information belonging to the Company; and “</w:t>
      </w:r>
      <w:r>
        <w:rPr>
          <w:rFonts w:ascii="Times New Roman" w:hAnsi="Times New Roman"/>
          <w:caps w:val="false"/>
          <w:smallCaps w:val="false"/>
          <w:sz w:val="20"/>
          <w:u w:val="single"/>
        </w:rPr>
        <w:t>Good Reason</w:t>
      </w:r>
      <w:r>
        <w:rPr>
          <w:rFonts w:ascii="Times New Roman" w:hAnsi="Times New Roman"/>
          <w:caps w:val="false"/>
          <w:smallCaps w:val="false"/>
          <w:sz w:val="20"/>
        </w:rPr>
        <w:t>” shall mean a material reduction by the Company in the Participant’s pay or benefits, relocation of their position by the Company of greater than 50 miles, or any material demotion of the Participant’s position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Transferability</w:t>
      </w:r>
      <w:r>
        <w:rPr>
          <w:rFonts w:ascii="Times New Roman" w:hAnsi="Times New Roman"/>
          <w:caps w:val="false"/>
          <w:smallCaps w:val="false"/>
          <w:sz w:val="20"/>
        </w:rPr>
        <w:t>. The PSUs and the Participant’s rights and interest in the PSUs may not be transferred, assigned, pledged or hypothecated in any manner (whether by operation of law or otherwise) other than by will or applicable laws of descent and distribution. Upon any attempt to transfer, assign, pledge, hypothecate or otherwise dispose of the PSUs or any right or interest in the PSUs, contrary to the provisions of the Plan or this Agreement, or upon the sale or levy or attachment or similar process upon the rights in the PSUs, the PSUs shall immediately terminate and become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Settlement</w:t>
      </w:r>
      <w:r>
        <w:rPr>
          <w:rFonts w:ascii="Times New Roman" w:hAnsi="Times New Roman"/>
          <w:caps w:val="false"/>
          <w:smallCaps w:val="false"/>
          <w:sz w:val="20"/>
        </w:rPr>
        <w:t>. Upon vesting, each Vested PSU will convert at that time into the right to receive one Share of Common Stock, which, less the number of Shares of Common Stock (if any) withheld to satisfy tax withholding pursuant to Section 9, will be issued to the Participant within 75 days following the first to occur of (a) the Normal Vesting Date, (b) the date of the Participant’s death or Disability, (c) the occurrence of a Change in Control if the acquiror involved in such Change in Control does not assume or substitute the Award, (d) the Participant’s termination of employment by the Company without Cause within two years following the Change in Control, or (e) the existence of grounds for the Participant to resign for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No Right to Employment</w:t>
      </w:r>
      <w:r>
        <w:rPr>
          <w:rFonts w:ascii="Times New Roman" w:hAnsi="Times New Roman"/>
          <w:caps w:val="false"/>
          <w:smallCaps w:val="false"/>
          <w:sz w:val="20"/>
        </w:rPr>
        <w:t>. Neither the Award pursuant to this Agreement nor any provision of this Agreement shall be construed (a) to give the Participant any right to continued employment with the Company or any of its Affiliates or (b) as an amendment to their employment agreement, if any,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Forfeiture</w:t>
      </w:r>
      <w:r>
        <w:rPr>
          <w:rFonts w:ascii="Times New Roman" w:hAnsi="Times New Roman"/>
          <w:caps w:val="false"/>
          <w:smallCaps w:val="false"/>
          <w:sz w:val="20"/>
        </w:rPr>
        <w:t>. Except as provided by Section 3(d), the PSUs granted under this Agreement not previously vested hereunder shall be forfeited as of the date the Participant’s employment by, or engagement to provide services to, the Company and all of its Affiliates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Voting, Dividend and Tender Offer Rights</w:t>
      </w:r>
      <w:r>
        <w:rPr>
          <w:rFonts w:ascii="Times New Roman" w:hAnsi="Times New Roman"/>
          <w:caps w:val="false"/>
          <w:smallCaps w:val="false"/>
          <w:sz w:val="20"/>
        </w:rPr>
        <w:t>. Until the shares of Common Stock from the settlement of the PSUs have been issued to the Participant, the Participant shall have no rights of a stockholder of the Company with respect to the shares of Common Stock underlying the PSUs, and in particular shall not be entitled to vote the underlying shares of Common Stock or to receive any dividends paid or made with respect to the shares of Common Stock underlying the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xml:space="preserve">          </w:t>
      </w:r>
      <w:r>
        <w:rPr>
          <w:rFonts w:ascii="Times New Roman" w:hAnsi="Times New Roman"/>
          <w:b/>
          <w:caps w:val="false"/>
          <w:smallCaps w:val="false"/>
          <w:sz w:val="20"/>
        </w:rPr>
        <w:t>Withholding of Applicable Taxes</w:t>
      </w:r>
      <w:r>
        <w:rPr>
          <w:rFonts w:ascii="Times New Roman" w:hAnsi="Times New Roman"/>
          <w:caps w:val="false"/>
          <w:smallCaps w:val="false"/>
          <w:sz w:val="20"/>
        </w:rPr>
        <w:t>. It shall be a condition to the Company’s obligation to deliver Common Stock to the Participant pursuant to this Agreement that the Participant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10.     </w:t>
      </w:r>
      <w:r>
        <w:rPr>
          <w:rFonts w:ascii="Times New Roman" w:hAnsi="Times New Roman"/>
          <w:caps w:val="false"/>
          <w:smallCaps w:val="false"/>
          <w:sz w:val="20"/>
        </w:rPr>
        <w:t xml:space="preserve">    </w:t>
      </w:r>
      <w:r>
        <w:rPr>
          <w:rFonts w:ascii="Times New Roman" w:hAnsi="Times New Roman"/>
          <w:b/>
          <w:caps w:val="false"/>
          <w:smallCaps w:val="false"/>
          <w:sz w:val="20"/>
        </w:rPr>
        <w:t>Section 409A</w:t>
      </w:r>
      <w:r>
        <w:rPr>
          <w:rFonts w:ascii="Times New Roman" w:hAnsi="Times New Roman"/>
          <w:caps w:val="false"/>
          <w:smallCaps w:val="false"/>
          <w:sz w:val="20"/>
        </w:rPr>
        <w:t>. The Award is intended to be exempt from the requirements of Section 409A of the Internal Revenue Code of 1986, as amended, and the Treasury Regulations and other guidance issued thereunder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under the short-term deferral exemption described in Section 1.409A-1(b)(4) of the US Treasury Regulations, and this Agreement shall be interpreted and administered consistent with such intention. Notwithstanding the foregoing, the Company makes no representations that the Award is exempt from or complies with Section 409A, and in no event shall the Company be liable for all or any portion of any taxes, penalties, interest or other expenses that may be incurred by the Participant on account of non-compliance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Clawback</w:t>
      </w:r>
      <w:r>
        <w:rPr>
          <w:rFonts w:ascii="Times New Roman" w:hAnsi="Times New Roman"/>
          <w:caps w:val="false"/>
          <w:smallCaps w:val="false"/>
          <w:sz w:val="20"/>
        </w:rPr>
        <w:t>. Notwithstanding any other provision of this Agreement to the contrary, any portion of the Award paid hereunder shall be subject to potential cancellation, recoupment, rescission, payback or other action in accordance with the terms of the Company’s Policy for the Recovery of Erroneously Awarded Compensation, as well as any other recoupment or similar policy, if any, that the Company may adopt from time to time (collectively, the “</w:t>
      </w:r>
      <w:r>
        <w:rPr>
          <w:rFonts w:ascii="Times New Roman" w:hAnsi="Times New Roman"/>
          <w:caps w:val="false"/>
          <w:smallCaps w:val="false"/>
          <w:sz w:val="20"/>
          <w:u w:val="single"/>
        </w:rPr>
        <w:t>Policies</w:t>
      </w:r>
      <w:r>
        <w:rPr>
          <w:rFonts w:ascii="Times New Roman" w:hAnsi="Times New Roman"/>
          <w:caps w:val="false"/>
          <w:smallCaps w:val="false"/>
          <w:sz w:val="20"/>
        </w:rPr>
        <w:t>”). The Participant agrees and consents to the Company’s application, implementation and enforcement of (a) the Policies that may apply to the Participant; and (b) any provision of applicable law relating to cancellation, rescission, payback or recoupment of compensation, and expressly agrees that the Company may take such actions as are necessary to effectuate the Policies or applicable law without further consent or action being required by the Participant. To the extent that the terms of this Agreement and any Policy conflict, then the terms of the Policy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xml:space="preserve">          </w:t>
      </w:r>
      <w:r>
        <w:rPr>
          <w:rFonts w:ascii="Times New Roman" w:hAnsi="Times New Roman"/>
          <w:b/>
          <w:caps w:val="false"/>
          <w:smallCaps w:val="false"/>
          <w:sz w:val="20"/>
        </w:rPr>
        <w:t>Amendment</w:t>
      </w:r>
      <w:r>
        <w:rPr>
          <w:rFonts w:ascii="Times New Roman" w:hAnsi="Times New Roman"/>
          <w:caps w:val="false"/>
          <w:smallCaps w:val="false"/>
          <w:sz w:val="20"/>
        </w:rPr>
        <w:t>. This Agreement may be amended, in whole or in part and in any manner not inconsistent with the provisions of the Plan, at any time and from time to time, by written agreement between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13.       </w:t>
      </w:r>
      <w:r>
        <w:rPr>
          <w:rFonts w:ascii="Times New Roman" w:hAnsi="Times New Roman"/>
          <w:caps w:val="false"/>
          <w:smallCaps w:val="false"/>
          <w:sz w:val="20"/>
        </w:rPr>
        <w:t>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construed in accordance with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Counterpart Execution</w:t>
      </w:r>
      <w:r>
        <w:rPr>
          <w:rFonts w:ascii="Times New Roman" w:hAnsi="Times New Roman"/>
          <w:caps w:val="false"/>
          <w:smallCaps w:val="false"/>
          <w:sz w:val="20"/>
        </w:rPr>
        <w:t>. This Agreement may be executed in any number of counterparts, each of which shall be deemed an original but all of which together shall be deemed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this Award of Performance Stock Units on behalf of the Company.</w:t>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tc>
      </w:tr>
    </w:tbl>
    <w:p>
      <w:pPr>
        <w:pStyle w:val="TextBody"/>
        <w:bidi w:val="0"/>
        <w:spacing w:before="0" w:after="0"/>
        <w:ind w:left="41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indicate your acceptance and agreement to this Performance Stock Unit Award Agreement, please execute and immediately return to the Company the enclosed duplicate original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ACCEPTED AND AGREED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u w:val="single"/>
        </w:rPr>
      </w:pPr>
      <w:r>
        <w:rPr>
          <w:caps w:val="false"/>
          <w:smallCaps w:val="false"/>
          <w:u w:val="singl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(Participant</w:t>
      </w:r>
      <w:r>
        <w:rPr>
          <w:rFonts w:ascii="Times New Roman" w:hAnsi="Times New Roman"/>
          <w:caps w:val="false"/>
          <w:smallCaps w:val="false"/>
          <w:sz w:val="20"/>
        </w:rPr>
        <w:t>’</w:t>
      </w:r>
      <w:r>
        <w:rPr>
          <w:rFonts w:ascii="Times New Roman" w:hAnsi="Times New Roman"/>
          <w:i/>
          <w:caps w:val="false"/>
          <w:smallCaps w:val="false"/>
          <w:sz w:val="20"/>
        </w:rPr>
        <w:t>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Performance Stock Unit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Goal 1]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 ___%</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7" w:type="dxa"/>
        <w:tblLayout w:type="fixed"/>
        <w:tblCellMar>
          <w:top w:w="28" w:type="dxa"/>
          <w:left w:w="28" w:type="dxa"/>
          <w:bottom w:w="28" w:type="dxa"/>
          <w:right w:w="28" w:type="dxa"/>
        </w:tblCellMar>
      </w:tblPr>
      <w:tblGrid>
        <w:gridCol w:w="1745"/>
        <w:gridCol w:w="890"/>
        <w:gridCol w:w="605"/>
        <w:gridCol w:w="920"/>
      </w:tblGrid>
      <w:tr>
        <w:trPr/>
        <w:tc>
          <w:tcPr>
            <w:tcW w:w="17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Threshold</w:t>
            </w:r>
          </w:p>
        </w:tc>
        <w:tc>
          <w:tcPr>
            <w:tcW w:w="6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p>
        </w:tc>
        <w:tc>
          <w:tcPr>
            <w:tcW w:w="9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Goal 1]</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Factor*</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[Performance Goal 1] is less than Threshold, the Payout Factor under the [Performance Goal 1] Component will be 0%, and if [Performance Goal 1] is greater than Maximum, the Payout Factor under the [Performance Goal 1] Component will be the Maximum %. If [Performance Goal 1] is greater than Threshold and less than Target, or greater than Target and less than Maximum, the Payout Factor under the [Performance Goal 1] Component will be determined based on linear interpolation.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 necessary definitions for the performance goal]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Goal 2]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 ___%</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7" w:type="dxa"/>
        <w:tblLayout w:type="fixed"/>
        <w:tblCellMar>
          <w:top w:w="28" w:type="dxa"/>
          <w:left w:w="28" w:type="dxa"/>
          <w:bottom w:w="28" w:type="dxa"/>
          <w:right w:w="28" w:type="dxa"/>
        </w:tblCellMar>
      </w:tblPr>
      <w:tblGrid>
        <w:gridCol w:w="1745"/>
        <w:gridCol w:w="890"/>
        <w:gridCol w:w="605"/>
        <w:gridCol w:w="920"/>
      </w:tblGrid>
      <w:tr>
        <w:trPr/>
        <w:tc>
          <w:tcPr>
            <w:tcW w:w="17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Threshold</w:t>
            </w:r>
          </w:p>
        </w:tc>
        <w:tc>
          <w:tcPr>
            <w:tcW w:w="6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p>
        </w:tc>
        <w:tc>
          <w:tcPr>
            <w:tcW w:w="9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Goal 2]</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Factor*</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9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[Performance Goal 2] is less than Threshold, the Payout Factor under the [Performance Goal 2] Component will be 0%, and if [Performance Goal 2] is greater than Maximum, the Payout Factor under the [Performance Goal 2] Component will be the Maximum %. If [Performance Goal 2] is greater than Threshold and less than Target, or greater than Target and less than Maximum, the Payout Factor under the [Performance Goal 2] Component will be determined based on linear interpolation.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 necessary definitions for the performance goal]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Aggregate Performance Payout Factor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otherwise provided by Section 3(d) of the Agreement, the “</w:t>
      </w:r>
      <w:r>
        <w:rPr>
          <w:rFonts w:ascii="Times New Roman" w:hAnsi="Times New Roman"/>
          <w:caps w:val="false"/>
          <w:smallCaps w:val="false"/>
          <w:sz w:val="20"/>
          <w:u w:val="single"/>
        </w:rPr>
        <w:t>Aggregate Performance Payout Factor</w:t>
      </w:r>
      <w:r>
        <w:rPr>
          <w:rFonts w:ascii="Times New Roman" w:hAnsi="Times New Roman"/>
          <w:caps w:val="false"/>
          <w:smallCaps w:val="false"/>
          <w:sz w:val="20"/>
        </w:rPr>
        <w:t>” is equal to the sum of (a) the Payout Factor under the [Performance Goal 1] Component multiplied by the Weight of the [Performance Goal 1] Component, and (b) the Payout Factor under the [Performance Goal 2] Component multiplied by the Weight of the [Performance Goal 2]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t> </w:t>
      </w:r>
    </w:p>
    <w:p>
      <w:pPr>
        <w:pStyle w:val="TextBody"/>
        <w:bidi w:val="0"/>
        <w:spacing w:before="0" w:after="0"/>
        <w:ind w:left="0" w:right="0" w:hanging="0"/>
        <w:jc w:val="left"/>
        <w:rPr>
          <w:caps w:val="false"/>
          <w:smallCaps w:val="false"/>
        </w:rPr>
      </w:pPr>
      <w:bookmarkStart w:id="14" w:name="ex_743037.htm"/>
      <w:bookmarkStart w:id="15" w:name="ksex_743037"/>
      <w:bookmarkEnd w:id="14"/>
      <w:bookmarkEnd w:id="1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Richard N. Grant, Jr.,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November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60"/>
        <w:gridCol w:w="3620"/>
        <w:gridCol w:w="60"/>
      </w:tblGrid>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u w:val="single"/>
              </w:rPr>
              <w:t>/s/ Richard N. Grant, Jr.</w:t>
            </w:r>
            <w:r>
              <w:rPr/>
              <w:br/>
              <w:t>Richard N. Grant, Jr.</w:t>
              <w:b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30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6" w:name="ex_743038.htm"/>
      <w:bookmarkStart w:id="17" w:name="ksex_743038"/>
      <w:bookmarkEnd w:id="16"/>
      <w:bookmarkEnd w:id="1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Duncan Gilmour,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November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60"/>
        <w:gridCol w:w="4580"/>
        <w:gridCol w:w="60"/>
      </w:tblGrid>
      <w:tr>
        <w:trPr/>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u w:val="single"/>
              </w:rPr>
              <w:t>/s/Duncan Gilmour</w:t>
            </w:r>
            <w:r>
              <w:rPr/>
              <w:br/>
              <w:t>Duncan Gilmour</w:t>
              <w:br/>
              <w:t>Chief Financial Officer, Treasurer and Secretary</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30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8" w:name="ex_743039.htm"/>
      <w:bookmarkStart w:id="19" w:name="ksex_743039"/>
      <w:bookmarkEnd w:id="18"/>
      <w:bookmarkEnd w:id="1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September 30, 2024 as filed with the Securities and Exchange Commission on the date hereof (the "Report"), I, Richard N. Grant, Jr., President and Chief Executive Officer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br/>
        <w:t>Date:         </w:t>
      </w:r>
      <w:r>
        <w:rPr>
          <w:rFonts w:ascii="Times New Roman" w:hAnsi="Times New Roman"/>
          <w:caps w:val="false"/>
          <w:smallCaps w:val="false"/>
          <w:sz w:val="20"/>
          <w:u w:val="single"/>
        </w:rPr>
        <w:t>November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60"/>
        <w:gridCol w:w="3620"/>
      </w:tblGrid>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u w:val="single"/>
              </w:rPr>
              <w:t>/s/ Richard N. Grant, Jr.</w:t>
            </w:r>
            <w:r>
              <w:rPr/>
              <w:br/>
              <w:t>Richard N. Grant, Jr.</w:t>
              <w:br/>
              <w:t>President and Chief Executive Officer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0" w:name="ex_743040.htm"/>
      <w:bookmarkStart w:id="21" w:name="ksex_743040"/>
      <w:bookmarkEnd w:id="20"/>
      <w:bookmarkEnd w:id="21"/>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September 30, 2024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br/>
        <w:t>Date:         </w:t>
      </w:r>
      <w:r>
        <w:rPr>
          <w:rFonts w:ascii="Times New Roman" w:hAnsi="Times New Roman"/>
          <w:caps w:val="false"/>
          <w:smallCaps w:val="false"/>
          <w:sz w:val="20"/>
          <w:u w:val="single"/>
        </w:rPr>
        <w:t>November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60"/>
        <w:gridCol w:w="4580"/>
      </w:tblGrid>
      <w:tr>
        <w:trPr/>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u w:val="single"/>
              </w:rPr>
              <w:t>/s/ Duncan Gilmour</w:t>
            </w:r>
            <w:r>
              <w:rPr/>
              <w:br/>
              <w:t>Duncan Gilmour</w:t>
              <w:br/>
              <w:t>Chief Financial Officer, Treasurer and Secretary</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37837</Words>
  <Characters>201534</Characters>
  <CharactersWithSpaces>244803</CharactersWithSpaces>
  <Paragraphs>9852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